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6.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2.xml" ContentType="application/vnd.openxmlformats-officedocument.drawingml.chartshapes+xml"/>
  <Override PartName="/word/charts/chart29.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0.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3.xml" ContentType="application/vnd.openxmlformats-officedocument.drawingml.chartshapes+xml"/>
  <Override PartName="/word/charts/chart31.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2.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3.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4.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5.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7.xml" ContentType="application/vnd.openxmlformats-officedocument.themeOverride+xml"/>
  <Override PartName="/word/charts/chart3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7.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8.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4.xml" ContentType="application/vnd.openxmlformats-officedocument.drawingml.chartshapes+xml"/>
  <Override PartName="/word/charts/chart39.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8.xml" ContentType="application/vnd.openxmlformats-officedocument.themeOverride+xml"/>
  <Override PartName="/word/charts/chart40.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1.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2.xml" ContentType="application/vnd.openxmlformats-officedocument.drawingml.chart+xml"/>
  <Override PartName="/word/charts/chart43.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4.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5.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6.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7.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8.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9.xml" ContentType="application/vnd.openxmlformats-officedocument.themeOverride+xml"/>
  <Override PartName="/word/charts/chart49.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50.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10.xml" ContentType="application/vnd.openxmlformats-officedocument.themeOverride+xml"/>
  <Override PartName="/word/charts/chart51.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2.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3.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4.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5.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6.xml" ContentType="application/vnd.openxmlformats-officedocument.drawingml.chart+xml"/>
  <Override PartName="/word/theme/themeOverride11.xml" ContentType="application/vnd.openxmlformats-officedocument.themeOverride+xml"/>
  <Override PartName="/word/charts/chart57.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8.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9.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12.xml" ContentType="application/vnd.openxmlformats-officedocument.themeOverride+xml"/>
  <Override PartName="/word/charts/chart60.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13.xml" ContentType="application/vnd.openxmlformats-officedocument.themeOverride+xml"/>
  <Override PartName="/word/charts/chart61.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62.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3.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4.xml" ContentType="application/vnd.openxmlformats-officedocument.drawingml.chart+xml"/>
  <Override PartName="/word/charts/style56.xml" ContentType="application/vnd.ms-office.chartstyle+xml"/>
  <Override PartName="/word/charts/colors56.xml" ContentType="application/vnd.ms-office.chartcolorstyle+xml"/>
  <Override PartName="/word/footer2.xml" ContentType="application/vnd.openxmlformats-officedocument.wordprocessingml.footer+xml"/>
  <Override PartName="/word/charts/chart65.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6.xml" ContentType="application/vnd.openxmlformats-officedocument.drawingml.chart+xml"/>
  <Override PartName="/word/theme/themeOverride14.xml" ContentType="application/vnd.openxmlformats-officedocument.themeOverride+xml"/>
  <Override PartName="/word/charts/chart67.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15.xml" ContentType="application/vnd.openxmlformats-officedocument.themeOverride+xml"/>
  <Override PartName="/word/charts/chart68.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16.xml" ContentType="application/vnd.openxmlformats-officedocument.themeOverride+xml"/>
  <Override PartName="/word/charts/chart69.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17.xml" ContentType="application/vnd.openxmlformats-officedocument.themeOverride+xml"/>
  <Override PartName="/word/charts/chart70.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18.xml" ContentType="application/vnd.openxmlformats-officedocument.themeOverride+xml"/>
  <Override PartName="/word/charts/chart71.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413D8" w14:textId="1CA3DE69" w:rsidR="005D4C5C" w:rsidRPr="000939E3" w:rsidRDefault="001F4020" w:rsidP="005D4C5C">
      <w:pPr>
        <w:spacing w:after="200"/>
      </w:pPr>
      <w:r w:rsidRPr="000939E3">
        <w:rPr>
          <w:noProof/>
          <w:lang w:eastAsia="sk-SK"/>
        </w:rPr>
        <w:drawing>
          <wp:anchor distT="0" distB="0" distL="114300" distR="114300" simplePos="0" relativeHeight="251659264" behindDoc="0" locked="0" layoutInCell="1" allowOverlap="1" wp14:anchorId="354B5688" wp14:editId="693C9F37">
            <wp:simplePos x="0" y="0"/>
            <wp:positionH relativeFrom="margin">
              <wp:align>center</wp:align>
            </wp:positionH>
            <wp:positionV relativeFrom="paragraph">
              <wp:posOffset>5080</wp:posOffset>
            </wp:positionV>
            <wp:extent cx="1924050" cy="465455"/>
            <wp:effectExtent l="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fsrlogo.jpg"/>
                    <pic:cNvPicPr/>
                  </pic:nvPicPr>
                  <pic:blipFill>
                    <a:blip r:embed="rId8">
                      <a:extLst>
                        <a:ext uri="{28A0092B-C50C-407E-A947-70E740481C1C}">
                          <a14:useLocalDpi xmlns:a14="http://schemas.microsoft.com/office/drawing/2010/main" val="0"/>
                        </a:ext>
                      </a:extLst>
                    </a:blip>
                    <a:stretch>
                      <a:fillRect/>
                    </a:stretch>
                  </pic:blipFill>
                  <pic:spPr>
                    <a:xfrm>
                      <a:off x="0" y="0"/>
                      <a:ext cx="1924050" cy="465455"/>
                    </a:xfrm>
                    <a:prstGeom prst="rect">
                      <a:avLst/>
                    </a:prstGeom>
                  </pic:spPr>
                </pic:pic>
              </a:graphicData>
            </a:graphic>
            <wp14:sizeRelH relativeFrom="margin">
              <wp14:pctWidth>0</wp14:pctWidth>
            </wp14:sizeRelH>
            <wp14:sizeRelV relativeFrom="margin">
              <wp14:pctHeight>0</wp14:pctHeight>
            </wp14:sizeRelV>
          </wp:anchor>
        </w:drawing>
      </w:r>
    </w:p>
    <w:p w14:paraId="28EA2DFF" w14:textId="77777777" w:rsidR="005D4C5C" w:rsidRPr="000939E3" w:rsidRDefault="005D4C5C" w:rsidP="005D4C5C">
      <w:pPr>
        <w:spacing w:after="200"/>
      </w:pPr>
    </w:p>
    <w:p w14:paraId="3AF35206" w14:textId="77777777" w:rsidR="005D4C5C" w:rsidRPr="000939E3" w:rsidRDefault="005D4C5C" w:rsidP="005D4C5C">
      <w:pPr>
        <w:spacing w:after="200"/>
      </w:pPr>
    </w:p>
    <w:p w14:paraId="239E8779" w14:textId="77777777" w:rsidR="005D4C5C" w:rsidRPr="000939E3" w:rsidRDefault="005D4C5C" w:rsidP="005D4C5C">
      <w:pPr>
        <w:spacing w:after="200"/>
      </w:pPr>
    </w:p>
    <w:p w14:paraId="13BFF7E3" w14:textId="77777777" w:rsidR="005D4C5C" w:rsidRPr="000939E3" w:rsidRDefault="005D4C5C" w:rsidP="005D4C5C">
      <w:pPr>
        <w:tabs>
          <w:tab w:val="left" w:pos="3510"/>
        </w:tabs>
        <w:spacing w:after="200"/>
      </w:pPr>
    </w:p>
    <w:p w14:paraId="46958B84" w14:textId="77777777" w:rsidR="005D4C5C" w:rsidRPr="000939E3" w:rsidRDefault="005D4C5C" w:rsidP="00FD4D77">
      <w:pPr>
        <w:spacing w:after="200"/>
      </w:pPr>
    </w:p>
    <w:p w14:paraId="72162ECD" w14:textId="05A71EEA" w:rsidR="005D4C5C" w:rsidRPr="000939E3" w:rsidRDefault="00A26757" w:rsidP="00A26757">
      <w:pPr>
        <w:spacing w:after="200"/>
        <w:jc w:val="center"/>
      </w:pPr>
      <w:r>
        <w:rPr>
          <w:color w:val="2E74B5" w:themeColor="accent1" w:themeShade="BF"/>
          <w:sz w:val="40"/>
          <w:szCs w:val="56"/>
        </w:rPr>
        <w:t xml:space="preserve">Externá príloha č. </w:t>
      </w:r>
      <w:r w:rsidR="00D62879" w:rsidRPr="00D62879">
        <w:rPr>
          <w:color w:val="2E74B5" w:themeColor="accent1" w:themeShade="BF"/>
          <w:sz w:val="40"/>
          <w:szCs w:val="56"/>
        </w:rPr>
        <w:t>3</w:t>
      </w:r>
      <w:bookmarkStart w:id="0" w:name="_GoBack"/>
      <w:bookmarkEnd w:id="0"/>
    </w:p>
    <w:p w14:paraId="580E653C" w14:textId="19BC63B0" w:rsidR="005D4C5C" w:rsidRPr="000939E3" w:rsidRDefault="005D4C5C" w:rsidP="005D4C5C">
      <w:pPr>
        <w:spacing w:after="200"/>
      </w:pPr>
    </w:p>
    <w:p w14:paraId="3B4E84E4" w14:textId="77777777" w:rsidR="005D4C5C" w:rsidRPr="000939E3" w:rsidRDefault="005D4C5C" w:rsidP="005D4C5C">
      <w:pPr>
        <w:spacing w:after="200"/>
      </w:pPr>
    </w:p>
    <w:p w14:paraId="4E4CED5A" w14:textId="77777777" w:rsidR="008B51D1" w:rsidRPr="000939E3" w:rsidRDefault="000C00F9" w:rsidP="008B51D1">
      <w:pPr>
        <w:spacing w:after="0"/>
        <w:jc w:val="center"/>
        <w:rPr>
          <w:color w:val="2E74B5" w:themeColor="accent1" w:themeShade="BF"/>
          <w:sz w:val="48"/>
          <w:szCs w:val="56"/>
        </w:rPr>
      </w:pPr>
      <w:r w:rsidRPr="000939E3">
        <w:rPr>
          <w:color w:val="2E74B5" w:themeColor="accent1" w:themeShade="BF"/>
          <w:sz w:val="48"/>
          <w:szCs w:val="56"/>
        </w:rPr>
        <w:t>Revízia výdavkov</w:t>
      </w:r>
      <w:r w:rsidR="0048398B" w:rsidRPr="000939E3">
        <w:rPr>
          <w:color w:val="2E74B5" w:themeColor="accent1" w:themeShade="BF"/>
          <w:sz w:val="48"/>
          <w:szCs w:val="56"/>
        </w:rPr>
        <w:br/>
      </w:r>
      <w:r w:rsidR="007B4F5B" w:rsidRPr="000939E3">
        <w:rPr>
          <w:color w:val="2E74B5" w:themeColor="accent1" w:themeShade="BF"/>
          <w:sz w:val="48"/>
          <w:szCs w:val="56"/>
        </w:rPr>
        <w:t>zamestnanosti a</w:t>
      </w:r>
      <w:r w:rsidR="0037391B" w:rsidRPr="000939E3">
        <w:rPr>
          <w:color w:val="2E74B5" w:themeColor="accent1" w:themeShade="BF"/>
          <w:sz w:val="48"/>
          <w:szCs w:val="56"/>
        </w:rPr>
        <w:t> </w:t>
      </w:r>
      <w:r w:rsidR="007B4F5B" w:rsidRPr="000939E3">
        <w:rPr>
          <w:color w:val="2E74B5" w:themeColor="accent1" w:themeShade="BF"/>
          <w:sz w:val="48"/>
          <w:szCs w:val="56"/>
        </w:rPr>
        <w:t>odmeňovania</w:t>
      </w:r>
      <w:r w:rsidR="0037391B" w:rsidRPr="000939E3">
        <w:rPr>
          <w:color w:val="2E74B5" w:themeColor="accent1" w:themeShade="BF"/>
          <w:sz w:val="48"/>
          <w:szCs w:val="56"/>
        </w:rPr>
        <w:t xml:space="preserve"> </w:t>
      </w:r>
      <w:r w:rsidR="007B4F5B" w:rsidRPr="000939E3">
        <w:rPr>
          <w:color w:val="2E74B5" w:themeColor="accent1" w:themeShade="BF"/>
          <w:sz w:val="48"/>
          <w:szCs w:val="56"/>
        </w:rPr>
        <w:t>vo verejnej správe</w:t>
      </w:r>
    </w:p>
    <w:p w14:paraId="783A7D51" w14:textId="77777777" w:rsidR="0037391B" w:rsidRPr="000939E3" w:rsidRDefault="0037391B" w:rsidP="008B51D1">
      <w:pPr>
        <w:spacing w:after="0"/>
        <w:jc w:val="center"/>
        <w:rPr>
          <w:noProof/>
          <w:color w:val="2E74B5" w:themeColor="accent1" w:themeShade="BF"/>
          <w:sz w:val="40"/>
          <w:szCs w:val="56"/>
          <w:lang w:eastAsia="sk-SK"/>
        </w:rPr>
      </w:pPr>
    </w:p>
    <w:p w14:paraId="76E694A4" w14:textId="79E79FE5" w:rsidR="008B51D1" w:rsidRPr="000939E3" w:rsidRDefault="008B51D1" w:rsidP="008B51D1">
      <w:pPr>
        <w:spacing w:after="0"/>
        <w:jc w:val="center"/>
        <w:rPr>
          <w:noProof/>
          <w:color w:val="2E74B5" w:themeColor="accent1" w:themeShade="BF"/>
          <w:sz w:val="40"/>
          <w:szCs w:val="56"/>
          <w:lang w:eastAsia="sk-SK"/>
        </w:rPr>
      </w:pPr>
      <w:r w:rsidRPr="000939E3">
        <w:rPr>
          <w:noProof/>
          <w:color w:val="2E74B5" w:themeColor="accent1" w:themeShade="BF"/>
          <w:sz w:val="40"/>
          <w:szCs w:val="56"/>
          <w:lang w:eastAsia="sk-SK"/>
        </w:rPr>
        <mc:AlternateContent>
          <mc:Choice Requires="wps">
            <w:drawing>
              <wp:anchor distT="0" distB="0" distL="114300" distR="114300" simplePos="0" relativeHeight="251670528" behindDoc="0" locked="0" layoutInCell="1" allowOverlap="1" wp14:anchorId="016A8749" wp14:editId="6ED4A0AE">
                <wp:simplePos x="0" y="0"/>
                <wp:positionH relativeFrom="margin">
                  <wp:align>left</wp:align>
                </wp:positionH>
                <wp:positionV relativeFrom="paragraph">
                  <wp:posOffset>33878</wp:posOffset>
                </wp:positionV>
                <wp:extent cx="59376" cy="285008"/>
                <wp:effectExtent l="0" t="0" r="0" b="0"/>
                <wp:wrapNone/>
                <wp:docPr id="9" name="Obdĺžnik 9"/>
                <wp:cNvGraphicFramePr/>
                <a:graphic xmlns:a="http://schemas.openxmlformats.org/drawingml/2006/main">
                  <a:graphicData uri="http://schemas.microsoft.com/office/word/2010/wordprocessingShape">
                    <wps:wsp>
                      <wps:cNvSpPr/>
                      <wps:spPr>
                        <a:xfrm>
                          <a:off x="0" y="0"/>
                          <a:ext cx="59376" cy="285008"/>
                        </a:xfrm>
                        <a:prstGeom prst="rect">
                          <a:avLst/>
                        </a:prstGeom>
                        <a:solidFill>
                          <a:srgbClr val="5B9BD5"/>
                        </a:solidFill>
                        <a:ln w="12700" cap="flat" cmpd="sng" algn="ctr">
                          <a:solidFill>
                            <a:srgbClr val="5B9BD5">
                              <a:shade val="50000"/>
                            </a:srgbClr>
                          </a:solidFill>
                          <a:prstDash val="solid"/>
                          <a:miter lim="800000"/>
                        </a:ln>
                        <a:effectLst/>
                        <a:scene3d>
                          <a:camera prst="orthographicFront">
                            <a:rot lat="300000" lon="54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29E64" id="Obdĺžnik 9" o:spid="_x0000_s1026" style="position:absolute;margin-left:0;margin-top:2.65pt;width:4.7pt;height:22.45pt;z-index:2516705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" fillcolor="#5b9bd5" strokecolor="#41719c" strokeweight="1pt">
                <w10:wrap anchorx="margin"/>
              </v:rect>
            </w:pict>
          </mc:Fallback>
        </mc:AlternateContent>
      </w:r>
      <w:r w:rsidRPr="000939E3">
        <w:rPr>
          <w:noProof/>
          <w:color w:val="2E74B5" w:themeColor="accent1" w:themeShade="BF"/>
          <w:sz w:val="40"/>
          <w:szCs w:val="56"/>
          <w:lang w:eastAsia="sk-SK"/>
        </w:rPr>
        <mc:AlternateContent>
          <mc:Choice Requires="wps">
            <w:drawing>
              <wp:anchor distT="0" distB="0" distL="114300" distR="114300" simplePos="0" relativeHeight="251669504" behindDoc="0" locked="0" layoutInCell="1" allowOverlap="1" wp14:anchorId="6E253702" wp14:editId="24BC4097">
                <wp:simplePos x="0" y="0"/>
                <wp:positionH relativeFrom="page">
                  <wp:posOffset>-95250</wp:posOffset>
                </wp:positionH>
                <wp:positionV relativeFrom="paragraph">
                  <wp:posOffset>6601460</wp:posOffset>
                </wp:positionV>
                <wp:extent cx="7754587" cy="140970"/>
                <wp:effectExtent l="0" t="0" r="18415" b="11430"/>
                <wp:wrapNone/>
                <wp:docPr id="13" name="Obdĺžnik 13"/>
                <wp:cNvGraphicFramePr/>
                <a:graphic xmlns:a="http://schemas.openxmlformats.org/drawingml/2006/main">
                  <a:graphicData uri="http://schemas.microsoft.com/office/word/2010/wordprocessingShape">
                    <wps:wsp>
                      <wps:cNvSpPr/>
                      <wps:spPr>
                        <a:xfrm>
                          <a:off x="0" y="0"/>
                          <a:ext cx="7754587" cy="14097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587BF" id="Obdĺžnik 13" o:spid="_x0000_s1026" style="position:absolute;margin-left:-7.5pt;margin-top:519.8pt;width:610.6pt;height:11.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" fillcolor="#5b9bd5" strokecolor="#5b9bd5" strokeweight="1pt">
                <w10:wrap anchorx="page"/>
              </v:rect>
            </w:pict>
          </mc:Fallback>
        </mc:AlternateContent>
      </w:r>
      <w:bookmarkStart w:id="1" w:name="_Toc454919371"/>
      <w:r w:rsidR="002D4AF8" w:rsidRPr="000939E3">
        <w:rPr>
          <w:noProof/>
          <w:color w:val="2E74B5" w:themeColor="accent1" w:themeShade="BF"/>
          <w:sz w:val="40"/>
          <w:szCs w:val="56"/>
          <w:lang w:eastAsia="sk-SK"/>
        </w:rPr>
        <w:t>Záverečná</w:t>
      </w:r>
      <w:r w:rsidR="007B4F5B" w:rsidRPr="000939E3">
        <w:rPr>
          <w:noProof/>
          <w:color w:val="2E74B5" w:themeColor="accent1" w:themeShade="BF"/>
          <w:sz w:val="40"/>
          <w:szCs w:val="56"/>
          <w:lang w:eastAsia="sk-SK"/>
        </w:rPr>
        <w:t xml:space="preserve"> </w:t>
      </w:r>
      <w:r w:rsidRPr="000939E3">
        <w:rPr>
          <w:color w:val="2E74B5" w:themeColor="accent1" w:themeShade="BF"/>
          <w:sz w:val="40"/>
          <w:szCs w:val="56"/>
        </w:rPr>
        <w:t>správa</w:t>
      </w:r>
      <w:r w:rsidR="007B4F5B" w:rsidRPr="000939E3">
        <w:rPr>
          <w:color w:val="2E74B5" w:themeColor="accent1" w:themeShade="BF"/>
          <w:sz w:val="40"/>
          <w:szCs w:val="56"/>
        </w:rPr>
        <w:t xml:space="preserve"> </w:t>
      </w:r>
      <w:r w:rsidR="00F84646" w:rsidRPr="000939E3">
        <w:rPr>
          <w:color w:val="2E74B5" w:themeColor="accent1" w:themeShade="BF"/>
          <w:sz w:val="40"/>
          <w:szCs w:val="56"/>
        </w:rPr>
        <w:br/>
      </w:r>
      <w:r w:rsidR="009F5577" w:rsidRPr="000939E3">
        <w:rPr>
          <w:color w:val="2E74B5" w:themeColor="accent1" w:themeShade="BF"/>
          <w:sz w:val="40"/>
          <w:szCs w:val="56"/>
        </w:rPr>
        <w:br/>
      </w:r>
    </w:p>
    <w:bookmarkEnd w:id="1"/>
    <w:p w14:paraId="06E1607A" w14:textId="426E17D1" w:rsidR="005D4C5C" w:rsidRPr="000939E3" w:rsidRDefault="005D4C5C" w:rsidP="005D4C5C">
      <w:pPr>
        <w:spacing w:after="0"/>
        <w:jc w:val="center"/>
        <w:rPr>
          <w:noProof/>
          <w:color w:val="2E74B5" w:themeColor="accent1" w:themeShade="BF"/>
          <w:sz w:val="40"/>
          <w:szCs w:val="56"/>
          <w:lang w:eastAsia="sk-SK"/>
        </w:rPr>
      </w:pPr>
    </w:p>
    <w:p w14:paraId="0F3ED668" w14:textId="77777777" w:rsidR="0048398B" w:rsidRPr="000939E3" w:rsidRDefault="0048398B" w:rsidP="0027216D">
      <w:pPr>
        <w:spacing w:after="0"/>
        <w:jc w:val="center"/>
        <w:rPr>
          <w:noProof/>
          <w:color w:val="2E74B5" w:themeColor="accent1" w:themeShade="BF"/>
          <w:sz w:val="40"/>
          <w:szCs w:val="56"/>
          <w:lang w:eastAsia="sk-SK"/>
        </w:rPr>
      </w:pPr>
    </w:p>
    <w:p w14:paraId="78B3FC17" w14:textId="77777777" w:rsidR="005D4C5C" w:rsidRPr="000939E3" w:rsidRDefault="005D4C5C" w:rsidP="0027216D">
      <w:pPr>
        <w:spacing w:after="0"/>
        <w:jc w:val="center"/>
        <w:rPr>
          <w:noProof/>
          <w:color w:val="2E74B5" w:themeColor="accent1" w:themeShade="BF"/>
          <w:sz w:val="40"/>
          <w:szCs w:val="56"/>
          <w:lang w:eastAsia="sk-SK"/>
        </w:rPr>
      </w:pPr>
    </w:p>
    <w:p w14:paraId="2BDAF3EB" w14:textId="77777777" w:rsidR="00DF7019" w:rsidRPr="000939E3" w:rsidRDefault="00DF7019" w:rsidP="0027216D">
      <w:pPr>
        <w:spacing w:after="0"/>
        <w:jc w:val="center"/>
        <w:rPr>
          <w:noProof/>
          <w:color w:val="2E74B5" w:themeColor="accent1" w:themeShade="BF"/>
          <w:sz w:val="40"/>
          <w:szCs w:val="56"/>
          <w:lang w:eastAsia="sk-SK"/>
        </w:rPr>
      </w:pPr>
    </w:p>
    <w:p w14:paraId="09CC5810" w14:textId="5CE03A37" w:rsidR="005D4C5C" w:rsidRPr="000939E3" w:rsidRDefault="005D4C5C" w:rsidP="005D4C5C">
      <w:r w:rsidRPr="000939E3">
        <w:rPr>
          <w:noProof/>
          <w:lang w:eastAsia="sk-SK"/>
        </w:rPr>
        <mc:AlternateContent>
          <mc:Choice Requires="wps">
            <w:drawing>
              <wp:anchor distT="0" distB="0" distL="114300" distR="114300" simplePos="0" relativeHeight="251667456" behindDoc="0" locked="0" layoutInCell="1" allowOverlap="1" wp14:anchorId="650693E1" wp14:editId="48641354">
                <wp:simplePos x="0" y="0"/>
                <wp:positionH relativeFrom="margin">
                  <wp:align>center</wp:align>
                </wp:positionH>
                <wp:positionV relativeFrom="paragraph">
                  <wp:posOffset>1225778</wp:posOffset>
                </wp:positionV>
                <wp:extent cx="3233318" cy="326003"/>
                <wp:effectExtent l="0" t="0" r="5715" b="0"/>
                <wp:wrapNone/>
                <wp:docPr id="7" name="Textové pole 7"/>
                <wp:cNvGraphicFramePr/>
                <a:graphic xmlns:a="http://schemas.openxmlformats.org/drawingml/2006/main">
                  <a:graphicData uri="http://schemas.microsoft.com/office/word/2010/wordprocessingShape">
                    <wps:wsp>
                      <wps:cNvSpPr txBox="1"/>
                      <wps:spPr>
                        <a:xfrm>
                          <a:off x="0" y="0"/>
                          <a:ext cx="3233318" cy="3260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6C3D3" w14:textId="77777777" w:rsidR="00373CAE" w:rsidRPr="00E1413A" w:rsidRDefault="00373CAE" w:rsidP="005D4C5C">
                            <w:pPr>
                              <w:jc w:val="center"/>
                              <w:rPr>
                                <w:color w:val="0070C0"/>
                              </w:rPr>
                            </w:pPr>
                            <w:r w:rsidRPr="00E1413A">
                              <w:rPr>
                                <w:color w:val="0070C0"/>
                              </w:rPr>
                              <w:t>Tento projekt je podporený z Európskeho sociálneho fondu</w:t>
                            </w:r>
                          </w:p>
                          <w:p w14:paraId="19A332A6" w14:textId="77777777" w:rsidR="00373CAE" w:rsidRDefault="00373CAE" w:rsidP="005D4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693E1" id="_x0000_t202" coordsize="21600,21600" o:spt="202" path="m,l,21600r21600,l21600,xe">
                <v:stroke joinstyle="miter"/>
                <v:path gradientshapeok="t" o:connecttype="rect"/>
              </v:shapetype>
              <v:shape id="Textové pole 7" o:spid="_x0000_s1026" type="#_x0000_t202" style="position:absolute;left:0;text-align:left;margin-left:0;margin-top:96.5pt;width:254.6pt;height:25.6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" fillcolor="white [3201]" stroked="f" strokeweight=".5pt">
                <v:textbox>
                  <w:txbxContent>
                    <w:p w14:paraId="1656C3D3" w14:textId="77777777" w:rsidR="00373CAE" w:rsidRPr="00E1413A" w:rsidRDefault="00373CAE" w:rsidP="005D4C5C">
                      <w:pPr>
                        <w:jc w:val="center"/>
                        <w:rPr>
                          <w:color w:val="0070C0"/>
                        </w:rPr>
                      </w:pPr>
                      <w:r w:rsidRPr="00E1413A">
                        <w:rPr>
                          <w:color w:val="0070C0"/>
                        </w:rPr>
                        <w:t>Tento projekt je podporený z Európskeho sociálneho fondu</w:t>
                      </w:r>
                    </w:p>
                    <w:p w14:paraId="19A332A6" w14:textId="77777777" w:rsidR="00373CAE" w:rsidRDefault="00373CAE" w:rsidP="005D4C5C"/>
                  </w:txbxContent>
                </v:textbox>
                <w10:wrap anchorx="margin"/>
              </v:shape>
            </w:pict>
          </mc:Fallback>
        </mc:AlternateContent>
      </w:r>
      <w:r w:rsidRPr="000939E3">
        <w:rPr>
          <w:noProof/>
          <w:lang w:eastAsia="sk-SK"/>
        </w:rPr>
        <w:drawing>
          <wp:anchor distT="0" distB="0" distL="114300" distR="114300" simplePos="0" relativeHeight="251666432" behindDoc="0" locked="1" layoutInCell="1" allowOverlap="1" wp14:anchorId="42464945" wp14:editId="1D75A80C">
            <wp:simplePos x="0" y="0"/>
            <wp:positionH relativeFrom="page">
              <wp:align>right</wp:align>
            </wp:positionH>
            <wp:positionV relativeFrom="margin">
              <wp:align>bottom</wp:align>
            </wp:positionV>
            <wp:extent cx="3610800" cy="900000"/>
            <wp:effectExtent l="0" t="0" r="0" b="0"/>
            <wp:wrapSquare wrapText="bothSides"/>
            <wp:docPr id="24" name="Obrázok 24" descr="U:\IFP_NEW\4_STRUKTURAL\4_4_Agenda\18_Spending reviews\Informatizacia\01_Final_report\logos\logo-EU-ESF-farba-s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FP_NEW\4_STRUKTURAL\4_4_Agenda\18_Spending reviews\Informatizacia\01_Final_report\logos\logo-EU-ESF-farba-sv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08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9E3">
        <w:rPr>
          <w:noProof/>
          <w:lang w:eastAsia="sk-SK"/>
        </w:rPr>
        <w:drawing>
          <wp:anchor distT="0" distB="0" distL="114300" distR="114300" simplePos="0" relativeHeight="251665408" behindDoc="0" locked="1" layoutInCell="1" allowOverlap="1" wp14:anchorId="45BC8EE1" wp14:editId="6DC22241">
            <wp:simplePos x="0" y="0"/>
            <wp:positionH relativeFrom="page">
              <wp:align>left</wp:align>
            </wp:positionH>
            <wp:positionV relativeFrom="margin">
              <wp:align>bottom</wp:align>
            </wp:positionV>
            <wp:extent cx="3607200" cy="900000"/>
            <wp:effectExtent l="0" t="0" r="0" b="0"/>
            <wp:wrapSquare wrapText="bothSides"/>
            <wp:docPr id="20" name="Obrázok 20" descr="U:\IFP_NEW\4_STRUKTURAL\4_4_Agenda\18_Spending reviews\Informatizacia\01_Final_report\logos\logo-OP-EVS-farba-s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FP_NEW\4_STRUKTURAL\4_4_Agenda\18_Spending reviews\Informatizacia\01_Final_report\logos\logo-OP-EVS-farba-sv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72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9E3">
        <w:br w:type="page"/>
      </w:r>
      <w:r w:rsidRPr="000939E3">
        <w:rPr>
          <w:b/>
          <w:noProof/>
          <w:sz w:val="20"/>
          <w:szCs w:val="20"/>
          <w:lang w:eastAsia="sk-SK"/>
        </w:rPr>
        <mc:AlternateContent>
          <mc:Choice Requires="wps">
            <w:drawing>
              <wp:anchor distT="0" distB="0" distL="114300" distR="114300" simplePos="0" relativeHeight="251663360" behindDoc="0" locked="1" layoutInCell="1" allowOverlap="1" wp14:anchorId="4BA9139F" wp14:editId="523854B5">
                <wp:simplePos x="0" y="0"/>
                <wp:positionH relativeFrom="margin">
                  <wp:posOffset>268605</wp:posOffset>
                </wp:positionH>
                <wp:positionV relativeFrom="page">
                  <wp:posOffset>7219950</wp:posOffset>
                </wp:positionV>
                <wp:extent cx="5226685" cy="380365"/>
                <wp:effectExtent l="0" t="0" r="0" b="63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685" cy="380365"/>
                        </a:xfrm>
                        <a:prstGeom prst="rect">
                          <a:avLst/>
                        </a:prstGeom>
                        <a:solidFill>
                          <a:srgbClr val="FFFFFF"/>
                        </a:solidFill>
                        <a:ln w="9525">
                          <a:noFill/>
                          <a:miter lim="800000"/>
                          <a:headEnd/>
                          <a:tailEnd/>
                        </a:ln>
                      </wps:spPr>
                      <wps:txbx>
                        <w:txbxContent>
                          <w:p w14:paraId="43263E33" w14:textId="376452CA" w:rsidR="00373CAE" w:rsidRDefault="009B5DAD" w:rsidP="00373CAE">
                            <w:pPr>
                              <w:jc w:val="center"/>
                              <w:rPr>
                                <w:color w:val="0070C0"/>
                                <w:sz w:val="40"/>
                                <w:szCs w:val="40"/>
                              </w:rPr>
                            </w:pPr>
                            <w:r>
                              <w:rPr>
                                <w:color w:val="0070C0"/>
                                <w:sz w:val="40"/>
                                <w:szCs w:val="40"/>
                              </w:rPr>
                              <w:t>Zverejnené v mar</w:t>
                            </w:r>
                            <w:r w:rsidR="00373CAE">
                              <w:rPr>
                                <w:color w:val="0070C0"/>
                                <w:sz w:val="40"/>
                                <w:szCs w:val="40"/>
                              </w:rPr>
                              <w:t>c</w:t>
                            </w:r>
                            <w:r>
                              <w:rPr>
                                <w:color w:val="0070C0"/>
                                <w:sz w:val="40"/>
                                <w:szCs w:val="40"/>
                              </w:rPr>
                              <w:t>i</w:t>
                            </w:r>
                            <w:r w:rsidR="00373CAE">
                              <w:rPr>
                                <w:color w:val="0070C0"/>
                                <w:sz w:val="40"/>
                                <w:szCs w:val="40"/>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9139F" id="_x0000_t202" coordsize="21600,21600" o:spt="202" path="m,l,21600r21600,l21600,xe">
                <v:stroke joinstyle="miter"/>
                <v:path gradientshapeok="t" o:connecttype="rect"/>
              </v:shapetype>
              <v:shape id="Text Box 2" o:spid="_x0000_s1027" type="#_x0000_t202" style="position:absolute;left:0;text-align:left;margin-left:21.15pt;margin-top:568.5pt;width:411.55pt;height:29.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4EJAIAACQ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" stroked="f">
                <v:textbox>
                  <w:txbxContent>
                    <w:p w14:paraId="43263E33" w14:textId="376452CA" w:rsidR="00373CAE" w:rsidRDefault="009B5DAD" w:rsidP="00373CAE">
                      <w:pPr>
                        <w:jc w:val="center"/>
                        <w:rPr>
                          <w:color w:val="0070C0"/>
                          <w:sz w:val="40"/>
                          <w:szCs w:val="40"/>
                        </w:rPr>
                      </w:pPr>
                      <w:r>
                        <w:rPr>
                          <w:color w:val="0070C0"/>
                          <w:sz w:val="40"/>
                          <w:szCs w:val="40"/>
                        </w:rPr>
                        <w:t>Zverejnené v mar</w:t>
                      </w:r>
                      <w:r w:rsidR="00373CAE">
                        <w:rPr>
                          <w:color w:val="0070C0"/>
                          <w:sz w:val="40"/>
                          <w:szCs w:val="40"/>
                        </w:rPr>
                        <w:t>c</w:t>
                      </w:r>
                      <w:r>
                        <w:rPr>
                          <w:color w:val="0070C0"/>
                          <w:sz w:val="40"/>
                          <w:szCs w:val="40"/>
                        </w:rPr>
                        <w:t>i</w:t>
                      </w:r>
                      <w:r w:rsidR="00373CAE">
                        <w:rPr>
                          <w:color w:val="0070C0"/>
                          <w:sz w:val="40"/>
                          <w:szCs w:val="40"/>
                        </w:rPr>
                        <w:t xml:space="preserve"> 2020</w:t>
                      </w:r>
                    </w:p>
                  </w:txbxContent>
                </v:textbox>
                <w10:wrap anchorx="margin" anchory="page"/>
                <w10:anchorlock/>
              </v:shape>
            </w:pict>
          </mc:Fallback>
        </mc:AlternateContent>
      </w:r>
    </w:p>
    <w:p w14:paraId="7F5B218B" w14:textId="77777777" w:rsidR="005D4C5C" w:rsidRPr="000939E3" w:rsidRDefault="005D4C5C" w:rsidP="005D4C5C">
      <w:pPr>
        <w:jc w:val="right"/>
        <w:rPr>
          <w:b/>
          <w:sz w:val="36"/>
          <w:szCs w:val="36"/>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5D4C5C" w:rsidRPr="000939E3" w14:paraId="087F2B14" w14:textId="77777777" w:rsidTr="005D4C5C">
        <w:trPr>
          <w:trHeight w:val="737"/>
        </w:trPr>
        <w:tc>
          <w:tcPr>
            <w:tcW w:w="3020" w:type="dxa"/>
          </w:tcPr>
          <w:p w14:paraId="6622D97D" w14:textId="77777777" w:rsidR="005D4C5C" w:rsidRPr="000939E3" w:rsidRDefault="005D4C5C" w:rsidP="005D4C5C">
            <w:pPr>
              <w:spacing w:after="200"/>
              <w:jc w:val="center"/>
            </w:pPr>
          </w:p>
        </w:tc>
        <w:tc>
          <w:tcPr>
            <w:tcW w:w="3021" w:type="dxa"/>
          </w:tcPr>
          <w:p w14:paraId="61FE8453" w14:textId="233D5A49" w:rsidR="005D4C5C" w:rsidRPr="000939E3" w:rsidRDefault="009568C0" w:rsidP="005D4C5C">
            <w:pPr>
              <w:spacing w:after="200"/>
              <w:jc w:val="center"/>
            </w:pPr>
            <w:r w:rsidRPr="000939E3">
              <w:rPr>
                <w:noProof/>
                <w:lang w:eastAsia="sk-SK"/>
              </w:rPr>
              <w:drawing>
                <wp:inline distT="0" distB="0" distL="0" distR="0" wp14:anchorId="4EB842F7" wp14:editId="0DEDD939">
                  <wp:extent cx="597535" cy="857250"/>
                  <wp:effectExtent l="0" t="0" r="0" b="0"/>
                  <wp:docPr id="4" name="Obrázok 4" descr="U:\IFP_NEW\4_STRUKTURAL\4_4_Agenda\18_Spending reviews\Informatizacia\01_Final_report\logos\uhp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FP_NEW\4_STRUKTURAL\4_4_Agenda\18_Spending reviews\Informatizacia\01_Final_report\logos\uhpv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535" cy="857250"/>
                          </a:xfrm>
                          <a:prstGeom prst="rect">
                            <a:avLst/>
                          </a:prstGeom>
                          <a:noFill/>
                          <a:ln>
                            <a:noFill/>
                          </a:ln>
                        </pic:spPr>
                      </pic:pic>
                    </a:graphicData>
                  </a:graphic>
                </wp:inline>
              </w:drawing>
            </w:r>
          </w:p>
        </w:tc>
        <w:tc>
          <w:tcPr>
            <w:tcW w:w="3021" w:type="dxa"/>
          </w:tcPr>
          <w:p w14:paraId="7C273DEA" w14:textId="77777777" w:rsidR="005D4C5C" w:rsidRPr="000939E3" w:rsidRDefault="005D4C5C" w:rsidP="005D4C5C">
            <w:pPr>
              <w:spacing w:after="200"/>
              <w:jc w:val="center"/>
            </w:pPr>
          </w:p>
        </w:tc>
      </w:tr>
    </w:tbl>
    <w:p w14:paraId="11A4557E" w14:textId="77777777" w:rsidR="005D4C5C" w:rsidRPr="000939E3" w:rsidRDefault="005D4C5C" w:rsidP="005D4C5C">
      <w:pPr>
        <w:jc w:val="left"/>
        <w:rPr>
          <w:b/>
          <w:sz w:val="36"/>
          <w:szCs w:val="36"/>
        </w:rPr>
      </w:pPr>
    </w:p>
    <w:p w14:paraId="6870713A" w14:textId="77777777" w:rsidR="005D4C5C" w:rsidRPr="000939E3" w:rsidRDefault="005D4C5C" w:rsidP="005D4C5C">
      <w:pPr>
        <w:jc w:val="left"/>
        <w:rPr>
          <w:b/>
          <w:sz w:val="36"/>
          <w:szCs w:val="36"/>
        </w:rPr>
      </w:pPr>
    </w:p>
    <w:p w14:paraId="3CB4AF96" w14:textId="77777777" w:rsidR="004C068B" w:rsidRPr="000939E3" w:rsidRDefault="004C068B" w:rsidP="005D4C5C">
      <w:pPr>
        <w:jc w:val="left"/>
        <w:rPr>
          <w:b/>
          <w:sz w:val="36"/>
          <w:szCs w:val="36"/>
        </w:rPr>
      </w:pPr>
    </w:p>
    <w:p w14:paraId="7AC0EE72" w14:textId="77777777" w:rsidR="00994DA6" w:rsidRPr="000939E3" w:rsidRDefault="00994DA6" w:rsidP="00994DA6">
      <w:pPr>
        <w:spacing w:after="200"/>
        <w:rPr>
          <w:b/>
        </w:rPr>
      </w:pPr>
    </w:p>
    <w:p w14:paraId="56888D44" w14:textId="77777777" w:rsidR="00994DA6" w:rsidRPr="000939E3" w:rsidRDefault="00994DA6" w:rsidP="00994DA6">
      <w:pPr>
        <w:spacing w:after="200"/>
        <w:rPr>
          <w:b/>
        </w:rPr>
      </w:pPr>
    </w:p>
    <w:p w14:paraId="4FA03B4D" w14:textId="77777777" w:rsidR="00994DA6" w:rsidRPr="000939E3" w:rsidRDefault="00994DA6" w:rsidP="00994DA6">
      <w:pPr>
        <w:spacing w:after="200"/>
        <w:rPr>
          <w:b/>
        </w:rPr>
      </w:pPr>
    </w:p>
    <w:p w14:paraId="510FCB65" w14:textId="77777777" w:rsidR="00994DA6" w:rsidRPr="000939E3" w:rsidRDefault="00994DA6" w:rsidP="00994DA6">
      <w:pPr>
        <w:spacing w:after="200"/>
        <w:rPr>
          <w:b/>
        </w:rPr>
      </w:pPr>
    </w:p>
    <w:p w14:paraId="65FAB409" w14:textId="77777777" w:rsidR="00994DA6" w:rsidRPr="000939E3" w:rsidRDefault="00994DA6" w:rsidP="00994DA6">
      <w:pPr>
        <w:spacing w:after="200"/>
        <w:rPr>
          <w:b/>
        </w:rPr>
      </w:pPr>
    </w:p>
    <w:p w14:paraId="5DD9AF02" w14:textId="77777777" w:rsidR="00994DA6" w:rsidRPr="000939E3" w:rsidRDefault="00994DA6" w:rsidP="00994DA6">
      <w:pPr>
        <w:spacing w:after="200"/>
        <w:rPr>
          <w:b/>
        </w:rPr>
      </w:pPr>
    </w:p>
    <w:p w14:paraId="031BD598" w14:textId="77777777" w:rsidR="00994DA6" w:rsidRPr="000939E3" w:rsidRDefault="00994DA6" w:rsidP="00994DA6">
      <w:pPr>
        <w:spacing w:after="200"/>
        <w:rPr>
          <w:b/>
        </w:rPr>
      </w:pPr>
    </w:p>
    <w:p w14:paraId="5DDDD0FA" w14:textId="59196D35" w:rsidR="00994DA6" w:rsidRPr="000939E3" w:rsidRDefault="00B37FF4" w:rsidP="00994DA6">
      <w:pPr>
        <w:spacing w:after="200"/>
        <w:rPr>
          <w:b/>
        </w:rPr>
      </w:pPr>
      <w:r w:rsidRPr="000939E3">
        <w:t xml:space="preserve">Jedným zo zadaní projektu Hodnota za peniaze je </w:t>
      </w:r>
      <w:r w:rsidR="00D671DE" w:rsidRPr="000939E3">
        <w:t>revízia</w:t>
      </w:r>
      <w:r w:rsidRPr="000939E3">
        <w:t xml:space="preserve"> výdavkov verejnej správy. Tento materiál Ministerstva financií SR je hodnotením efektívnosti zamestnanosti a odmeňovania vo verejnom sektore v zmysle uznesenia vlády SR č. 478/2017, úloha B.</w:t>
      </w:r>
      <w:r w:rsidR="0084152A" w:rsidRPr="000939E3">
        <w:t>2</w:t>
      </w:r>
      <w:r w:rsidRPr="000939E3">
        <w:t>. Hodnotenie pripravili Štefan Kišš, Martina Erdélyiová Gancárová, Tomáš Hellebrandt, Peter Hronček, Matej Kurian, Lenka Martišková</w:t>
      </w:r>
      <w:r w:rsidR="000F712E" w:rsidRPr="000939E3">
        <w:t xml:space="preserve">, </w:t>
      </w:r>
      <w:r w:rsidR="008C25CC" w:rsidRPr="000939E3">
        <w:t>Monik</w:t>
      </w:r>
      <w:r w:rsidR="00F37AC9" w:rsidRPr="000939E3">
        <w:t>a</w:t>
      </w:r>
      <w:r w:rsidR="008C25CC" w:rsidRPr="000939E3">
        <w:t xml:space="preserve"> Ondicov</w:t>
      </w:r>
      <w:r w:rsidR="00F37AC9" w:rsidRPr="000939E3">
        <w:t>á</w:t>
      </w:r>
      <w:r w:rsidR="008C25CC" w:rsidRPr="000939E3">
        <w:t xml:space="preserve"> </w:t>
      </w:r>
      <w:r w:rsidRPr="000939E3">
        <w:t xml:space="preserve">a Peter Mandžák. </w:t>
      </w:r>
    </w:p>
    <w:p w14:paraId="21A6FFD6" w14:textId="77777777" w:rsidR="0079059D" w:rsidRPr="000939E3" w:rsidRDefault="0079059D" w:rsidP="00994DA6">
      <w:pPr>
        <w:spacing w:after="200"/>
        <w:rPr>
          <w:b/>
        </w:rPr>
      </w:pPr>
      <w:r w:rsidRPr="000939E3">
        <w:rPr>
          <w:b/>
        </w:rPr>
        <w:t>Poďakovanie</w:t>
      </w:r>
    </w:p>
    <w:p w14:paraId="1EB16646" w14:textId="44D3A562" w:rsidR="00447BF4" w:rsidRPr="000939E3" w:rsidRDefault="0079059D" w:rsidP="00FD4D77">
      <w:pPr>
        <w:spacing w:after="200"/>
      </w:pPr>
      <w:r w:rsidRPr="000939E3">
        <w:t>Za hodnotné návrhy a pripomienky počas prípravy správy ďakujeme</w:t>
      </w:r>
      <w:r w:rsidR="00F07337" w:rsidRPr="000939E3">
        <w:t xml:space="preserve"> </w:t>
      </w:r>
      <w:r w:rsidR="00FB5659" w:rsidRPr="000939E3">
        <w:t xml:space="preserve">súčasným aj </w:t>
      </w:r>
      <w:r w:rsidR="00F07337" w:rsidRPr="000939E3">
        <w:t>bývalým</w:t>
      </w:r>
      <w:r w:rsidRPr="000939E3">
        <w:t xml:space="preserve"> kolegyniam a</w:t>
      </w:r>
      <w:r w:rsidR="0084152A" w:rsidRPr="000939E3">
        <w:t> </w:t>
      </w:r>
      <w:r w:rsidRPr="000939E3">
        <w:t>kolegom</w:t>
      </w:r>
      <w:r w:rsidR="0084152A" w:rsidRPr="000939E3">
        <w:t xml:space="preserve"> </w:t>
      </w:r>
      <w:r w:rsidR="00FB5659" w:rsidRPr="000939E3">
        <w:t xml:space="preserve">Martinovi Krokovi, </w:t>
      </w:r>
      <w:r w:rsidR="0084152A" w:rsidRPr="000939E3">
        <w:t>Matúšovi Luptákovi,</w:t>
      </w:r>
      <w:r w:rsidR="008C25CC" w:rsidRPr="000939E3">
        <w:t xml:space="preserve"> </w:t>
      </w:r>
      <w:r w:rsidR="00F07337" w:rsidRPr="000939E3">
        <w:t>Martinovi Rajňákovi, Miroslavovi Škriečkov</w:t>
      </w:r>
      <w:r w:rsidR="00A0628D" w:rsidRPr="000939E3">
        <w:t>i</w:t>
      </w:r>
      <w:r w:rsidR="00F07337" w:rsidRPr="000939E3">
        <w:t xml:space="preserve"> a stážistovi Patrikovi Turzákovi. </w:t>
      </w:r>
      <w:r w:rsidR="00917F1C" w:rsidRPr="000939E3">
        <w:t>Za analytickú podporu ďakujeme Miroslavovi Štefánikovi a Tomášovi Miklošovičovi (obaja SAV)</w:t>
      </w:r>
      <w:r w:rsidR="002967DE" w:rsidRPr="000939E3">
        <w:t>, Zuzane Dzurendovej a Kataríne Števove (ÚV SR)</w:t>
      </w:r>
      <w:r w:rsidR="00917F1C" w:rsidRPr="000939E3">
        <w:t xml:space="preserve">. </w:t>
      </w:r>
      <w:r w:rsidR="00F07337" w:rsidRPr="000939E3">
        <w:t>Za cenné rady a</w:t>
      </w:r>
      <w:r w:rsidR="00447BF4" w:rsidRPr="000939E3">
        <w:t> </w:t>
      </w:r>
      <w:r w:rsidR="00F07337" w:rsidRPr="000939E3">
        <w:t>kome</w:t>
      </w:r>
      <w:r w:rsidR="00447BF4" w:rsidRPr="000939E3">
        <w:t xml:space="preserve">ntáre ďakujeme </w:t>
      </w:r>
      <w:r w:rsidR="00F40E90" w:rsidRPr="000939E3">
        <w:t>Jurajovi Machovi</w:t>
      </w:r>
      <w:r w:rsidR="0074721C" w:rsidRPr="000939E3">
        <w:t xml:space="preserve"> (ÚHP)</w:t>
      </w:r>
      <w:r w:rsidR="00F40E90" w:rsidRPr="000939E3">
        <w:t>, Gabrielovi Machlicovi</w:t>
      </w:r>
      <w:r w:rsidR="0074721C" w:rsidRPr="000939E3">
        <w:t xml:space="preserve"> (OECD)</w:t>
      </w:r>
      <w:r w:rsidR="00F40E90" w:rsidRPr="000939E3">
        <w:t xml:space="preserve">, </w:t>
      </w:r>
      <w:r w:rsidR="00447BF4" w:rsidRPr="000939E3">
        <w:t>Martinovi</w:t>
      </w:r>
      <w:r w:rsidR="007B4F5B" w:rsidRPr="000939E3">
        <w:t xml:space="preserve"> Kahanc</w:t>
      </w:r>
      <w:r w:rsidR="00447BF4" w:rsidRPr="000939E3">
        <w:t>ovi</w:t>
      </w:r>
      <w:r w:rsidR="00C95254" w:rsidRPr="000939E3">
        <w:t>,</w:t>
      </w:r>
      <w:r w:rsidR="00447BF4" w:rsidRPr="000939E3">
        <w:t xml:space="preserve"> Marte </w:t>
      </w:r>
      <w:r w:rsidR="007B4F5B" w:rsidRPr="000939E3">
        <w:t>Kahancov</w:t>
      </w:r>
      <w:r w:rsidR="00447BF4" w:rsidRPr="000939E3">
        <w:t>ej</w:t>
      </w:r>
      <w:r w:rsidR="007B4F5B" w:rsidRPr="000939E3">
        <w:t>,</w:t>
      </w:r>
      <w:r w:rsidR="00447BF4" w:rsidRPr="000939E3">
        <w:t xml:space="preserve"> Márii </w:t>
      </w:r>
      <w:r w:rsidR="007B4F5B" w:rsidRPr="000939E3">
        <w:t>Sedlákov</w:t>
      </w:r>
      <w:r w:rsidR="00447BF4" w:rsidRPr="000939E3">
        <w:t>ej</w:t>
      </w:r>
      <w:r w:rsidR="0074721C" w:rsidRPr="000939E3">
        <w:t xml:space="preserve"> (všetci CELSI)</w:t>
      </w:r>
      <w:r w:rsidR="008C25CC" w:rsidRPr="000939E3">
        <w:t xml:space="preserve">, </w:t>
      </w:r>
      <w:r w:rsidR="00917F1C" w:rsidRPr="000939E3">
        <w:t>Pavlovi Borošovi (</w:t>
      </w:r>
      <w:r w:rsidR="002967DE" w:rsidRPr="000939E3">
        <w:t>MF SR</w:t>
      </w:r>
      <w:r w:rsidR="00B51BC6" w:rsidRPr="000939E3">
        <w:t>), Romanovi Navrátilovi (MF SR)</w:t>
      </w:r>
      <w:r w:rsidR="001F5941" w:rsidRPr="000939E3">
        <w:t>, Gabrielovi Šípošovi (TIS),</w:t>
      </w:r>
      <w:r w:rsidR="008C25CC" w:rsidRPr="000939E3">
        <w:t xml:space="preserve"> Lucii </w:t>
      </w:r>
      <w:r w:rsidR="006608B5" w:rsidRPr="000939E3">
        <w:t>Šrámkovej</w:t>
      </w:r>
      <w:r w:rsidR="00AD5D4C" w:rsidRPr="000939E3">
        <w:t>,</w:t>
      </w:r>
      <w:r w:rsidR="006608B5" w:rsidRPr="000939E3">
        <w:t xml:space="preserve"> </w:t>
      </w:r>
      <w:r w:rsidR="008C25CC" w:rsidRPr="000939E3">
        <w:t>ako aj ďalším kolegom z</w:t>
      </w:r>
      <w:r w:rsidR="008823A3" w:rsidRPr="000939E3">
        <w:t xml:space="preserve"> Inštitútu finančnej politiky, Sekcii</w:t>
      </w:r>
      <w:r w:rsidR="008C25CC" w:rsidRPr="000939E3">
        <w:t xml:space="preserve"> rozpočtovej politiky MF SR </w:t>
      </w:r>
      <w:r w:rsidR="008823A3" w:rsidRPr="000939E3">
        <w:t>a</w:t>
      </w:r>
      <w:r w:rsidR="008C25CC" w:rsidRPr="000939E3">
        <w:t xml:space="preserve"> kolegom z </w:t>
      </w:r>
      <w:r w:rsidR="008823A3" w:rsidRPr="000939E3">
        <w:t>Medzinárodné</w:t>
      </w:r>
      <w:r w:rsidR="008C25CC" w:rsidRPr="000939E3">
        <w:t>ho menového</w:t>
      </w:r>
      <w:r w:rsidR="008823A3" w:rsidRPr="000939E3">
        <w:t xml:space="preserve"> fondu</w:t>
      </w:r>
      <w:r w:rsidR="006245F1" w:rsidRPr="000939E3">
        <w:t xml:space="preserve"> a </w:t>
      </w:r>
      <w:r w:rsidR="006A13A5" w:rsidRPr="000939E3">
        <w:t>Structural Reform Support Programme</w:t>
      </w:r>
      <w:r w:rsidR="006245F1" w:rsidRPr="000939E3">
        <w:t xml:space="preserve"> Európskej komisie</w:t>
      </w:r>
      <w:r w:rsidR="008823A3" w:rsidRPr="000939E3">
        <w:t>.</w:t>
      </w:r>
      <w:r w:rsidR="002967DE" w:rsidRPr="000939E3">
        <w:t xml:space="preserve"> Takisto ďakujeme recenzentom</w:t>
      </w:r>
      <w:r w:rsidR="0084152A" w:rsidRPr="000939E3">
        <w:t xml:space="preserve"> dokumentu,</w:t>
      </w:r>
      <w:r w:rsidR="002967DE" w:rsidRPr="000939E3">
        <w:t xml:space="preserve"> Ľudovi Ódorovi (NBS), Kataríne Staroňovej (FSEV UK) a Matúšovi Šestákovi (MV SR)</w:t>
      </w:r>
      <w:r w:rsidR="00AD5D4C" w:rsidRPr="000939E3">
        <w:t>,</w:t>
      </w:r>
      <w:r w:rsidR="002967DE" w:rsidRPr="000939E3">
        <w:t xml:space="preserve"> ako aj</w:t>
      </w:r>
      <w:r w:rsidR="0084152A" w:rsidRPr="000939E3">
        <w:t xml:space="preserve"> ostatným</w:t>
      </w:r>
      <w:r w:rsidR="002967DE" w:rsidRPr="000939E3">
        <w:t xml:space="preserve"> účastníkom recenzného seminára. </w:t>
      </w:r>
    </w:p>
    <w:p w14:paraId="16AD4162" w14:textId="77777777" w:rsidR="0079059D" w:rsidRPr="000939E3" w:rsidRDefault="0079059D" w:rsidP="00447BF4">
      <w:pPr>
        <w:spacing w:after="200"/>
        <w:jc w:val="left"/>
      </w:pPr>
      <w:r w:rsidRPr="000939E3">
        <w:t xml:space="preserve">Chyby a opomenutia zostávajú zodpovednosťou autorov. </w:t>
      </w:r>
    </w:p>
    <w:p w14:paraId="0FB1F7B0" w14:textId="77777777" w:rsidR="0079059D" w:rsidRPr="000939E3" w:rsidRDefault="0079059D" w:rsidP="0079059D">
      <w:pPr>
        <w:spacing w:after="160"/>
        <w:jc w:val="left"/>
        <w:rPr>
          <w:rFonts w:eastAsia="Calibri" w:cs="Times New Roman"/>
          <w:color w:val="0070C0"/>
          <w:sz w:val="32"/>
          <w:szCs w:val="20"/>
        </w:rPr>
        <w:sectPr w:rsidR="0079059D" w:rsidRPr="000939E3" w:rsidSect="00046EA7">
          <w:footerReference w:type="default" r:id="rId12"/>
          <w:pgSz w:w="11906" w:h="16838"/>
          <w:pgMar w:top="1417" w:right="1417" w:bottom="1417" w:left="1417" w:header="708" w:footer="708" w:gutter="0"/>
          <w:cols w:space="708"/>
          <w:docGrid w:linePitch="360"/>
        </w:sectPr>
      </w:pPr>
    </w:p>
    <w:p w14:paraId="19FDF312" w14:textId="77777777" w:rsidR="000939E3" w:rsidRDefault="00856C72" w:rsidP="00856C72">
      <w:pPr>
        <w:spacing w:after="160"/>
        <w:jc w:val="left"/>
        <w:rPr>
          <w:noProof/>
        </w:rPr>
      </w:pPr>
      <w:r w:rsidRPr="000939E3">
        <w:rPr>
          <w:rFonts w:eastAsia="Calibri" w:cs="Times New Roman"/>
          <w:color w:val="0070C0"/>
          <w:sz w:val="32"/>
          <w:szCs w:val="20"/>
        </w:rPr>
        <w:lastRenderedPageBreak/>
        <w:t>Obsah</w:t>
      </w:r>
      <w:r w:rsidR="005D4C5C" w:rsidRPr="000939E3">
        <w:fldChar w:fldCharType="begin"/>
      </w:r>
      <w:r w:rsidR="005D4C5C" w:rsidRPr="000939E3">
        <w:instrText xml:space="preserve"> TOC \o "1-2" \h \z \u </w:instrText>
      </w:r>
      <w:r w:rsidR="005D4C5C" w:rsidRPr="000939E3">
        <w:fldChar w:fldCharType="separate"/>
      </w:r>
    </w:p>
    <w:p w14:paraId="3E62AE5D" w14:textId="77777777" w:rsidR="000939E3" w:rsidRDefault="00D62879" w:rsidP="000939E3">
      <w:pPr>
        <w:pStyle w:val="Obsah1"/>
        <w:spacing w:line="276" w:lineRule="auto"/>
        <w:rPr>
          <w:rFonts w:asciiTheme="minorHAnsi" w:eastAsiaTheme="minorEastAsia" w:hAnsiTheme="minorHAnsi"/>
          <w:noProof/>
          <w:lang w:eastAsia="sk-SK"/>
        </w:rPr>
      </w:pPr>
      <w:hyperlink w:anchor="_Toc34050687" w:history="1">
        <w:r w:rsidR="000939E3" w:rsidRPr="00D14253">
          <w:rPr>
            <w:rStyle w:val="Hypertextovprepojenie"/>
            <w:noProof/>
          </w:rPr>
          <w:t>Úvod a zhrnutie</w:t>
        </w:r>
        <w:r w:rsidR="000939E3">
          <w:rPr>
            <w:noProof/>
            <w:webHidden/>
          </w:rPr>
          <w:tab/>
        </w:r>
        <w:r w:rsidR="000939E3">
          <w:rPr>
            <w:noProof/>
            <w:webHidden/>
          </w:rPr>
          <w:fldChar w:fldCharType="begin"/>
        </w:r>
        <w:r w:rsidR="000939E3">
          <w:rPr>
            <w:noProof/>
            <w:webHidden/>
          </w:rPr>
          <w:instrText xml:space="preserve"> PAGEREF _Toc34050687 \h </w:instrText>
        </w:r>
        <w:r w:rsidR="000939E3">
          <w:rPr>
            <w:noProof/>
            <w:webHidden/>
          </w:rPr>
        </w:r>
        <w:r w:rsidR="000939E3">
          <w:rPr>
            <w:noProof/>
            <w:webHidden/>
          </w:rPr>
          <w:fldChar w:fldCharType="separate"/>
        </w:r>
        <w:r w:rsidR="00BF69CA">
          <w:rPr>
            <w:noProof/>
            <w:webHidden/>
          </w:rPr>
          <w:t>6</w:t>
        </w:r>
        <w:r w:rsidR="000939E3">
          <w:rPr>
            <w:noProof/>
            <w:webHidden/>
          </w:rPr>
          <w:fldChar w:fldCharType="end"/>
        </w:r>
      </w:hyperlink>
    </w:p>
    <w:p w14:paraId="6AC801CB" w14:textId="77777777" w:rsidR="000939E3" w:rsidRDefault="00D62879" w:rsidP="000939E3">
      <w:pPr>
        <w:pStyle w:val="Obsah1"/>
        <w:spacing w:line="276" w:lineRule="auto"/>
        <w:rPr>
          <w:rFonts w:asciiTheme="minorHAnsi" w:eastAsiaTheme="minorEastAsia" w:hAnsiTheme="minorHAnsi"/>
          <w:noProof/>
          <w:lang w:eastAsia="sk-SK"/>
        </w:rPr>
      </w:pPr>
      <w:hyperlink w:anchor="_Toc34050688" w:history="1">
        <w:r w:rsidR="000939E3" w:rsidRPr="00D14253">
          <w:rPr>
            <w:rStyle w:val="Hypertextovprepojenie"/>
            <w:noProof/>
          </w:rPr>
          <w:t>1</w:t>
        </w:r>
        <w:r w:rsidR="000939E3">
          <w:rPr>
            <w:rFonts w:asciiTheme="minorHAnsi" w:eastAsiaTheme="minorEastAsia" w:hAnsiTheme="minorHAnsi"/>
            <w:noProof/>
            <w:lang w:eastAsia="sk-SK"/>
          </w:rPr>
          <w:tab/>
        </w:r>
        <w:r w:rsidR="000939E3" w:rsidRPr="00D14253">
          <w:rPr>
            <w:rStyle w:val="Hypertextovprepojenie"/>
            <w:noProof/>
          </w:rPr>
          <w:t>Opatrenia revízie výdavkov</w:t>
        </w:r>
        <w:r w:rsidR="000939E3">
          <w:rPr>
            <w:noProof/>
            <w:webHidden/>
          </w:rPr>
          <w:tab/>
        </w:r>
        <w:r w:rsidR="000939E3">
          <w:rPr>
            <w:noProof/>
            <w:webHidden/>
          </w:rPr>
          <w:fldChar w:fldCharType="begin"/>
        </w:r>
        <w:r w:rsidR="000939E3">
          <w:rPr>
            <w:noProof/>
            <w:webHidden/>
          </w:rPr>
          <w:instrText xml:space="preserve"> PAGEREF _Toc34050688 \h </w:instrText>
        </w:r>
        <w:r w:rsidR="000939E3">
          <w:rPr>
            <w:noProof/>
            <w:webHidden/>
          </w:rPr>
        </w:r>
        <w:r w:rsidR="000939E3">
          <w:rPr>
            <w:noProof/>
            <w:webHidden/>
          </w:rPr>
          <w:fldChar w:fldCharType="separate"/>
        </w:r>
        <w:r w:rsidR="00BF69CA">
          <w:rPr>
            <w:noProof/>
            <w:webHidden/>
          </w:rPr>
          <w:t>11</w:t>
        </w:r>
        <w:r w:rsidR="000939E3">
          <w:rPr>
            <w:noProof/>
            <w:webHidden/>
          </w:rPr>
          <w:fldChar w:fldCharType="end"/>
        </w:r>
      </w:hyperlink>
    </w:p>
    <w:p w14:paraId="15F9CB0D"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689" w:history="1">
        <w:r w:rsidR="000939E3" w:rsidRPr="00D14253">
          <w:rPr>
            <w:rStyle w:val="Hypertextovprepojenie"/>
            <w:noProof/>
          </w:rPr>
          <w:t>1.1</w:t>
        </w:r>
        <w:r w:rsidR="000939E3">
          <w:rPr>
            <w:rFonts w:asciiTheme="minorHAnsi" w:eastAsiaTheme="minorEastAsia" w:hAnsiTheme="minorHAnsi"/>
            <w:noProof/>
            <w:lang w:eastAsia="sk-SK"/>
          </w:rPr>
          <w:tab/>
        </w:r>
        <w:r w:rsidR="000939E3" w:rsidRPr="00D14253">
          <w:rPr>
            <w:rStyle w:val="Hypertextovprepojenie"/>
            <w:noProof/>
          </w:rPr>
          <w:t>Hodnota</w:t>
        </w:r>
        <w:r w:rsidR="000939E3">
          <w:rPr>
            <w:noProof/>
            <w:webHidden/>
          </w:rPr>
          <w:tab/>
        </w:r>
        <w:r w:rsidR="000939E3">
          <w:rPr>
            <w:noProof/>
            <w:webHidden/>
          </w:rPr>
          <w:fldChar w:fldCharType="begin"/>
        </w:r>
        <w:r w:rsidR="000939E3">
          <w:rPr>
            <w:noProof/>
            <w:webHidden/>
          </w:rPr>
          <w:instrText xml:space="preserve"> PAGEREF _Toc34050689 \h </w:instrText>
        </w:r>
        <w:r w:rsidR="000939E3">
          <w:rPr>
            <w:noProof/>
            <w:webHidden/>
          </w:rPr>
        </w:r>
        <w:r w:rsidR="000939E3">
          <w:rPr>
            <w:noProof/>
            <w:webHidden/>
          </w:rPr>
          <w:fldChar w:fldCharType="separate"/>
        </w:r>
        <w:r w:rsidR="00BF69CA">
          <w:rPr>
            <w:noProof/>
            <w:webHidden/>
          </w:rPr>
          <w:t>13</w:t>
        </w:r>
        <w:r w:rsidR="000939E3">
          <w:rPr>
            <w:noProof/>
            <w:webHidden/>
          </w:rPr>
          <w:fldChar w:fldCharType="end"/>
        </w:r>
      </w:hyperlink>
    </w:p>
    <w:p w14:paraId="2AEF6068"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690" w:history="1">
        <w:r w:rsidR="000939E3" w:rsidRPr="00D14253">
          <w:rPr>
            <w:rStyle w:val="Hypertextovprepojenie"/>
            <w:noProof/>
          </w:rPr>
          <w:t>1.2</w:t>
        </w:r>
        <w:r w:rsidR="000939E3">
          <w:rPr>
            <w:rFonts w:asciiTheme="minorHAnsi" w:eastAsiaTheme="minorEastAsia" w:hAnsiTheme="minorHAnsi"/>
            <w:noProof/>
            <w:lang w:eastAsia="sk-SK"/>
          </w:rPr>
          <w:tab/>
        </w:r>
        <w:r w:rsidR="000939E3" w:rsidRPr="00D14253">
          <w:rPr>
            <w:rStyle w:val="Hypertextovprepojenie"/>
            <w:noProof/>
          </w:rPr>
          <w:t>Úspora</w:t>
        </w:r>
        <w:r w:rsidR="000939E3">
          <w:rPr>
            <w:noProof/>
            <w:webHidden/>
          </w:rPr>
          <w:tab/>
        </w:r>
        <w:r w:rsidR="000939E3">
          <w:rPr>
            <w:noProof/>
            <w:webHidden/>
          </w:rPr>
          <w:fldChar w:fldCharType="begin"/>
        </w:r>
        <w:r w:rsidR="000939E3">
          <w:rPr>
            <w:noProof/>
            <w:webHidden/>
          </w:rPr>
          <w:instrText xml:space="preserve"> PAGEREF _Toc34050690 \h </w:instrText>
        </w:r>
        <w:r w:rsidR="000939E3">
          <w:rPr>
            <w:noProof/>
            <w:webHidden/>
          </w:rPr>
        </w:r>
        <w:r w:rsidR="000939E3">
          <w:rPr>
            <w:noProof/>
            <w:webHidden/>
          </w:rPr>
          <w:fldChar w:fldCharType="separate"/>
        </w:r>
        <w:r w:rsidR="00BF69CA">
          <w:rPr>
            <w:noProof/>
            <w:webHidden/>
          </w:rPr>
          <w:t>16</w:t>
        </w:r>
        <w:r w:rsidR="000939E3">
          <w:rPr>
            <w:noProof/>
            <w:webHidden/>
          </w:rPr>
          <w:fldChar w:fldCharType="end"/>
        </w:r>
      </w:hyperlink>
    </w:p>
    <w:p w14:paraId="3C522F7A"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691" w:history="1">
        <w:r w:rsidR="000939E3" w:rsidRPr="00D14253">
          <w:rPr>
            <w:rStyle w:val="Hypertextovprepojenie"/>
            <w:noProof/>
          </w:rPr>
          <w:t>1.3</w:t>
        </w:r>
        <w:r w:rsidR="000939E3">
          <w:rPr>
            <w:rFonts w:asciiTheme="minorHAnsi" w:eastAsiaTheme="minorEastAsia" w:hAnsiTheme="minorHAnsi"/>
            <w:noProof/>
            <w:lang w:eastAsia="sk-SK"/>
          </w:rPr>
          <w:tab/>
        </w:r>
        <w:r w:rsidR="000939E3" w:rsidRPr="00D14253">
          <w:rPr>
            <w:rStyle w:val="Hypertextovprepojenie"/>
            <w:noProof/>
          </w:rPr>
          <w:t>Riadenie</w:t>
        </w:r>
        <w:r w:rsidR="000939E3">
          <w:rPr>
            <w:noProof/>
            <w:webHidden/>
          </w:rPr>
          <w:tab/>
        </w:r>
        <w:r w:rsidR="000939E3">
          <w:rPr>
            <w:noProof/>
            <w:webHidden/>
          </w:rPr>
          <w:fldChar w:fldCharType="begin"/>
        </w:r>
        <w:r w:rsidR="000939E3">
          <w:rPr>
            <w:noProof/>
            <w:webHidden/>
          </w:rPr>
          <w:instrText xml:space="preserve"> PAGEREF _Toc34050691 \h </w:instrText>
        </w:r>
        <w:r w:rsidR="000939E3">
          <w:rPr>
            <w:noProof/>
            <w:webHidden/>
          </w:rPr>
        </w:r>
        <w:r w:rsidR="000939E3">
          <w:rPr>
            <w:noProof/>
            <w:webHidden/>
          </w:rPr>
          <w:fldChar w:fldCharType="separate"/>
        </w:r>
        <w:r w:rsidR="00BF69CA">
          <w:rPr>
            <w:noProof/>
            <w:webHidden/>
          </w:rPr>
          <w:t>22</w:t>
        </w:r>
        <w:r w:rsidR="000939E3">
          <w:rPr>
            <w:noProof/>
            <w:webHidden/>
          </w:rPr>
          <w:fldChar w:fldCharType="end"/>
        </w:r>
      </w:hyperlink>
    </w:p>
    <w:p w14:paraId="37F42FEA" w14:textId="77777777" w:rsidR="000939E3" w:rsidRDefault="00D62879" w:rsidP="000939E3">
      <w:pPr>
        <w:pStyle w:val="Obsah1"/>
        <w:spacing w:line="276" w:lineRule="auto"/>
        <w:rPr>
          <w:rFonts w:asciiTheme="minorHAnsi" w:eastAsiaTheme="minorEastAsia" w:hAnsiTheme="minorHAnsi"/>
          <w:noProof/>
          <w:lang w:eastAsia="sk-SK"/>
        </w:rPr>
      </w:pPr>
      <w:hyperlink w:anchor="_Toc34050692" w:history="1">
        <w:r w:rsidR="000939E3" w:rsidRPr="00D14253">
          <w:rPr>
            <w:rStyle w:val="Hypertextovprepojenie"/>
            <w:noProof/>
          </w:rPr>
          <w:t>2</w:t>
        </w:r>
        <w:r w:rsidR="000939E3">
          <w:rPr>
            <w:rFonts w:asciiTheme="minorHAnsi" w:eastAsiaTheme="minorEastAsia" w:hAnsiTheme="minorHAnsi"/>
            <w:noProof/>
            <w:lang w:eastAsia="sk-SK"/>
          </w:rPr>
          <w:tab/>
        </w:r>
        <w:r w:rsidR="000939E3" w:rsidRPr="00D14253">
          <w:rPr>
            <w:rStyle w:val="Hypertextovprepojenie"/>
            <w:noProof/>
          </w:rPr>
          <w:t>Zamestnanosť a mzdy vo verejnom sektore</w:t>
        </w:r>
        <w:r w:rsidR="000939E3">
          <w:rPr>
            <w:noProof/>
            <w:webHidden/>
          </w:rPr>
          <w:tab/>
        </w:r>
        <w:r w:rsidR="000939E3">
          <w:rPr>
            <w:noProof/>
            <w:webHidden/>
          </w:rPr>
          <w:fldChar w:fldCharType="begin"/>
        </w:r>
        <w:r w:rsidR="000939E3">
          <w:rPr>
            <w:noProof/>
            <w:webHidden/>
          </w:rPr>
          <w:instrText xml:space="preserve"> PAGEREF _Toc34050692 \h </w:instrText>
        </w:r>
        <w:r w:rsidR="000939E3">
          <w:rPr>
            <w:noProof/>
            <w:webHidden/>
          </w:rPr>
        </w:r>
        <w:r w:rsidR="000939E3">
          <w:rPr>
            <w:noProof/>
            <w:webHidden/>
          </w:rPr>
          <w:fldChar w:fldCharType="separate"/>
        </w:r>
        <w:r w:rsidR="00BF69CA">
          <w:rPr>
            <w:noProof/>
            <w:webHidden/>
          </w:rPr>
          <w:t>28</w:t>
        </w:r>
        <w:r w:rsidR="000939E3">
          <w:rPr>
            <w:noProof/>
            <w:webHidden/>
          </w:rPr>
          <w:fldChar w:fldCharType="end"/>
        </w:r>
      </w:hyperlink>
    </w:p>
    <w:p w14:paraId="2DDF009F"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693" w:history="1">
        <w:r w:rsidR="000939E3" w:rsidRPr="00D14253">
          <w:rPr>
            <w:rStyle w:val="Hypertextovprepojenie"/>
            <w:noProof/>
          </w:rPr>
          <w:t>2.1</w:t>
        </w:r>
        <w:r w:rsidR="000939E3">
          <w:rPr>
            <w:rFonts w:asciiTheme="minorHAnsi" w:eastAsiaTheme="minorEastAsia" w:hAnsiTheme="minorHAnsi"/>
            <w:noProof/>
            <w:lang w:eastAsia="sk-SK"/>
          </w:rPr>
          <w:tab/>
        </w:r>
        <w:r w:rsidR="000939E3" w:rsidRPr="00D14253">
          <w:rPr>
            <w:rStyle w:val="Hypertextovprepojenie"/>
            <w:noProof/>
          </w:rPr>
          <w:t>Výdavky na verejnú zamestnanosť</w:t>
        </w:r>
        <w:r w:rsidR="000939E3">
          <w:rPr>
            <w:noProof/>
            <w:webHidden/>
          </w:rPr>
          <w:tab/>
        </w:r>
        <w:r w:rsidR="000939E3">
          <w:rPr>
            <w:noProof/>
            <w:webHidden/>
          </w:rPr>
          <w:fldChar w:fldCharType="begin"/>
        </w:r>
        <w:r w:rsidR="000939E3">
          <w:rPr>
            <w:noProof/>
            <w:webHidden/>
          </w:rPr>
          <w:instrText xml:space="preserve"> PAGEREF _Toc34050693 \h </w:instrText>
        </w:r>
        <w:r w:rsidR="000939E3">
          <w:rPr>
            <w:noProof/>
            <w:webHidden/>
          </w:rPr>
        </w:r>
        <w:r w:rsidR="000939E3">
          <w:rPr>
            <w:noProof/>
            <w:webHidden/>
          </w:rPr>
          <w:fldChar w:fldCharType="separate"/>
        </w:r>
        <w:r w:rsidR="00BF69CA">
          <w:rPr>
            <w:noProof/>
            <w:webHidden/>
          </w:rPr>
          <w:t>28</w:t>
        </w:r>
        <w:r w:rsidR="000939E3">
          <w:rPr>
            <w:noProof/>
            <w:webHidden/>
          </w:rPr>
          <w:fldChar w:fldCharType="end"/>
        </w:r>
      </w:hyperlink>
    </w:p>
    <w:p w14:paraId="5F279AB8"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694" w:history="1">
        <w:r w:rsidR="000939E3" w:rsidRPr="00D14253">
          <w:rPr>
            <w:rStyle w:val="Hypertextovprepojenie"/>
            <w:noProof/>
          </w:rPr>
          <w:t>2.2</w:t>
        </w:r>
        <w:r w:rsidR="000939E3">
          <w:rPr>
            <w:rFonts w:asciiTheme="minorHAnsi" w:eastAsiaTheme="minorEastAsia" w:hAnsiTheme="minorHAnsi"/>
            <w:noProof/>
            <w:lang w:eastAsia="sk-SK"/>
          </w:rPr>
          <w:tab/>
        </w:r>
        <w:r w:rsidR="000939E3" w:rsidRPr="00D14253">
          <w:rPr>
            <w:rStyle w:val="Hypertextovprepojenie"/>
            <w:noProof/>
          </w:rPr>
          <w:t>Štruktúra verejnej zamestnanosti</w:t>
        </w:r>
        <w:r w:rsidR="000939E3">
          <w:rPr>
            <w:noProof/>
            <w:webHidden/>
          </w:rPr>
          <w:tab/>
        </w:r>
        <w:r w:rsidR="000939E3">
          <w:rPr>
            <w:noProof/>
            <w:webHidden/>
          </w:rPr>
          <w:fldChar w:fldCharType="begin"/>
        </w:r>
        <w:r w:rsidR="000939E3">
          <w:rPr>
            <w:noProof/>
            <w:webHidden/>
          </w:rPr>
          <w:instrText xml:space="preserve"> PAGEREF _Toc34050694 \h </w:instrText>
        </w:r>
        <w:r w:rsidR="000939E3">
          <w:rPr>
            <w:noProof/>
            <w:webHidden/>
          </w:rPr>
        </w:r>
        <w:r w:rsidR="000939E3">
          <w:rPr>
            <w:noProof/>
            <w:webHidden/>
          </w:rPr>
          <w:fldChar w:fldCharType="separate"/>
        </w:r>
        <w:r w:rsidR="00BF69CA">
          <w:rPr>
            <w:noProof/>
            <w:webHidden/>
          </w:rPr>
          <w:t>31</w:t>
        </w:r>
        <w:r w:rsidR="000939E3">
          <w:rPr>
            <w:noProof/>
            <w:webHidden/>
          </w:rPr>
          <w:fldChar w:fldCharType="end"/>
        </w:r>
      </w:hyperlink>
    </w:p>
    <w:p w14:paraId="0D675F36"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695" w:history="1">
        <w:r w:rsidR="000939E3" w:rsidRPr="00D14253">
          <w:rPr>
            <w:rStyle w:val="Hypertextovprepojenie"/>
            <w:noProof/>
          </w:rPr>
          <w:t>2.3</w:t>
        </w:r>
        <w:r w:rsidR="000939E3">
          <w:rPr>
            <w:rFonts w:asciiTheme="minorHAnsi" w:eastAsiaTheme="minorEastAsia" w:hAnsiTheme="minorHAnsi"/>
            <w:noProof/>
            <w:lang w:eastAsia="sk-SK"/>
          </w:rPr>
          <w:tab/>
        </w:r>
        <w:r w:rsidR="000939E3" w:rsidRPr="00D14253">
          <w:rPr>
            <w:rStyle w:val="Hypertextovprepojenie"/>
            <w:noProof/>
          </w:rPr>
          <w:t>Medzinárodné porovnanie zamestnanosti a nákladov na vybrané profesie</w:t>
        </w:r>
        <w:r w:rsidR="000939E3">
          <w:rPr>
            <w:noProof/>
            <w:webHidden/>
          </w:rPr>
          <w:tab/>
        </w:r>
        <w:r w:rsidR="000939E3">
          <w:rPr>
            <w:noProof/>
            <w:webHidden/>
          </w:rPr>
          <w:fldChar w:fldCharType="begin"/>
        </w:r>
        <w:r w:rsidR="000939E3">
          <w:rPr>
            <w:noProof/>
            <w:webHidden/>
          </w:rPr>
          <w:instrText xml:space="preserve"> PAGEREF _Toc34050695 \h </w:instrText>
        </w:r>
        <w:r w:rsidR="000939E3">
          <w:rPr>
            <w:noProof/>
            <w:webHidden/>
          </w:rPr>
        </w:r>
        <w:r w:rsidR="000939E3">
          <w:rPr>
            <w:noProof/>
            <w:webHidden/>
          </w:rPr>
          <w:fldChar w:fldCharType="separate"/>
        </w:r>
        <w:r w:rsidR="00BF69CA">
          <w:rPr>
            <w:noProof/>
            <w:webHidden/>
          </w:rPr>
          <w:t>34</w:t>
        </w:r>
        <w:r w:rsidR="000939E3">
          <w:rPr>
            <w:noProof/>
            <w:webHidden/>
          </w:rPr>
          <w:fldChar w:fldCharType="end"/>
        </w:r>
      </w:hyperlink>
    </w:p>
    <w:p w14:paraId="51BC5057"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696" w:history="1">
        <w:r w:rsidR="000939E3" w:rsidRPr="00D14253">
          <w:rPr>
            <w:rStyle w:val="Hypertextovprepojenie"/>
            <w:noProof/>
          </w:rPr>
          <w:t>2.4</w:t>
        </w:r>
        <w:r w:rsidR="000939E3">
          <w:rPr>
            <w:rFonts w:asciiTheme="minorHAnsi" w:eastAsiaTheme="minorEastAsia" w:hAnsiTheme="minorHAnsi"/>
            <w:noProof/>
            <w:lang w:eastAsia="sk-SK"/>
          </w:rPr>
          <w:tab/>
        </w:r>
        <w:r w:rsidR="000939E3" w:rsidRPr="00D14253">
          <w:rPr>
            <w:rStyle w:val="Hypertextovprepojenie"/>
            <w:noProof/>
          </w:rPr>
          <w:t>Vplyv demografických zmien na dopyt po vybraných profesiách vo verejnom sektore</w:t>
        </w:r>
        <w:r w:rsidR="000939E3">
          <w:rPr>
            <w:noProof/>
            <w:webHidden/>
          </w:rPr>
          <w:tab/>
        </w:r>
        <w:r w:rsidR="000939E3">
          <w:rPr>
            <w:noProof/>
            <w:webHidden/>
          </w:rPr>
          <w:fldChar w:fldCharType="begin"/>
        </w:r>
        <w:r w:rsidR="000939E3">
          <w:rPr>
            <w:noProof/>
            <w:webHidden/>
          </w:rPr>
          <w:instrText xml:space="preserve"> PAGEREF _Toc34050696 \h </w:instrText>
        </w:r>
        <w:r w:rsidR="000939E3">
          <w:rPr>
            <w:noProof/>
            <w:webHidden/>
          </w:rPr>
        </w:r>
        <w:r w:rsidR="000939E3">
          <w:rPr>
            <w:noProof/>
            <w:webHidden/>
          </w:rPr>
          <w:fldChar w:fldCharType="separate"/>
        </w:r>
        <w:r w:rsidR="00BF69CA">
          <w:rPr>
            <w:noProof/>
            <w:webHidden/>
          </w:rPr>
          <w:t>39</w:t>
        </w:r>
        <w:r w:rsidR="000939E3">
          <w:rPr>
            <w:noProof/>
            <w:webHidden/>
          </w:rPr>
          <w:fldChar w:fldCharType="end"/>
        </w:r>
      </w:hyperlink>
    </w:p>
    <w:p w14:paraId="4062FC83" w14:textId="77777777" w:rsidR="000939E3" w:rsidRDefault="00D62879" w:rsidP="000939E3">
      <w:pPr>
        <w:pStyle w:val="Obsah1"/>
        <w:spacing w:line="276" w:lineRule="auto"/>
        <w:rPr>
          <w:rFonts w:asciiTheme="minorHAnsi" w:eastAsiaTheme="minorEastAsia" w:hAnsiTheme="minorHAnsi"/>
          <w:noProof/>
          <w:lang w:eastAsia="sk-SK"/>
        </w:rPr>
      </w:pPr>
      <w:hyperlink w:anchor="_Toc34050697" w:history="1">
        <w:r w:rsidR="000939E3" w:rsidRPr="00D14253">
          <w:rPr>
            <w:rStyle w:val="Hypertextovprepojenie"/>
            <w:noProof/>
          </w:rPr>
          <w:t>3</w:t>
        </w:r>
        <w:r w:rsidR="000939E3">
          <w:rPr>
            <w:rFonts w:asciiTheme="minorHAnsi" w:eastAsiaTheme="minorEastAsia" w:hAnsiTheme="minorHAnsi"/>
            <w:noProof/>
            <w:lang w:eastAsia="sk-SK"/>
          </w:rPr>
          <w:tab/>
        </w:r>
        <w:r w:rsidR="000939E3" w:rsidRPr="00D14253">
          <w:rPr>
            <w:rStyle w:val="Hypertextovprepojenie"/>
            <w:noProof/>
          </w:rPr>
          <w:t>Porovnanie zamestnancov verejného a súkromného sektora</w:t>
        </w:r>
        <w:r w:rsidR="000939E3">
          <w:rPr>
            <w:noProof/>
            <w:webHidden/>
          </w:rPr>
          <w:tab/>
        </w:r>
        <w:r w:rsidR="000939E3">
          <w:rPr>
            <w:noProof/>
            <w:webHidden/>
          </w:rPr>
          <w:fldChar w:fldCharType="begin"/>
        </w:r>
        <w:r w:rsidR="000939E3">
          <w:rPr>
            <w:noProof/>
            <w:webHidden/>
          </w:rPr>
          <w:instrText xml:space="preserve"> PAGEREF _Toc34050697 \h </w:instrText>
        </w:r>
        <w:r w:rsidR="000939E3">
          <w:rPr>
            <w:noProof/>
            <w:webHidden/>
          </w:rPr>
        </w:r>
        <w:r w:rsidR="000939E3">
          <w:rPr>
            <w:noProof/>
            <w:webHidden/>
          </w:rPr>
          <w:fldChar w:fldCharType="separate"/>
        </w:r>
        <w:r w:rsidR="00BF69CA">
          <w:rPr>
            <w:noProof/>
            <w:webHidden/>
          </w:rPr>
          <w:t>41</w:t>
        </w:r>
        <w:r w:rsidR="000939E3">
          <w:rPr>
            <w:noProof/>
            <w:webHidden/>
          </w:rPr>
          <w:fldChar w:fldCharType="end"/>
        </w:r>
      </w:hyperlink>
    </w:p>
    <w:p w14:paraId="307DFE70"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698" w:history="1">
        <w:r w:rsidR="000939E3" w:rsidRPr="00D14253">
          <w:rPr>
            <w:rStyle w:val="Hypertextovprepojenie"/>
            <w:noProof/>
          </w:rPr>
          <w:t>3.1</w:t>
        </w:r>
        <w:r w:rsidR="000939E3">
          <w:rPr>
            <w:rFonts w:asciiTheme="minorHAnsi" w:eastAsiaTheme="minorEastAsia" w:hAnsiTheme="minorHAnsi"/>
            <w:noProof/>
            <w:lang w:eastAsia="sk-SK"/>
          </w:rPr>
          <w:tab/>
        </w:r>
        <w:r w:rsidR="000939E3" w:rsidRPr="00D14253">
          <w:rPr>
            <w:rStyle w:val="Hypertextovprepojenie"/>
            <w:noProof/>
          </w:rPr>
          <w:t>Zručnosti, vzdelanie, vek a pohlavie zamestnancov</w:t>
        </w:r>
        <w:r w:rsidR="000939E3">
          <w:rPr>
            <w:noProof/>
            <w:webHidden/>
          </w:rPr>
          <w:tab/>
        </w:r>
        <w:r w:rsidR="000939E3">
          <w:rPr>
            <w:noProof/>
            <w:webHidden/>
          </w:rPr>
          <w:fldChar w:fldCharType="begin"/>
        </w:r>
        <w:r w:rsidR="000939E3">
          <w:rPr>
            <w:noProof/>
            <w:webHidden/>
          </w:rPr>
          <w:instrText xml:space="preserve"> PAGEREF _Toc34050698 \h </w:instrText>
        </w:r>
        <w:r w:rsidR="000939E3">
          <w:rPr>
            <w:noProof/>
            <w:webHidden/>
          </w:rPr>
        </w:r>
        <w:r w:rsidR="000939E3">
          <w:rPr>
            <w:noProof/>
            <w:webHidden/>
          </w:rPr>
          <w:fldChar w:fldCharType="separate"/>
        </w:r>
        <w:r w:rsidR="00BF69CA">
          <w:rPr>
            <w:noProof/>
            <w:webHidden/>
          </w:rPr>
          <w:t>42</w:t>
        </w:r>
        <w:r w:rsidR="000939E3">
          <w:rPr>
            <w:noProof/>
            <w:webHidden/>
          </w:rPr>
          <w:fldChar w:fldCharType="end"/>
        </w:r>
      </w:hyperlink>
    </w:p>
    <w:p w14:paraId="6C96E826"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699" w:history="1">
        <w:r w:rsidR="000939E3" w:rsidRPr="00D14253">
          <w:rPr>
            <w:rStyle w:val="Hypertextovprepojenie"/>
            <w:noProof/>
          </w:rPr>
          <w:t>3.2</w:t>
        </w:r>
        <w:r w:rsidR="000939E3">
          <w:rPr>
            <w:rFonts w:asciiTheme="minorHAnsi" w:eastAsiaTheme="minorEastAsia" w:hAnsiTheme="minorHAnsi"/>
            <w:noProof/>
            <w:lang w:eastAsia="sk-SK"/>
          </w:rPr>
          <w:tab/>
        </w:r>
        <w:r w:rsidR="000939E3" w:rsidRPr="00D14253">
          <w:rPr>
            <w:rStyle w:val="Hypertextovprepojenie"/>
            <w:noProof/>
          </w:rPr>
          <w:t>Rozdiely v štruktúre odmeňovania</w:t>
        </w:r>
        <w:r w:rsidR="000939E3">
          <w:rPr>
            <w:noProof/>
            <w:webHidden/>
          </w:rPr>
          <w:tab/>
        </w:r>
        <w:r w:rsidR="000939E3">
          <w:rPr>
            <w:noProof/>
            <w:webHidden/>
          </w:rPr>
          <w:fldChar w:fldCharType="begin"/>
        </w:r>
        <w:r w:rsidR="000939E3">
          <w:rPr>
            <w:noProof/>
            <w:webHidden/>
          </w:rPr>
          <w:instrText xml:space="preserve"> PAGEREF _Toc34050699 \h </w:instrText>
        </w:r>
        <w:r w:rsidR="000939E3">
          <w:rPr>
            <w:noProof/>
            <w:webHidden/>
          </w:rPr>
        </w:r>
        <w:r w:rsidR="000939E3">
          <w:rPr>
            <w:noProof/>
            <w:webHidden/>
          </w:rPr>
          <w:fldChar w:fldCharType="separate"/>
        </w:r>
        <w:r w:rsidR="00BF69CA">
          <w:rPr>
            <w:noProof/>
            <w:webHidden/>
          </w:rPr>
          <w:t>45</w:t>
        </w:r>
        <w:r w:rsidR="000939E3">
          <w:rPr>
            <w:noProof/>
            <w:webHidden/>
          </w:rPr>
          <w:fldChar w:fldCharType="end"/>
        </w:r>
      </w:hyperlink>
    </w:p>
    <w:p w14:paraId="7454F55C"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700" w:history="1">
        <w:r w:rsidR="000939E3" w:rsidRPr="00D14253">
          <w:rPr>
            <w:rStyle w:val="Hypertextovprepojenie"/>
            <w:noProof/>
          </w:rPr>
          <w:t>3.3</w:t>
        </w:r>
        <w:r w:rsidR="000939E3">
          <w:rPr>
            <w:rFonts w:asciiTheme="minorHAnsi" w:eastAsiaTheme="minorEastAsia" w:hAnsiTheme="minorHAnsi"/>
            <w:noProof/>
            <w:lang w:eastAsia="sk-SK"/>
          </w:rPr>
          <w:tab/>
        </w:r>
        <w:r w:rsidR="000939E3" w:rsidRPr="00D14253">
          <w:rPr>
            <w:rStyle w:val="Hypertextovprepojenie"/>
            <w:noProof/>
          </w:rPr>
          <w:t>Mzdový diferenciál podľa profesií</w:t>
        </w:r>
        <w:r w:rsidR="000939E3">
          <w:rPr>
            <w:noProof/>
            <w:webHidden/>
          </w:rPr>
          <w:tab/>
        </w:r>
        <w:r w:rsidR="000939E3">
          <w:rPr>
            <w:noProof/>
            <w:webHidden/>
          </w:rPr>
          <w:fldChar w:fldCharType="begin"/>
        </w:r>
        <w:r w:rsidR="000939E3">
          <w:rPr>
            <w:noProof/>
            <w:webHidden/>
          </w:rPr>
          <w:instrText xml:space="preserve"> PAGEREF _Toc34050700 \h </w:instrText>
        </w:r>
        <w:r w:rsidR="000939E3">
          <w:rPr>
            <w:noProof/>
            <w:webHidden/>
          </w:rPr>
        </w:r>
        <w:r w:rsidR="000939E3">
          <w:rPr>
            <w:noProof/>
            <w:webHidden/>
          </w:rPr>
          <w:fldChar w:fldCharType="separate"/>
        </w:r>
        <w:r w:rsidR="00BF69CA">
          <w:rPr>
            <w:noProof/>
            <w:webHidden/>
          </w:rPr>
          <w:t>49</w:t>
        </w:r>
        <w:r w:rsidR="000939E3">
          <w:rPr>
            <w:noProof/>
            <w:webHidden/>
          </w:rPr>
          <w:fldChar w:fldCharType="end"/>
        </w:r>
      </w:hyperlink>
    </w:p>
    <w:p w14:paraId="7A55B87D"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701" w:history="1">
        <w:r w:rsidR="000939E3" w:rsidRPr="00D14253">
          <w:rPr>
            <w:rStyle w:val="Hypertextovprepojenie"/>
            <w:noProof/>
          </w:rPr>
          <w:t>3.4</w:t>
        </w:r>
        <w:r w:rsidR="000939E3">
          <w:rPr>
            <w:rFonts w:asciiTheme="minorHAnsi" w:eastAsiaTheme="minorEastAsia" w:hAnsiTheme="minorHAnsi"/>
            <w:noProof/>
            <w:lang w:eastAsia="sk-SK"/>
          </w:rPr>
          <w:tab/>
        </w:r>
        <w:r w:rsidR="000939E3" w:rsidRPr="00D14253">
          <w:rPr>
            <w:rStyle w:val="Hypertextovprepojenie"/>
            <w:noProof/>
          </w:rPr>
          <w:t>Mzdový diferenciál medzi verejným a súkromným sektorom v krajinách EÚ</w:t>
        </w:r>
        <w:r w:rsidR="000939E3">
          <w:rPr>
            <w:noProof/>
            <w:webHidden/>
          </w:rPr>
          <w:tab/>
        </w:r>
        <w:r w:rsidR="000939E3">
          <w:rPr>
            <w:noProof/>
            <w:webHidden/>
          </w:rPr>
          <w:fldChar w:fldCharType="begin"/>
        </w:r>
        <w:r w:rsidR="000939E3">
          <w:rPr>
            <w:noProof/>
            <w:webHidden/>
          </w:rPr>
          <w:instrText xml:space="preserve"> PAGEREF _Toc34050701 \h </w:instrText>
        </w:r>
        <w:r w:rsidR="000939E3">
          <w:rPr>
            <w:noProof/>
            <w:webHidden/>
          </w:rPr>
        </w:r>
        <w:r w:rsidR="000939E3">
          <w:rPr>
            <w:noProof/>
            <w:webHidden/>
          </w:rPr>
          <w:fldChar w:fldCharType="separate"/>
        </w:r>
        <w:r w:rsidR="00BF69CA">
          <w:rPr>
            <w:noProof/>
            <w:webHidden/>
          </w:rPr>
          <w:t>53</w:t>
        </w:r>
        <w:r w:rsidR="000939E3">
          <w:rPr>
            <w:noProof/>
            <w:webHidden/>
          </w:rPr>
          <w:fldChar w:fldCharType="end"/>
        </w:r>
      </w:hyperlink>
    </w:p>
    <w:p w14:paraId="45938D2B"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702" w:history="1">
        <w:r w:rsidR="000939E3" w:rsidRPr="00D14253">
          <w:rPr>
            <w:rStyle w:val="Hypertextovprepojenie"/>
            <w:noProof/>
          </w:rPr>
          <w:t>3.5</w:t>
        </w:r>
        <w:r w:rsidR="000939E3">
          <w:rPr>
            <w:rFonts w:asciiTheme="minorHAnsi" w:eastAsiaTheme="minorEastAsia" w:hAnsiTheme="minorHAnsi"/>
            <w:noProof/>
            <w:lang w:eastAsia="sk-SK"/>
          </w:rPr>
          <w:tab/>
        </w:r>
        <w:r w:rsidR="000939E3" w:rsidRPr="00D14253">
          <w:rPr>
            <w:rStyle w:val="Hypertextovprepojenie"/>
            <w:noProof/>
          </w:rPr>
          <w:t>Vplyv regiónu na relatívny príjem</w:t>
        </w:r>
        <w:r w:rsidR="000939E3">
          <w:rPr>
            <w:noProof/>
            <w:webHidden/>
          </w:rPr>
          <w:tab/>
        </w:r>
        <w:r w:rsidR="000939E3">
          <w:rPr>
            <w:noProof/>
            <w:webHidden/>
          </w:rPr>
          <w:fldChar w:fldCharType="begin"/>
        </w:r>
        <w:r w:rsidR="000939E3">
          <w:rPr>
            <w:noProof/>
            <w:webHidden/>
          </w:rPr>
          <w:instrText xml:space="preserve"> PAGEREF _Toc34050702 \h </w:instrText>
        </w:r>
        <w:r w:rsidR="000939E3">
          <w:rPr>
            <w:noProof/>
            <w:webHidden/>
          </w:rPr>
        </w:r>
        <w:r w:rsidR="000939E3">
          <w:rPr>
            <w:noProof/>
            <w:webHidden/>
          </w:rPr>
          <w:fldChar w:fldCharType="separate"/>
        </w:r>
        <w:r w:rsidR="00BF69CA">
          <w:rPr>
            <w:noProof/>
            <w:webHidden/>
          </w:rPr>
          <w:t>53</w:t>
        </w:r>
        <w:r w:rsidR="000939E3">
          <w:rPr>
            <w:noProof/>
            <w:webHidden/>
          </w:rPr>
          <w:fldChar w:fldCharType="end"/>
        </w:r>
      </w:hyperlink>
    </w:p>
    <w:p w14:paraId="489B8AE7"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703" w:history="1">
        <w:r w:rsidR="000939E3" w:rsidRPr="00D14253">
          <w:rPr>
            <w:rStyle w:val="Hypertextovprepojenie"/>
            <w:noProof/>
          </w:rPr>
          <w:t>3.6</w:t>
        </w:r>
        <w:r w:rsidR="000939E3">
          <w:rPr>
            <w:rFonts w:asciiTheme="minorHAnsi" w:eastAsiaTheme="minorEastAsia" w:hAnsiTheme="minorHAnsi"/>
            <w:noProof/>
            <w:lang w:eastAsia="sk-SK"/>
          </w:rPr>
          <w:tab/>
        </w:r>
        <w:r w:rsidR="000939E3" w:rsidRPr="00D14253">
          <w:rPr>
            <w:rStyle w:val="Hypertextovprepojenie"/>
            <w:noProof/>
          </w:rPr>
          <w:t>Zmeny mzdy zamestnancov pri prechodoch medzi sektormi</w:t>
        </w:r>
        <w:r w:rsidR="000939E3">
          <w:rPr>
            <w:noProof/>
            <w:webHidden/>
          </w:rPr>
          <w:tab/>
        </w:r>
        <w:r w:rsidR="000939E3">
          <w:rPr>
            <w:noProof/>
            <w:webHidden/>
          </w:rPr>
          <w:fldChar w:fldCharType="begin"/>
        </w:r>
        <w:r w:rsidR="000939E3">
          <w:rPr>
            <w:noProof/>
            <w:webHidden/>
          </w:rPr>
          <w:instrText xml:space="preserve"> PAGEREF _Toc34050703 \h </w:instrText>
        </w:r>
        <w:r w:rsidR="000939E3">
          <w:rPr>
            <w:noProof/>
            <w:webHidden/>
          </w:rPr>
        </w:r>
        <w:r w:rsidR="000939E3">
          <w:rPr>
            <w:noProof/>
            <w:webHidden/>
          </w:rPr>
          <w:fldChar w:fldCharType="separate"/>
        </w:r>
        <w:r w:rsidR="00BF69CA">
          <w:rPr>
            <w:noProof/>
            <w:webHidden/>
          </w:rPr>
          <w:t>56</w:t>
        </w:r>
        <w:r w:rsidR="000939E3">
          <w:rPr>
            <w:noProof/>
            <w:webHidden/>
          </w:rPr>
          <w:fldChar w:fldCharType="end"/>
        </w:r>
      </w:hyperlink>
    </w:p>
    <w:p w14:paraId="122CA96C" w14:textId="77777777" w:rsidR="000939E3" w:rsidRDefault="00D62879" w:rsidP="000939E3">
      <w:pPr>
        <w:pStyle w:val="Obsah1"/>
        <w:spacing w:line="276" w:lineRule="auto"/>
        <w:rPr>
          <w:rFonts w:asciiTheme="minorHAnsi" w:eastAsiaTheme="minorEastAsia" w:hAnsiTheme="minorHAnsi"/>
          <w:noProof/>
          <w:lang w:eastAsia="sk-SK"/>
        </w:rPr>
      </w:pPr>
      <w:hyperlink w:anchor="_Toc34050704" w:history="1">
        <w:r w:rsidR="000939E3" w:rsidRPr="00D14253">
          <w:rPr>
            <w:rStyle w:val="Hypertextovprepojenie"/>
            <w:noProof/>
          </w:rPr>
          <w:t>4</w:t>
        </w:r>
        <w:r w:rsidR="000939E3">
          <w:rPr>
            <w:rFonts w:asciiTheme="minorHAnsi" w:eastAsiaTheme="minorEastAsia" w:hAnsiTheme="minorHAnsi"/>
            <w:noProof/>
            <w:lang w:eastAsia="sk-SK"/>
          </w:rPr>
          <w:tab/>
        </w:r>
        <w:r w:rsidR="000939E3" w:rsidRPr="00D14253">
          <w:rPr>
            <w:rStyle w:val="Hypertextovprepojenie"/>
            <w:noProof/>
          </w:rPr>
          <w:t>Nástroje riadenia zamestnanosti a miezd vo verejnom sektore</w:t>
        </w:r>
        <w:r w:rsidR="000939E3">
          <w:rPr>
            <w:noProof/>
            <w:webHidden/>
          </w:rPr>
          <w:tab/>
        </w:r>
        <w:r w:rsidR="000939E3">
          <w:rPr>
            <w:noProof/>
            <w:webHidden/>
          </w:rPr>
          <w:fldChar w:fldCharType="begin"/>
        </w:r>
        <w:r w:rsidR="000939E3">
          <w:rPr>
            <w:noProof/>
            <w:webHidden/>
          </w:rPr>
          <w:instrText xml:space="preserve"> PAGEREF _Toc34050704 \h </w:instrText>
        </w:r>
        <w:r w:rsidR="000939E3">
          <w:rPr>
            <w:noProof/>
            <w:webHidden/>
          </w:rPr>
        </w:r>
        <w:r w:rsidR="000939E3">
          <w:rPr>
            <w:noProof/>
            <w:webHidden/>
          </w:rPr>
          <w:fldChar w:fldCharType="separate"/>
        </w:r>
        <w:r w:rsidR="00BF69CA">
          <w:rPr>
            <w:noProof/>
            <w:webHidden/>
          </w:rPr>
          <w:t>60</w:t>
        </w:r>
        <w:r w:rsidR="000939E3">
          <w:rPr>
            <w:noProof/>
            <w:webHidden/>
          </w:rPr>
          <w:fldChar w:fldCharType="end"/>
        </w:r>
      </w:hyperlink>
    </w:p>
    <w:p w14:paraId="566C3E1E"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705" w:history="1">
        <w:r w:rsidR="000939E3" w:rsidRPr="00D14253">
          <w:rPr>
            <w:rStyle w:val="Hypertextovprepojenie"/>
            <w:noProof/>
          </w:rPr>
          <w:t>4.1</w:t>
        </w:r>
        <w:r w:rsidR="000939E3">
          <w:rPr>
            <w:rFonts w:asciiTheme="minorHAnsi" w:eastAsiaTheme="minorEastAsia" w:hAnsiTheme="minorHAnsi"/>
            <w:noProof/>
            <w:lang w:eastAsia="sk-SK"/>
          </w:rPr>
          <w:tab/>
        </w:r>
        <w:r w:rsidR="000939E3" w:rsidRPr="00D14253">
          <w:rPr>
            <w:rStyle w:val="Hypertextovprepojenie"/>
            <w:noProof/>
          </w:rPr>
          <w:t>Kolektívne vyjednávanie</w:t>
        </w:r>
        <w:r w:rsidR="000939E3">
          <w:rPr>
            <w:noProof/>
            <w:webHidden/>
          </w:rPr>
          <w:tab/>
        </w:r>
        <w:r w:rsidR="000939E3">
          <w:rPr>
            <w:noProof/>
            <w:webHidden/>
          </w:rPr>
          <w:fldChar w:fldCharType="begin"/>
        </w:r>
        <w:r w:rsidR="000939E3">
          <w:rPr>
            <w:noProof/>
            <w:webHidden/>
          </w:rPr>
          <w:instrText xml:space="preserve"> PAGEREF _Toc34050705 \h </w:instrText>
        </w:r>
        <w:r w:rsidR="000939E3">
          <w:rPr>
            <w:noProof/>
            <w:webHidden/>
          </w:rPr>
        </w:r>
        <w:r w:rsidR="000939E3">
          <w:rPr>
            <w:noProof/>
            <w:webHidden/>
          </w:rPr>
          <w:fldChar w:fldCharType="separate"/>
        </w:r>
        <w:r w:rsidR="00BF69CA">
          <w:rPr>
            <w:noProof/>
            <w:webHidden/>
          </w:rPr>
          <w:t>62</w:t>
        </w:r>
        <w:r w:rsidR="000939E3">
          <w:rPr>
            <w:noProof/>
            <w:webHidden/>
          </w:rPr>
          <w:fldChar w:fldCharType="end"/>
        </w:r>
      </w:hyperlink>
    </w:p>
    <w:p w14:paraId="1197F359"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706" w:history="1">
        <w:r w:rsidR="000939E3" w:rsidRPr="00D14253">
          <w:rPr>
            <w:rStyle w:val="Hypertextovprepojenie"/>
            <w:noProof/>
          </w:rPr>
          <w:t>4.2</w:t>
        </w:r>
        <w:r w:rsidR="000939E3">
          <w:rPr>
            <w:rFonts w:asciiTheme="minorHAnsi" w:eastAsiaTheme="minorEastAsia" w:hAnsiTheme="minorHAnsi"/>
            <w:noProof/>
            <w:lang w:eastAsia="sk-SK"/>
          </w:rPr>
          <w:tab/>
        </w:r>
        <w:r w:rsidR="000939E3" w:rsidRPr="00D14253">
          <w:rPr>
            <w:rStyle w:val="Hypertextovprepojenie"/>
            <w:noProof/>
          </w:rPr>
          <w:t>Nástroje regulácie zamestnanosti</w:t>
        </w:r>
        <w:r w:rsidR="000939E3">
          <w:rPr>
            <w:noProof/>
            <w:webHidden/>
          </w:rPr>
          <w:tab/>
        </w:r>
        <w:r w:rsidR="000939E3">
          <w:rPr>
            <w:noProof/>
            <w:webHidden/>
          </w:rPr>
          <w:fldChar w:fldCharType="begin"/>
        </w:r>
        <w:r w:rsidR="000939E3">
          <w:rPr>
            <w:noProof/>
            <w:webHidden/>
          </w:rPr>
          <w:instrText xml:space="preserve"> PAGEREF _Toc34050706 \h </w:instrText>
        </w:r>
        <w:r w:rsidR="000939E3">
          <w:rPr>
            <w:noProof/>
            <w:webHidden/>
          </w:rPr>
        </w:r>
        <w:r w:rsidR="000939E3">
          <w:rPr>
            <w:noProof/>
            <w:webHidden/>
          </w:rPr>
          <w:fldChar w:fldCharType="separate"/>
        </w:r>
        <w:r w:rsidR="00BF69CA">
          <w:rPr>
            <w:noProof/>
            <w:webHidden/>
          </w:rPr>
          <w:t>63</w:t>
        </w:r>
        <w:r w:rsidR="000939E3">
          <w:rPr>
            <w:noProof/>
            <w:webHidden/>
          </w:rPr>
          <w:fldChar w:fldCharType="end"/>
        </w:r>
      </w:hyperlink>
    </w:p>
    <w:p w14:paraId="0D5F46C5"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707" w:history="1">
        <w:r w:rsidR="000939E3" w:rsidRPr="00D14253">
          <w:rPr>
            <w:rStyle w:val="Hypertextovprepojenie"/>
            <w:noProof/>
          </w:rPr>
          <w:t>4.3</w:t>
        </w:r>
        <w:r w:rsidR="000939E3">
          <w:rPr>
            <w:rFonts w:asciiTheme="minorHAnsi" w:eastAsiaTheme="minorEastAsia" w:hAnsiTheme="minorHAnsi"/>
            <w:noProof/>
            <w:lang w:eastAsia="sk-SK"/>
          </w:rPr>
          <w:tab/>
        </w:r>
        <w:r w:rsidR="000939E3" w:rsidRPr="00D14253">
          <w:rPr>
            <w:rStyle w:val="Hypertextovprepojenie"/>
            <w:noProof/>
          </w:rPr>
          <w:t>Rozpočtovanie výdavkov na kompenzácie</w:t>
        </w:r>
        <w:r w:rsidR="000939E3">
          <w:rPr>
            <w:noProof/>
            <w:webHidden/>
          </w:rPr>
          <w:tab/>
        </w:r>
        <w:r w:rsidR="000939E3">
          <w:rPr>
            <w:noProof/>
            <w:webHidden/>
          </w:rPr>
          <w:fldChar w:fldCharType="begin"/>
        </w:r>
        <w:r w:rsidR="000939E3">
          <w:rPr>
            <w:noProof/>
            <w:webHidden/>
          </w:rPr>
          <w:instrText xml:space="preserve"> PAGEREF _Toc34050707 \h </w:instrText>
        </w:r>
        <w:r w:rsidR="000939E3">
          <w:rPr>
            <w:noProof/>
            <w:webHidden/>
          </w:rPr>
        </w:r>
        <w:r w:rsidR="000939E3">
          <w:rPr>
            <w:noProof/>
            <w:webHidden/>
          </w:rPr>
          <w:fldChar w:fldCharType="separate"/>
        </w:r>
        <w:r w:rsidR="00BF69CA">
          <w:rPr>
            <w:noProof/>
            <w:webHidden/>
          </w:rPr>
          <w:t>65</w:t>
        </w:r>
        <w:r w:rsidR="000939E3">
          <w:rPr>
            <w:noProof/>
            <w:webHidden/>
          </w:rPr>
          <w:fldChar w:fldCharType="end"/>
        </w:r>
      </w:hyperlink>
    </w:p>
    <w:p w14:paraId="1B2AB834"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708" w:history="1">
        <w:r w:rsidR="000939E3" w:rsidRPr="00D14253">
          <w:rPr>
            <w:rStyle w:val="Hypertextovprepojenie"/>
            <w:noProof/>
          </w:rPr>
          <w:t>4.4</w:t>
        </w:r>
        <w:r w:rsidR="000939E3">
          <w:rPr>
            <w:rFonts w:asciiTheme="minorHAnsi" w:eastAsiaTheme="minorEastAsia" w:hAnsiTheme="minorHAnsi"/>
            <w:noProof/>
            <w:lang w:eastAsia="sk-SK"/>
          </w:rPr>
          <w:tab/>
        </w:r>
        <w:r w:rsidR="000939E3" w:rsidRPr="00D14253">
          <w:rPr>
            <w:rStyle w:val="Hypertextovprepojenie"/>
            <w:noProof/>
          </w:rPr>
          <w:t>Riadenie ľudských zdrojov v štátnej a verejnej správe</w:t>
        </w:r>
        <w:r w:rsidR="000939E3">
          <w:rPr>
            <w:noProof/>
            <w:webHidden/>
          </w:rPr>
          <w:tab/>
        </w:r>
        <w:r w:rsidR="000939E3">
          <w:rPr>
            <w:noProof/>
            <w:webHidden/>
          </w:rPr>
          <w:fldChar w:fldCharType="begin"/>
        </w:r>
        <w:r w:rsidR="000939E3">
          <w:rPr>
            <w:noProof/>
            <w:webHidden/>
          </w:rPr>
          <w:instrText xml:space="preserve"> PAGEREF _Toc34050708 \h </w:instrText>
        </w:r>
        <w:r w:rsidR="000939E3">
          <w:rPr>
            <w:noProof/>
            <w:webHidden/>
          </w:rPr>
        </w:r>
        <w:r w:rsidR="000939E3">
          <w:rPr>
            <w:noProof/>
            <w:webHidden/>
          </w:rPr>
          <w:fldChar w:fldCharType="separate"/>
        </w:r>
        <w:r w:rsidR="00BF69CA">
          <w:rPr>
            <w:noProof/>
            <w:webHidden/>
          </w:rPr>
          <w:t>66</w:t>
        </w:r>
        <w:r w:rsidR="000939E3">
          <w:rPr>
            <w:noProof/>
            <w:webHidden/>
          </w:rPr>
          <w:fldChar w:fldCharType="end"/>
        </w:r>
      </w:hyperlink>
    </w:p>
    <w:p w14:paraId="50E9650D" w14:textId="77777777" w:rsidR="000939E3" w:rsidRDefault="00D62879" w:rsidP="000939E3">
      <w:pPr>
        <w:pStyle w:val="Obsah1"/>
        <w:spacing w:line="276" w:lineRule="auto"/>
        <w:rPr>
          <w:rFonts w:asciiTheme="minorHAnsi" w:eastAsiaTheme="minorEastAsia" w:hAnsiTheme="minorHAnsi"/>
          <w:noProof/>
          <w:lang w:eastAsia="sk-SK"/>
        </w:rPr>
      </w:pPr>
      <w:hyperlink w:anchor="_Toc34050709" w:history="1">
        <w:r w:rsidR="000939E3" w:rsidRPr="00D14253">
          <w:rPr>
            <w:rStyle w:val="Hypertextovprepojenie"/>
            <w:noProof/>
          </w:rPr>
          <w:t>5</w:t>
        </w:r>
        <w:r w:rsidR="000939E3">
          <w:rPr>
            <w:rFonts w:asciiTheme="minorHAnsi" w:eastAsiaTheme="minorEastAsia" w:hAnsiTheme="minorHAnsi"/>
            <w:noProof/>
            <w:lang w:eastAsia="sk-SK"/>
          </w:rPr>
          <w:tab/>
        </w:r>
        <w:r w:rsidR="000939E3" w:rsidRPr="00D14253">
          <w:rPr>
            <w:rStyle w:val="Hypertextovprepojenie"/>
            <w:noProof/>
          </w:rPr>
          <w:t>Potenciál úspory vo vybraných oblastiach</w:t>
        </w:r>
        <w:r w:rsidR="000939E3">
          <w:rPr>
            <w:noProof/>
            <w:webHidden/>
          </w:rPr>
          <w:tab/>
        </w:r>
        <w:r w:rsidR="000939E3">
          <w:rPr>
            <w:noProof/>
            <w:webHidden/>
          </w:rPr>
          <w:fldChar w:fldCharType="begin"/>
        </w:r>
        <w:r w:rsidR="000939E3">
          <w:rPr>
            <w:noProof/>
            <w:webHidden/>
          </w:rPr>
          <w:instrText xml:space="preserve"> PAGEREF _Toc34050709 \h </w:instrText>
        </w:r>
        <w:r w:rsidR="000939E3">
          <w:rPr>
            <w:noProof/>
            <w:webHidden/>
          </w:rPr>
        </w:r>
        <w:r w:rsidR="000939E3">
          <w:rPr>
            <w:noProof/>
            <w:webHidden/>
          </w:rPr>
          <w:fldChar w:fldCharType="separate"/>
        </w:r>
        <w:r w:rsidR="00BF69CA">
          <w:rPr>
            <w:noProof/>
            <w:webHidden/>
          </w:rPr>
          <w:t>68</w:t>
        </w:r>
        <w:r w:rsidR="000939E3">
          <w:rPr>
            <w:noProof/>
            <w:webHidden/>
          </w:rPr>
          <w:fldChar w:fldCharType="end"/>
        </w:r>
      </w:hyperlink>
    </w:p>
    <w:p w14:paraId="24D68C79"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710" w:history="1">
        <w:r w:rsidR="000939E3" w:rsidRPr="00D14253">
          <w:rPr>
            <w:rStyle w:val="Hypertextovprepojenie"/>
            <w:noProof/>
          </w:rPr>
          <w:t>5.1</w:t>
        </w:r>
        <w:r w:rsidR="000939E3">
          <w:rPr>
            <w:rFonts w:asciiTheme="minorHAnsi" w:eastAsiaTheme="minorEastAsia" w:hAnsiTheme="minorHAnsi"/>
            <w:noProof/>
            <w:lang w:eastAsia="sk-SK"/>
          </w:rPr>
          <w:tab/>
        </w:r>
        <w:r w:rsidR="000939E3" w:rsidRPr="00D14253">
          <w:rPr>
            <w:rStyle w:val="Hypertextovprepojenie"/>
            <w:noProof/>
          </w:rPr>
          <w:t>Podporné a prierezové činnosti v ústrednej štátnej správe</w:t>
        </w:r>
        <w:r w:rsidR="000939E3">
          <w:rPr>
            <w:noProof/>
            <w:webHidden/>
          </w:rPr>
          <w:tab/>
        </w:r>
        <w:r w:rsidR="000939E3">
          <w:rPr>
            <w:noProof/>
            <w:webHidden/>
          </w:rPr>
          <w:fldChar w:fldCharType="begin"/>
        </w:r>
        <w:r w:rsidR="000939E3">
          <w:rPr>
            <w:noProof/>
            <w:webHidden/>
          </w:rPr>
          <w:instrText xml:space="preserve"> PAGEREF _Toc34050710 \h </w:instrText>
        </w:r>
        <w:r w:rsidR="000939E3">
          <w:rPr>
            <w:noProof/>
            <w:webHidden/>
          </w:rPr>
        </w:r>
        <w:r w:rsidR="000939E3">
          <w:rPr>
            <w:noProof/>
            <w:webHidden/>
          </w:rPr>
          <w:fldChar w:fldCharType="separate"/>
        </w:r>
        <w:r w:rsidR="00BF69CA">
          <w:rPr>
            <w:noProof/>
            <w:webHidden/>
          </w:rPr>
          <w:t>68</w:t>
        </w:r>
        <w:r w:rsidR="000939E3">
          <w:rPr>
            <w:noProof/>
            <w:webHidden/>
          </w:rPr>
          <w:fldChar w:fldCharType="end"/>
        </w:r>
      </w:hyperlink>
    </w:p>
    <w:p w14:paraId="55D7D53F"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711" w:history="1">
        <w:r w:rsidR="000939E3" w:rsidRPr="00D14253">
          <w:rPr>
            <w:rStyle w:val="Hypertextovprepojenie"/>
            <w:noProof/>
          </w:rPr>
          <w:t>5.2</w:t>
        </w:r>
        <w:r w:rsidR="000939E3">
          <w:rPr>
            <w:rFonts w:asciiTheme="minorHAnsi" w:eastAsiaTheme="minorEastAsia" w:hAnsiTheme="minorHAnsi"/>
            <w:noProof/>
            <w:lang w:eastAsia="sk-SK"/>
          </w:rPr>
          <w:tab/>
        </w:r>
        <w:r w:rsidR="000939E3" w:rsidRPr="00D14253">
          <w:rPr>
            <w:rStyle w:val="Hypertextovprepojenie"/>
            <w:noProof/>
          </w:rPr>
          <w:t>Školstvo</w:t>
        </w:r>
        <w:r w:rsidR="000939E3">
          <w:rPr>
            <w:noProof/>
            <w:webHidden/>
          </w:rPr>
          <w:tab/>
        </w:r>
        <w:r w:rsidR="000939E3">
          <w:rPr>
            <w:noProof/>
            <w:webHidden/>
          </w:rPr>
          <w:fldChar w:fldCharType="begin"/>
        </w:r>
        <w:r w:rsidR="000939E3">
          <w:rPr>
            <w:noProof/>
            <w:webHidden/>
          </w:rPr>
          <w:instrText xml:space="preserve"> PAGEREF _Toc34050711 \h </w:instrText>
        </w:r>
        <w:r w:rsidR="000939E3">
          <w:rPr>
            <w:noProof/>
            <w:webHidden/>
          </w:rPr>
        </w:r>
        <w:r w:rsidR="000939E3">
          <w:rPr>
            <w:noProof/>
            <w:webHidden/>
          </w:rPr>
          <w:fldChar w:fldCharType="separate"/>
        </w:r>
        <w:r w:rsidR="00BF69CA">
          <w:rPr>
            <w:noProof/>
            <w:webHidden/>
          </w:rPr>
          <w:t>76</w:t>
        </w:r>
        <w:r w:rsidR="000939E3">
          <w:rPr>
            <w:noProof/>
            <w:webHidden/>
          </w:rPr>
          <w:fldChar w:fldCharType="end"/>
        </w:r>
      </w:hyperlink>
    </w:p>
    <w:p w14:paraId="541CC32D"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712" w:history="1">
        <w:r w:rsidR="000939E3" w:rsidRPr="00D14253">
          <w:rPr>
            <w:rStyle w:val="Hypertextovprepojenie"/>
            <w:noProof/>
          </w:rPr>
          <w:t>5.3</w:t>
        </w:r>
        <w:r w:rsidR="000939E3">
          <w:rPr>
            <w:rFonts w:asciiTheme="minorHAnsi" w:eastAsiaTheme="minorEastAsia" w:hAnsiTheme="minorHAnsi"/>
            <w:noProof/>
            <w:lang w:eastAsia="sk-SK"/>
          </w:rPr>
          <w:tab/>
        </w:r>
        <w:r w:rsidR="000939E3" w:rsidRPr="00D14253">
          <w:rPr>
            <w:rStyle w:val="Hypertextovprepojenie"/>
            <w:noProof/>
          </w:rPr>
          <w:t>Štátne podniky</w:t>
        </w:r>
        <w:r w:rsidR="000939E3">
          <w:rPr>
            <w:noProof/>
            <w:webHidden/>
          </w:rPr>
          <w:tab/>
        </w:r>
        <w:r w:rsidR="000939E3">
          <w:rPr>
            <w:noProof/>
            <w:webHidden/>
          </w:rPr>
          <w:fldChar w:fldCharType="begin"/>
        </w:r>
        <w:r w:rsidR="000939E3">
          <w:rPr>
            <w:noProof/>
            <w:webHidden/>
          </w:rPr>
          <w:instrText xml:space="preserve"> PAGEREF _Toc34050712 \h </w:instrText>
        </w:r>
        <w:r w:rsidR="000939E3">
          <w:rPr>
            <w:noProof/>
            <w:webHidden/>
          </w:rPr>
        </w:r>
        <w:r w:rsidR="000939E3">
          <w:rPr>
            <w:noProof/>
            <w:webHidden/>
          </w:rPr>
          <w:fldChar w:fldCharType="separate"/>
        </w:r>
        <w:r w:rsidR="00BF69CA">
          <w:rPr>
            <w:noProof/>
            <w:webHidden/>
          </w:rPr>
          <w:t>83</w:t>
        </w:r>
        <w:r w:rsidR="000939E3">
          <w:rPr>
            <w:noProof/>
            <w:webHidden/>
          </w:rPr>
          <w:fldChar w:fldCharType="end"/>
        </w:r>
      </w:hyperlink>
    </w:p>
    <w:p w14:paraId="6E7887C3" w14:textId="77777777" w:rsidR="000939E3" w:rsidRDefault="00D62879" w:rsidP="000939E3">
      <w:pPr>
        <w:pStyle w:val="Obsah2"/>
        <w:spacing w:line="276" w:lineRule="auto"/>
        <w:contextualSpacing/>
        <w:rPr>
          <w:rFonts w:asciiTheme="minorHAnsi" w:eastAsiaTheme="minorEastAsia" w:hAnsiTheme="minorHAnsi"/>
          <w:noProof/>
          <w:lang w:eastAsia="sk-SK"/>
        </w:rPr>
      </w:pPr>
      <w:hyperlink w:anchor="_Toc34050713" w:history="1">
        <w:r w:rsidR="000939E3" w:rsidRPr="00D14253">
          <w:rPr>
            <w:rStyle w:val="Hypertextovprepojenie"/>
            <w:noProof/>
          </w:rPr>
          <w:t>5.4</w:t>
        </w:r>
        <w:r w:rsidR="000939E3">
          <w:rPr>
            <w:rFonts w:asciiTheme="minorHAnsi" w:eastAsiaTheme="minorEastAsia" w:hAnsiTheme="minorHAnsi"/>
            <w:noProof/>
            <w:lang w:eastAsia="sk-SK"/>
          </w:rPr>
          <w:tab/>
        </w:r>
        <w:r w:rsidR="000939E3" w:rsidRPr="00D14253">
          <w:rPr>
            <w:rStyle w:val="Hypertextovprepojenie"/>
            <w:noProof/>
          </w:rPr>
          <w:t>Optimalizácia usporiadania samospráv</w:t>
        </w:r>
        <w:r w:rsidR="000939E3">
          <w:rPr>
            <w:noProof/>
            <w:webHidden/>
          </w:rPr>
          <w:tab/>
        </w:r>
        <w:r w:rsidR="000939E3">
          <w:rPr>
            <w:noProof/>
            <w:webHidden/>
          </w:rPr>
          <w:fldChar w:fldCharType="begin"/>
        </w:r>
        <w:r w:rsidR="000939E3">
          <w:rPr>
            <w:noProof/>
            <w:webHidden/>
          </w:rPr>
          <w:instrText xml:space="preserve"> PAGEREF _Toc34050713 \h </w:instrText>
        </w:r>
        <w:r w:rsidR="000939E3">
          <w:rPr>
            <w:noProof/>
            <w:webHidden/>
          </w:rPr>
        </w:r>
        <w:r w:rsidR="000939E3">
          <w:rPr>
            <w:noProof/>
            <w:webHidden/>
          </w:rPr>
          <w:fldChar w:fldCharType="separate"/>
        </w:r>
        <w:r w:rsidR="00BF69CA">
          <w:rPr>
            <w:noProof/>
            <w:webHidden/>
          </w:rPr>
          <w:t>86</w:t>
        </w:r>
        <w:r w:rsidR="000939E3">
          <w:rPr>
            <w:noProof/>
            <w:webHidden/>
          </w:rPr>
          <w:fldChar w:fldCharType="end"/>
        </w:r>
      </w:hyperlink>
    </w:p>
    <w:p w14:paraId="20FD2BB1" w14:textId="77777777" w:rsidR="000939E3" w:rsidRDefault="00D62879" w:rsidP="000939E3">
      <w:pPr>
        <w:pStyle w:val="Obsah1"/>
        <w:spacing w:line="276" w:lineRule="auto"/>
        <w:rPr>
          <w:rFonts w:asciiTheme="minorHAnsi" w:eastAsiaTheme="minorEastAsia" w:hAnsiTheme="minorHAnsi"/>
          <w:noProof/>
          <w:lang w:eastAsia="sk-SK"/>
        </w:rPr>
      </w:pPr>
      <w:hyperlink w:anchor="_Toc34050714" w:history="1">
        <w:r w:rsidR="000939E3" w:rsidRPr="00D14253">
          <w:rPr>
            <w:rStyle w:val="Hypertextovprepojenie"/>
            <w:noProof/>
          </w:rPr>
          <w:t>6</w:t>
        </w:r>
        <w:r w:rsidR="000939E3">
          <w:rPr>
            <w:rFonts w:asciiTheme="minorHAnsi" w:eastAsiaTheme="minorEastAsia" w:hAnsiTheme="minorHAnsi"/>
            <w:noProof/>
            <w:lang w:eastAsia="sk-SK"/>
          </w:rPr>
          <w:tab/>
        </w:r>
        <w:r w:rsidR="000939E3" w:rsidRPr="00D14253">
          <w:rPr>
            <w:rStyle w:val="Hypertextovprepojenie"/>
            <w:noProof/>
          </w:rPr>
          <w:t>Prílohy</w:t>
        </w:r>
        <w:r w:rsidR="000939E3">
          <w:rPr>
            <w:noProof/>
            <w:webHidden/>
          </w:rPr>
          <w:tab/>
        </w:r>
        <w:r w:rsidR="000939E3">
          <w:rPr>
            <w:noProof/>
            <w:webHidden/>
          </w:rPr>
          <w:fldChar w:fldCharType="begin"/>
        </w:r>
        <w:r w:rsidR="000939E3">
          <w:rPr>
            <w:noProof/>
            <w:webHidden/>
          </w:rPr>
          <w:instrText xml:space="preserve"> PAGEREF _Toc34050714 \h </w:instrText>
        </w:r>
        <w:r w:rsidR="000939E3">
          <w:rPr>
            <w:noProof/>
            <w:webHidden/>
          </w:rPr>
        </w:r>
        <w:r w:rsidR="000939E3">
          <w:rPr>
            <w:noProof/>
            <w:webHidden/>
          </w:rPr>
          <w:fldChar w:fldCharType="separate"/>
        </w:r>
        <w:r w:rsidR="00BF69CA">
          <w:rPr>
            <w:noProof/>
            <w:webHidden/>
          </w:rPr>
          <w:t>88</w:t>
        </w:r>
        <w:r w:rsidR="000939E3">
          <w:rPr>
            <w:noProof/>
            <w:webHidden/>
          </w:rPr>
          <w:fldChar w:fldCharType="end"/>
        </w:r>
      </w:hyperlink>
    </w:p>
    <w:p w14:paraId="2B81F5DA" w14:textId="77777777" w:rsidR="000939E3" w:rsidRDefault="00D62879" w:rsidP="000939E3">
      <w:pPr>
        <w:pStyle w:val="Obsah1"/>
        <w:spacing w:line="276" w:lineRule="auto"/>
        <w:rPr>
          <w:rFonts w:asciiTheme="minorHAnsi" w:eastAsiaTheme="minorEastAsia" w:hAnsiTheme="minorHAnsi"/>
          <w:noProof/>
          <w:lang w:eastAsia="sk-SK"/>
        </w:rPr>
      </w:pPr>
      <w:hyperlink w:anchor="_Toc34050715" w:history="1">
        <w:r w:rsidR="000939E3" w:rsidRPr="00D14253">
          <w:rPr>
            <w:rStyle w:val="Hypertextovprepojenie"/>
            <w:noProof/>
          </w:rPr>
          <w:t>7</w:t>
        </w:r>
        <w:r w:rsidR="000939E3">
          <w:rPr>
            <w:rFonts w:asciiTheme="minorHAnsi" w:eastAsiaTheme="minorEastAsia" w:hAnsiTheme="minorHAnsi"/>
            <w:noProof/>
            <w:lang w:eastAsia="sk-SK"/>
          </w:rPr>
          <w:tab/>
        </w:r>
        <w:r w:rsidR="000939E3" w:rsidRPr="00D14253">
          <w:rPr>
            <w:rStyle w:val="Hypertextovprepojenie"/>
            <w:noProof/>
          </w:rPr>
          <w:t>Použitá literatúra</w:t>
        </w:r>
        <w:r w:rsidR="000939E3">
          <w:rPr>
            <w:noProof/>
            <w:webHidden/>
          </w:rPr>
          <w:tab/>
        </w:r>
        <w:r w:rsidR="000939E3">
          <w:rPr>
            <w:noProof/>
            <w:webHidden/>
          </w:rPr>
          <w:fldChar w:fldCharType="begin"/>
        </w:r>
        <w:r w:rsidR="000939E3">
          <w:rPr>
            <w:noProof/>
            <w:webHidden/>
          </w:rPr>
          <w:instrText xml:space="preserve"> PAGEREF _Toc34050715 \h </w:instrText>
        </w:r>
        <w:r w:rsidR="000939E3">
          <w:rPr>
            <w:noProof/>
            <w:webHidden/>
          </w:rPr>
        </w:r>
        <w:r w:rsidR="000939E3">
          <w:rPr>
            <w:noProof/>
            <w:webHidden/>
          </w:rPr>
          <w:fldChar w:fldCharType="separate"/>
        </w:r>
        <w:r w:rsidR="00BF69CA">
          <w:rPr>
            <w:noProof/>
            <w:webHidden/>
          </w:rPr>
          <w:t>105</w:t>
        </w:r>
        <w:r w:rsidR="000939E3">
          <w:rPr>
            <w:noProof/>
            <w:webHidden/>
          </w:rPr>
          <w:fldChar w:fldCharType="end"/>
        </w:r>
      </w:hyperlink>
    </w:p>
    <w:p w14:paraId="33C169CA" w14:textId="77777777" w:rsidR="000939E3" w:rsidRDefault="00D62879" w:rsidP="000939E3">
      <w:pPr>
        <w:pStyle w:val="Obsah1"/>
        <w:spacing w:line="276" w:lineRule="auto"/>
        <w:rPr>
          <w:rFonts w:asciiTheme="minorHAnsi" w:eastAsiaTheme="minorEastAsia" w:hAnsiTheme="minorHAnsi"/>
          <w:noProof/>
          <w:lang w:eastAsia="sk-SK"/>
        </w:rPr>
      </w:pPr>
      <w:hyperlink w:anchor="_Toc34050716" w:history="1">
        <w:r w:rsidR="000939E3" w:rsidRPr="00D14253">
          <w:rPr>
            <w:rStyle w:val="Hypertextovprepojenie"/>
            <w:noProof/>
          </w:rPr>
          <w:t>8</w:t>
        </w:r>
        <w:r w:rsidR="000939E3">
          <w:rPr>
            <w:rFonts w:asciiTheme="minorHAnsi" w:eastAsiaTheme="minorEastAsia" w:hAnsiTheme="minorHAnsi"/>
            <w:noProof/>
            <w:lang w:eastAsia="sk-SK"/>
          </w:rPr>
          <w:tab/>
        </w:r>
        <w:r w:rsidR="000939E3" w:rsidRPr="00D14253">
          <w:rPr>
            <w:rStyle w:val="Hypertextovprepojenie"/>
            <w:noProof/>
          </w:rPr>
          <w:t>Zoznam skratiek</w:t>
        </w:r>
        <w:r w:rsidR="000939E3">
          <w:rPr>
            <w:noProof/>
            <w:webHidden/>
          </w:rPr>
          <w:tab/>
        </w:r>
        <w:r w:rsidR="000939E3">
          <w:rPr>
            <w:noProof/>
            <w:webHidden/>
          </w:rPr>
          <w:fldChar w:fldCharType="begin"/>
        </w:r>
        <w:r w:rsidR="000939E3">
          <w:rPr>
            <w:noProof/>
            <w:webHidden/>
          </w:rPr>
          <w:instrText xml:space="preserve"> PAGEREF _Toc34050716 \h </w:instrText>
        </w:r>
        <w:r w:rsidR="000939E3">
          <w:rPr>
            <w:noProof/>
            <w:webHidden/>
          </w:rPr>
        </w:r>
        <w:r w:rsidR="000939E3">
          <w:rPr>
            <w:noProof/>
            <w:webHidden/>
          </w:rPr>
          <w:fldChar w:fldCharType="separate"/>
        </w:r>
        <w:r w:rsidR="00BF69CA">
          <w:rPr>
            <w:noProof/>
            <w:webHidden/>
          </w:rPr>
          <w:t>110</w:t>
        </w:r>
        <w:r w:rsidR="000939E3">
          <w:rPr>
            <w:noProof/>
            <w:webHidden/>
          </w:rPr>
          <w:fldChar w:fldCharType="end"/>
        </w:r>
      </w:hyperlink>
    </w:p>
    <w:p w14:paraId="11905EE8" w14:textId="77777777" w:rsidR="005D4C5C" w:rsidRPr="000939E3" w:rsidRDefault="005D4C5C" w:rsidP="00856C72">
      <w:pPr>
        <w:pStyle w:val="Bezriadkovania"/>
        <w:spacing w:line="276" w:lineRule="auto"/>
      </w:pPr>
      <w:r w:rsidRPr="000939E3">
        <w:fldChar w:fldCharType="end"/>
      </w:r>
    </w:p>
    <w:p w14:paraId="6A9596C9" w14:textId="77777777" w:rsidR="005D4C5C" w:rsidRPr="000939E3" w:rsidRDefault="005D4C5C" w:rsidP="005D4C5C">
      <w:pPr>
        <w:jc w:val="left"/>
      </w:pPr>
      <w:r w:rsidRPr="000939E3">
        <w:br w:type="page"/>
      </w:r>
      <w:bookmarkStart w:id="2" w:name="_Toc455735645"/>
      <w:bookmarkStart w:id="3" w:name="_Toc455735671"/>
      <w:bookmarkStart w:id="4" w:name="_Toc455735787"/>
      <w:bookmarkStart w:id="5" w:name="_Toc455736277"/>
      <w:bookmarkStart w:id="6" w:name="_Toc455760869"/>
      <w:bookmarkStart w:id="7" w:name="_Toc454546175"/>
      <w:bookmarkEnd w:id="2"/>
      <w:bookmarkEnd w:id="3"/>
      <w:bookmarkEnd w:id="4"/>
      <w:bookmarkEnd w:id="5"/>
      <w:bookmarkEnd w:id="6"/>
      <w:bookmarkEnd w:id="7"/>
    </w:p>
    <w:p w14:paraId="4460D41D" w14:textId="18D5AC51" w:rsidR="00E43040" w:rsidRPr="000939E3" w:rsidRDefault="00E43040" w:rsidP="00856C72">
      <w:pPr>
        <w:rPr>
          <w:color w:val="0070C0"/>
          <w:sz w:val="32"/>
          <w:szCs w:val="32"/>
        </w:rPr>
      </w:pPr>
      <w:r w:rsidRPr="000939E3">
        <w:rPr>
          <w:color w:val="0070C0"/>
          <w:sz w:val="32"/>
          <w:szCs w:val="32"/>
        </w:rPr>
        <w:lastRenderedPageBreak/>
        <w:t>Zoznam grafov a tabuliek</w:t>
      </w:r>
    </w:p>
    <w:p w14:paraId="07C6992E" w14:textId="77777777" w:rsidR="004C13D4" w:rsidRPr="000939E3" w:rsidRDefault="004C13D4" w:rsidP="00925C95">
      <w:pPr>
        <w:jc w:val="left"/>
      </w:pPr>
      <w:r w:rsidRPr="000939E3">
        <w:rPr>
          <w:b/>
        </w:rPr>
        <w:t>Zoznam grafov</w:t>
      </w:r>
    </w:p>
    <w:p w14:paraId="7EA90C1A" w14:textId="77777777" w:rsidR="00244526" w:rsidRPr="00244526" w:rsidRDefault="00432044" w:rsidP="00244526">
      <w:pPr>
        <w:pStyle w:val="Zoznamobrzkov"/>
        <w:tabs>
          <w:tab w:val="right" w:leader="dot" w:pos="9062"/>
        </w:tabs>
        <w:contextualSpacing/>
        <w:rPr>
          <w:rFonts w:asciiTheme="minorHAnsi" w:eastAsiaTheme="minorEastAsia" w:hAnsiTheme="minorHAnsi"/>
          <w:noProof/>
          <w:lang w:eastAsia="sk-SK"/>
        </w:rPr>
      </w:pPr>
      <w:r w:rsidRPr="000939E3">
        <w:rPr>
          <w:bCs/>
          <w:noProof/>
        </w:rPr>
        <w:fldChar w:fldCharType="begin"/>
      </w:r>
      <w:r w:rsidRPr="000939E3">
        <w:rPr>
          <w:bCs/>
          <w:noProof/>
        </w:rPr>
        <w:instrText xml:space="preserve"> TOC \h \z \c "Graf" </w:instrText>
      </w:r>
      <w:r w:rsidRPr="000939E3">
        <w:rPr>
          <w:bCs/>
          <w:noProof/>
        </w:rPr>
        <w:fldChar w:fldCharType="separate"/>
      </w:r>
      <w:hyperlink w:anchor="_Toc34226872" w:history="1">
        <w:r w:rsidR="00244526" w:rsidRPr="00244526">
          <w:rPr>
            <w:rStyle w:val="Hypertextovprepojenie"/>
            <w:noProof/>
          </w:rPr>
          <w:t>Graf 1: Celkový objem kompenzácií zamestnancov sektora VS (% HDP, 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_Toc34226872 \h </w:instrText>
        </w:r>
        <w:r w:rsidR="00244526" w:rsidRPr="00244526">
          <w:rPr>
            <w:noProof/>
            <w:webHidden/>
          </w:rPr>
        </w:r>
        <w:r w:rsidR="00244526" w:rsidRPr="00244526">
          <w:rPr>
            <w:noProof/>
            <w:webHidden/>
          </w:rPr>
          <w:fldChar w:fldCharType="separate"/>
        </w:r>
        <w:r w:rsidR="00BF69CA">
          <w:rPr>
            <w:noProof/>
            <w:webHidden/>
          </w:rPr>
          <w:t>28</w:t>
        </w:r>
        <w:r w:rsidR="00244526" w:rsidRPr="00244526">
          <w:rPr>
            <w:noProof/>
            <w:webHidden/>
          </w:rPr>
          <w:fldChar w:fldCharType="end"/>
        </w:r>
      </w:hyperlink>
    </w:p>
    <w:p w14:paraId="36424625"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73" w:history="1">
        <w:r w:rsidR="00244526" w:rsidRPr="00244526">
          <w:rPr>
            <w:rStyle w:val="Hypertextovprepojenie"/>
            <w:noProof/>
          </w:rPr>
          <w:t>Graf 2: Kompenzácie VS ako podiel celkových kompenzácií v ekonomike (%, 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_Toc34226873 \h </w:instrText>
        </w:r>
        <w:r w:rsidR="00244526" w:rsidRPr="00244526">
          <w:rPr>
            <w:noProof/>
            <w:webHidden/>
          </w:rPr>
        </w:r>
        <w:r w:rsidR="00244526" w:rsidRPr="00244526">
          <w:rPr>
            <w:noProof/>
            <w:webHidden/>
          </w:rPr>
          <w:fldChar w:fldCharType="separate"/>
        </w:r>
        <w:r w:rsidR="00BF69CA">
          <w:rPr>
            <w:noProof/>
            <w:webHidden/>
          </w:rPr>
          <w:t>28</w:t>
        </w:r>
        <w:r w:rsidR="00244526" w:rsidRPr="00244526">
          <w:rPr>
            <w:noProof/>
            <w:webHidden/>
          </w:rPr>
          <w:fldChar w:fldCharType="end"/>
        </w:r>
      </w:hyperlink>
    </w:p>
    <w:p w14:paraId="2789C74B"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74" w:history="1">
        <w:r w:rsidR="00244526" w:rsidRPr="00244526">
          <w:rPr>
            <w:rStyle w:val="Hypertextovprepojenie"/>
            <w:noProof/>
          </w:rPr>
          <w:t>Graf 3: Počet zamestnancov sektora VS na 1000 obyvateľov (2018)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_Toc34226874 \h </w:instrText>
        </w:r>
        <w:r w:rsidR="00244526" w:rsidRPr="00244526">
          <w:rPr>
            <w:noProof/>
            <w:webHidden/>
          </w:rPr>
        </w:r>
        <w:r w:rsidR="00244526" w:rsidRPr="00244526">
          <w:rPr>
            <w:noProof/>
            <w:webHidden/>
          </w:rPr>
          <w:fldChar w:fldCharType="separate"/>
        </w:r>
        <w:r w:rsidR="00BF69CA">
          <w:rPr>
            <w:noProof/>
            <w:webHidden/>
          </w:rPr>
          <w:t>29</w:t>
        </w:r>
        <w:r w:rsidR="00244526" w:rsidRPr="00244526">
          <w:rPr>
            <w:noProof/>
            <w:webHidden/>
          </w:rPr>
          <w:fldChar w:fldCharType="end"/>
        </w:r>
      </w:hyperlink>
    </w:p>
    <w:p w14:paraId="6BAF5785"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75" w:history="1">
        <w:r w:rsidR="00244526" w:rsidRPr="00244526">
          <w:rPr>
            <w:rStyle w:val="Hypertextovprepojenie"/>
            <w:noProof/>
          </w:rPr>
          <w:t>Graf 4: Rozdelenie produkčných nákladov verejného sektora (2015)</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_Toc34226875 \h </w:instrText>
        </w:r>
        <w:r w:rsidR="00244526" w:rsidRPr="00244526">
          <w:rPr>
            <w:noProof/>
            <w:webHidden/>
          </w:rPr>
        </w:r>
        <w:r w:rsidR="00244526" w:rsidRPr="00244526">
          <w:rPr>
            <w:noProof/>
            <w:webHidden/>
          </w:rPr>
          <w:fldChar w:fldCharType="separate"/>
        </w:r>
        <w:r w:rsidR="00BF69CA">
          <w:rPr>
            <w:noProof/>
            <w:webHidden/>
          </w:rPr>
          <w:t>29</w:t>
        </w:r>
        <w:r w:rsidR="00244526" w:rsidRPr="00244526">
          <w:rPr>
            <w:noProof/>
            <w:webHidden/>
          </w:rPr>
          <w:fldChar w:fldCharType="end"/>
        </w:r>
      </w:hyperlink>
    </w:p>
    <w:p w14:paraId="40BD69E6" w14:textId="00EFD7C3"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76" w:history="1">
        <w:r w:rsidR="00244526" w:rsidRPr="00244526">
          <w:rPr>
            <w:rStyle w:val="Hypertextovprepojenie"/>
            <w:noProof/>
          </w:rPr>
          <w:t xml:space="preserve">Graf 5: Priemerné kompenzácie zamestnancov sektora VS voči kompenzácii súkromného sektora </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_Toc34226876 \h </w:instrText>
        </w:r>
        <w:r w:rsidR="00244526" w:rsidRPr="00244526">
          <w:rPr>
            <w:noProof/>
            <w:webHidden/>
          </w:rPr>
        </w:r>
        <w:r w:rsidR="00244526" w:rsidRPr="00244526">
          <w:rPr>
            <w:noProof/>
            <w:webHidden/>
          </w:rPr>
          <w:fldChar w:fldCharType="separate"/>
        </w:r>
        <w:r w:rsidR="00BF69CA">
          <w:rPr>
            <w:noProof/>
            <w:webHidden/>
          </w:rPr>
          <w:t>30</w:t>
        </w:r>
        <w:r w:rsidR="00244526" w:rsidRPr="00244526">
          <w:rPr>
            <w:noProof/>
            <w:webHidden/>
          </w:rPr>
          <w:fldChar w:fldCharType="end"/>
        </w:r>
      </w:hyperlink>
    </w:p>
    <w:p w14:paraId="3D947BA4"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77" w:history="1">
        <w:r w:rsidR="00244526" w:rsidRPr="00244526">
          <w:rPr>
            <w:rStyle w:val="Hypertextovprepojenie"/>
            <w:noProof/>
          </w:rPr>
          <w:t xml:space="preserve">Graf 6: </w:t>
        </w:r>
        <w:r w:rsidR="00244526" w:rsidRPr="00244526">
          <w:rPr>
            <w:rStyle w:val="Hypertextovprepojenie"/>
            <w:rFonts w:eastAsia="Arial" w:cs="Arial"/>
            <w:noProof/>
            <w:lang w:val="fr-FR" w:eastAsia="fr-FR" w:bidi="fr-FR"/>
          </w:rPr>
          <w:t>Kompenzácie zamestnancov VS v roku 2020</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_Toc34226877 \h </w:instrText>
        </w:r>
        <w:r w:rsidR="00244526" w:rsidRPr="00244526">
          <w:rPr>
            <w:noProof/>
            <w:webHidden/>
          </w:rPr>
        </w:r>
        <w:r w:rsidR="00244526" w:rsidRPr="00244526">
          <w:rPr>
            <w:noProof/>
            <w:webHidden/>
          </w:rPr>
          <w:fldChar w:fldCharType="separate"/>
        </w:r>
        <w:r w:rsidR="00BF69CA">
          <w:rPr>
            <w:noProof/>
            <w:webHidden/>
          </w:rPr>
          <w:t>30</w:t>
        </w:r>
        <w:r w:rsidR="00244526" w:rsidRPr="00244526">
          <w:rPr>
            <w:noProof/>
            <w:webHidden/>
          </w:rPr>
          <w:fldChar w:fldCharType="end"/>
        </w:r>
      </w:hyperlink>
    </w:p>
    <w:p w14:paraId="04580950"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78" w:history="1">
        <w:r w:rsidR="00244526" w:rsidRPr="00244526">
          <w:rPr>
            <w:rStyle w:val="Hypertextovprepojenie"/>
            <w:noProof/>
          </w:rPr>
          <w:t>Graf 7: Absolútna (v tis. zam.) a relatívna zmena</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_Toc34226878 \h </w:instrText>
        </w:r>
        <w:r w:rsidR="00244526" w:rsidRPr="00244526">
          <w:rPr>
            <w:noProof/>
            <w:webHidden/>
          </w:rPr>
        </w:r>
        <w:r w:rsidR="00244526" w:rsidRPr="00244526">
          <w:rPr>
            <w:noProof/>
            <w:webHidden/>
          </w:rPr>
          <w:fldChar w:fldCharType="separate"/>
        </w:r>
        <w:r w:rsidR="00BF69CA">
          <w:rPr>
            <w:noProof/>
            <w:webHidden/>
          </w:rPr>
          <w:t>31</w:t>
        </w:r>
        <w:r w:rsidR="00244526" w:rsidRPr="00244526">
          <w:rPr>
            <w:noProof/>
            <w:webHidden/>
          </w:rPr>
          <w:fldChar w:fldCharType="end"/>
        </w:r>
      </w:hyperlink>
    </w:p>
    <w:p w14:paraId="406A0785"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79" w:history="1">
        <w:r w:rsidR="00244526" w:rsidRPr="00244526">
          <w:rPr>
            <w:rStyle w:val="Hypertextovprepojenie"/>
            <w:noProof/>
          </w:rPr>
          <w:t>Graf 8: Počet zamestnancov verejnej správy</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_Toc34226879 \h </w:instrText>
        </w:r>
        <w:r w:rsidR="00244526" w:rsidRPr="00244526">
          <w:rPr>
            <w:noProof/>
            <w:webHidden/>
          </w:rPr>
        </w:r>
        <w:r w:rsidR="00244526" w:rsidRPr="00244526">
          <w:rPr>
            <w:noProof/>
            <w:webHidden/>
          </w:rPr>
          <w:fldChar w:fldCharType="separate"/>
        </w:r>
        <w:r w:rsidR="00BF69CA">
          <w:rPr>
            <w:noProof/>
            <w:webHidden/>
          </w:rPr>
          <w:t>31</w:t>
        </w:r>
        <w:r w:rsidR="00244526" w:rsidRPr="00244526">
          <w:rPr>
            <w:noProof/>
            <w:webHidden/>
          </w:rPr>
          <w:fldChar w:fldCharType="end"/>
        </w:r>
      </w:hyperlink>
    </w:p>
    <w:p w14:paraId="3EAF61C4"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80" w:history="1">
        <w:r w:rsidR="00244526" w:rsidRPr="00244526">
          <w:rPr>
            <w:rStyle w:val="Hypertextovprepojenie"/>
            <w:noProof/>
          </w:rPr>
          <w:t>Graf 9: Osobné výdavky na zamestnancov verejnej správy (v mld. eur, % celkových výdavkov; 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_Toc34226880 \h </w:instrText>
        </w:r>
        <w:r w:rsidR="00244526" w:rsidRPr="00244526">
          <w:rPr>
            <w:noProof/>
            <w:webHidden/>
          </w:rPr>
        </w:r>
        <w:r w:rsidR="00244526" w:rsidRPr="00244526">
          <w:rPr>
            <w:noProof/>
            <w:webHidden/>
          </w:rPr>
          <w:fldChar w:fldCharType="separate"/>
        </w:r>
        <w:r w:rsidR="00BF69CA">
          <w:rPr>
            <w:noProof/>
            <w:webHidden/>
          </w:rPr>
          <w:t>32</w:t>
        </w:r>
        <w:r w:rsidR="00244526" w:rsidRPr="00244526">
          <w:rPr>
            <w:noProof/>
            <w:webHidden/>
          </w:rPr>
          <w:fldChar w:fldCharType="end"/>
        </w:r>
      </w:hyperlink>
    </w:p>
    <w:p w14:paraId="69467DFB"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81" w:history="1">
        <w:r w:rsidR="00244526" w:rsidRPr="00244526">
          <w:rPr>
            <w:rStyle w:val="Hypertextovprepojenie"/>
            <w:noProof/>
          </w:rPr>
          <w:t>Graf 10: Počet úradníkov na 1 000 obyvateľov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_Toc34226881 \h </w:instrText>
        </w:r>
        <w:r w:rsidR="00244526" w:rsidRPr="00244526">
          <w:rPr>
            <w:noProof/>
            <w:webHidden/>
          </w:rPr>
        </w:r>
        <w:r w:rsidR="00244526" w:rsidRPr="00244526">
          <w:rPr>
            <w:noProof/>
            <w:webHidden/>
          </w:rPr>
          <w:fldChar w:fldCharType="separate"/>
        </w:r>
        <w:r w:rsidR="00BF69CA">
          <w:rPr>
            <w:noProof/>
            <w:webHidden/>
          </w:rPr>
          <w:t>34</w:t>
        </w:r>
        <w:r w:rsidR="00244526" w:rsidRPr="00244526">
          <w:rPr>
            <w:noProof/>
            <w:webHidden/>
          </w:rPr>
          <w:fldChar w:fldCharType="end"/>
        </w:r>
      </w:hyperlink>
    </w:p>
    <w:p w14:paraId="505C07F5"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82" w:history="1">
        <w:r w:rsidR="00244526" w:rsidRPr="00244526">
          <w:rPr>
            <w:rStyle w:val="Hypertextovprepojenie"/>
            <w:noProof/>
          </w:rPr>
          <w:t>Graf 11: Počet zamestnancov vybraných odvetví na 1000 obyvateľov (2018)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_Toc34226882 \h </w:instrText>
        </w:r>
        <w:r w:rsidR="00244526" w:rsidRPr="00244526">
          <w:rPr>
            <w:noProof/>
            <w:webHidden/>
          </w:rPr>
        </w:r>
        <w:r w:rsidR="00244526" w:rsidRPr="00244526">
          <w:rPr>
            <w:noProof/>
            <w:webHidden/>
          </w:rPr>
          <w:fldChar w:fldCharType="separate"/>
        </w:r>
        <w:r w:rsidR="00BF69CA">
          <w:rPr>
            <w:noProof/>
            <w:webHidden/>
          </w:rPr>
          <w:t>34</w:t>
        </w:r>
        <w:r w:rsidR="00244526" w:rsidRPr="00244526">
          <w:rPr>
            <w:noProof/>
            <w:webHidden/>
          </w:rPr>
          <w:fldChar w:fldCharType="end"/>
        </w:r>
      </w:hyperlink>
    </w:p>
    <w:p w14:paraId="75AA32EB"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83" w:history="1">
        <w:r w:rsidR="00244526" w:rsidRPr="00244526">
          <w:rPr>
            <w:rStyle w:val="Hypertextovprepojenie"/>
            <w:noProof/>
            <w:lang w:val="pt-BR"/>
          </w:rPr>
          <w:t>Graf 12: Zamestnanci v odvetví zdravotníctva a sociálnej pomoci na 1000 obyvateľov (2018)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_Toc34226883 \h </w:instrText>
        </w:r>
        <w:r w:rsidR="00244526" w:rsidRPr="00244526">
          <w:rPr>
            <w:noProof/>
            <w:webHidden/>
          </w:rPr>
        </w:r>
        <w:r w:rsidR="00244526" w:rsidRPr="00244526">
          <w:rPr>
            <w:noProof/>
            <w:webHidden/>
          </w:rPr>
          <w:fldChar w:fldCharType="separate"/>
        </w:r>
        <w:r w:rsidR="00BF69CA">
          <w:rPr>
            <w:noProof/>
            <w:webHidden/>
          </w:rPr>
          <w:t>34</w:t>
        </w:r>
        <w:r w:rsidR="00244526" w:rsidRPr="00244526">
          <w:rPr>
            <w:noProof/>
            <w:webHidden/>
          </w:rPr>
          <w:fldChar w:fldCharType="end"/>
        </w:r>
      </w:hyperlink>
    </w:p>
    <w:p w14:paraId="1D705750"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84" w:history="1">
        <w:r w:rsidR="00244526" w:rsidRPr="00244526">
          <w:rPr>
            <w:rStyle w:val="Hypertextovprepojenie"/>
            <w:noProof/>
          </w:rPr>
          <w:t>Graf 13: Rámcové medzinárodné porovnanie zamestnanosti po profesiách (rozdiel v osobách)</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_Toc34226884 \h </w:instrText>
        </w:r>
        <w:r w:rsidR="00244526" w:rsidRPr="00244526">
          <w:rPr>
            <w:noProof/>
            <w:webHidden/>
          </w:rPr>
        </w:r>
        <w:r w:rsidR="00244526" w:rsidRPr="00244526">
          <w:rPr>
            <w:noProof/>
            <w:webHidden/>
          </w:rPr>
          <w:fldChar w:fldCharType="separate"/>
        </w:r>
        <w:r w:rsidR="00BF69CA">
          <w:rPr>
            <w:noProof/>
            <w:webHidden/>
          </w:rPr>
          <w:t>35</w:t>
        </w:r>
        <w:r w:rsidR="00244526" w:rsidRPr="00244526">
          <w:rPr>
            <w:noProof/>
            <w:webHidden/>
          </w:rPr>
          <w:fldChar w:fldCharType="end"/>
        </w:r>
      </w:hyperlink>
    </w:p>
    <w:p w14:paraId="79D247F0"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85" w:history="1">
        <w:r w:rsidR="00244526" w:rsidRPr="00244526">
          <w:rPr>
            <w:rStyle w:val="Hypertextovprepojenie"/>
            <w:noProof/>
          </w:rPr>
          <w:t>Graf 14: Rámcové medzinárodné porovnanie miezd (2014-2016; percentuálny rozdiel)</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_Toc34226885 \h </w:instrText>
        </w:r>
        <w:r w:rsidR="00244526" w:rsidRPr="00244526">
          <w:rPr>
            <w:noProof/>
            <w:webHidden/>
          </w:rPr>
        </w:r>
        <w:r w:rsidR="00244526" w:rsidRPr="00244526">
          <w:rPr>
            <w:noProof/>
            <w:webHidden/>
          </w:rPr>
          <w:fldChar w:fldCharType="separate"/>
        </w:r>
        <w:r w:rsidR="00BF69CA">
          <w:rPr>
            <w:noProof/>
            <w:webHidden/>
          </w:rPr>
          <w:t>36</w:t>
        </w:r>
        <w:r w:rsidR="00244526" w:rsidRPr="00244526">
          <w:rPr>
            <w:noProof/>
            <w:webHidden/>
          </w:rPr>
          <w:fldChar w:fldCharType="end"/>
        </w:r>
      </w:hyperlink>
    </w:p>
    <w:p w14:paraId="131EC504"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86" w:history="1">
        <w:r w:rsidR="00244526" w:rsidRPr="00244526">
          <w:rPr>
            <w:rStyle w:val="Hypertextovprepojenie"/>
            <w:noProof/>
          </w:rPr>
          <w:t>Graf 15: Vývoj miezd jednotlivých povolaní v pomere ku mzde VŠ vzdelaných, 2010-2018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_Toc34226886 \h </w:instrText>
        </w:r>
        <w:r w:rsidR="00244526" w:rsidRPr="00244526">
          <w:rPr>
            <w:noProof/>
            <w:webHidden/>
          </w:rPr>
        </w:r>
        <w:r w:rsidR="00244526" w:rsidRPr="00244526">
          <w:rPr>
            <w:noProof/>
            <w:webHidden/>
          </w:rPr>
          <w:fldChar w:fldCharType="separate"/>
        </w:r>
        <w:r w:rsidR="00BF69CA">
          <w:rPr>
            <w:noProof/>
            <w:webHidden/>
          </w:rPr>
          <w:t>37</w:t>
        </w:r>
        <w:r w:rsidR="00244526" w:rsidRPr="00244526">
          <w:rPr>
            <w:noProof/>
            <w:webHidden/>
          </w:rPr>
          <w:fldChar w:fldCharType="end"/>
        </w:r>
      </w:hyperlink>
    </w:p>
    <w:p w14:paraId="1E78E3A0" w14:textId="33FC04AE"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87" w:history="1">
        <w:r w:rsidR="00244526" w:rsidRPr="00244526">
          <w:rPr>
            <w:rStyle w:val="Hypertextovprepojenie"/>
            <w:noProof/>
          </w:rPr>
          <w:t>Graf 16: Priemerná kompenzácia zamestnancov vlády ako podiel na priemernej mzde v ekonomike (2015)</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_Toc34226887 \h </w:instrText>
        </w:r>
        <w:r w:rsidR="00244526" w:rsidRPr="00244526">
          <w:rPr>
            <w:noProof/>
            <w:webHidden/>
          </w:rPr>
        </w:r>
        <w:r w:rsidR="00244526" w:rsidRPr="00244526">
          <w:rPr>
            <w:noProof/>
            <w:webHidden/>
          </w:rPr>
          <w:fldChar w:fldCharType="separate"/>
        </w:r>
        <w:r w:rsidR="00BF69CA">
          <w:rPr>
            <w:noProof/>
            <w:webHidden/>
          </w:rPr>
          <w:t>37</w:t>
        </w:r>
        <w:r w:rsidR="00244526" w:rsidRPr="00244526">
          <w:rPr>
            <w:noProof/>
            <w:webHidden/>
          </w:rPr>
          <w:fldChar w:fldCharType="end"/>
        </w:r>
      </w:hyperlink>
    </w:p>
    <w:p w14:paraId="1EC13B4E"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88" w:history="1">
        <w:r w:rsidR="00244526" w:rsidRPr="00244526">
          <w:rPr>
            <w:rStyle w:val="Hypertextovprepojenie"/>
            <w:noProof/>
          </w:rPr>
          <w:t>Graf 17: Rámcové medzinárodné porovnanie súbežnej zmeny platov a počtov (dopad v mil. eur)</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_Toc34226888 \h </w:instrText>
        </w:r>
        <w:r w:rsidR="00244526" w:rsidRPr="00244526">
          <w:rPr>
            <w:noProof/>
            <w:webHidden/>
          </w:rPr>
        </w:r>
        <w:r w:rsidR="00244526" w:rsidRPr="00244526">
          <w:rPr>
            <w:noProof/>
            <w:webHidden/>
          </w:rPr>
          <w:fldChar w:fldCharType="separate"/>
        </w:r>
        <w:r w:rsidR="00BF69CA">
          <w:rPr>
            <w:noProof/>
            <w:webHidden/>
          </w:rPr>
          <w:t>37</w:t>
        </w:r>
        <w:r w:rsidR="00244526" w:rsidRPr="00244526">
          <w:rPr>
            <w:noProof/>
            <w:webHidden/>
          </w:rPr>
          <w:fldChar w:fldCharType="end"/>
        </w:r>
      </w:hyperlink>
    </w:p>
    <w:p w14:paraId="760CF26E"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89" w:history="1">
        <w:r w:rsidR="00244526" w:rsidRPr="00244526">
          <w:rPr>
            <w:rStyle w:val="Hypertextovprepojenie"/>
            <w:noProof/>
          </w:rPr>
          <w:t>Graf 18: Porovnanie zamestnanosti po profesiách s priemerom krajín EÚ/OECD a so „smart“ krajinami</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_Toc34226889 \h </w:instrText>
        </w:r>
        <w:r w:rsidR="00244526" w:rsidRPr="00244526">
          <w:rPr>
            <w:noProof/>
            <w:webHidden/>
          </w:rPr>
        </w:r>
        <w:r w:rsidR="00244526" w:rsidRPr="00244526">
          <w:rPr>
            <w:noProof/>
            <w:webHidden/>
          </w:rPr>
          <w:fldChar w:fldCharType="separate"/>
        </w:r>
        <w:r w:rsidR="00BF69CA">
          <w:rPr>
            <w:noProof/>
            <w:webHidden/>
          </w:rPr>
          <w:t>38</w:t>
        </w:r>
        <w:r w:rsidR="00244526" w:rsidRPr="00244526">
          <w:rPr>
            <w:noProof/>
            <w:webHidden/>
          </w:rPr>
          <w:fldChar w:fldCharType="end"/>
        </w:r>
      </w:hyperlink>
    </w:p>
    <w:p w14:paraId="69BD50A8"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90" w:history="1">
        <w:r w:rsidR="00244526" w:rsidRPr="00244526">
          <w:rPr>
            <w:rStyle w:val="Hypertextovprepojenie"/>
            <w:noProof/>
            <w:lang w:val="de-DE"/>
          </w:rPr>
          <w:t xml:space="preserve">Graf </w:t>
        </w:r>
        <w:r w:rsidR="00244526" w:rsidRPr="00244526">
          <w:rPr>
            <w:rStyle w:val="Hypertextovprepojenie"/>
            <w:noProof/>
          </w:rPr>
          <w:t>19: Kompenzácie vojakov v pomere k priemernej mzde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_Toc34226890 \h </w:instrText>
        </w:r>
        <w:r w:rsidR="00244526" w:rsidRPr="00244526">
          <w:rPr>
            <w:noProof/>
            <w:webHidden/>
          </w:rPr>
        </w:r>
        <w:r w:rsidR="00244526" w:rsidRPr="00244526">
          <w:rPr>
            <w:noProof/>
            <w:webHidden/>
          </w:rPr>
          <w:fldChar w:fldCharType="separate"/>
        </w:r>
        <w:r w:rsidR="00BF69CA">
          <w:rPr>
            <w:noProof/>
            <w:webHidden/>
          </w:rPr>
          <w:t>39</w:t>
        </w:r>
        <w:r w:rsidR="00244526" w:rsidRPr="00244526">
          <w:rPr>
            <w:noProof/>
            <w:webHidden/>
          </w:rPr>
          <w:fldChar w:fldCharType="end"/>
        </w:r>
      </w:hyperlink>
    </w:p>
    <w:p w14:paraId="1ECC300C"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91" w:history="1">
        <w:r w:rsidR="00244526" w:rsidRPr="00244526">
          <w:rPr>
            <w:rStyle w:val="Hypertextovprepojenie"/>
            <w:noProof/>
          </w:rPr>
          <w:t xml:space="preserve">Graf 20: </w:t>
        </w:r>
        <w:r w:rsidR="00244526" w:rsidRPr="00244526">
          <w:rPr>
            <w:rStyle w:val="Hypertextovprepojenie"/>
            <w:rFonts w:eastAsia="Times New Roman" w:cs="Times New Roman"/>
            <w:noProof/>
          </w:rPr>
          <w:t>Očakávaný kumulatívny dopyt do roku 2030 podľa profesií (v tisícoch osôb)</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_Toc34226891 \h </w:instrText>
        </w:r>
        <w:r w:rsidR="00244526" w:rsidRPr="00244526">
          <w:rPr>
            <w:noProof/>
            <w:webHidden/>
          </w:rPr>
        </w:r>
        <w:r w:rsidR="00244526" w:rsidRPr="00244526">
          <w:rPr>
            <w:noProof/>
            <w:webHidden/>
          </w:rPr>
          <w:fldChar w:fldCharType="separate"/>
        </w:r>
        <w:r w:rsidR="00BF69CA">
          <w:rPr>
            <w:noProof/>
            <w:webHidden/>
          </w:rPr>
          <w:t>40</w:t>
        </w:r>
        <w:r w:rsidR="00244526" w:rsidRPr="00244526">
          <w:rPr>
            <w:noProof/>
            <w:webHidden/>
          </w:rPr>
          <w:fldChar w:fldCharType="end"/>
        </w:r>
      </w:hyperlink>
    </w:p>
    <w:p w14:paraId="1A5C0F3C"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92" w:history="1">
        <w:r w:rsidR="00244526" w:rsidRPr="00244526">
          <w:rPr>
            <w:rStyle w:val="Hypertextovprepojenie"/>
            <w:noProof/>
          </w:rPr>
          <w:t xml:space="preserve">Graf 21: </w:t>
        </w:r>
        <w:r w:rsidR="00244526" w:rsidRPr="00244526">
          <w:rPr>
            <w:rStyle w:val="Hypertextovprepojenie"/>
            <w:rFonts w:eastAsia="Times New Roman" w:cs="Times New Roman"/>
            <w:noProof/>
          </w:rPr>
          <w:t>Pracovníci podľa vyžadovaných zručností (podiel v % a počet v tis. osôb,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_Toc34226892 \h </w:instrText>
        </w:r>
        <w:r w:rsidR="00244526" w:rsidRPr="00244526">
          <w:rPr>
            <w:noProof/>
            <w:webHidden/>
          </w:rPr>
        </w:r>
        <w:r w:rsidR="00244526" w:rsidRPr="00244526">
          <w:rPr>
            <w:noProof/>
            <w:webHidden/>
          </w:rPr>
          <w:fldChar w:fldCharType="separate"/>
        </w:r>
        <w:r w:rsidR="00BF69CA">
          <w:rPr>
            <w:noProof/>
            <w:webHidden/>
          </w:rPr>
          <w:t>42</w:t>
        </w:r>
        <w:r w:rsidR="00244526" w:rsidRPr="00244526">
          <w:rPr>
            <w:noProof/>
            <w:webHidden/>
          </w:rPr>
          <w:fldChar w:fldCharType="end"/>
        </w:r>
      </w:hyperlink>
    </w:p>
    <w:p w14:paraId="58C1203A"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93" w:history="1">
        <w:r w:rsidR="00244526" w:rsidRPr="00244526">
          <w:rPr>
            <w:rStyle w:val="Hypertextovprepojenie"/>
            <w:noProof/>
          </w:rPr>
          <w:t>Graf 22:</w:t>
        </w:r>
        <w:r w:rsidR="00244526" w:rsidRPr="00244526">
          <w:rPr>
            <w:rStyle w:val="Hypertextovprepojenie"/>
            <w:rFonts w:eastAsia="Times New Roman" w:cs="Times New Roman"/>
            <w:noProof/>
          </w:rPr>
          <w:t xml:space="preserve"> Vzdelanostná štruktúra zamestnancov na Slovensku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_Toc34226893 \h </w:instrText>
        </w:r>
        <w:r w:rsidR="00244526" w:rsidRPr="00244526">
          <w:rPr>
            <w:noProof/>
            <w:webHidden/>
          </w:rPr>
        </w:r>
        <w:r w:rsidR="00244526" w:rsidRPr="00244526">
          <w:rPr>
            <w:noProof/>
            <w:webHidden/>
          </w:rPr>
          <w:fldChar w:fldCharType="separate"/>
        </w:r>
        <w:r w:rsidR="00BF69CA">
          <w:rPr>
            <w:noProof/>
            <w:webHidden/>
          </w:rPr>
          <w:t>43</w:t>
        </w:r>
        <w:r w:rsidR="00244526" w:rsidRPr="00244526">
          <w:rPr>
            <w:noProof/>
            <w:webHidden/>
          </w:rPr>
          <w:fldChar w:fldCharType="end"/>
        </w:r>
      </w:hyperlink>
    </w:p>
    <w:p w14:paraId="03FE2A17"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94" w:history="1">
        <w:r w:rsidR="00244526" w:rsidRPr="00244526">
          <w:rPr>
            <w:rStyle w:val="Hypertextovprepojenie"/>
            <w:noProof/>
          </w:rPr>
          <w:t>Graf 23:</w:t>
        </w:r>
        <w:r w:rsidR="00244526" w:rsidRPr="00244526">
          <w:rPr>
            <w:rStyle w:val="Hypertextovprepojenie"/>
            <w:rFonts w:eastAsia="Times New Roman" w:cs="Times New Roman"/>
            <w:noProof/>
          </w:rPr>
          <w:t xml:space="preserve"> </w:t>
        </w:r>
        <w:r w:rsidR="00244526" w:rsidRPr="00244526">
          <w:rPr>
            <w:rStyle w:val="Hypertextovprepojenie"/>
            <w:rFonts w:eastAsia="Arial" w:cs="Arial"/>
            <w:noProof/>
            <w:lang w:eastAsia="fr-FR" w:bidi="fr-FR"/>
          </w:rPr>
          <w:t>Bodový zisk vzdelaných verejných zamestnancov v testovaní zručností PIAAC (2013)</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_Toc34226894 \h </w:instrText>
        </w:r>
        <w:r w:rsidR="00244526" w:rsidRPr="00244526">
          <w:rPr>
            <w:noProof/>
            <w:webHidden/>
          </w:rPr>
        </w:r>
        <w:r w:rsidR="00244526" w:rsidRPr="00244526">
          <w:rPr>
            <w:noProof/>
            <w:webHidden/>
          </w:rPr>
          <w:fldChar w:fldCharType="separate"/>
        </w:r>
        <w:r w:rsidR="00BF69CA">
          <w:rPr>
            <w:noProof/>
            <w:webHidden/>
          </w:rPr>
          <w:t>43</w:t>
        </w:r>
        <w:r w:rsidR="00244526" w:rsidRPr="00244526">
          <w:rPr>
            <w:noProof/>
            <w:webHidden/>
          </w:rPr>
          <w:fldChar w:fldCharType="end"/>
        </w:r>
      </w:hyperlink>
    </w:p>
    <w:p w14:paraId="48A15FBD" w14:textId="2D44CB44"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95" w:history="1">
        <w:r w:rsidR="00244526" w:rsidRPr="00244526">
          <w:rPr>
            <w:rStyle w:val="Hypertextovprepojenie"/>
            <w:noProof/>
          </w:rPr>
          <w:t>Graf 24:</w:t>
        </w:r>
        <w:r w:rsidR="00244526" w:rsidRPr="00244526">
          <w:rPr>
            <w:rStyle w:val="Hypertextovprepojenie"/>
            <w:rFonts w:eastAsia="Arial" w:cs="Arial"/>
            <w:noProof/>
            <w:lang w:eastAsia="fr-FR" w:bidi="fr-FR"/>
          </w:rPr>
          <w:t xml:space="preserve"> Bodový rozdiel v testovaní PIAAC medzi skóre VŠ vzdelaných zamestnancov (2013)</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_Toc34226895 \h </w:instrText>
        </w:r>
        <w:r w:rsidR="00244526" w:rsidRPr="00244526">
          <w:rPr>
            <w:noProof/>
            <w:webHidden/>
          </w:rPr>
        </w:r>
        <w:r w:rsidR="00244526" w:rsidRPr="00244526">
          <w:rPr>
            <w:noProof/>
            <w:webHidden/>
          </w:rPr>
          <w:fldChar w:fldCharType="separate"/>
        </w:r>
        <w:r w:rsidR="00BF69CA">
          <w:rPr>
            <w:noProof/>
            <w:webHidden/>
          </w:rPr>
          <w:t>43</w:t>
        </w:r>
        <w:r w:rsidR="00244526" w:rsidRPr="00244526">
          <w:rPr>
            <w:noProof/>
            <w:webHidden/>
          </w:rPr>
          <w:fldChar w:fldCharType="end"/>
        </w:r>
      </w:hyperlink>
    </w:p>
    <w:p w14:paraId="71E2B604"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96" w:history="1">
        <w:r w:rsidR="00244526" w:rsidRPr="00244526">
          <w:rPr>
            <w:rStyle w:val="Hypertextovprepojenie"/>
            <w:noProof/>
          </w:rPr>
          <w:t>Graf 25:</w:t>
        </w:r>
        <w:r w:rsidR="00244526" w:rsidRPr="00244526">
          <w:rPr>
            <w:rStyle w:val="Hypertextovprepojenie"/>
            <w:rFonts w:eastAsia="Times New Roman" w:cs="Times New Roman"/>
            <w:noProof/>
            <w:lang w:eastAsia="sk-SK"/>
          </w:rPr>
          <w:t xml:space="preserve"> Veková štruktúra zamestnancov vo verejnom a súkromnom sektore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_Toc34226896 \h </w:instrText>
        </w:r>
        <w:r w:rsidR="00244526" w:rsidRPr="00244526">
          <w:rPr>
            <w:noProof/>
            <w:webHidden/>
          </w:rPr>
        </w:r>
        <w:r w:rsidR="00244526" w:rsidRPr="00244526">
          <w:rPr>
            <w:noProof/>
            <w:webHidden/>
          </w:rPr>
          <w:fldChar w:fldCharType="separate"/>
        </w:r>
        <w:r w:rsidR="00BF69CA">
          <w:rPr>
            <w:noProof/>
            <w:webHidden/>
          </w:rPr>
          <w:t>44</w:t>
        </w:r>
        <w:r w:rsidR="00244526" w:rsidRPr="00244526">
          <w:rPr>
            <w:noProof/>
            <w:webHidden/>
          </w:rPr>
          <w:fldChar w:fldCharType="end"/>
        </w:r>
      </w:hyperlink>
    </w:p>
    <w:p w14:paraId="216DA7EC"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97" w:history="1">
        <w:r w:rsidR="00244526" w:rsidRPr="00244526">
          <w:rPr>
            <w:rStyle w:val="Hypertextovprepojenie"/>
            <w:noProof/>
          </w:rPr>
          <w:t>Graf 26:</w:t>
        </w:r>
        <w:r w:rsidR="00244526" w:rsidRPr="00244526">
          <w:rPr>
            <w:rStyle w:val="Hypertextovprepojenie"/>
            <w:rFonts w:eastAsia="Times New Roman" w:cs="Times New Roman"/>
            <w:noProof/>
          </w:rPr>
          <w:t xml:space="preserve"> Rodová štruktúra zamestnancov na Slovensku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_Toc34226897 \h </w:instrText>
        </w:r>
        <w:r w:rsidR="00244526" w:rsidRPr="00244526">
          <w:rPr>
            <w:noProof/>
            <w:webHidden/>
          </w:rPr>
        </w:r>
        <w:r w:rsidR="00244526" w:rsidRPr="00244526">
          <w:rPr>
            <w:noProof/>
            <w:webHidden/>
          </w:rPr>
          <w:fldChar w:fldCharType="separate"/>
        </w:r>
        <w:r w:rsidR="00BF69CA">
          <w:rPr>
            <w:noProof/>
            <w:webHidden/>
          </w:rPr>
          <w:t>45</w:t>
        </w:r>
        <w:r w:rsidR="00244526" w:rsidRPr="00244526">
          <w:rPr>
            <w:noProof/>
            <w:webHidden/>
          </w:rPr>
          <w:fldChar w:fldCharType="end"/>
        </w:r>
      </w:hyperlink>
    </w:p>
    <w:p w14:paraId="06CFD4F1"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98" w:history="1">
        <w:r w:rsidR="00244526" w:rsidRPr="00244526">
          <w:rPr>
            <w:rStyle w:val="Hypertextovprepojenie"/>
            <w:noProof/>
          </w:rPr>
          <w:t>Graf 27:</w:t>
        </w:r>
        <w:r w:rsidR="00244526" w:rsidRPr="00244526">
          <w:rPr>
            <w:rStyle w:val="Hypertextovprepojenie"/>
            <w:rFonts w:eastAsia="Arial" w:cs="Arial"/>
            <w:noProof/>
            <w:lang w:eastAsia="fr-FR" w:bidi="fr-FR"/>
          </w:rPr>
          <w:t xml:space="preserve"> </w:t>
        </w:r>
        <w:r w:rsidR="00244526" w:rsidRPr="00244526">
          <w:rPr>
            <w:rStyle w:val="Hypertextovprepojenie"/>
            <w:rFonts w:eastAsia="Arial" w:cs="Arial"/>
            <w:noProof/>
            <w:lang w:val="fr-FR" w:eastAsia="fr-FR" w:bidi="fr-FR"/>
          </w:rPr>
          <w:t>Podiel zamestnancov, pracujúcich v súčasnej organizácii viac ako daný počet rokov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_Toc34226898 \h </w:instrText>
        </w:r>
        <w:r w:rsidR="00244526" w:rsidRPr="00244526">
          <w:rPr>
            <w:noProof/>
            <w:webHidden/>
          </w:rPr>
        </w:r>
        <w:r w:rsidR="00244526" w:rsidRPr="00244526">
          <w:rPr>
            <w:noProof/>
            <w:webHidden/>
          </w:rPr>
          <w:fldChar w:fldCharType="separate"/>
        </w:r>
        <w:r w:rsidR="00BF69CA">
          <w:rPr>
            <w:noProof/>
            <w:webHidden/>
          </w:rPr>
          <w:t>45</w:t>
        </w:r>
        <w:r w:rsidR="00244526" w:rsidRPr="00244526">
          <w:rPr>
            <w:noProof/>
            <w:webHidden/>
          </w:rPr>
          <w:fldChar w:fldCharType="end"/>
        </w:r>
      </w:hyperlink>
    </w:p>
    <w:p w14:paraId="6E28CA9C"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899" w:history="1">
        <w:r w:rsidR="00244526" w:rsidRPr="00244526">
          <w:rPr>
            <w:rStyle w:val="Hypertextovprepojenie"/>
            <w:noProof/>
          </w:rPr>
          <w:t>Graf 28</w:t>
        </w:r>
        <w:r w:rsidR="00244526" w:rsidRPr="00244526">
          <w:rPr>
            <w:rStyle w:val="Hypertextovprepojenie"/>
            <w:rFonts w:eastAsia="Arial" w:cs="Arial"/>
            <w:noProof/>
            <w:lang w:val="fr-FR" w:eastAsia="fr-FR" w:bidi="fr-FR"/>
          </w:rPr>
          <w:t>: Zložky mzdy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_Toc34226899 \h </w:instrText>
        </w:r>
        <w:r w:rsidR="00244526" w:rsidRPr="00244526">
          <w:rPr>
            <w:noProof/>
            <w:webHidden/>
          </w:rPr>
        </w:r>
        <w:r w:rsidR="00244526" w:rsidRPr="00244526">
          <w:rPr>
            <w:noProof/>
            <w:webHidden/>
          </w:rPr>
          <w:fldChar w:fldCharType="separate"/>
        </w:r>
        <w:r w:rsidR="00BF69CA">
          <w:rPr>
            <w:noProof/>
            <w:webHidden/>
          </w:rPr>
          <w:t>46</w:t>
        </w:r>
        <w:r w:rsidR="00244526" w:rsidRPr="00244526">
          <w:rPr>
            <w:noProof/>
            <w:webHidden/>
          </w:rPr>
          <w:fldChar w:fldCharType="end"/>
        </w:r>
      </w:hyperlink>
    </w:p>
    <w:p w14:paraId="2DF1B131"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00" w:history="1">
        <w:r w:rsidR="00244526" w:rsidRPr="00244526">
          <w:rPr>
            <w:rStyle w:val="Hypertextovprepojenie"/>
            <w:noProof/>
          </w:rPr>
          <w:t>Graf 29</w:t>
        </w:r>
        <w:r w:rsidR="00244526" w:rsidRPr="00244526">
          <w:rPr>
            <w:rStyle w:val="Hypertextovprepojenie"/>
            <w:rFonts w:eastAsia="Arial" w:cs="Arial"/>
            <w:noProof/>
            <w:lang w:val="fr-FR" w:eastAsia="sk-SK" w:bidi="fr-FR"/>
          </w:rPr>
          <w:t xml:space="preserve">: </w:t>
        </w:r>
        <w:r w:rsidR="00244526" w:rsidRPr="00244526">
          <w:rPr>
            <w:rStyle w:val="Hypertextovprepojenie"/>
            <w:rFonts w:eastAsia="Arial" w:cs="Arial"/>
            <w:noProof/>
            <w:lang w:val="fr-FR" w:eastAsia="fr-FR" w:bidi="fr-FR"/>
          </w:rPr>
          <w:t>Štruktúra platu v OECD (2007)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_Toc34226900 \h </w:instrText>
        </w:r>
        <w:r w:rsidR="00244526" w:rsidRPr="00244526">
          <w:rPr>
            <w:noProof/>
            <w:webHidden/>
          </w:rPr>
        </w:r>
        <w:r w:rsidR="00244526" w:rsidRPr="00244526">
          <w:rPr>
            <w:noProof/>
            <w:webHidden/>
          </w:rPr>
          <w:fldChar w:fldCharType="separate"/>
        </w:r>
        <w:r w:rsidR="00BF69CA">
          <w:rPr>
            <w:noProof/>
            <w:webHidden/>
          </w:rPr>
          <w:t>46</w:t>
        </w:r>
        <w:r w:rsidR="00244526" w:rsidRPr="00244526">
          <w:rPr>
            <w:noProof/>
            <w:webHidden/>
          </w:rPr>
          <w:fldChar w:fldCharType="end"/>
        </w:r>
      </w:hyperlink>
    </w:p>
    <w:p w14:paraId="2C277BA5"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01" w:history="1">
        <w:r w:rsidR="00244526" w:rsidRPr="00244526">
          <w:rPr>
            <w:rStyle w:val="Hypertextovprepojenie"/>
            <w:noProof/>
          </w:rPr>
          <w:t>Graf 30</w:t>
        </w:r>
        <w:r w:rsidR="00244526" w:rsidRPr="00244526">
          <w:rPr>
            <w:rStyle w:val="Hypertextovprepojenie"/>
            <w:rFonts w:eastAsia="Arial" w:cs="Arial"/>
            <w:noProof/>
            <w:lang w:val="fr-FR" w:eastAsia="fr-FR" w:bidi="fr-FR"/>
          </w:rPr>
          <w:t xml:space="preserve">: </w:t>
        </w:r>
        <w:r w:rsidR="00244526" w:rsidRPr="00244526">
          <w:rPr>
            <w:rStyle w:val="Hypertextovprepojenie"/>
            <w:rFonts w:eastAsia="Arial" w:cs="Arial"/>
            <w:noProof/>
            <w:lang w:val="fr-FR" w:eastAsia="sk-SK" w:bidi="fr-FR"/>
          </w:rPr>
          <w:t>Rozptyl miezd v štátnej správe (2016)</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_Toc34226901 \h </w:instrText>
        </w:r>
        <w:r w:rsidR="00244526" w:rsidRPr="00244526">
          <w:rPr>
            <w:noProof/>
            <w:webHidden/>
          </w:rPr>
        </w:r>
        <w:r w:rsidR="00244526" w:rsidRPr="00244526">
          <w:rPr>
            <w:noProof/>
            <w:webHidden/>
          </w:rPr>
          <w:fldChar w:fldCharType="separate"/>
        </w:r>
        <w:r w:rsidR="00BF69CA">
          <w:rPr>
            <w:noProof/>
            <w:webHidden/>
          </w:rPr>
          <w:t>46</w:t>
        </w:r>
        <w:r w:rsidR="00244526" w:rsidRPr="00244526">
          <w:rPr>
            <w:noProof/>
            <w:webHidden/>
          </w:rPr>
          <w:fldChar w:fldCharType="end"/>
        </w:r>
      </w:hyperlink>
    </w:p>
    <w:p w14:paraId="01BF306D"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02" w:history="1">
        <w:r w:rsidR="00244526" w:rsidRPr="00244526">
          <w:rPr>
            <w:rStyle w:val="Hypertextovprepojenie"/>
            <w:noProof/>
          </w:rPr>
          <w:t xml:space="preserve">Graf 31: </w:t>
        </w:r>
        <w:r w:rsidR="00244526" w:rsidRPr="00244526">
          <w:rPr>
            <w:rStyle w:val="Hypertextovprepojenie"/>
            <w:rFonts w:eastAsia="Arial" w:cs="Arial"/>
            <w:noProof/>
            <w:lang w:val="fr-FR" w:eastAsia="fr-FR" w:bidi="fr-FR"/>
          </w:rPr>
          <w:t>Podiel kvalifikovaných pracovníkov* s danou mzdou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_Toc34226902 \h </w:instrText>
        </w:r>
        <w:r w:rsidR="00244526" w:rsidRPr="00244526">
          <w:rPr>
            <w:noProof/>
            <w:webHidden/>
          </w:rPr>
        </w:r>
        <w:r w:rsidR="00244526" w:rsidRPr="00244526">
          <w:rPr>
            <w:noProof/>
            <w:webHidden/>
          </w:rPr>
          <w:fldChar w:fldCharType="separate"/>
        </w:r>
        <w:r w:rsidR="00BF69CA">
          <w:rPr>
            <w:noProof/>
            <w:webHidden/>
          </w:rPr>
          <w:t>47</w:t>
        </w:r>
        <w:r w:rsidR="00244526" w:rsidRPr="00244526">
          <w:rPr>
            <w:noProof/>
            <w:webHidden/>
          </w:rPr>
          <w:fldChar w:fldCharType="end"/>
        </w:r>
      </w:hyperlink>
    </w:p>
    <w:p w14:paraId="1EB18404"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03" w:history="1">
        <w:r w:rsidR="00244526" w:rsidRPr="00244526">
          <w:rPr>
            <w:rStyle w:val="Hypertextovprepojenie"/>
            <w:noProof/>
          </w:rPr>
          <w:t>Graf 32</w:t>
        </w:r>
        <w:r w:rsidR="00244526" w:rsidRPr="00244526">
          <w:rPr>
            <w:rStyle w:val="Hypertextovprepojenie"/>
            <w:rFonts w:eastAsia="Arial" w:cs="Arial"/>
            <w:noProof/>
            <w:lang w:val="fr-FR" w:eastAsia="fr-FR" w:bidi="fr-FR"/>
          </w:rPr>
          <w:t>: Podiel odmien na mzde podľa mzdového decilu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_Toc34226903 \h </w:instrText>
        </w:r>
        <w:r w:rsidR="00244526" w:rsidRPr="00244526">
          <w:rPr>
            <w:noProof/>
            <w:webHidden/>
          </w:rPr>
        </w:r>
        <w:r w:rsidR="00244526" w:rsidRPr="00244526">
          <w:rPr>
            <w:noProof/>
            <w:webHidden/>
          </w:rPr>
          <w:fldChar w:fldCharType="separate"/>
        </w:r>
        <w:r w:rsidR="00BF69CA">
          <w:rPr>
            <w:noProof/>
            <w:webHidden/>
          </w:rPr>
          <w:t>47</w:t>
        </w:r>
        <w:r w:rsidR="00244526" w:rsidRPr="00244526">
          <w:rPr>
            <w:noProof/>
            <w:webHidden/>
          </w:rPr>
          <w:fldChar w:fldCharType="end"/>
        </w:r>
      </w:hyperlink>
    </w:p>
    <w:p w14:paraId="1B224CB3"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04" w:history="1">
        <w:r w:rsidR="00244526" w:rsidRPr="00244526">
          <w:rPr>
            <w:rStyle w:val="Hypertextovprepojenie"/>
            <w:noProof/>
          </w:rPr>
          <w:t>Graf 33</w:t>
        </w:r>
        <w:r w:rsidR="00244526" w:rsidRPr="00244526">
          <w:rPr>
            <w:rStyle w:val="Hypertextovprepojenie"/>
            <w:rFonts w:eastAsia="Arial" w:cs="Arial"/>
            <w:noProof/>
            <w:lang w:val="fr-FR" w:eastAsia="fr-FR" w:bidi="fr-FR"/>
          </w:rPr>
          <w:t>: Hodinové mzdy v závislosti od veku zamestnanca, VŠ vzdelaní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_Toc34226904 \h </w:instrText>
        </w:r>
        <w:r w:rsidR="00244526" w:rsidRPr="00244526">
          <w:rPr>
            <w:noProof/>
            <w:webHidden/>
          </w:rPr>
        </w:r>
        <w:r w:rsidR="00244526" w:rsidRPr="00244526">
          <w:rPr>
            <w:noProof/>
            <w:webHidden/>
          </w:rPr>
          <w:fldChar w:fldCharType="separate"/>
        </w:r>
        <w:r w:rsidR="00BF69CA">
          <w:rPr>
            <w:noProof/>
            <w:webHidden/>
          </w:rPr>
          <w:t>48</w:t>
        </w:r>
        <w:r w:rsidR="00244526" w:rsidRPr="00244526">
          <w:rPr>
            <w:noProof/>
            <w:webHidden/>
          </w:rPr>
          <w:fldChar w:fldCharType="end"/>
        </w:r>
      </w:hyperlink>
    </w:p>
    <w:p w14:paraId="0DE51ED6"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05" w:history="1">
        <w:r w:rsidR="00244526" w:rsidRPr="00244526">
          <w:rPr>
            <w:rStyle w:val="Hypertextovprepojenie"/>
            <w:noProof/>
          </w:rPr>
          <w:t xml:space="preserve">Graf 34: Ilustratívny príklad platových intervalov podľa platových tried </w:t>
        </w:r>
        <w:r w:rsidR="00244526" w:rsidRPr="00244526">
          <w:rPr>
            <w:rStyle w:val="Hypertextovprepojenie"/>
            <w:noProof/>
            <w:lang w:val="pt-BR"/>
          </w:rPr>
          <w:t>(hrubá mzda v eur mesačne)</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_Toc34226905 \h </w:instrText>
        </w:r>
        <w:r w:rsidR="00244526" w:rsidRPr="00244526">
          <w:rPr>
            <w:noProof/>
            <w:webHidden/>
          </w:rPr>
        </w:r>
        <w:r w:rsidR="00244526" w:rsidRPr="00244526">
          <w:rPr>
            <w:noProof/>
            <w:webHidden/>
          </w:rPr>
          <w:fldChar w:fldCharType="separate"/>
        </w:r>
        <w:r w:rsidR="00BF69CA">
          <w:rPr>
            <w:noProof/>
            <w:webHidden/>
          </w:rPr>
          <w:t>48</w:t>
        </w:r>
        <w:r w:rsidR="00244526" w:rsidRPr="00244526">
          <w:rPr>
            <w:noProof/>
            <w:webHidden/>
          </w:rPr>
          <w:fldChar w:fldCharType="end"/>
        </w:r>
      </w:hyperlink>
    </w:p>
    <w:p w14:paraId="29DCA6E0" w14:textId="684BBB6E"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06" w:history="1">
        <w:r w:rsidR="00244526" w:rsidRPr="00244526">
          <w:rPr>
            <w:rStyle w:val="Hypertextovprepojenie"/>
            <w:noProof/>
          </w:rPr>
          <w:t>Graf 35:</w:t>
        </w:r>
        <w:r w:rsidR="00244526" w:rsidRPr="00244526">
          <w:rPr>
            <w:rStyle w:val="Hypertextovprepojenie"/>
            <w:rFonts w:eastAsia="Arial" w:cs="Arial"/>
            <w:noProof/>
            <w:lang w:val="fr-FR" w:eastAsia="fr-FR" w:bidi="fr-FR"/>
          </w:rPr>
          <w:t xml:space="preserve"> Mzda vo ver</w:t>
        </w:r>
        <w:r w:rsidR="00FC5285">
          <w:rPr>
            <w:rStyle w:val="Hypertextovprepojenie"/>
            <w:rFonts w:eastAsia="Arial" w:cs="Arial"/>
            <w:noProof/>
            <w:lang w:val="fr-FR" w:eastAsia="fr-FR" w:bidi="fr-FR"/>
          </w:rPr>
          <w:t>.</w:t>
        </w:r>
        <w:r w:rsidR="00244526" w:rsidRPr="00244526">
          <w:rPr>
            <w:rStyle w:val="Hypertextovprepojenie"/>
            <w:rFonts w:eastAsia="Arial" w:cs="Arial"/>
            <w:noProof/>
            <w:lang w:val="fr-FR" w:eastAsia="fr-FR" w:bidi="fr-FR"/>
          </w:rPr>
          <w:t xml:space="preserve"> sektore voči mediánovej mzde porovnateľných zamestnancov súkr</w:t>
        </w:r>
        <w:r w:rsidR="00FC5285">
          <w:rPr>
            <w:rStyle w:val="Hypertextovprepojenie"/>
            <w:rFonts w:eastAsia="Arial" w:cs="Arial"/>
            <w:noProof/>
            <w:lang w:val="fr-FR" w:eastAsia="fr-FR" w:bidi="fr-FR"/>
          </w:rPr>
          <w:t xml:space="preserve">. </w:t>
        </w:r>
        <w:r w:rsidR="00244526" w:rsidRPr="00244526">
          <w:rPr>
            <w:rStyle w:val="Hypertextovprepojenie"/>
            <w:rFonts w:eastAsia="Arial" w:cs="Arial"/>
            <w:noProof/>
            <w:lang w:val="fr-FR" w:eastAsia="fr-FR" w:bidi="fr-FR"/>
          </w:rPr>
          <w:t xml:space="preserve">sektora </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_Toc34226906 \h </w:instrText>
        </w:r>
        <w:r w:rsidR="00244526" w:rsidRPr="00244526">
          <w:rPr>
            <w:noProof/>
            <w:webHidden/>
          </w:rPr>
        </w:r>
        <w:r w:rsidR="00244526" w:rsidRPr="00244526">
          <w:rPr>
            <w:noProof/>
            <w:webHidden/>
          </w:rPr>
          <w:fldChar w:fldCharType="separate"/>
        </w:r>
        <w:r w:rsidR="00BF69CA">
          <w:rPr>
            <w:noProof/>
            <w:webHidden/>
          </w:rPr>
          <w:t>50</w:t>
        </w:r>
        <w:r w:rsidR="00244526" w:rsidRPr="00244526">
          <w:rPr>
            <w:noProof/>
            <w:webHidden/>
          </w:rPr>
          <w:fldChar w:fldCharType="end"/>
        </w:r>
      </w:hyperlink>
    </w:p>
    <w:p w14:paraId="10FA9C85" w14:textId="126FA24A" w:rsidR="00244526" w:rsidRPr="00244526" w:rsidRDefault="00D62879" w:rsidP="00244526">
      <w:pPr>
        <w:pStyle w:val="Zoznamobrzkov"/>
        <w:tabs>
          <w:tab w:val="left" w:pos="880"/>
          <w:tab w:val="right" w:leader="dot" w:pos="9062"/>
        </w:tabs>
        <w:contextualSpacing/>
        <w:rPr>
          <w:rFonts w:asciiTheme="minorHAnsi" w:eastAsiaTheme="minorEastAsia" w:hAnsiTheme="minorHAnsi"/>
          <w:noProof/>
          <w:lang w:eastAsia="sk-SK"/>
        </w:rPr>
      </w:pPr>
      <w:hyperlink w:anchor="_Toc34226907" w:history="1">
        <w:r w:rsidR="00244526" w:rsidRPr="00244526">
          <w:rPr>
            <w:rStyle w:val="Hypertextovprepojenie"/>
            <w:noProof/>
          </w:rPr>
          <w:t>Graf 36</w:t>
        </w:r>
        <w:r w:rsidR="00FC5285">
          <w:rPr>
            <w:rStyle w:val="Hypertextovprepojenie"/>
            <w:noProof/>
          </w:rPr>
          <w:t>:</w:t>
        </w:r>
        <w:r w:rsidR="00FC5285">
          <w:rPr>
            <w:rStyle w:val="Hypertextovprepojenie"/>
            <w:rFonts w:eastAsia="Arial" w:cs="Arial"/>
            <w:noProof/>
            <w:lang w:val="fr-FR" w:eastAsia="fr-FR" w:bidi="fr-FR"/>
          </w:rPr>
          <w:t xml:space="preserve"> </w:t>
        </w:r>
        <w:r w:rsidR="00244526" w:rsidRPr="00244526">
          <w:rPr>
            <w:rStyle w:val="Hypertextovprepojenie"/>
            <w:rFonts w:eastAsia="Arial" w:cs="Arial"/>
            <w:noProof/>
            <w:lang w:val="fr-FR" w:eastAsia="fr-FR" w:bidi="fr-FR"/>
          </w:rPr>
          <w:t>Nevysvetlená medzera medzi verejným a súkromným sektorom (2014)</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_Toc34226907 \h </w:instrText>
        </w:r>
        <w:r w:rsidR="00244526" w:rsidRPr="00244526">
          <w:rPr>
            <w:noProof/>
            <w:webHidden/>
          </w:rPr>
        </w:r>
        <w:r w:rsidR="00244526" w:rsidRPr="00244526">
          <w:rPr>
            <w:noProof/>
            <w:webHidden/>
          </w:rPr>
          <w:fldChar w:fldCharType="separate"/>
        </w:r>
        <w:r w:rsidR="00BF69CA">
          <w:rPr>
            <w:noProof/>
            <w:webHidden/>
          </w:rPr>
          <w:t>53</w:t>
        </w:r>
        <w:r w:rsidR="00244526" w:rsidRPr="00244526">
          <w:rPr>
            <w:noProof/>
            <w:webHidden/>
          </w:rPr>
          <w:fldChar w:fldCharType="end"/>
        </w:r>
      </w:hyperlink>
    </w:p>
    <w:p w14:paraId="7953562E" w14:textId="6536DE99"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08" w:history="1">
        <w:r w:rsidR="00244526" w:rsidRPr="00244526">
          <w:rPr>
            <w:rStyle w:val="Hypertextovprepojenie"/>
            <w:noProof/>
          </w:rPr>
          <w:t>Graf 37:</w:t>
        </w:r>
        <w:r w:rsidR="00244526" w:rsidRPr="00244526">
          <w:rPr>
            <w:rStyle w:val="Hypertextovprepojenie"/>
            <w:rFonts w:eastAsia="Arial" w:cs="Arial"/>
            <w:noProof/>
            <w:lang w:eastAsia="fr-FR" w:bidi="fr-FR"/>
          </w:rPr>
          <w:t xml:space="preserve"> </w:t>
        </w:r>
        <w:r w:rsidR="00244526" w:rsidRPr="00244526">
          <w:rPr>
            <w:rStyle w:val="Hypertextovprepojenie"/>
            <w:rFonts w:eastAsia="Arial" w:cs="Arial"/>
            <w:noProof/>
            <w:lang w:val="fr-FR" w:eastAsia="fr-FR" w:bidi="fr-FR"/>
          </w:rPr>
          <w:t>Podiel zamestnancov ver</w:t>
        </w:r>
        <w:r w:rsidR="00244526">
          <w:rPr>
            <w:rStyle w:val="Hypertextovprepojenie"/>
            <w:rFonts w:eastAsia="Arial" w:cs="Arial"/>
            <w:noProof/>
            <w:lang w:val="fr-FR" w:eastAsia="fr-FR" w:bidi="fr-FR"/>
          </w:rPr>
          <w:t>.</w:t>
        </w:r>
        <w:r w:rsidR="00FC5285">
          <w:rPr>
            <w:rStyle w:val="Hypertextovprepojenie"/>
            <w:rFonts w:eastAsia="Arial" w:cs="Arial"/>
            <w:noProof/>
            <w:lang w:val="fr-FR" w:eastAsia="fr-FR" w:bidi="fr-FR"/>
          </w:rPr>
          <w:t xml:space="preserve"> </w:t>
        </w:r>
        <w:r w:rsidR="00244526" w:rsidRPr="00244526">
          <w:rPr>
            <w:rStyle w:val="Hypertextovprepojenie"/>
            <w:rFonts w:eastAsia="Arial" w:cs="Arial"/>
            <w:noProof/>
            <w:lang w:val="fr-FR" w:eastAsia="fr-FR" w:bidi="fr-FR"/>
          </w:rPr>
          <w:t>sektora s mzdou nad mediánom zamestnancov súkr</w:t>
        </w:r>
        <w:r w:rsidR="00FC5285">
          <w:rPr>
            <w:rStyle w:val="Hypertextovprepojenie"/>
            <w:rFonts w:eastAsia="Arial" w:cs="Arial"/>
            <w:noProof/>
            <w:lang w:val="fr-FR" w:eastAsia="fr-FR" w:bidi="fr-FR"/>
          </w:rPr>
          <w:t>.</w:t>
        </w:r>
        <w:r w:rsidR="00244526" w:rsidRPr="00244526">
          <w:rPr>
            <w:rStyle w:val="Hypertextovprepojenie"/>
            <w:rFonts w:eastAsia="Arial" w:cs="Arial"/>
            <w:noProof/>
            <w:lang w:val="fr-FR" w:eastAsia="fr-FR" w:bidi="fr-FR"/>
          </w:rPr>
          <w:t xml:space="preserve"> sektora v regióne</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_Toc34226908 \h </w:instrText>
        </w:r>
        <w:r w:rsidR="00244526" w:rsidRPr="00244526">
          <w:rPr>
            <w:noProof/>
            <w:webHidden/>
          </w:rPr>
        </w:r>
        <w:r w:rsidR="00244526" w:rsidRPr="00244526">
          <w:rPr>
            <w:noProof/>
            <w:webHidden/>
          </w:rPr>
          <w:fldChar w:fldCharType="separate"/>
        </w:r>
        <w:r w:rsidR="00BF69CA">
          <w:rPr>
            <w:noProof/>
            <w:webHidden/>
          </w:rPr>
          <w:t>54</w:t>
        </w:r>
        <w:r w:rsidR="00244526" w:rsidRPr="00244526">
          <w:rPr>
            <w:noProof/>
            <w:webHidden/>
          </w:rPr>
          <w:fldChar w:fldCharType="end"/>
        </w:r>
      </w:hyperlink>
    </w:p>
    <w:p w14:paraId="0D1E27F0"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09" w:history="1">
        <w:r w:rsidR="00244526" w:rsidRPr="00244526">
          <w:rPr>
            <w:rStyle w:val="Hypertextovprepojenie"/>
            <w:noProof/>
          </w:rPr>
          <w:t>Graf 38: Vyjednaný rast platov vybraných skupín (% rastu oproti rovnakému obdobiu predchádzajúceho roka)</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_Toc34226909 \h </w:instrText>
        </w:r>
        <w:r w:rsidR="00244526" w:rsidRPr="00244526">
          <w:rPr>
            <w:noProof/>
            <w:webHidden/>
          </w:rPr>
        </w:r>
        <w:r w:rsidR="00244526" w:rsidRPr="00244526">
          <w:rPr>
            <w:noProof/>
            <w:webHidden/>
          </w:rPr>
          <w:fldChar w:fldCharType="separate"/>
        </w:r>
        <w:r w:rsidR="00BF69CA">
          <w:rPr>
            <w:noProof/>
            <w:webHidden/>
          </w:rPr>
          <w:t>62</w:t>
        </w:r>
        <w:r w:rsidR="00244526" w:rsidRPr="00244526">
          <w:rPr>
            <w:noProof/>
            <w:webHidden/>
          </w:rPr>
          <w:fldChar w:fldCharType="end"/>
        </w:r>
      </w:hyperlink>
    </w:p>
    <w:p w14:paraId="58EED42A" w14:textId="4E189CEB"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10" w:history="1">
        <w:r w:rsidR="00244526" w:rsidRPr="00244526">
          <w:rPr>
            <w:rStyle w:val="Hypertextovprepojenie"/>
            <w:noProof/>
          </w:rPr>
          <w:t>Graf 39: Priemerná mzda ako násobok priemernej mzdy vysokoškolsky vzdelaných osôb v hospodárstve</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_Toc34226910 \h </w:instrText>
        </w:r>
        <w:r w:rsidR="00244526" w:rsidRPr="00244526">
          <w:rPr>
            <w:noProof/>
            <w:webHidden/>
          </w:rPr>
        </w:r>
        <w:r w:rsidR="00244526" w:rsidRPr="00244526">
          <w:rPr>
            <w:noProof/>
            <w:webHidden/>
          </w:rPr>
          <w:fldChar w:fldCharType="separate"/>
        </w:r>
        <w:r w:rsidR="00BF69CA">
          <w:rPr>
            <w:noProof/>
            <w:webHidden/>
          </w:rPr>
          <w:t>62</w:t>
        </w:r>
        <w:r w:rsidR="00244526" w:rsidRPr="00244526">
          <w:rPr>
            <w:noProof/>
            <w:webHidden/>
          </w:rPr>
          <w:fldChar w:fldCharType="end"/>
        </w:r>
      </w:hyperlink>
    </w:p>
    <w:p w14:paraId="5D4E2F04"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11" w:history="1">
        <w:r w:rsidR="00244526" w:rsidRPr="00244526">
          <w:rPr>
            <w:rStyle w:val="Hypertextovprepojenie"/>
            <w:noProof/>
          </w:rPr>
          <w:t>Graf 40: Priemerná miera voľných pracovných miest vo verejnej správe, v %, 2011-2018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_Toc34226911 \h </w:instrText>
        </w:r>
        <w:r w:rsidR="00244526" w:rsidRPr="00244526">
          <w:rPr>
            <w:noProof/>
            <w:webHidden/>
          </w:rPr>
        </w:r>
        <w:r w:rsidR="00244526" w:rsidRPr="00244526">
          <w:rPr>
            <w:noProof/>
            <w:webHidden/>
          </w:rPr>
          <w:fldChar w:fldCharType="separate"/>
        </w:r>
        <w:r w:rsidR="00BF69CA">
          <w:rPr>
            <w:noProof/>
            <w:webHidden/>
          </w:rPr>
          <w:t>64</w:t>
        </w:r>
        <w:r w:rsidR="00244526" w:rsidRPr="00244526">
          <w:rPr>
            <w:noProof/>
            <w:webHidden/>
          </w:rPr>
          <w:fldChar w:fldCharType="end"/>
        </w:r>
      </w:hyperlink>
    </w:p>
    <w:p w14:paraId="1B6E8B8A"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12" w:history="1">
        <w:r w:rsidR="00244526" w:rsidRPr="00244526">
          <w:rPr>
            <w:rStyle w:val="Hypertextovprepojenie"/>
            <w:noProof/>
          </w:rPr>
          <w:t>Graf 41: Priemerné počty neobsadených miest rezortov (2011-2018)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_Toc34226912 \h </w:instrText>
        </w:r>
        <w:r w:rsidR="00244526" w:rsidRPr="00244526">
          <w:rPr>
            <w:noProof/>
            <w:webHidden/>
          </w:rPr>
        </w:r>
        <w:r w:rsidR="00244526" w:rsidRPr="00244526">
          <w:rPr>
            <w:noProof/>
            <w:webHidden/>
          </w:rPr>
          <w:fldChar w:fldCharType="separate"/>
        </w:r>
        <w:r w:rsidR="00BF69CA">
          <w:rPr>
            <w:noProof/>
            <w:webHidden/>
          </w:rPr>
          <w:t>64</w:t>
        </w:r>
        <w:r w:rsidR="00244526" w:rsidRPr="00244526">
          <w:rPr>
            <w:noProof/>
            <w:webHidden/>
          </w:rPr>
          <w:fldChar w:fldCharType="end"/>
        </w:r>
      </w:hyperlink>
    </w:p>
    <w:p w14:paraId="7AEBF3DD"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13" w:history="1">
        <w:r w:rsidR="00244526" w:rsidRPr="00244526">
          <w:rPr>
            <w:rStyle w:val="Hypertextovprepojenie"/>
            <w:rFonts w:eastAsia="Calibri" w:cs="Times New Roman"/>
            <w:noProof/>
          </w:rPr>
          <w:t>Graf 42</w:t>
        </w:r>
        <w:r w:rsidR="00244526" w:rsidRPr="00244526">
          <w:rPr>
            <w:rStyle w:val="Hypertextovprepojenie"/>
            <w:rFonts w:eastAsia="Calibri" w:cs="Times New Roman"/>
            <w:noProof/>
            <w:lang w:eastAsia="sk-SK"/>
          </w:rPr>
          <w:t xml:space="preserve">: </w:t>
        </w:r>
        <w:r w:rsidR="00244526" w:rsidRPr="00244526">
          <w:rPr>
            <w:rStyle w:val="Hypertextovprepojenie"/>
            <w:rFonts w:eastAsia="Calibri" w:cs="Times New Roman"/>
            <w:noProof/>
          </w:rPr>
          <w:t>Rozpočtované a skutočné výdavky na kompenzácie, v mld. eur a %</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_Toc34226913 \h </w:instrText>
        </w:r>
        <w:r w:rsidR="00244526" w:rsidRPr="00244526">
          <w:rPr>
            <w:noProof/>
            <w:webHidden/>
          </w:rPr>
        </w:r>
        <w:r w:rsidR="00244526" w:rsidRPr="00244526">
          <w:rPr>
            <w:noProof/>
            <w:webHidden/>
          </w:rPr>
          <w:fldChar w:fldCharType="separate"/>
        </w:r>
        <w:r w:rsidR="00BF69CA">
          <w:rPr>
            <w:noProof/>
            <w:webHidden/>
          </w:rPr>
          <w:t>65</w:t>
        </w:r>
        <w:r w:rsidR="00244526" w:rsidRPr="00244526">
          <w:rPr>
            <w:noProof/>
            <w:webHidden/>
          </w:rPr>
          <w:fldChar w:fldCharType="end"/>
        </w:r>
      </w:hyperlink>
    </w:p>
    <w:p w14:paraId="48F7511B"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14" w:history="1">
        <w:r w:rsidR="00244526" w:rsidRPr="00244526">
          <w:rPr>
            <w:rStyle w:val="Hypertextovprepojenie"/>
            <w:rFonts w:eastAsia="Calibri" w:cs="Times New Roman"/>
            <w:noProof/>
          </w:rPr>
          <w:t>Graf 43: Priemerné odchýlky zložiek výdavkov na kompenzácie od rozpočtu, v mil. eur a % (2011-2019)</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_Toc34226914 \h </w:instrText>
        </w:r>
        <w:r w:rsidR="00244526" w:rsidRPr="00244526">
          <w:rPr>
            <w:noProof/>
            <w:webHidden/>
          </w:rPr>
        </w:r>
        <w:r w:rsidR="00244526" w:rsidRPr="00244526">
          <w:rPr>
            <w:noProof/>
            <w:webHidden/>
          </w:rPr>
          <w:fldChar w:fldCharType="separate"/>
        </w:r>
        <w:r w:rsidR="00BF69CA">
          <w:rPr>
            <w:noProof/>
            <w:webHidden/>
          </w:rPr>
          <w:t>65</w:t>
        </w:r>
        <w:r w:rsidR="00244526" w:rsidRPr="00244526">
          <w:rPr>
            <w:noProof/>
            <w:webHidden/>
          </w:rPr>
          <w:fldChar w:fldCharType="end"/>
        </w:r>
      </w:hyperlink>
    </w:p>
    <w:p w14:paraId="52EF6155"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15" w:history="1">
        <w:r w:rsidR="00244526" w:rsidRPr="00244526">
          <w:rPr>
            <w:rStyle w:val="Hypertextovprepojenie"/>
            <w:noProof/>
          </w:rPr>
          <w:t>Graf 44: Miera delegovania riadenia ľudských zdrojov v štátnej správe vo vybraných krajinách (index, 2014)</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_Toc34226915 \h </w:instrText>
        </w:r>
        <w:r w:rsidR="00244526" w:rsidRPr="00244526">
          <w:rPr>
            <w:noProof/>
            <w:webHidden/>
          </w:rPr>
        </w:r>
        <w:r w:rsidR="00244526" w:rsidRPr="00244526">
          <w:rPr>
            <w:noProof/>
            <w:webHidden/>
          </w:rPr>
          <w:fldChar w:fldCharType="separate"/>
        </w:r>
        <w:r w:rsidR="00BF69CA">
          <w:rPr>
            <w:noProof/>
            <w:webHidden/>
          </w:rPr>
          <w:t>67</w:t>
        </w:r>
        <w:r w:rsidR="00244526" w:rsidRPr="00244526">
          <w:rPr>
            <w:noProof/>
            <w:webHidden/>
          </w:rPr>
          <w:fldChar w:fldCharType="end"/>
        </w:r>
      </w:hyperlink>
    </w:p>
    <w:p w14:paraId="4475E2A1" w14:textId="118C9613"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16" w:history="1">
        <w:r w:rsidR="00244526" w:rsidRPr="00244526">
          <w:rPr>
            <w:rStyle w:val="Hypertextovprepojenie"/>
            <w:noProof/>
            <w:lang w:eastAsia="sk-SK"/>
          </w:rPr>
          <w:t>Graf 45: Zamestnanci podporných a prierezových činností v ústredných orgánoch štátnej správy</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_Toc34226916 \h </w:instrText>
        </w:r>
        <w:r w:rsidR="00244526" w:rsidRPr="00244526">
          <w:rPr>
            <w:noProof/>
            <w:webHidden/>
          </w:rPr>
        </w:r>
        <w:r w:rsidR="00244526" w:rsidRPr="00244526">
          <w:rPr>
            <w:noProof/>
            <w:webHidden/>
          </w:rPr>
          <w:fldChar w:fldCharType="separate"/>
        </w:r>
        <w:r w:rsidR="00BF69CA">
          <w:rPr>
            <w:noProof/>
            <w:webHidden/>
          </w:rPr>
          <w:t>69</w:t>
        </w:r>
        <w:r w:rsidR="00244526" w:rsidRPr="00244526">
          <w:rPr>
            <w:noProof/>
            <w:webHidden/>
          </w:rPr>
          <w:fldChar w:fldCharType="end"/>
        </w:r>
      </w:hyperlink>
    </w:p>
    <w:p w14:paraId="798411C7"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17" w:history="1">
        <w:r w:rsidR="00244526" w:rsidRPr="00244526">
          <w:rPr>
            <w:rStyle w:val="Hypertextovprepojenie"/>
            <w:noProof/>
          </w:rPr>
          <w:t>Graf 46: Celkové ročné náklady na zabezpečenie podporných činností na jedného zamestnanca (eur)</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_Toc34226917 \h </w:instrText>
        </w:r>
        <w:r w:rsidR="00244526" w:rsidRPr="00244526">
          <w:rPr>
            <w:noProof/>
            <w:webHidden/>
          </w:rPr>
        </w:r>
        <w:r w:rsidR="00244526" w:rsidRPr="00244526">
          <w:rPr>
            <w:noProof/>
            <w:webHidden/>
          </w:rPr>
          <w:fldChar w:fldCharType="separate"/>
        </w:r>
        <w:r w:rsidR="00BF69CA">
          <w:rPr>
            <w:noProof/>
            <w:webHidden/>
          </w:rPr>
          <w:t>70</w:t>
        </w:r>
        <w:r w:rsidR="00244526" w:rsidRPr="00244526">
          <w:rPr>
            <w:noProof/>
            <w:webHidden/>
          </w:rPr>
          <w:fldChar w:fldCharType="end"/>
        </w:r>
      </w:hyperlink>
    </w:p>
    <w:p w14:paraId="5AAAF095"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18" w:history="1">
        <w:r w:rsidR="00244526" w:rsidRPr="00244526">
          <w:rPr>
            <w:rStyle w:val="Hypertextovprepojenie"/>
            <w:noProof/>
            <w:lang w:eastAsia="sk-SK"/>
          </w:rPr>
          <w:t>Graf 47: Priemerná mesačná hrubá mzda (s odmenami) zamestnanca podpornej činnosti (2017; eur)</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_Toc34226918 \h </w:instrText>
        </w:r>
        <w:r w:rsidR="00244526" w:rsidRPr="00244526">
          <w:rPr>
            <w:noProof/>
            <w:webHidden/>
          </w:rPr>
        </w:r>
        <w:r w:rsidR="00244526" w:rsidRPr="00244526">
          <w:rPr>
            <w:noProof/>
            <w:webHidden/>
          </w:rPr>
          <w:fldChar w:fldCharType="separate"/>
        </w:r>
        <w:r w:rsidR="00BF69CA">
          <w:rPr>
            <w:noProof/>
            <w:webHidden/>
          </w:rPr>
          <w:t>70</w:t>
        </w:r>
        <w:r w:rsidR="00244526" w:rsidRPr="00244526">
          <w:rPr>
            <w:noProof/>
            <w:webHidden/>
          </w:rPr>
          <w:fldChar w:fldCharType="end"/>
        </w:r>
      </w:hyperlink>
    </w:p>
    <w:p w14:paraId="6ADC768B" w14:textId="22E78BDB"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19" w:history="1">
        <w:r w:rsidR="00244526" w:rsidRPr="00244526">
          <w:rPr>
            <w:rStyle w:val="Hypertextovprepojenie"/>
            <w:noProof/>
            <w:lang w:eastAsia="sk-SK"/>
          </w:rPr>
          <w:t>Graf 48: Potenciál úspor v podporných a prierezových činnostiach v 12 ústrednýc</w:t>
        </w:r>
        <w:r w:rsidR="00244526">
          <w:rPr>
            <w:rStyle w:val="Hypertextovprepojenie"/>
            <w:noProof/>
            <w:lang w:eastAsia="sk-SK"/>
          </w:rPr>
          <w:t>h orgánoch štátnej správy</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_Toc34226919 \h </w:instrText>
        </w:r>
        <w:r w:rsidR="00244526" w:rsidRPr="00244526">
          <w:rPr>
            <w:noProof/>
            <w:webHidden/>
          </w:rPr>
        </w:r>
        <w:r w:rsidR="00244526" w:rsidRPr="00244526">
          <w:rPr>
            <w:noProof/>
            <w:webHidden/>
          </w:rPr>
          <w:fldChar w:fldCharType="separate"/>
        </w:r>
        <w:r w:rsidR="00BF69CA">
          <w:rPr>
            <w:noProof/>
            <w:webHidden/>
          </w:rPr>
          <w:t>71</w:t>
        </w:r>
        <w:r w:rsidR="00244526" w:rsidRPr="00244526">
          <w:rPr>
            <w:noProof/>
            <w:webHidden/>
          </w:rPr>
          <w:fldChar w:fldCharType="end"/>
        </w:r>
      </w:hyperlink>
    </w:p>
    <w:p w14:paraId="26BC9A59"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20" w:history="1">
        <w:r w:rsidR="00244526" w:rsidRPr="00244526">
          <w:rPr>
            <w:rStyle w:val="Hypertextovprepojenie"/>
            <w:noProof/>
            <w:lang w:eastAsia="sk-SK"/>
          </w:rPr>
          <w:t>Graf 49: Potenciál úspor v podporných a prierezových činnostiach v analyzovaných PRO (mil. eur,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_Toc34226920 \h </w:instrText>
        </w:r>
        <w:r w:rsidR="00244526" w:rsidRPr="00244526">
          <w:rPr>
            <w:noProof/>
            <w:webHidden/>
          </w:rPr>
        </w:r>
        <w:r w:rsidR="00244526" w:rsidRPr="00244526">
          <w:rPr>
            <w:noProof/>
            <w:webHidden/>
          </w:rPr>
          <w:fldChar w:fldCharType="separate"/>
        </w:r>
        <w:r w:rsidR="00BF69CA">
          <w:rPr>
            <w:noProof/>
            <w:webHidden/>
          </w:rPr>
          <w:t>71</w:t>
        </w:r>
        <w:r w:rsidR="00244526" w:rsidRPr="00244526">
          <w:rPr>
            <w:noProof/>
            <w:webHidden/>
          </w:rPr>
          <w:fldChar w:fldCharType="end"/>
        </w:r>
      </w:hyperlink>
    </w:p>
    <w:p w14:paraId="2C7A18E2"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21" w:history="1">
        <w:r w:rsidR="00244526" w:rsidRPr="00244526">
          <w:rPr>
            <w:rStyle w:val="Hypertextovprepojenie"/>
            <w:noProof/>
          </w:rPr>
          <w:t>Graf 50</w:t>
        </w:r>
        <w:r w:rsidR="00244526" w:rsidRPr="00244526">
          <w:rPr>
            <w:rStyle w:val="Hypertextovprepojenie"/>
            <w:rFonts w:eastAsia="Times New Roman" w:cs="Times New Roman"/>
            <w:noProof/>
            <w:lang w:eastAsia="sk-SK"/>
          </w:rPr>
          <w:t>: Počet žiakov na učiteľa, medzinárodné porovnanie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_Toc34226921 \h </w:instrText>
        </w:r>
        <w:r w:rsidR="00244526" w:rsidRPr="00244526">
          <w:rPr>
            <w:noProof/>
            <w:webHidden/>
          </w:rPr>
        </w:r>
        <w:r w:rsidR="00244526" w:rsidRPr="00244526">
          <w:rPr>
            <w:noProof/>
            <w:webHidden/>
          </w:rPr>
          <w:fldChar w:fldCharType="separate"/>
        </w:r>
        <w:r w:rsidR="00BF69CA">
          <w:rPr>
            <w:noProof/>
            <w:webHidden/>
          </w:rPr>
          <w:t>76</w:t>
        </w:r>
        <w:r w:rsidR="00244526" w:rsidRPr="00244526">
          <w:rPr>
            <w:noProof/>
            <w:webHidden/>
          </w:rPr>
          <w:fldChar w:fldCharType="end"/>
        </w:r>
      </w:hyperlink>
    </w:p>
    <w:p w14:paraId="631953B1"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22" w:history="1">
        <w:r w:rsidR="00244526" w:rsidRPr="00244526">
          <w:rPr>
            <w:rStyle w:val="Hypertextovprepojenie"/>
            <w:noProof/>
          </w:rPr>
          <w:t xml:space="preserve">Graf 51: </w:t>
        </w:r>
        <w:r w:rsidR="00244526" w:rsidRPr="00244526">
          <w:rPr>
            <w:rStyle w:val="Hypertextovprepojenie"/>
            <w:rFonts w:eastAsia="Arial" w:cs="Arial"/>
            <w:noProof/>
            <w:lang w:val="fr-FR" w:eastAsia="fr-FR" w:bidi="fr-FR"/>
          </w:rPr>
          <w:t>Rast tarifných miezd učiteľov v krajinách EÚ</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_Toc34226922 \h </w:instrText>
        </w:r>
        <w:r w:rsidR="00244526" w:rsidRPr="00244526">
          <w:rPr>
            <w:noProof/>
            <w:webHidden/>
          </w:rPr>
        </w:r>
        <w:r w:rsidR="00244526" w:rsidRPr="00244526">
          <w:rPr>
            <w:noProof/>
            <w:webHidden/>
          </w:rPr>
          <w:fldChar w:fldCharType="separate"/>
        </w:r>
        <w:r w:rsidR="00BF69CA">
          <w:rPr>
            <w:noProof/>
            <w:webHidden/>
          </w:rPr>
          <w:t>77</w:t>
        </w:r>
        <w:r w:rsidR="00244526" w:rsidRPr="00244526">
          <w:rPr>
            <w:noProof/>
            <w:webHidden/>
          </w:rPr>
          <w:fldChar w:fldCharType="end"/>
        </w:r>
      </w:hyperlink>
    </w:p>
    <w:p w14:paraId="5DAC92FA"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23" w:history="1">
        <w:r w:rsidR="00244526" w:rsidRPr="00244526">
          <w:rPr>
            <w:rStyle w:val="Hypertextovprepojenie"/>
            <w:rFonts w:eastAsia="Times New Roman" w:cs="Times New Roman"/>
            <w:noProof/>
            <w:lang w:eastAsia="sk-SK"/>
          </w:rPr>
          <w:t>Graf 52:</w:t>
        </w:r>
        <w:r w:rsidR="00244526" w:rsidRPr="00244526">
          <w:rPr>
            <w:rStyle w:val="Hypertextovprepojenie"/>
            <w:rFonts w:eastAsia="Arial" w:cs="Arial"/>
            <w:noProof/>
            <w:lang w:val="fr-FR" w:eastAsia="fr-FR" w:bidi="fr-FR"/>
          </w:rPr>
          <w:t xml:space="preserve"> </w:t>
        </w:r>
        <w:r w:rsidR="00244526" w:rsidRPr="00244526">
          <w:rPr>
            <w:rStyle w:val="Hypertextovprepojenie"/>
            <w:rFonts w:eastAsia="Times New Roman" w:cs="Times New Roman"/>
            <w:noProof/>
            <w:lang w:eastAsia="sk-SK"/>
          </w:rPr>
          <w:t>Mzdy učiteľov v pomere ku mzdám VŠ vzdelaných zamestnancov (2017, VŠ 2014)</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_Toc34226923 \h </w:instrText>
        </w:r>
        <w:r w:rsidR="00244526" w:rsidRPr="00244526">
          <w:rPr>
            <w:noProof/>
            <w:webHidden/>
          </w:rPr>
        </w:r>
        <w:r w:rsidR="00244526" w:rsidRPr="00244526">
          <w:rPr>
            <w:noProof/>
            <w:webHidden/>
          </w:rPr>
          <w:fldChar w:fldCharType="separate"/>
        </w:r>
        <w:r w:rsidR="00BF69CA">
          <w:rPr>
            <w:noProof/>
            <w:webHidden/>
          </w:rPr>
          <w:t>77</w:t>
        </w:r>
        <w:r w:rsidR="00244526" w:rsidRPr="00244526">
          <w:rPr>
            <w:noProof/>
            <w:webHidden/>
          </w:rPr>
          <w:fldChar w:fldCharType="end"/>
        </w:r>
      </w:hyperlink>
    </w:p>
    <w:p w14:paraId="408F6D51"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24" w:history="1">
        <w:r w:rsidR="00244526" w:rsidRPr="00244526">
          <w:rPr>
            <w:rStyle w:val="Hypertextovprepojenie"/>
            <w:noProof/>
          </w:rPr>
          <w:t>Graf 53: Mzdy učiteľov (2017) a priemerné dosiahnuté skóre v PISA (2018)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_Toc34226924 \h </w:instrText>
        </w:r>
        <w:r w:rsidR="00244526" w:rsidRPr="00244526">
          <w:rPr>
            <w:noProof/>
            <w:webHidden/>
          </w:rPr>
        </w:r>
        <w:r w:rsidR="00244526" w:rsidRPr="00244526">
          <w:rPr>
            <w:noProof/>
            <w:webHidden/>
          </w:rPr>
          <w:fldChar w:fldCharType="separate"/>
        </w:r>
        <w:r w:rsidR="00BF69CA">
          <w:rPr>
            <w:noProof/>
            <w:webHidden/>
          </w:rPr>
          <w:t>78</w:t>
        </w:r>
        <w:r w:rsidR="00244526" w:rsidRPr="00244526">
          <w:rPr>
            <w:noProof/>
            <w:webHidden/>
          </w:rPr>
          <w:fldChar w:fldCharType="end"/>
        </w:r>
      </w:hyperlink>
    </w:p>
    <w:p w14:paraId="596196DD"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25" w:history="1">
        <w:r w:rsidR="00244526" w:rsidRPr="00244526">
          <w:rPr>
            <w:rStyle w:val="Hypertextovprepojenie"/>
            <w:noProof/>
          </w:rPr>
          <w:t xml:space="preserve">Graf 54: </w:t>
        </w:r>
        <w:r w:rsidR="00244526" w:rsidRPr="00244526">
          <w:rPr>
            <w:rStyle w:val="Hypertextovprepojenie"/>
            <w:bCs/>
            <w:noProof/>
          </w:rPr>
          <w:t>Pomer platov učiteľov ZŠ a zamestnancov s vysokoškolským vzdelaním podľa veku (%,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_Toc34226925 \h </w:instrText>
        </w:r>
        <w:r w:rsidR="00244526" w:rsidRPr="00244526">
          <w:rPr>
            <w:noProof/>
            <w:webHidden/>
          </w:rPr>
        </w:r>
        <w:r w:rsidR="00244526" w:rsidRPr="00244526">
          <w:rPr>
            <w:noProof/>
            <w:webHidden/>
          </w:rPr>
          <w:fldChar w:fldCharType="separate"/>
        </w:r>
        <w:r w:rsidR="00BF69CA">
          <w:rPr>
            <w:noProof/>
            <w:webHidden/>
          </w:rPr>
          <w:t>78</w:t>
        </w:r>
        <w:r w:rsidR="00244526" w:rsidRPr="00244526">
          <w:rPr>
            <w:noProof/>
            <w:webHidden/>
          </w:rPr>
          <w:fldChar w:fldCharType="end"/>
        </w:r>
      </w:hyperlink>
    </w:p>
    <w:p w14:paraId="0FE57F58"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26" w:history="1">
        <w:r w:rsidR="00244526" w:rsidRPr="00244526">
          <w:rPr>
            <w:rStyle w:val="Hypertextovprepojenie"/>
            <w:noProof/>
          </w:rPr>
          <w:t>Graf 55</w:t>
        </w:r>
        <w:r w:rsidR="00244526" w:rsidRPr="00244526">
          <w:rPr>
            <w:rStyle w:val="Hypertextovprepojenie"/>
            <w:rFonts w:eastAsia="Times New Roman" w:cs="Times New Roman"/>
            <w:noProof/>
            <w:lang w:eastAsia="sk-SK"/>
          </w:rPr>
          <w:t>: Vývoj počtu žiakov a učiteľov na ZŠ a SŠ (2000=100 %)</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_Toc34226926 \h </w:instrText>
        </w:r>
        <w:r w:rsidR="00244526" w:rsidRPr="00244526">
          <w:rPr>
            <w:noProof/>
            <w:webHidden/>
          </w:rPr>
        </w:r>
        <w:r w:rsidR="00244526" w:rsidRPr="00244526">
          <w:rPr>
            <w:noProof/>
            <w:webHidden/>
          </w:rPr>
          <w:fldChar w:fldCharType="separate"/>
        </w:r>
        <w:r w:rsidR="00BF69CA">
          <w:rPr>
            <w:noProof/>
            <w:webHidden/>
          </w:rPr>
          <w:t>79</w:t>
        </w:r>
        <w:r w:rsidR="00244526" w:rsidRPr="00244526">
          <w:rPr>
            <w:noProof/>
            <w:webHidden/>
          </w:rPr>
          <w:fldChar w:fldCharType="end"/>
        </w:r>
      </w:hyperlink>
    </w:p>
    <w:p w14:paraId="72530B63"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27" w:history="1">
        <w:r w:rsidR="00244526" w:rsidRPr="00244526">
          <w:rPr>
            <w:rStyle w:val="Hypertextovprepojenie"/>
            <w:noProof/>
          </w:rPr>
          <w:t>Graf 56:</w:t>
        </w:r>
        <w:r w:rsidR="00244526" w:rsidRPr="00244526">
          <w:rPr>
            <w:rStyle w:val="Hypertextovprepojenie"/>
            <w:rFonts w:eastAsia="Arial" w:cs="Arial"/>
            <w:noProof/>
            <w:lang w:val="fr-FR" w:eastAsia="fr-FR" w:bidi="fr-FR"/>
          </w:rPr>
          <w:t xml:space="preserve"> Počet žiakov na učiteľa v krajine (2017) a výsledky v testovaní PISA (2018)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_Toc34226927 \h </w:instrText>
        </w:r>
        <w:r w:rsidR="00244526" w:rsidRPr="00244526">
          <w:rPr>
            <w:noProof/>
            <w:webHidden/>
          </w:rPr>
        </w:r>
        <w:r w:rsidR="00244526" w:rsidRPr="00244526">
          <w:rPr>
            <w:noProof/>
            <w:webHidden/>
          </w:rPr>
          <w:fldChar w:fldCharType="separate"/>
        </w:r>
        <w:r w:rsidR="00BF69CA">
          <w:rPr>
            <w:noProof/>
            <w:webHidden/>
          </w:rPr>
          <w:t>80</w:t>
        </w:r>
        <w:r w:rsidR="00244526" w:rsidRPr="00244526">
          <w:rPr>
            <w:noProof/>
            <w:webHidden/>
          </w:rPr>
          <w:fldChar w:fldCharType="end"/>
        </w:r>
      </w:hyperlink>
    </w:p>
    <w:p w14:paraId="76E8CC8C" w14:textId="472EC058"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28" w:history="1">
        <w:r w:rsidR="00244526" w:rsidRPr="00244526">
          <w:rPr>
            <w:rStyle w:val="Hypertextovprepojenie"/>
            <w:noProof/>
          </w:rPr>
          <w:t>Graf 57: Podiel osôb zručnosti 2 zamestnaných podľa Zákonníka práce podľa sektora a hodinovej mzdy</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_Toc34226928 \h </w:instrText>
        </w:r>
        <w:r w:rsidR="00244526" w:rsidRPr="00244526">
          <w:rPr>
            <w:noProof/>
            <w:webHidden/>
          </w:rPr>
        </w:r>
        <w:r w:rsidR="00244526" w:rsidRPr="00244526">
          <w:rPr>
            <w:noProof/>
            <w:webHidden/>
          </w:rPr>
          <w:fldChar w:fldCharType="separate"/>
        </w:r>
        <w:r w:rsidR="00BF69CA">
          <w:rPr>
            <w:noProof/>
            <w:webHidden/>
          </w:rPr>
          <w:t>84</w:t>
        </w:r>
        <w:r w:rsidR="00244526" w:rsidRPr="00244526">
          <w:rPr>
            <w:noProof/>
            <w:webHidden/>
          </w:rPr>
          <w:fldChar w:fldCharType="end"/>
        </w:r>
      </w:hyperlink>
    </w:p>
    <w:p w14:paraId="5BFC132A" w14:textId="7E84C962"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29" w:history="1">
        <w:r w:rsidR="00244526" w:rsidRPr="00244526">
          <w:rPr>
            <w:rStyle w:val="Hypertextovprepojenie"/>
            <w:noProof/>
          </w:rPr>
          <w:t>Graf 58: Podiel osôb zručnosti 4 zamestnaných podľa Zákonníka práce</w:t>
        </w:r>
        <w:r w:rsidR="00244526">
          <w:rPr>
            <w:rStyle w:val="Hypertextovprepojenie"/>
            <w:noProof/>
          </w:rPr>
          <w:t xml:space="preserve"> podľa sektora a hodinovej mzdy</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_Toc34226929 \h </w:instrText>
        </w:r>
        <w:r w:rsidR="00244526" w:rsidRPr="00244526">
          <w:rPr>
            <w:noProof/>
            <w:webHidden/>
          </w:rPr>
        </w:r>
        <w:r w:rsidR="00244526" w:rsidRPr="00244526">
          <w:rPr>
            <w:noProof/>
            <w:webHidden/>
          </w:rPr>
          <w:fldChar w:fldCharType="separate"/>
        </w:r>
        <w:r w:rsidR="00BF69CA">
          <w:rPr>
            <w:noProof/>
            <w:webHidden/>
          </w:rPr>
          <w:t>84</w:t>
        </w:r>
        <w:r w:rsidR="00244526" w:rsidRPr="00244526">
          <w:rPr>
            <w:noProof/>
            <w:webHidden/>
          </w:rPr>
          <w:fldChar w:fldCharType="end"/>
        </w:r>
      </w:hyperlink>
    </w:p>
    <w:p w14:paraId="70781948"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30" w:history="1">
        <w:r w:rsidR="00244526" w:rsidRPr="00244526">
          <w:rPr>
            <w:rStyle w:val="Hypertextovprepojenie"/>
            <w:noProof/>
          </w:rPr>
          <w:t>Graf 59: Porovnanie počtu zamestnancov štátnych podnikov (2018)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_Toc34226930 \h </w:instrText>
        </w:r>
        <w:r w:rsidR="00244526" w:rsidRPr="00244526">
          <w:rPr>
            <w:noProof/>
            <w:webHidden/>
          </w:rPr>
        </w:r>
        <w:r w:rsidR="00244526" w:rsidRPr="00244526">
          <w:rPr>
            <w:noProof/>
            <w:webHidden/>
          </w:rPr>
          <w:fldChar w:fldCharType="separate"/>
        </w:r>
        <w:r w:rsidR="00BF69CA">
          <w:rPr>
            <w:noProof/>
            <w:webHidden/>
          </w:rPr>
          <w:t>85</w:t>
        </w:r>
        <w:r w:rsidR="00244526" w:rsidRPr="00244526">
          <w:rPr>
            <w:noProof/>
            <w:webHidden/>
          </w:rPr>
          <w:fldChar w:fldCharType="end"/>
        </w:r>
      </w:hyperlink>
    </w:p>
    <w:p w14:paraId="4A6ED5FE"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31" w:history="1">
        <w:r w:rsidR="00244526" w:rsidRPr="00244526">
          <w:rPr>
            <w:rStyle w:val="Hypertextovprepojenie"/>
            <w:noProof/>
          </w:rPr>
          <w:t>Graf 60: Počet prepravených tonokilometrov (v mil.)  na zamestnanca (2018)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_Toc34226931 \h </w:instrText>
        </w:r>
        <w:r w:rsidR="00244526" w:rsidRPr="00244526">
          <w:rPr>
            <w:noProof/>
            <w:webHidden/>
          </w:rPr>
        </w:r>
        <w:r w:rsidR="00244526" w:rsidRPr="00244526">
          <w:rPr>
            <w:noProof/>
            <w:webHidden/>
          </w:rPr>
          <w:fldChar w:fldCharType="separate"/>
        </w:r>
        <w:r w:rsidR="00BF69CA">
          <w:rPr>
            <w:noProof/>
            <w:webHidden/>
          </w:rPr>
          <w:t>85</w:t>
        </w:r>
        <w:r w:rsidR="00244526" w:rsidRPr="00244526">
          <w:rPr>
            <w:noProof/>
            <w:webHidden/>
          </w:rPr>
          <w:fldChar w:fldCharType="end"/>
        </w:r>
      </w:hyperlink>
    </w:p>
    <w:p w14:paraId="19144E69" w14:textId="77777777" w:rsidR="00244526" w:rsidRP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32" w:history="1">
        <w:r w:rsidR="00244526" w:rsidRPr="00244526">
          <w:rPr>
            <w:rStyle w:val="Hypertextovprepojenie"/>
            <w:noProof/>
          </w:rPr>
          <w:t>Graf 61: Počet vlakokilometrov a osobokilometrov na zamestnanca (v tis. km; 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_Toc34226932 \h </w:instrText>
        </w:r>
        <w:r w:rsidR="00244526" w:rsidRPr="00244526">
          <w:rPr>
            <w:noProof/>
            <w:webHidden/>
          </w:rPr>
        </w:r>
        <w:r w:rsidR="00244526" w:rsidRPr="00244526">
          <w:rPr>
            <w:noProof/>
            <w:webHidden/>
          </w:rPr>
          <w:fldChar w:fldCharType="separate"/>
        </w:r>
        <w:r w:rsidR="00BF69CA">
          <w:rPr>
            <w:noProof/>
            <w:webHidden/>
          </w:rPr>
          <w:t>85</w:t>
        </w:r>
        <w:r w:rsidR="00244526" w:rsidRPr="00244526">
          <w:rPr>
            <w:noProof/>
            <w:webHidden/>
          </w:rPr>
          <w:fldChar w:fldCharType="end"/>
        </w:r>
      </w:hyperlink>
    </w:p>
    <w:p w14:paraId="3B10E384" w14:textId="77777777" w:rsidR="00244526" w:rsidRDefault="00D62879" w:rsidP="00244526">
      <w:pPr>
        <w:pStyle w:val="Zoznamobrzkov"/>
        <w:tabs>
          <w:tab w:val="right" w:leader="dot" w:pos="9062"/>
        </w:tabs>
        <w:contextualSpacing/>
        <w:rPr>
          <w:rFonts w:asciiTheme="minorHAnsi" w:eastAsiaTheme="minorEastAsia" w:hAnsiTheme="minorHAnsi"/>
          <w:noProof/>
          <w:lang w:eastAsia="sk-SK"/>
        </w:rPr>
      </w:pPr>
      <w:hyperlink w:anchor="_Toc34226933" w:history="1">
        <w:r w:rsidR="00244526" w:rsidRPr="00244526">
          <w:rPr>
            <w:rStyle w:val="Hypertextovprepojenie"/>
            <w:noProof/>
          </w:rPr>
          <w:t>Graf 62</w:t>
        </w:r>
        <w:r w:rsidR="00244526" w:rsidRPr="00244526">
          <w:rPr>
            <w:rStyle w:val="Hypertextovprepojenie"/>
            <w:rFonts w:eastAsia="Arial" w:cs="Arial"/>
            <w:noProof/>
            <w:lang w:val="fr-FR" w:eastAsia="fr-FR" w:bidi="fr-FR"/>
          </w:rPr>
          <w:t>: Počet obcí danej veľkosti a podiel výdavkov na správu (2015)</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_Toc34226933 \h </w:instrText>
        </w:r>
        <w:r w:rsidR="00244526" w:rsidRPr="00244526">
          <w:rPr>
            <w:noProof/>
            <w:webHidden/>
          </w:rPr>
        </w:r>
        <w:r w:rsidR="00244526" w:rsidRPr="00244526">
          <w:rPr>
            <w:noProof/>
            <w:webHidden/>
          </w:rPr>
          <w:fldChar w:fldCharType="separate"/>
        </w:r>
        <w:r w:rsidR="00BF69CA">
          <w:rPr>
            <w:noProof/>
            <w:webHidden/>
          </w:rPr>
          <w:t>87</w:t>
        </w:r>
        <w:r w:rsidR="00244526" w:rsidRPr="00244526">
          <w:rPr>
            <w:noProof/>
            <w:webHidden/>
          </w:rPr>
          <w:fldChar w:fldCharType="end"/>
        </w:r>
      </w:hyperlink>
    </w:p>
    <w:p w14:paraId="34555E7D" w14:textId="25390D78" w:rsidR="001C2E5A" w:rsidRPr="000939E3" w:rsidRDefault="00432044" w:rsidP="000939E3">
      <w:pPr>
        <w:spacing w:before="240"/>
        <w:contextualSpacing/>
        <w:rPr>
          <w:b/>
        </w:rPr>
      </w:pPr>
      <w:r w:rsidRPr="000939E3">
        <w:rPr>
          <w:bCs/>
          <w:noProof/>
        </w:rPr>
        <w:fldChar w:fldCharType="end"/>
      </w:r>
      <w:r w:rsidR="00796902" w:rsidRPr="000939E3">
        <w:rPr>
          <w:b/>
        </w:rPr>
        <w:t>Z</w:t>
      </w:r>
      <w:r w:rsidR="004C13D4" w:rsidRPr="000939E3">
        <w:rPr>
          <w:b/>
        </w:rPr>
        <w:t>oznam tabuliek</w:t>
      </w:r>
    </w:p>
    <w:p w14:paraId="57DD288F" w14:textId="77777777" w:rsidR="00244526" w:rsidRPr="00244526" w:rsidRDefault="00432044">
      <w:pPr>
        <w:pStyle w:val="Zoznamobrzkov"/>
        <w:tabs>
          <w:tab w:val="right" w:leader="dot" w:pos="9062"/>
        </w:tabs>
        <w:rPr>
          <w:rFonts w:asciiTheme="minorHAnsi" w:eastAsiaTheme="minorEastAsia" w:hAnsiTheme="minorHAnsi"/>
          <w:noProof/>
          <w:lang w:eastAsia="sk-SK"/>
        </w:rPr>
      </w:pPr>
      <w:r w:rsidRPr="00244526">
        <w:rPr>
          <w:bCs/>
          <w:noProof/>
        </w:rPr>
        <w:fldChar w:fldCharType="begin"/>
      </w:r>
      <w:r w:rsidRPr="00244526">
        <w:rPr>
          <w:bCs/>
          <w:noProof/>
        </w:rPr>
        <w:instrText xml:space="preserve"> TOC \h \z \c "Tabuľka" </w:instrText>
      </w:r>
      <w:r w:rsidRPr="00244526">
        <w:rPr>
          <w:bCs/>
          <w:noProof/>
        </w:rPr>
        <w:fldChar w:fldCharType="separate"/>
      </w:r>
      <w:hyperlink w:anchor="_Toc34226934" w:history="1">
        <w:r w:rsidR="00244526" w:rsidRPr="00244526">
          <w:rPr>
            <w:rStyle w:val="Hypertextovprepojenie"/>
            <w:noProof/>
          </w:rPr>
          <w:t xml:space="preserve">Tabuľka 1: </w:t>
        </w:r>
        <w:r w:rsidR="00244526" w:rsidRPr="00244526">
          <w:rPr>
            <w:rStyle w:val="Hypertextovprepojenie"/>
            <w:rFonts w:eastAsia="Times New Roman" w:cs="Times New Roman"/>
            <w:noProof/>
            <w:lang w:eastAsia="sk-SK"/>
          </w:rPr>
          <w:t>Sektorová štruktúra vo verejnom a súkromnom sektore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_Toc34226934 \h </w:instrText>
        </w:r>
        <w:r w:rsidR="00244526" w:rsidRPr="00244526">
          <w:rPr>
            <w:noProof/>
            <w:webHidden/>
          </w:rPr>
        </w:r>
        <w:r w:rsidR="00244526" w:rsidRPr="00244526">
          <w:rPr>
            <w:noProof/>
            <w:webHidden/>
          </w:rPr>
          <w:fldChar w:fldCharType="separate"/>
        </w:r>
        <w:r w:rsidR="00BF69CA">
          <w:rPr>
            <w:noProof/>
            <w:webHidden/>
          </w:rPr>
          <w:t>42</w:t>
        </w:r>
        <w:r w:rsidR="00244526" w:rsidRPr="00244526">
          <w:rPr>
            <w:noProof/>
            <w:webHidden/>
          </w:rPr>
          <w:fldChar w:fldCharType="end"/>
        </w:r>
      </w:hyperlink>
    </w:p>
    <w:p w14:paraId="5A69D9D4" w14:textId="77777777" w:rsidR="00244526" w:rsidRPr="00244526" w:rsidRDefault="00D62879">
      <w:pPr>
        <w:pStyle w:val="Zoznamobrzkov"/>
        <w:tabs>
          <w:tab w:val="right" w:leader="dot" w:pos="9062"/>
        </w:tabs>
        <w:rPr>
          <w:rFonts w:asciiTheme="minorHAnsi" w:eastAsiaTheme="minorEastAsia" w:hAnsiTheme="minorHAnsi"/>
          <w:noProof/>
          <w:lang w:eastAsia="sk-SK"/>
        </w:rPr>
      </w:pPr>
      <w:hyperlink w:anchor="_Toc34226935" w:history="1">
        <w:r w:rsidR="00244526" w:rsidRPr="00244526">
          <w:rPr>
            <w:rStyle w:val="Hypertextovprepojenie"/>
            <w:noProof/>
          </w:rPr>
          <w:t xml:space="preserve">Tabuľka 2: </w:t>
        </w:r>
        <w:r w:rsidR="00244526" w:rsidRPr="00244526">
          <w:rPr>
            <w:rStyle w:val="Hypertextovprepojenie"/>
            <w:rFonts w:cs="Calibri"/>
            <w:bCs/>
            <w:noProof/>
          </w:rPr>
          <w:t>Podiel dosiahnutého vzdelania úradníkov (SES 2014)</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_Toc34226935 \h </w:instrText>
        </w:r>
        <w:r w:rsidR="00244526" w:rsidRPr="00244526">
          <w:rPr>
            <w:noProof/>
            <w:webHidden/>
          </w:rPr>
        </w:r>
        <w:r w:rsidR="00244526" w:rsidRPr="00244526">
          <w:rPr>
            <w:noProof/>
            <w:webHidden/>
          </w:rPr>
          <w:fldChar w:fldCharType="separate"/>
        </w:r>
        <w:r w:rsidR="00BF69CA">
          <w:rPr>
            <w:noProof/>
            <w:webHidden/>
          </w:rPr>
          <w:t>44</w:t>
        </w:r>
        <w:r w:rsidR="00244526" w:rsidRPr="00244526">
          <w:rPr>
            <w:noProof/>
            <w:webHidden/>
          </w:rPr>
          <w:fldChar w:fldCharType="end"/>
        </w:r>
      </w:hyperlink>
    </w:p>
    <w:p w14:paraId="29D678BA" w14:textId="77777777" w:rsidR="00244526" w:rsidRPr="00244526" w:rsidRDefault="00D62879">
      <w:pPr>
        <w:pStyle w:val="Zoznamobrzkov"/>
        <w:tabs>
          <w:tab w:val="right" w:leader="dot" w:pos="9062"/>
        </w:tabs>
        <w:rPr>
          <w:rFonts w:asciiTheme="minorHAnsi" w:eastAsiaTheme="minorEastAsia" w:hAnsiTheme="minorHAnsi"/>
          <w:noProof/>
          <w:lang w:eastAsia="sk-SK"/>
        </w:rPr>
      </w:pPr>
      <w:hyperlink w:anchor="_Toc34226936" w:history="1">
        <w:r w:rsidR="00244526" w:rsidRPr="00244526">
          <w:rPr>
            <w:rStyle w:val="Hypertextovprepojenie"/>
            <w:noProof/>
          </w:rPr>
          <w:t>Tabuľka 3: Porovnanie hrubej mzdy lekárov a minimálnych mzdových nárokov (v eur a %,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_Toc34226936 \h </w:instrText>
        </w:r>
        <w:r w:rsidR="00244526" w:rsidRPr="00244526">
          <w:rPr>
            <w:noProof/>
            <w:webHidden/>
          </w:rPr>
        </w:r>
        <w:r w:rsidR="00244526" w:rsidRPr="00244526">
          <w:rPr>
            <w:noProof/>
            <w:webHidden/>
          </w:rPr>
          <w:fldChar w:fldCharType="separate"/>
        </w:r>
        <w:r w:rsidR="00BF69CA">
          <w:rPr>
            <w:noProof/>
            <w:webHidden/>
          </w:rPr>
          <w:t>49</w:t>
        </w:r>
        <w:r w:rsidR="00244526" w:rsidRPr="00244526">
          <w:rPr>
            <w:noProof/>
            <w:webHidden/>
          </w:rPr>
          <w:fldChar w:fldCharType="end"/>
        </w:r>
      </w:hyperlink>
    </w:p>
    <w:p w14:paraId="23E241D4" w14:textId="77777777" w:rsidR="00244526" w:rsidRPr="00244526" w:rsidRDefault="00D62879">
      <w:pPr>
        <w:pStyle w:val="Zoznamobrzkov"/>
        <w:tabs>
          <w:tab w:val="right" w:leader="dot" w:pos="9062"/>
        </w:tabs>
        <w:rPr>
          <w:rFonts w:asciiTheme="minorHAnsi" w:eastAsiaTheme="minorEastAsia" w:hAnsiTheme="minorHAnsi"/>
          <w:noProof/>
          <w:lang w:eastAsia="sk-SK"/>
        </w:rPr>
      </w:pPr>
      <w:hyperlink w:anchor="_Toc34226937" w:history="1">
        <w:r w:rsidR="00244526" w:rsidRPr="00244526">
          <w:rPr>
            <w:rStyle w:val="Hypertextovprepojenie"/>
            <w:noProof/>
          </w:rPr>
          <w:t>Tabuľka 4:</w:t>
        </w:r>
        <w:r w:rsidR="00244526" w:rsidRPr="00244526">
          <w:rPr>
            <w:rStyle w:val="Hypertextovprepojenie"/>
            <w:rFonts w:eastAsia="Times New Roman" w:cs="Times New Roman"/>
            <w:bCs/>
            <w:noProof/>
            <w:lang w:eastAsia="sk-SK"/>
          </w:rPr>
          <w:t xml:space="preserve"> Vybrané povolania, v ktorých verejný sektor platí viac ako súkromný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_Toc34226937 \h </w:instrText>
        </w:r>
        <w:r w:rsidR="00244526" w:rsidRPr="00244526">
          <w:rPr>
            <w:noProof/>
            <w:webHidden/>
          </w:rPr>
        </w:r>
        <w:r w:rsidR="00244526" w:rsidRPr="00244526">
          <w:rPr>
            <w:noProof/>
            <w:webHidden/>
          </w:rPr>
          <w:fldChar w:fldCharType="separate"/>
        </w:r>
        <w:r w:rsidR="00BF69CA">
          <w:rPr>
            <w:noProof/>
            <w:webHidden/>
          </w:rPr>
          <w:t>50</w:t>
        </w:r>
        <w:r w:rsidR="00244526" w:rsidRPr="00244526">
          <w:rPr>
            <w:noProof/>
            <w:webHidden/>
          </w:rPr>
          <w:fldChar w:fldCharType="end"/>
        </w:r>
      </w:hyperlink>
    </w:p>
    <w:p w14:paraId="3A0415B8" w14:textId="77777777" w:rsidR="00244526" w:rsidRPr="00244526" w:rsidRDefault="00D62879">
      <w:pPr>
        <w:pStyle w:val="Zoznamobrzkov"/>
        <w:tabs>
          <w:tab w:val="right" w:leader="dot" w:pos="9062"/>
        </w:tabs>
        <w:rPr>
          <w:rFonts w:asciiTheme="minorHAnsi" w:eastAsiaTheme="minorEastAsia" w:hAnsiTheme="minorHAnsi"/>
          <w:noProof/>
          <w:lang w:eastAsia="sk-SK"/>
        </w:rPr>
      </w:pPr>
      <w:hyperlink w:anchor="_Toc34226938" w:history="1">
        <w:r w:rsidR="00244526" w:rsidRPr="00244526">
          <w:rPr>
            <w:rStyle w:val="Hypertextovprepojenie"/>
            <w:noProof/>
          </w:rPr>
          <w:t>Tabuľka 5:</w:t>
        </w:r>
        <w:r w:rsidR="00244526" w:rsidRPr="00244526">
          <w:rPr>
            <w:rStyle w:val="Hypertextovprepojenie"/>
            <w:rFonts w:eastAsia="Times New Roman" w:cs="Times New Roman"/>
            <w:bCs/>
            <w:noProof/>
            <w:lang w:eastAsia="sk-SK"/>
          </w:rPr>
          <w:t xml:space="preserve"> Vybrané povolania, v ktorých verejný sektor platí menej ako súkromný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_Toc34226938 \h </w:instrText>
        </w:r>
        <w:r w:rsidR="00244526" w:rsidRPr="00244526">
          <w:rPr>
            <w:noProof/>
            <w:webHidden/>
          </w:rPr>
        </w:r>
        <w:r w:rsidR="00244526" w:rsidRPr="00244526">
          <w:rPr>
            <w:noProof/>
            <w:webHidden/>
          </w:rPr>
          <w:fldChar w:fldCharType="separate"/>
        </w:r>
        <w:r w:rsidR="00BF69CA">
          <w:rPr>
            <w:noProof/>
            <w:webHidden/>
          </w:rPr>
          <w:t>52</w:t>
        </w:r>
        <w:r w:rsidR="00244526" w:rsidRPr="00244526">
          <w:rPr>
            <w:noProof/>
            <w:webHidden/>
          </w:rPr>
          <w:fldChar w:fldCharType="end"/>
        </w:r>
      </w:hyperlink>
    </w:p>
    <w:p w14:paraId="49C1F40F" w14:textId="77777777" w:rsidR="00244526" w:rsidRPr="00244526" w:rsidRDefault="00D62879">
      <w:pPr>
        <w:pStyle w:val="Zoznamobrzkov"/>
        <w:tabs>
          <w:tab w:val="right" w:leader="dot" w:pos="9062"/>
        </w:tabs>
        <w:rPr>
          <w:rFonts w:asciiTheme="minorHAnsi" w:eastAsiaTheme="minorEastAsia" w:hAnsiTheme="minorHAnsi"/>
          <w:noProof/>
          <w:lang w:eastAsia="sk-SK"/>
        </w:rPr>
      </w:pPr>
      <w:hyperlink w:anchor="_Toc34226939" w:history="1">
        <w:r w:rsidR="00244526" w:rsidRPr="00244526">
          <w:rPr>
            <w:rStyle w:val="Hypertextovprepojenie"/>
            <w:noProof/>
          </w:rPr>
          <w:t>Tabuľka 6:</w:t>
        </w:r>
        <w:r w:rsidR="00244526" w:rsidRPr="00244526">
          <w:rPr>
            <w:rStyle w:val="Hypertextovprepojenie"/>
            <w:rFonts w:eastAsia="Times New Roman" w:cs="Times New Roman"/>
            <w:bCs/>
            <w:noProof/>
            <w:lang w:eastAsia="sk-SK"/>
          </w:rPr>
          <w:t xml:space="preserve"> Vybrané povolania s vyššou priemernou mzdou v súkromnom sektore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_Toc34226939 \h </w:instrText>
        </w:r>
        <w:r w:rsidR="00244526" w:rsidRPr="00244526">
          <w:rPr>
            <w:noProof/>
            <w:webHidden/>
          </w:rPr>
        </w:r>
        <w:r w:rsidR="00244526" w:rsidRPr="00244526">
          <w:rPr>
            <w:noProof/>
            <w:webHidden/>
          </w:rPr>
          <w:fldChar w:fldCharType="separate"/>
        </w:r>
        <w:r w:rsidR="00BF69CA">
          <w:rPr>
            <w:noProof/>
            <w:webHidden/>
          </w:rPr>
          <w:t>52</w:t>
        </w:r>
        <w:r w:rsidR="00244526" w:rsidRPr="00244526">
          <w:rPr>
            <w:noProof/>
            <w:webHidden/>
          </w:rPr>
          <w:fldChar w:fldCharType="end"/>
        </w:r>
      </w:hyperlink>
    </w:p>
    <w:p w14:paraId="30BCB07A" w14:textId="77777777" w:rsidR="00244526" w:rsidRPr="00244526" w:rsidRDefault="00D62879">
      <w:pPr>
        <w:pStyle w:val="Zoznamobrzkov"/>
        <w:tabs>
          <w:tab w:val="right" w:leader="dot" w:pos="9062"/>
        </w:tabs>
        <w:rPr>
          <w:rFonts w:asciiTheme="minorHAnsi" w:eastAsiaTheme="minorEastAsia" w:hAnsiTheme="minorHAnsi"/>
          <w:noProof/>
          <w:lang w:eastAsia="sk-SK"/>
        </w:rPr>
      </w:pPr>
      <w:hyperlink w:anchor="_Toc34226940" w:history="1">
        <w:r w:rsidR="00244526" w:rsidRPr="00244526">
          <w:rPr>
            <w:rStyle w:val="Hypertextovprepojenie"/>
            <w:noProof/>
          </w:rPr>
          <w:t>Tabuľka 7:</w:t>
        </w:r>
        <w:r w:rsidR="00244526" w:rsidRPr="00244526">
          <w:rPr>
            <w:rStyle w:val="Hypertextovprepojenie"/>
            <w:rFonts w:eastAsia="Times New Roman" w:cs="Times New Roman"/>
            <w:bCs/>
            <w:noProof/>
            <w:lang w:eastAsia="sk-SK"/>
          </w:rPr>
          <w:t xml:space="preserve"> Vybrané povolania, v ktorých verejný sektor platí porovnateľne ako súkromný (2017)</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_Toc34226940 \h </w:instrText>
        </w:r>
        <w:r w:rsidR="00244526" w:rsidRPr="00244526">
          <w:rPr>
            <w:noProof/>
            <w:webHidden/>
          </w:rPr>
        </w:r>
        <w:r w:rsidR="00244526" w:rsidRPr="00244526">
          <w:rPr>
            <w:noProof/>
            <w:webHidden/>
          </w:rPr>
          <w:fldChar w:fldCharType="separate"/>
        </w:r>
        <w:r w:rsidR="00BF69CA">
          <w:rPr>
            <w:noProof/>
            <w:webHidden/>
          </w:rPr>
          <w:t>52</w:t>
        </w:r>
        <w:r w:rsidR="00244526" w:rsidRPr="00244526">
          <w:rPr>
            <w:noProof/>
            <w:webHidden/>
          </w:rPr>
          <w:fldChar w:fldCharType="end"/>
        </w:r>
      </w:hyperlink>
    </w:p>
    <w:p w14:paraId="51CB07AB" w14:textId="77777777" w:rsidR="00244526" w:rsidRPr="00244526" w:rsidRDefault="00D62879">
      <w:pPr>
        <w:pStyle w:val="Zoznamobrzkov"/>
        <w:tabs>
          <w:tab w:val="right" w:leader="dot" w:pos="9062"/>
        </w:tabs>
        <w:rPr>
          <w:rFonts w:asciiTheme="minorHAnsi" w:eastAsiaTheme="minorEastAsia" w:hAnsiTheme="minorHAnsi"/>
          <w:noProof/>
          <w:lang w:eastAsia="sk-SK"/>
        </w:rPr>
      </w:pPr>
      <w:hyperlink w:anchor="_Toc34226941" w:history="1">
        <w:r w:rsidR="00244526" w:rsidRPr="00244526">
          <w:rPr>
            <w:rStyle w:val="Hypertextovprepojenie"/>
            <w:noProof/>
          </w:rPr>
          <w:t>Tabuľka 8:</w:t>
        </w:r>
        <w:r w:rsidR="00244526" w:rsidRPr="00244526">
          <w:rPr>
            <w:rStyle w:val="Hypertextovprepojenie"/>
            <w:rFonts w:eastAsia="Times New Roman" w:cs="Times New Roman"/>
            <w:bCs/>
            <w:noProof/>
            <w:lang w:eastAsia="sk-SK"/>
          </w:rPr>
          <w:t xml:space="preserve"> </w:t>
        </w:r>
        <w:r w:rsidR="00244526" w:rsidRPr="00244526">
          <w:rPr>
            <w:rStyle w:val="Hypertextovprepojenie"/>
            <w:noProof/>
            <w:lang w:eastAsia="sk-SK"/>
          </w:rPr>
          <w:t>Regionálne rozdiely v mzdách učiteľov na ZŠ</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_Toc34226941 \h </w:instrText>
        </w:r>
        <w:r w:rsidR="00244526" w:rsidRPr="00244526">
          <w:rPr>
            <w:noProof/>
            <w:webHidden/>
          </w:rPr>
        </w:r>
        <w:r w:rsidR="00244526" w:rsidRPr="00244526">
          <w:rPr>
            <w:noProof/>
            <w:webHidden/>
          </w:rPr>
          <w:fldChar w:fldCharType="separate"/>
        </w:r>
        <w:r w:rsidR="00BF69CA">
          <w:rPr>
            <w:noProof/>
            <w:webHidden/>
          </w:rPr>
          <w:t>54</w:t>
        </w:r>
        <w:r w:rsidR="00244526" w:rsidRPr="00244526">
          <w:rPr>
            <w:noProof/>
            <w:webHidden/>
          </w:rPr>
          <w:fldChar w:fldCharType="end"/>
        </w:r>
      </w:hyperlink>
    </w:p>
    <w:p w14:paraId="74F212AB" w14:textId="776C4A3C" w:rsidR="00244526" w:rsidRPr="00244526" w:rsidRDefault="00D62879">
      <w:pPr>
        <w:pStyle w:val="Zoznamobrzkov"/>
        <w:tabs>
          <w:tab w:val="right" w:leader="dot" w:pos="9062"/>
        </w:tabs>
        <w:rPr>
          <w:rFonts w:asciiTheme="minorHAnsi" w:eastAsiaTheme="minorEastAsia" w:hAnsiTheme="minorHAnsi"/>
          <w:noProof/>
          <w:lang w:eastAsia="sk-SK"/>
        </w:rPr>
      </w:pPr>
      <w:hyperlink w:anchor="_Toc34226942" w:history="1">
        <w:r w:rsidR="00244526" w:rsidRPr="00244526">
          <w:rPr>
            <w:rStyle w:val="Hypertextovprepojenie"/>
            <w:noProof/>
          </w:rPr>
          <w:t>Tabuľka 9:</w:t>
        </w:r>
        <w:r w:rsidR="00244526">
          <w:rPr>
            <w:rStyle w:val="Hypertextovprepojenie"/>
            <w:rFonts w:eastAsia="Times New Roman" w:cs="Times New Roman"/>
            <w:noProof/>
            <w:lang w:eastAsia="sk-SK"/>
          </w:rPr>
          <w:t xml:space="preserve"> Vybrané povolania s veľkými </w:t>
        </w:r>
        <w:r w:rsidR="00244526" w:rsidRPr="00244526">
          <w:rPr>
            <w:rStyle w:val="Hypertextovprepojenie"/>
            <w:rFonts w:eastAsia="Times New Roman" w:cs="Times New Roman"/>
            <w:noProof/>
            <w:lang w:eastAsia="sk-SK"/>
          </w:rPr>
          <w:t>reg</w:t>
        </w:r>
        <w:r w:rsidR="00244526">
          <w:rPr>
            <w:rStyle w:val="Hypertextovprepojenie"/>
            <w:rFonts w:eastAsia="Times New Roman" w:cs="Times New Roman"/>
            <w:noProof/>
            <w:lang w:eastAsia="sk-SK"/>
          </w:rPr>
          <w:t>.</w:t>
        </w:r>
        <w:r w:rsidR="00244526" w:rsidRPr="00244526">
          <w:rPr>
            <w:rStyle w:val="Hypertextovprepojenie"/>
            <w:rFonts w:eastAsia="Times New Roman" w:cs="Times New Roman"/>
            <w:noProof/>
            <w:lang w:eastAsia="sk-SK"/>
          </w:rPr>
          <w:t xml:space="preserve"> rozdielmi v mzde verejných </w:t>
        </w:r>
        <w:r w:rsidR="00244526">
          <w:rPr>
            <w:rStyle w:val="Hypertextovprepojenie"/>
            <w:rFonts w:eastAsia="Times New Roman" w:cs="Times New Roman"/>
            <w:noProof/>
            <w:lang w:eastAsia="sk-SK"/>
          </w:rPr>
          <w:t xml:space="preserve">a súkromných zamestnancov </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_Toc34226942 \h </w:instrText>
        </w:r>
        <w:r w:rsidR="00244526" w:rsidRPr="00244526">
          <w:rPr>
            <w:noProof/>
            <w:webHidden/>
          </w:rPr>
        </w:r>
        <w:r w:rsidR="00244526" w:rsidRPr="00244526">
          <w:rPr>
            <w:noProof/>
            <w:webHidden/>
          </w:rPr>
          <w:fldChar w:fldCharType="separate"/>
        </w:r>
        <w:r w:rsidR="00BF69CA">
          <w:rPr>
            <w:noProof/>
            <w:webHidden/>
          </w:rPr>
          <w:t>55</w:t>
        </w:r>
        <w:r w:rsidR="00244526" w:rsidRPr="00244526">
          <w:rPr>
            <w:noProof/>
            <w:webHidden/>
          </w:rPr>
          <w:fldChar w:fldCharType="end"/>
        </w:r>
      </w:hyperlink>
    </w:p>
    <w:p w14:paraId="05C32B60" w14:textId="77777777" w:rsidR="00244526" w:rsidRPr="00244526" w:rsidRDefault="00D62879">
      <w:pPr>
        <w:pStyle w:val="Zoznamobrzkov"/>
        <w:tabs>
          <w:tab w:val="right" w:leader="dot" w:pos="9062"/>
        </w:tabs>
        <w:rPr>
          <w:rFonts w:asciiTheme="minorHAnsi" w:eastAsiaTheme="minorEastAsia" w:hAnsiTheme="minorHAnsi"/>
          <w:noProof/>
          <w:lang w:eastAsia="sk-SK"/>
        </w:rPr>
      </w:pPr>
      <w:hyperlink w:anchor="_Toc34226943" w:history="1">
        <w:r w:rsidR="00244526" w:rsidRPr="00244526">
          <w:rPr>
            <w:rStyle w:val="Hypertextovprepojenie"/>
            <w:noProof/>
          </w:rPr>
          <w:t>Tabuľka 10: Potenciálne úspory na cene práce podľa mesta presídlenia (mil. eur, 2020-2023)</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_Toc34226943 \h </w:instrText>
        </w:r>
        <w:r w:rsidR="00244526" w:rsidRPr="00244526">
          <w:rPr>
            <w:noProof/>
            <w:webHidden/>
          </w:rPr>
        </w:r>
        <w:r w:rsidR="00244526" w:rsidRPr="00244526">
          <w:rPr>
            <w:noProof/>
            <w:webHidden/>
          </w:rPr>
          <w:fldChar w:fldCharType="separate"/>
        </w:r>
        <w:r w:rsidR="00BF69CA">
          <w:rPr>
            <w:noProof/>
            <w:webHidden/>
          </w:rPr>
          <w:t>56</w:t>
        </w:r>
        <w:r w:rsidR="00244526" w:rsidRPr="00244526">
          <w:rPr>
            <w:noProof/>
            <w:webHidden/>
          </w:rPr>
          <w:fldChar w:fldCharType="end"/>
        </w:r>
      </w:hyperlink>
    </w:p>
    <w:p w14:paraId="2B63C217" w14:textId="77777777" w:rsidR="00244526" w:rsidRPr="00244526" w:rsidRDefault="00D62879">
      <w:pPr>
        <w:pStyle w:val="Zoznamobrzkov"/>
        <w:tabs>
          <w:tab w:val="right" w:leader="dot" w:pos="9062"/>
        </w:tabs>
        <w:rPr>
          <w:rFonts w:asciiTheme="minorHAnsi" w:eastAsiaTheme="minorEastAsia" w:hAnsiTheme="minorHAnsi"/>
          <w:noProof/>
          <w:lang w:eastAsia="sk-SK"/>
        </w:rPr>
      </w:pPr>
      <w:hyperlink w:anchor="_Toc34226944" w:history="1">
        <w:r w:rsidR="00244526" w:rsidRPr="00244526">
          <w:rPr>
            <w:rStyle w:val="Hypertextovprepojenie"/>
            <w:noProof/>
          </w:rPr>
          <w:t>Tabuľka 11:</w:t>
        </w:r>
        <w:r w:rsidR="00244526" w:rsidRPr="00244526">
          <w:rPr>
            <w:rStyle w:val="Hypertextovprepojenie"/>
            <w:rFonts w:eastAsia="Times New Roman" w:cs="Times New Roman"/>
            <w:bCs/>
            <w:noProof/>
            <w:lang w:eastAsia="sk-SK"/>
          </w:rPr>
          <w:t xml:space="preserve"> Percentuálna zmena dennej mzdy pri zmene zamestnania</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_Toc34226944 \h </w:instrText>
        </w:r>
        <w:r w:rsidR="00244526" w:rsidRPr="00244526">
          <w:rPr>
            <w:noProof/>
            <w:webHidden/>
          </w:rPr>
        </w:r>
        <w:r w:rsidR="00244526" w:rsidRPr="00244526">
          <w:rPr>
            <w:noProof/>
            <w:webHidden/>
          </w:rPr>
          <w:fldChar w:fldCharType="separate"/>
        </w:r>
        <w:r w:rsidR="00BF69CA">
          <w:rPr>
            <w:noProof/>
            <w:webHidden/>
          </w:rPr>
          <w:t>57</w:t>
        </w:r>
        <w:r w:rsidR="00244526" w:rsidRPr="00244526">
          <w:rPr>
            <w:noProof/>
            <w:webHidden/>
          </w:rPr>
          <w:fldChar w:fldCharType="end"/>
        </w:r>
      </w:hyperlink>
    </w:p>
    <w:p w14:paraId="2D19B962" w14:textId="77777777" w:rsidR="00244526" w:rsidRPr="00244526" w:rsidRDefault="00D62879">
      <w:pPr>
        <w:pStyle w:val="Zoznamobrzkov"/>
        <w:tabs>
          <w:tab w:val="right" w:leader="dot" w:pos="9062"/>
        </w:tabs>
        <w:rPr>
          <w:rFonts w:asciiTheme="minorHAnsi" w:eastAsiaTheme="minorEastAsia" w:hAnsiTheme="minorHAnsi"/>
          <w:noProof/>
          <w:lang w:eastAsia="sk-SK"/>
        </w:rPr>
      </w:pPr>
      <w:hyperlink w:anchor="_Toc34226945" w:history="1">
        <w:r w:rsidR="00244526" w:rsidRPr="00244526">
          <w:rPr>
            <w:rStyle w:val="Hypertextovprepojenie"/>
            <w:noProof/>
          </w:rPr>
          <w:t>Tabuľka 12:</w:t>
        </w:r>
        <w:r w:rsidR="00244526" w:rsidRPr="00244526">
          <w:rPr>
            <w:rStyle w:val="Hypertextovprepojenie"/>
            <w:rFonts w:eastAsia="Times New Roman" w:cs="Times New Roman"/>
            <w:bCs/>
            <w:noProof/>
            <w:lang w:eastAsia="sk-SK"/>
          </w:rPr>
          <w:t xml:space="preserve"> Možnosti optimalizácie podporných a prierezových činností</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_Toc34226945 \h </w:instrText>
        </w:r>
        <w:r w:rsidR="00244526" w:rsidRPr="00244526">
          <w:rPr>
            <w:noProof/>
            <w:webHidden/>
          </w:rPr>
        </w:r>
        <w:r w:rsidR="00244526" w:rsidRPr="00244526">
          <w:rPr>
            <w:noProof/>
            <w:webHidden/>
          </w:rPr>
          <w:fldChar w:fldCharType="separate"/>
        </w:r>
        <w:r w:rsidR="00BF69CA">
          <w:rPr>
            <w:noProof/>
            <w:webHidden/>
          </w:rPr>
          <w:t>75</w:t>
        </w:r>
        <w:r w:rsidR="00244526" w:rsidRPr="00244526">
          <w:rPr>
            <w:noProof/>
            <w:webHidden/>
          </w:rPr>
          <w:fldChar w:fldCharType="end"/>
        </w:r>
      </w:hyperlink>
    </w:p>
    <w:p w14:paraId="4EE9B3F3" w14:textId="77777777" w:rsidR="00244526" w:rsidRPr="00244526" w:rsidRDefault="00D62879">
      <w:pPr>
        <w:pStyle w:val="Zoznamobrzkov"/>
        <w:tabs>
          <w:tab w:val="right" w:leader="dot" w:pos="9062"/>
        </w:tabs>
        <w:rPr>
          <w:rFonts w:asciiTheme="minorHAnsi" w:eastAsiaTheme="minorEastAsia" w:hAnsiTheme="minorHAnsi"/>
          <w:noProof/>
          <w:lang w:eastAsia="sk-SK"/>
        </w:rPr>
      </w:pPr>
      <w:hyperlink w:anchor="_Toc34226946" w:history="1">
        <w:r w:rsidR="00244526" w:rsidRPr="00244526">
          <w:rPr>
            <w:rStyle w:val="Hypertextovprepojenie"/>
            <w:noProof/>
          </w:rPr>
          <w:t>Tabuľka 13</w:t>
        </w:r>
        <w:r w:rsidR="00244526" w:rsidRPr="00244526">
          <w:rPr>
            <w:rStyle w:val="Hypertextovprepojenie"/>
            <w:rFonts w:eastAsia="Times New Roman" w:cs="Times New Roman"/>
            <w:bCs/>
            <w:noProof/>
            <w:lang w:eastAsia="sk-SK"/>
          </w:rPr>
          <w:t xml:space="preserve">: </w:t>
        </w:r>
        <w:r w:rsidR="00244526" w:rsidRPr="00244526">
          <w:rPr>
            <w:rStyle w:val="Hypertextovprepojenie"/>
            <w:rFonts w:eastAsia="Times New Roman" w:cs="Times New Roman"/>
            <w:noProof/>
            <w:lang w:eastAsia="sk-SK"/>
          </w:rPr>
          <w:t>Počty zamestnancov (FTE) a študentov na verejných VŠ</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_Toc34226946 \h </w:instrText>
        </w:r>
        <w:r w:rsidR="00244526" w:rsidRPr="00244526">
          <w:rPr>
            <w:noProof/>
            <w:webHidden/>
          </w:rPr>
        </w:r>
        <w:r w:rsidR="00244526" w:rsidRPr="00244526">
          <w:rPr>
            <w:noProof/>
            <w:webHidden/>
          </w:rPr>
          <w:fldChar w:fldCharType="separate"/>
        </w:r>
        <w:r w:rsidR="00BF69CA">
          <w:rPr>
            <w:noProof/>
            <w:webHidden/>
          </w:rPr>
          <w:t>82</w:t>
        </w:r>
        <w:r w:rsidR="00244526" w:rsidRPr="00244526">
          <w:rPr>
            <w:noProof/>
            <w:webHidden/>
          </w:rPr>
          <w:fldChar w:fldCharType="end"/>
        </w:r>
      </w:hyperlink>
    </w:p>
    <w:p w14:paraId="76A958D3" w14:textId="77777777" w:rsidR="00244526" w:rsidRPr="00244526" w:rsidRDefault="00D62879">
      <w:pPr>
        <w:pStyle w:val="Zoznamobrzkov"/>
        <w:tabs>
          <w:tab w:val="right" w:leader="dot" w:pos="9062"/>
        </w:tabs>
        <w:rPr>
          <w:rFonts w:asciiTheme="minorHAnsi" w:eastAsiaTheme="minorEastAsia" w:hAnsiTheme="minorHAnsi"/>
          <w:noProof/>
          <w:lang w:eastAsia="sk-SK"/>
        </w:rPr>
      </w:pPr>
      <w:hyperlink w:anchor="_Toc34226947" w:history="1">
        <w:r w:rsidR="00244526" w:rsidRPr="00244526">
          <w:rPr>
            <w:rStyle w:val="Hypertextovprepojenie"/>
            <w:noProof/>
          </w:rPr>
          <w:t>Tabuľka 14: Najväčšie štátne podniky (2018)</w:t>
        </w:r>
        <w:r w:rsidR="00244526" w:rsidRPr="00244526">
          <w:rPr>
            <w:noProof/>
            <w:webHidden/>
          </w:rPr>
          <w:tab/>
        </w:r>
        <w:r w:rsidR="00244526" w:rsidRPr="00244526">
          <w:rPr>
            <w:noProof/>
            <w:webHidden/>
          </w:rPr>
          <w:fldChar w:fldCharType="begin"/>
        </w:r>
        <w:r w:rsidR="00244526" w:rsidRPr="00244526">
          <w:rPr>
            <w:noProof/>
            <w:webHidden/>
          </w:rPr>
          <w:instrText xml:space="preserve"> PAGEREF _Toc34226947 \h </w:instrText>
        </w:r>
        <w:r w:rsidR="00244526" w:rsidRPr="00244526">
          <w:rPr>
            <w:noProof/>
            <w:webHidden/>
          </w:rPr>
        </w:r>
        <w:r w:rsidR="00244526" w:rsidRPr="00244526">
          <w:rPr>
            <w:noProof/>
            <w:webHidden/>
          </w:rPr>
          <w:fldChar w:fldCharType="separate"/>
        </w:r>
        <w:r w:rsidR="00BF69CA">
          <w:rPr>
            <w:noProof/>
            <w:webHidden/>
          </w:rPr>
          <w:t>83</w:t>
        </w:r>
        <w:r w:rsidR="00244526" w:rsidRPr="00244526">
          <w:rPr>
            <w:noProof/>
            <w:webHidden/>
          </w:rPr>
          <w:fldChar w:fldCharType="end"/>
        </w:r>
      </w:hyperlink>
    </w:p>
    <w:p w14:paraId="2313FBFB" w14:textId="77777777" w:rsidR="00533150" w:rsidRPr="000939E3" w:rsidRDefault="00432044" w:rsidP="00925C95">
      <w:pPr>
        <w:contextualSpacing/>
        <w:jc w:val="left"/>
        <w:rPr>
          <w:color w:val="002060"/>
          <w:sz w:val="32"/>
          <w:szCs w:val="20"/>
        </w:rPr>
      </w:pPr>
      <w:r w:rsidRPr="00244526">
        <w:rPr>
          <w:bCs/>
          <w:noProof/>
        </w:rPr>
        <w:fldChar w:fldCharType="end"/>
      </w:r>
      <w:bookmarkStart w:id="8" w:name="_Toc481442830"/>
      <w:bookmarkStart w:id="9" w:name="_Toc478479910"/>
      <w:r w:rsidR="00533150" w:rsidRPr="000939E3">
        <w:br w:type="page"/>
      </w:r>
    </w:p>
    <w:p w14:paraId="50B6A426" w14:textId="0F66F72B" w:rsidR="00701819" w:rsidRPr="000939E3" w:rsidRDefault="0092748A" w:rsidP="00244526">
      <w:pPr>
        <w:pStyle w:val="Nadpis1"/>
        <w:numPr>
          <w:ilvl w:val="0"/>
          <w:numId w:val="0"/>
        </w:numPr>
        <w:spacing w:after="0"/>
        <w:ind w:left="431" w:hanging="431"/>
      </w:pPr>
      <w:bookmarkStart w:id="10" w:name="_Toc34050687"/>
      <w:r w:rsidRPr="000939E3">
        <w:lastRenderedPageBreak/>
        <w:t>Úvod a</w:t>
      </w:r>
      <w:r w:rsidR="007B4F5B" w:rsidRPr="000939E3">
        <w:t> </w:t>
      </w:r>
      <w:r w:rsidRPr="000939E3">
        <w:t>zhrnutie</w:t>
      </w:r>
      <w:bookmarkStart w:id="11" w:name="_Toc517158112"/>
      <w:bookmarkEnd w:id="8"/>
      <w:bookmarkEnd w:id="10"/>
    </w:p>
    <w:tbl>
      <w:tblPr>
        <w:tblStyle w:val="Mriekatabuky"/>
        <w:tblpPr w:leftFromText="141" w:rightFromText="141" w:vertAnchor="text" w:horzAnchor="margin" w:tblpY="3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072"/>
      </w:tblGrid>
      <w:tr w:rsidR="00244526" w:rsidRPr="000939E3" w14:paraId="1B857F8C" w14:textId="77777777" w:rsidTr="003449F8">
        <w:tc>
          <w:tcPr>
            <w:tcW w:w="9072" w:type="dxa"/>
            <w:shd w:val="clear" w:color="auto" w:fill="BDD6EE" w:themeFill="accent1" w:themeFillTint="66"/>
          </w:tcPr>
          <w:p w14:paraId="20C0C00D" w14:textId="5173DECD" w:rsidR="00244526" w:rsidRPr="009113A0" w:rsidRDefault="00244526" w:rsidP="008E4B7A">
            <w:pPr>
              <w:pStyle w:val="Popis"/>
              <w:spacing w:before="120" w:after="240"/>
              <w:contextualSpacing w:val="0"/>
              <w:rPr>
                <w:b w:val="0"/>
                <w:sz w:val="22"/>
              </w:rPr>
            </w:pPr>
            <w:r w:rsidRPr="009113A0">
              <w:rPr>
                <w:b w:val="0"/>
                <w:sz w:val="22"/>
              </w:rPr>
              <w:t>Revízia výdavkov je súčasťou vládneho projektu Hodnota za peniaze, v rámci ktorého reformuje pravidlá, nastavuje procesy a posilňuje inštitúcie, ktoré podporia prijímanie dobrých rozhodnutí vo verejnom záujme a</w:t>
            </w:r>
            <w:r w:rsidR="00CF399C">
              <w:rPr>
                <w:b w:val="0"/>
                <w:sz w:val="22"/>
              </w:rPr>
              <w:t> </w:t>
            </w:r>
            <w:r w:rsidRPr="009113A0">
              <w:rPr>
                <w:b w:val="0"/>
                <w:sz w:val="22"/>
              </w:rPr>
              <w:t>významne zvýšia hodnotu za peniaze v slovenskom verejnom sektore.</w:t>
            </w:r>
          </w:p>
          <w:p w14:paraId="6732F18E" w14:textId="1F65FB16" w:rsidR="003449F8" w:rsidRPr="008E4B7A" w:rsidRDefault="003449F8" w:rsidP="008E4B7A">
            <w:pPr>
              <w:pStyle w:val="Popis"/>
              <w:spacing w:after="240"/>
              <w:contextualSpacing w:val="0"/>
              <w:rPr>
                <w:b w:val="0"/>
                <w:sz w:val="22"/>
              </w:rPr>
            </w:pPr>
            <w:r w:rsidRPr="009113A0">
              <w:rPr>
                <w:b w:val="0"/>
                <w:sz w:val="22"/>
              </w:rPr>
              <w:t>V roku 2019 boli revíziou výdavkov zhodnotené výdavky s dopadom na sociálne začleňovanie skupín ohrozených chudobou a sociálnym vylúčením, výdavky na zamestnanosť a odmeňovanie vo verejnej správe, výdavky na poľnohospodárstvo a verejné výdavky na zdravotníctvo. Priebežné správy identifikujú oblasti, kde existuje najväčší priestor na zlepšenie efektívnosti. Záverečné správy následne pomenujú opatrenia s akčným plánom ich plnenia. Vláda schvaľuje záverečné správy revízií spolu s Programom stability SR. V roku 2020 budú zverejnené záverečné správy revízie výdavkov na  kultúru, vnútro a obranu.</w:t>
            </w:r>
          </w:p>
          <w:p w14:paraId="4CDCE6E9" w14:textId="265E4300" w:rsidR="00244526" w:rsidRPr="009113A0" w:rsidRDefault="00244526" w:rsidP="008E4B7A">
            <w:pPr>
              <w:pStyle w:val="Popis"/>
              <w:spacing w:after="240"/>
              <w:contextualSpacing w:val="0"/>
              <w:rPr>
                <w:b w:val="0"/>
                <w:sz w:val="22"/>
              </w:rPr>
            </w:pPr>
            <w:r w:rsidRPr="009113A0">
              <w:rPr>
                <w:b w:val="0"/>
                <w:sz w:val="22"/>
              </w:rPr>
              <w:t>Revízia výdavkov si dala za úlohu prehodnotiť väčšinu verejných výdavkov počas volebného obdobia. Tento cieľ je po prvom volebnom období jej fungovania splnený. Navrhnuté opatrenia umožnia fiškálnu úsporu, lepšie verejné služby pre občanov a/alebo presun financií na priority vlády. Revízia výdavkov prináša opatrenia, ktoré sú dlhodobo udržateľné.</w:t>
            </w:r>
          </w:p>
          <w:p w14:paraId="51935089" w14:textId="141BD3DB" w:rsidR="00244526" w:rsidRPr="000939E3" w:rsidRDefault="00244526" w:rsidP="00CF399C">
            <w:pPr>
              <w:pStyle w:val="Popis"/>
              <w:spacing w:before="120" w:after="240"/>
              <w:contextualSpacing w:val="0"/>
            </w:pPr>
            <w:r w:rsidRPr="009113A0">
              <w:rPr>
                <w:b w:val="0"/>
                <w:sz w:val="22"/>
              </w:rPr>
              <w:t>Vo vyspelých krajinách je revízia výdavkov štandardný nástroj, ktorý vládam pomáha hľadať priestor vo</w:t>
            </w:r>
            <w:r w:rsidR="00CF399C">
              <w:rPr>
                <w:b w:val="0"/>
                <w:sz w:val="22"/>
              </w:rPr>
              <w:t> </w:t>
            </w:r>
            <w:r w:rsidRPr="009113A0">
              <w:rPr>
                <w:b w:val="0"/>
                <w:sz w:val="22"/>
              </w:rPr>
              <w:t>verejných politikách na efektívnejšie využívanie verejných prostriedkov, ako aj úspory nevyhnutné na</w:t>
            </w:r>
            <w:r w:rsidR="00CF399C">
              <w:rPr>
                <w:b w:val="0"/>
                <w:sz w:val="22"/>
              </w:rPr>
              <w:t> </w:t>
            </w:r>
            <w:r w:rsidRPr="009113A0">
              <w:rPr>
                <w:b w:val="0"/>
                <w:sz w:val="22"/>
              </w:rPr>
              <w:t>splnenie národných aj európskych fiškálnych záväzkov</w:t>
            </w:r>
            <w:r w:rsidRPr="009113A0">
              <w:rPr>
                <w:sz w:val="22"/>
              </w:rPr>
              <w:t>.</w:t>
            </w:r>
          </w:p>
        </w:tc>
      </w:tr>
    </w:tbl>
    <w:p w14:paraId="32E7C181" w14:textId="50A26EF8" w:rsidR="00A1412E" w:rsidRDefault="00A1412E" w:rsidP="00244526">
      <w:pPr>
        <w:spacing w:before="240" w:after="0"/>
      </w:pPr>
      <w:r w:rsidRPr="000939E3">
        <w:rPr>
          <w:b/>
        </w:rPr>
        <w:t>Hlavnou úlohou osobných výdavkov v štátnej a verejnej správe je zabezpečiť podmienky pre riadny chod inštitúcií a spoľahlivý výkon funkcií štátu.</w:t>
      </w:r>
      <w:r w:rsidRPr="000939E3">
        <w:t xml:space="preserve"> Manažment zamestnanosti a odmeňovania má zaručiť efektívnu alokáciu ľudských zdrojov a konkurencieschopné podmienky štátnych a verejných zamestnávateľov aj v porovnaní so súkromným sektorom. </w:t>
      </w:r>
    </w:p>
    <w:p w14:paraId="5A58A00C" w14:textId="119CA73C" w:rsidR="00BD6514" w:rsidRPr="000939E3" w:rsidRDefault="00A1412E" w:rsidP="00BD6514">
      <w:pPr>
        <w:spacing w:before="240"/>
      </w:pPr>
      <w:r w:rsidRPr="000939E3">
        <w:rPr>
          <w:b/>
        </w:rPr>
        <w:t>Úlohou revízie je identifikovať opatrenia umožňujúce efektívnejši</w:t>
      </w:r>
      <w:r w:rsidR="0038123E" w:rsidRPr="000939E3">
        <w:rPr>
          <w:b/>
        </w:rPr>
        <w:t>e</w:t>
      </w:r>
      <w:r w:rsidRPr="000939E3">
        <w:rPr>
          <w:b/>
        </w:rPr>
        <w:t xml:space="preserve"> </w:t>
      </w:r>
      <w:r w:rsidR="0038123E" w:rsidRPr="000939E3">
        <w:rPr>
          <w:b/>
        </w:rPr>
        <w:t xml:space="preserve">rozdelenie </w:t>
      </w:r>
      <w:r w:rsidRPr="000939E3">
        <w:rPr>
          <w:b/>
        </w:rPr>
        <w:t xml:space="preserve">zdrojov </w:t>
      </w:r>
      <w:r w:rsidRPr="000939E3">
        <w:t xml:space="preserve">a lepšie podmienky pre zamestnancov a tým podporiť výkonnejšiu verejnú správu, ktorá vytvorí priestor pre lepšie služby občanom. </w:t>
      </w:r>
      <w:r w:rsidR="00BD6514" w:rsidRPr="000939E3">
        <w:t>Revízia zamestnanosti a odmeňovania v štátnej a verejnej správe SR sa zameriava na zhodnotenie adekvátnosti počtu zamestnancov a výšky a štruktúry odmeňovania.</w:t>
      </w:r>
    </w:p>
    <w:p w14:paraId="4A098DA0" w14:textId="01EDEF07" w:rsidR="00A1412E" w:rsidRPr="000939E3" w:rsidRDefault="00A1412E" w:rsidP="00A1412E">
      <w:r w:rsidRPr="000939E3">
        <w:rPr>
          <w:b/>
        </w:rPr>
        <w:t>Slovenský verejný sektor zamestnáva mierne menší počet zamestnancov ako krajiny EÚ, vynakladá na nich nižší podiel výdavkov na HDP (</w:t>
      </w:r>
      <w:r w:rsidR="00B77117" w:rsidRPr="000939E3">
        <w:rPr>
          <w:b/>
        </w:rPr>
        <w:t>9,3</w:t>
      </w:r>
      <w:r w:rsidRPr="000939E3">
        <w:rPr>
          <w:b/>
        </w:rPr>
        <w:t xml:space="preserve"> % vs. 10,6 %) aj celkových verejných výdavkov (22,</w:t>
      </w:r>
      <w:r w:rsidR="00B77117" w:rsidRPr="000939E3">
        <w:rPr>
          <w:b/>
        </w:rPr>
        <w:t xml:space="preserve">3 </w:t>
      </w:r>
      <w:r w:rsidRPr="000939E3">
        <w:rPr>
          <w:b/>
        </w:rPr>
        <w:t>% vs. 24,</w:t>
      </w:r>
      <w:r w:rsidR="00B77117" w:rsidRPr="000939E3">
        <w:rPr>
          <w:b/>
        </w:rPr>
        <w:t>7 </w:t>
      </w:r>
      <w:r w:rsidRPr="000939E3">
        <w:rPr>
          <w:b/>
        </w:rPr>
        <w:t xml:space="preserve">%). </w:t>
      </w:r>
      <w:r w:rsidRPr="000939E3">
        <w:t xml:space="preserve">Pre verejný sektor pracuje pätina všetkých pracujúcich v hospodárstve, vrátane samospráv to je </w:t>
      </w:r>
      <w:r w:rsidR="00AA5053" w:rsidRPr="000939E3">
        <w:t>416</w:t>
      </w:r>
      <w:r w:rsidR="00B77117" w:rsidRPr="000939E3">
        <w:t xml:space="preserve"> </w:t>
      </w:r>
      <w:r w:rsidRPr="000939E3">
        <w:t xml:space="preserve">tisíc zamestnancov. Tretina z nich pracuje v školstve, desatina v zdravotníctve. Štruktúra verejnej zamestnanosti sa líši od priemeru krajín EÚ. Slovensko má na počet obyvateľov menej zdravotných sestier a pracovníkov v sociálnych službách, naopak viac má najmä policajtov a vysokoškolských učiteľov. </w:t>
      </w:r>
    </w:p>
    <w:p w14:paraId="6B8B2158" w14:textId="796DE5DD" w:rsidR="00A1412E" w:rsidRPr="000939E3" w:rsidRDefault="00A1412E" w:rsidP="00A1412E">
      <w:r w:rsidRPr="000939E3">
        <w:rPr>
          <w:b/>
        </w:rPr>
        <w:t xml:space="preserve">Priemerná mzda vo verejnom sektore oproti súkromnému je relatívne nižšia v porovnaní so zahraničím, najviac zaostávajú učitelia. </w:t>
      </w:r>
      <w:r w:rsidRPr="000939E3">
        <w:t>Verejní zamestnanci zarábajú o 7 % viac ako v súkromnom sektore, ale pri porovnaní podobných zamestnancov na podobných pozíciách, verejní zarábajú v priemere o 3 % menej ako súkromní.</w:t>
      </w:r>
      <w:r w:rsidRPr="000939E3">
        <w:rPr>
          <w:b/>
        </w:rPr>
        <w:t xml:space="preserve"> </w:t>
      </w:r>
      <w:r w:rsidRPr="000939E3">
        <w:t xml:space="preserve">V krajinách EÚ je to v priemere o 7 % viac. Veľkú časť rozdielu tvoria nízke platy vysokoškolsky vzdelaných zamestnancov štátu, ktorí zarobia v priemere o 11 % menej ako </w:t>
      </w:r>
      <w:r w:rsidR="005969A5" w:rsidRPr="000939E3">
        <w:t xml:space="preserve">im podobní </w:t>
      </w:r>
      <w:r w:rsidRPr="000939E3">
        <w:t>zamestnanci na podobných pozíciách v súkromnom sektore. Z medzinárodného pohľadu zaostávajú najviac platy učiteľov v regionálnom školstve, ktorí zarobia len 6</w:t>
      </w:r>
      <w:r w:rsidR="00B77117" w:rsidRPr="000939E3">
        <w:t>5</w:t>
      </w:r>
      <w:r w:rsidRPr="000939E3">
        <w:t xml:space="preserve"> % priemernej mzdy vysokoškolsky vzdelaných, vo vyspelých krajinách vrátane EÚ to je viac ako </w:t>
      </w:r>
      <w:r w:rsidR="00B77117" w:rsidRPr="000939E3">
        <w:t>89 </w:t>
      </w:r>
      <w:r w:rsidRPr="000939E3">
        <w:t>%. Naopak, relatívne vyššie platy v porovnaní so zahraničím majú</w:t>
      </w:r>
      <w:r w:rsidR="00E30216" w:rsidRPr="000939E3">
        <w:t xml:space="preserve"> najmä</w:t>
      </w:r>
      <w:r w:rsidRPr="000939E3">
        <w:t xml:space="preserve"> prokurátori. Tieto porovnania slúžia vzhľadom na niektoré dátové obmedzenia na pomenovanie trendov a sú predmetom hlbšej analýzy jednotlivých profesií. </w:t>
      </w:r>
    </w:p>
    <w:p w14:paraId="012704C3" w14:textId="285D9832" w:rsidR="0001384E" w:rsidRPr="000939E3" w:rsidRDefault="00B77117" w:rsidP="00A1412E">
      <w:r w:rsidRPr="000939E3">
        <w:rPr>
          <w:b/>
        </w:rPr>
        <w:lastRenderedPageBreak/>
        <w:t>P</w:t>
      </w:r>
      <w:r w:rsidR="00A1412E" w:rsidRPr="000939E3">
        <w:rPr>
          <w:b/>
        </w:rPr>
        <w:t xml:space="preserve">lošné zvýšenie miezd pre väčšinu verejných zamestnancov v rokoch 2019 a 2020 zníži medzinárodné zaostávanie kompenzácií vo verejnom sektore o polovicu. </w:t>
      </w:r>
      <w:r w:rsidR="00A1412E" w:rsidRPr="000939E3">
        <w:t xml:space="preserve">Podiel výdavkov na kompenzácie v pomere k verejným výdavkom </w:t>
      </w:r>
      <w:r w:rsidRPr="000939E3">
        <w:t xml:space="preserve">sa priblíži k </w:t>
      </w:r>
      <w:r w:rsidR="00A1412E" w:rsidRPr="000939E3">
        <w:t>priemer</w:t>
      </w:r>
      <w:r w:rsidRPr="000939E3">
        <w:t>u</w:t>
      </w:r>
      <w:r w:rsidR="00A1412E" w:rsidRPr="000939E3">
        <w:t xml:space="preserve"> krajín EÚ. </w:t>
      </w:r>
      <w:r w:rsidR="0001384E" w:rsidRPr="000939E3">
        <w:t xml:space="preserve">V ostatných rokoch rastú platy učiteľov rýchlejšie ako v iných profesiách a v roku 2019 prišlo k výraznému nárastu platov zdravotníckych pracovníkov, čím sa úrovňou dostávajú blízko priemeru EÚ. </w:t>
      </w:r>
    </w:p>
    <w:p w14:paraId="538B0E3A" w14:textId="67D6DD4C" w:rsidR="00A1412E" w:rsidRPr="000939E3" w:rsidRDefault="0001384E" w:rsidP="00A1412E">
      <w:r w:rsidRPr="000939E3">
        <w:rPr>
          <w:b/>
        </w:rPr>
        <w:t xml:space="preserve">Rozdielna miera zaostávania vytvára predpoklad </w:t>
      </w:r>
      <w:r w:rsidR="00F5695C" w:rsidRPr="000939E3">
        <w:rPr>
          <w:b/>
        </w:rPr>
        <w:t xml:space="preserve">na </w:t>
      </w:r>
      <w:r w:rsidRPr="000939E3">
        <w:rPr>
          <w:b/>
        </w:rPr>
        <w:t xml:space="preserve">diferencované navýšenie platov. </w:t>
      </w:r>
      <w:r w:rsidR="00A1412E" w:rsidRPr="000939E3">
        <w:t>Ďalšie zvyšovanie výdavkov na kompenzácie by malo byť cielené, zohľadňovať rozdielnu mieru domáceho a medzinárodného zaostávania, regionálne rozdiely v miere konkurencieschopnosti verejného sektora, ako aj nedostatok pracovníkov niektorých profesií na pracovnom trhu.</w:t>
      </w:r>
    </w:p>
    <w:p w14:paraId="56B56B51" w14:textId="1E31FB82" w:rsidR="00A1412E" w:rsidRPr="000939E3" w:rsidRDefault="00CC2BE4" w:rsidP="00A1412E">
      <w:r w:rsidRPr="000939E3">
        <w:rPr>
          <w:b/>
        </w:rPr>
        <w:t>Nevyhnutnou súčasťou zvyšovania miezd sú reformné opatrenia, ktoré zabezpečia zlepšovanie výsledkov, v opačnom prípade je rizikom drahší</w:t>
      </w:r>
      <w:r w:rsidR="00144E91" w:rsidRPr="000939E3">
        <w:rPr>
          <w:b/>
        </w:rPr>
        <w:t>,</w:t>
      </w:r>
      <w:r w:rsidRPr="000939E3">
        <w:rPr>
          <w:b/>
        </w:rPr>
        <w:t xml:space="preserve"> ale rovnaký systém. Revízia podmieňuje navyšovanie zdrojov konkrétnymi reformnými opatreniami.</w:t>
      </w:r>
      <w:r w:rsidR="00A1412E" w:rsidRPr="000939E3">
        <w:t xml:space="preserve"> Podmienenie dodatočných finančných zdrojov uskutočnením štrukturálnych reforiem odporúčajú aj medzinárodné organizácie (IMF, EC 2017). Inak môže dôjsť k zvýšeniu nákladov bez zlepšenia výsledkov systému (napr. prudký rast platov lekárov vo Veľkej Británii (IMF, 2015)</w:t>
      </w:r>
      <w:r w:rsidR="009B2D2E" w:rsidRPr="000939E3">
        <w:t xml:space="preserve"> alebo na Slovensku (IFP, 2012</w:t>
      </w:r>
      <w:r w:rsidR="00A1412E" w:rsidRPr="000939E3">
        <w:t xml:space="preserve">). </w:t>
      </w:r>
    </w:p>
    <w:p w14:paraId="0D786C97" w14:textId="40FE3EC8" w:rsidR="00CC2BE4" w:rsidRPr="000939E3" w:rsidRDefault="00CC2BE4" w:rsidP="00A1412E">
      <w:r w:rsidRPr="000939E3">
        <w:rPr>
          <w:b/>
        </w:rPr>
        <w:t>Dorovnanie miezd v zaostávajúcich profesiách sa môže udiať arbitrárne zvoleným tempom</w:t>
      </w:r>
      <w:r w:rsidRPr="000939E3">
        <w:t>. Závisí od</w:t>
      </w:r>
      <w:r w:rsidR="005523DA" w:rsidRPr="000939E3">
        <w:t> </w:t>
      </w:r>
      <w:r w:rsidRPr="000939E3">
        <w:t>možností verejných financií s rešpektovaním cieľov vlády pre hospodárenie štátu a</w:t>
      </w:r>
      <w:r w:rsidR="00144E91" w:rsidRPr="000939E3">
        <w:t xml:space="preserve"> od </w:t>
      </w:r>
      <w:r w:rsidRPr="000939E3">
        <w:t>plnenia reformných opatrení stanovených revíziou.</w:t>
      </w:r>
      <w:r w:rsidR="00E71D68" w:rsidRPr="000939E3">
        <w:rPr>
          <w:color w:val="000000"/>
        </w:rPr>
        <w:t xml:space="preserve"> Konkrétna výška hodnotových opatrení bude závisieť od disponibilného priestoru pri príprave rozpočtu verejnej správy na príslušné roky.</w:t>
      </w:r>
    </w:p>
    <w:p w14:paraId="08E2ED81" w14:textId="0711FD96" w:rsidR="00A1412E" w:rsidRPr="000939E3" w:rsidRDefault="00A1412E" w:rsidP="00A1412E">
      <w:r w:rsidRPr="000939E3">
        <w:rPr>
          <w:b/>
        </w:rPr>
        <w:t xml:space="preserve">Verejný sektor rýchlo starne, tretina zamestnancov dovŕši v priebehu 10 rokov dôchodkový vek. </w:t>
      </w:r>
      <w:r w:rsidRPr="000939E3">
        <w:t>Zamestnancov nad 55 rokov je vo verejnom sektore dvojnásobný podiel oproti súkromnému, navyše verejný sektor v rokoch 2011 až 2017 zostarol o polovicu viac ako súkromný. Priemerný vek vo verejnom sektore vzrástol o 1,2 roka, v súkromnom o 0,4 roka menej. Starnúca populácia obyvateľstva aj pracovníkov poskytujúcich verejné služby vyvoláva tlak predovšetkým na zdravotníctvo a sociálne služby. Ak nedôjde k zásadnejšej zmene počtu absolventov relevantných odborov prechádzajúcich do praxe, bud</w:t>
      </w:r>
      <w:r w:rsidR="00662722" w:rsidRPr="000939E3">
        <w:t>e</w:t>
      </w:r>
      <w:r w:rsidRPr="000939E3">
        <w:t xml:space="preserve"> podľa prognóz </w:t>
      </w:r>
      <w:r w:rsidR="00662722" w:rsidRPr="000939E3">
        <w:t>do roku 2023 chýbať ročne okolo 250 zdravotných sestier, 580 učiteľov v regionálnom školstve a 1 250 sociálnych pracovníkov.</w:t>
      </w:r>
    </w:p>
    <w:p w14:paraId="04BE10A2" w14:textId="31D61639" w:rsidR="00A1412E" w:rsidRPr="000939E3" w:rsidRDefault="00A1412E" w:rsidP="00A1412E">
      <w:r w:rsidRPr="000939E3">
        <w:rPr>
          <w:b/>
        </w:rPr>
        <w:t xml:space="preserve">Zamestnanci verejného sektora s vysokoškolským vzdelaním majú horšie výsledky v testovaní zručností ako ich kolegovia v súkromnom sektore. Podobne je to aj v zahraničí. </w:t>
      </w:r>
      <w:r w:rsidRPr="000939E3">
        <w:t>Relatívny</w:t>
      </w:r>
      <w:r w:rsidRPr="000939E3">
        <w:rPr>
          <w:b/>
        </w:rPr>
        <w:t xml:space="preserve"> </w:t>
      </w:r>
      <w:r w:rsidRPr="000939E3">
        <w:t>rozdiel medzi zručnosťami slovenského verejného a súkromného sektora v čitateľskej a numerickej gramotnosti a využívaní informačných technológií pri riešení problémov podľa medzinárodného testovania PIAAC 2013 patrí</w:t>
      </w:r>
      <w:r w:rsidR="00820790" w:rsidRPr="000939E3">
        <w:t xml:space="preserve"> medzi najväčšie. Je </w:t>
      </w:r>
      <w:r w:rsidRPr="000939E3">
        <w:t xml:space="preserve">spôsobený veľmi dobrými výsledkami súkromného sektora a priemernými výsledkami verejných zamestnancov. </w:t>
      </w:r>
    </w:p>
    <w:tbl>
      <w:tblPr>
        <w:tblStyle w:val="Mriekatabu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86"/>
        <w:gridCol w:w="146"/>
        <w:gridCol w:w="4540"/>
      </w:tblGrid>
      <w:tr w:rsidR="00A1412E" w:rsidRPr="000939E3" w14:paraId="373BEC84" w14:textId="77777777" w:rsidTr="00E86A4E">
        <w:trPr>
          <w:trHeight w:val="20"/>
        </w:trPr>
        <w:tc>
          <w:tcPr>
            <w:tcW w:w="4386" w:type="dxa"/>
            <w:tcBorders>
              <w:bottom w:val="single" w:sz="4" w:space="0" w:color="auto"/>
            </w:tcBorders>
          </w:tcPr>
          <w:p w14:paraId="0A90D51F" w14:textId="77777777" w:rsidR="00A1412E" w:rsidRPr="000939E3" w:rsidRDefault="00A1412E" w:rsidP="00284F1D">
            <w:pPr>
              <w:pStyle w:val="Popis"/>
              <w:keepNext/>
              <w:jc w:val="left"/>
              <w:rPr>
                <w:noProof/>
              </w:rPr>
            </w:pPr>
            <w:r w:rsidRPr="000939E3">
              <w:rPr>
                <w:noProof/>
              </w:rPr>
              <w:t>Veková štruktúra zamestnancov (2017)</w:t>
            </w:r>
          </w:p>
        </w:tc>
        <w:tc>
          <w:tcPr>
            <w:tcW w:w="160" w:type="dxa"/>
          </w:tcPr>
          <w:p w14:paraId="714CB790" w14:textId="77777777" w:rsidR="00A1412E" w:rsidRPr="000939E3" w:rsidRDefault="00A1412E" w:rsidP="00284F1D">
            <w:pPr>
              <w:pStyle w:val="Popis"/>
              <w:keepNext/>
              <w:rPr>
                <w:noProof/>
              </w:rPr>
            </w:pPr>
          </w:p>
        </w:tc>
        <w:tc>
          <w:tcPr>
            <w:tcW w:w="4526" w:type="dxa"/>
            <w:tcBorders>
              <w:bottom w:val="single" w:sz="4" w:space="0" w:color="auto"/>
            </w:tcBorders>
            <w:vAlign w:val="bottom"/>
          </w:tcPr>
          <w:p w14:paraId="272AFD16" w14:textId="77777777" w:rsidR="00A1412E" w:rsidRPr="000939E3" w:rsidRDefault="00A1412E" w:rsidP="00284F1D">
            <w:pPr>
              <w:pStyle w:val="Popis"/>
              <w:keepNext/>
              <w:rPr>
                <w:noProof/>
              </w:rPr>
            </w:pPr>
            <w:r w:rsidRPr="000939E3">
              <w:rPr>
                <w:rStyle w:val="Bodytext295pt"/>
                <w:szCs w:val="20"/>
                <w:lang w:val="sk-SK"/>
              </w:rPr>
              <w:t>Hodinové mzdy v závislosti od veku zamestnanca, VŠ vzdelaní (2017)</w:t>
            </w:r>
          </w:p>
        </w:tc>
      </w:tr>
      <w:tr w:rsidR="00A1412E" w:rsidRPr="000939E3" w14:paraId="43B2CEBE" w14:textId="77777777" w:rsidTr="00E86A4E">
        <w:trPr>
          <w:trHeight w:val="2785"/>
        </w:trPr>
        <w:tc>
          <w:tcPr>
            <w:tcW w:w="4386" w:type="dxa"/>
            <w:tcBorders>
              <w:top w:val="single" w:sz="4" w:space="0" w:color="auto"/>
              <w:bottom w:val="single" w:sz="4" w:space="0" w:color="auto"/>
            </w:tcBorders>
          </w:tcPr>
          <w:p w14:paraId="10ED4E49" w14:textId="77777777" w:rsidR="00A1412E" w:rsidRPr="000939E3" w:rsidRDefault="00A1412E" w:rsidP="00284F1D">
            <w:pPr>
              <w:spacing w:after="0"/>
            </w:pPr>
            <w:r w:rsidRPr="000939E3">
              <w:rPr>
                <w:noProof/>
                <w:lang w:eastAsia="sk-SK"/>
              </w:rPr>
              <w:drawing>
                <wp:inline distT="0" distB="0" distL="0" distR="0" wp14:anchorId="5C786EA4" wp14:editId="18A02224">
                  <wp:extent cx="2705100" cy="17907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160" w:type="dxa"/>
          </w:tcPr>
          <w:p w14:paraId="7AE1012F" w14:textId="77777777" w:rsidR="00A1412E" w:rsidRPr="000939E3" w:rsidRDefault="00A1412E" w:rsidP="00284F1D">
            <w:pPr>
              <w:spacing w:after="0"/>
            </w:pPr>
          </w:p>
        </w:tc>
        <w:tc>
          <w:tcPr>
            <w:tcW w:w="4526" w:type="dxa"/>
            <w:tcBorders>
              <w:top w:val="single" w:sz="4" w:space="0" w:color="auto"/>
              <w:bottom w:val="single" w:sz="4" w:space="0" w:color="auto"/>
            </w:tcBorders>
          </w:tcPr>
          <w:p w14:paraId="24F770E5" w14:textId="77777777" w:rsidR="00A1412E" w:rsidRPr="000939E3" w:rsidRDefault="00A1412E" w:rsidP="00284F1D">
            <w:pPr>
              <w:spacing w:after="0"/>
            </w:pPr>
            <w:r w:rsidRPr="000939E3">
              <w:rPr>
                <w:noProof/>
                <w:lang w:eastAsia="sk-SK"/>
              </w:rPr>
              <w:drawing>
                <wp:inline distT="0" distB="0" distL="0" distR="0" wp14:anchorId="1FDAE12D" wp14:editId="57500EDC">
                  <wp:extent cx="2803525" cy="1784350"/>
                  <wp:effectExtent l="0" t="0" r="0" b="0"/>
                  <wp:docPr id="254" name="Graf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A1412E" w:rsidRPr="000939E3" w14:paraId="416F5FB7" w14:textId="77777777" w:rsidTr="00E86A4E">
        <w:trPr>
          <w:trHeight w:val="50"/>
        </w:trPr>
        <w:tc>
          <w:tcPr>
            <w:tcW w:w="4386" w:type="dxa"/>
            <w:tcBorders>
              <w:top w:val="single" w:sz="4" w:space="0" w:color="auto"/>
            </w:tcBorders>
          </w:tcPr>
          <w:p w14:paraId="3DB228CA" w14:textId="77777777" w:rsidR="00A1412E" w:rsidRPr="000939E3" w:rsidRDefault="00A1412E" w:rsidP="00E86A4E">
            <w:pPr>
              <w:spacing w:after="0" w:line="240" w:lineRule="auto"/>
              <w:contextualSpacing/>
              <w:jc w:val="right"/>
              <w:rPr>
                <w:i/>
                <w:noProof/>
                <w:sz w:val="18"/>
                <w:lang w:eastAsia="sk-SK"/>
              </w:rPr>
            </w:pPr>
            <w:r w:rsidRPr="000939E3">
              <w:rPr>
                <w:i/>
                <w:noProof/>
                <w:sz w:val="18"/>
                <w:lang w:eastAsia="sk-SK"/>
              </w:rPr>
              <w:t>Zdroj: ISCP, prepočty ÚHP</w:t>
            </w:r>
          </w:p>
        </w:tc>
        <w:tc>
          <w:tcPr>
            <w:tcW w:w="160" w:type="dxa"/>
          </w:tcPr>
          <w:p w14:paraId="76D39815" w14:textId="77777777" w:rsidR="00A1412E" w:rsidRPr="00E86A4E" w:rsidRDefault="00A1412E" w:rsidP="00E86A4E">
            <w:pPr>
              <w:spacing w:after="0" w:line="240" w:lineRule="auto"/>
              <w:contextualSpacing/>
              <w:rPr>
                <w:sz w:val="8"/>
              </w:rPr>
            </w:pPr>
          </w:p>
        </w:tc>
        <w:tc>
          <w:tcPr>
            <w:tcW w:w="4526" w:type="dxa"/>
            <w:tcBorders>
              <w:top w:val="single" w:sz="4" w:space="0" w:color="auto"/>
            </w:tcBorders>
          </w:tcPr>
          <w:p w14:paraId="2E7E6181" w14:textId="77777777" w:rsidR="00A1412E" w:rsidRPr="000939E3" w:rsidRDefault="00A1412E" w:rsidP="00E86A4E">
            <w:pPr>
              <w:spacing w:after="0" w:line="240" w:lineRule="auto"/>
              <w:contextualSpacing/>
              <w:jc w:val="right"/>
              <w:rPr>
                <w:noProof/>
                <w:lang w:eastAsia="sk-SK"/>
              </w:rPr>
            </w:pPr>
            <w:r w:rsidRPr="000939E3">
              <w:rPr>
                <w:i/>
                <w:noProof/>
                <w:sz w:val="18"/>
                <w:lang w:eastAsia="sk-SK"/>
              </w:rPr>
              <w:t>Zdroj: ISCP, prepočty ÚHP</w:t>
            </w:r>
          </w:p>
        </w:tc>
      </w:tr>
    </w:tbl>
    <w:p w14:paraId="68B7BEC1" w14:textId="4893869F" w:rsidR="00A1412E" w:rsidRPr="000939E3" w:rsidRDefault="00A1412E" w:rsidP="00A1412E">
      <w:pPr>
        <w:spacing w:before="240"/>
      </w:pPr>
      <w:r w:rsidRPr="000939E3">
        <w:rPr>
          <w:b/>
        </w:rPr>
        <w:lastRenderedPageBreak/>
        <w:t>Verejný sektor je finančne neatraktívny pre vysokoškolsky vzdelaných zamestnancov počas väčšiny produktívneho veku</w:t>
      </w:r>
      <w:r w:rsidRPr="000939E3">
        <w:t>. Mzdy mladých zamestnancov zaostávajú menej, následne však rastú pomalšie ako v súkromnom sektore. Výrazne menej ako v súkromnom sektore (o 20 až 40 %) zarábajú zamestnanci profesií s vysokými príjmami, najmä právnici, pracovníci v oblasti financií či IT. Nízke mzdy vo vysokokvalifikovaných a drahých profesiách</w:t>
      </w:r>
      <w:r w:rsidRPr="000939E3" w:rsidDel="00A622EC">
        <w:t xml:space="preserve"> </w:t>
      </w:r>
      <w:r w:rsidRPr="000939E3">
        <w:t>môžu viesť k ich nízkej kvalite alebo potrebe zabezpečiť služby dodávateľsky.</w:t>
      </w:r>
    </w:p>
    <w:p w14:paraId="6C1DD2B2" w14:textId="29A47A5A" w:rsidR="00A1412E" w:rsidRPr="000939E3" w:rsidRDefault="00A1412E" w:rsidP="00A1412E">
      <w:r w:rsidRPr="000939E3">
        <w:rPr>
          <w:b/>
        </w:rPr>
        <w:t>Rozdelenie platov vo verejnom sektore je rovnejšie ako v súkromnom sektore, aj ako v zahraničí.</w:t>
      </w:r>
      <w:r w:rsidRPr="000939E3">
        <w:t xml:space="preserve"> Napríklad v prípade štátnej služby je </w:t>
      </w:r>
      <w:r w:rsidRPr="000939E3">
        <w:rPr>
          <w:lang w:eastAsia="sk-SK"/>
        </w:rPr>
        <w:t>najvyšší tarifný plat 2,</w:t>
      </w:r>
      <w:r w:rsidR="00F12D38" w:rsidRPr="000939E3">
        <w:rPr>
          <w:lang w:eastAsia="sk-SK"/>
        </w:rPr>
        <w:t xml:space="preserve">3 </w:t>
      </w:r>
      <w:r w:rsidRPr="000939E3">
        <w:rPr>
          <w:lang w:eastAsia="sk-SK"/>
        </w:rPr>
        <w:t>násobne vyšší ako najnižší. Dostatočnú flexibilitu odmeňovania podľa medzinárodných skúseností poskytuje aspoň 4 násobné rozpätie.</w:t>
      </w:r>
      <w:r w:rsidRPr="000939E3">
        <w:t xml:space="preserve"> Nízku variabilitu majú aj vyplácané odmeny - pre väčšinu verejných zamestnancov tvoria 7 až 10 % celkovej kompenzácie bez ohľadu na príjem, v súkromnom sektore podiel odmien rastie s príjmom</w:t>
      </w:r>
      <w:r w:rsidRPr="000939E3">
        <w:rPr>
          <w:rStyle w:val="Odkaznakomentr"/>
        </w:rPr>
        <w:t xml:space="preserve">, </w:t>
      </w:r>
      <w:r w:rsidRPr="000939E3">
        <w:t xml:space="preserve">priemerne tvorí 15 % celkovej kompenzácie. </w:t>
      </w:r>
    </w:p>
    <w:p w14:paraId="4F28D5AC" w14:textId="25F68D6A" w:rsidR="00A1412E" w:rsidRPr="000939E3" w:rsidRDefault="00A1412E" w:rsidP="00A1412E">
      <w:r w:rsidRPr="000939E3">
        <w:rPr>
          <w:b/>
        </w:rPr>
        <w:t>Systém odmeňovania verejnej správy kladie veľký dôraz na formálne vzdelanie a prax</w:t>
      </w:r>
      <w:r w:rsidRPr="000939E3">
        <w:t>, menej oceňuje ťažko definovateľnú produktivitu alebo výsledky. Väčšine verejných zamestnancov sa tarifná mzda s praxou zvyšuje, čo</w:t>
      </w:r>
      <w:r w:rsidR="00820790" w:rsidRPr="000939E3">
        <w:t> </w:t>
      </w:r>
      <w:r w:rsidRPr="000939E3">
        <w:t>stojí približne 30 mil. eur za každý dodatočný rok. Deje sa tak nerovnomerne, policajtom po 32 rokoch praxe vzrastie mzda až o 67 %, učiteľom v regionálnom školstve o 24 % a zamestnancom vo verejnom záujme od roku 2019 o 16 %</w:t>
      </w:r>
      <w:r w:rsidRPr="000939E3">
        <w:rPr>
          <w:rStyle w:val="Odkaznapoznmkupodiarou"/>
        </w:rPr>
        <w:footnoteReference w:id="1"/>
      </w:r>
      <w:r w:rsidRPr="000939E3">
        <w:t xml:space="preserve">. Vysoký vplyv </w:t>
      </w:r>
      <w:r w:rsidR="00AA5053" w:rsidRPr="000939E3">
        <w:t xml:space="preserve">zvýšenia tarify </w:t>
      </w:r>
      <w:r w:rsidRPr="000939E3">
        <w:t>za prax môže negatívne vplývať na fiškálny priestor pre výkonnostné zložky odmeňovania (napr. odmeny) alebo konkurencieschopnosť zamestnávania mladých zamestnancov. Revízia navrhuje, aby časť budúcich dodatočných zdrojov smerovala do nenárokovateľných zložiek mzdy a vytváral sa priestor na odmeňovanie výkonu. Medzi navrhnuté opatrenia tiež patrí rozšírenie okruhu pozícií dostupných absolventom bakalárskych programov</w:t>
      </w:r>
      <w:r w:rsidR="00AD5D4C" w:rsidRPr="000939E3">
        <w:t>,</w:t>
      </w:r>
      <w:r w:rsidRPr="000939E3">
        <w:t xml:space="preserve"> ako aj uznávanie relevantnej praxe ako ekv</w:t>
      </w:r>
      <w:r w:rsidR="005523DA" w:rsidRPr="000939E3">
        <w:t xml:space="preserve">ivalentu formálneho vzdelania. </w:t>
      </w:r>
    </w:p>
    <w:p w14:paraId="6C9A0D9C" w14:textId="17E2FC52" w:rsidR="00A1412E" w:rsidRPr="000939E3" w:rsidRDefault="00F104B1" w:rsidP="00A1412E">
      <w:pPr>
        <w:spacing w:before="160"/>
      </w:pPr>
      <w:r w:rsidRPr="000939E3">
        <w:rPr>
          <w:b/>
        </w:rPr>
        <w:t>Systém odmeňovania v štátne</w:t>
      </w:r>
      <w:r w:rsidR="001A4182" w:rsidRPr="000939E3">
        <w:rPr>
          <w:b/>
        </w:rPr>
        <w:t>j</w:t>
      </w:r>
      <w:r w:rsidRPr="000939E3">
        <w:rPr>
          <w:b/>
        </w:rPr>
        <w:t xml:space="preserve"> a verejnej správe je nedostatočne pružný a odmeňuje </w:t>
      </w:r>
      <w:r w:rsidR="00264DFC" w:rsidRPr="000939E3">
        <w:rPr>
          <w:b/>
        </w:rPr>
        <w:t xml:space="preserve">do veľkej miery </w:t>
      </w:r>
      <w:r w:rsidRPr="000939E3">
        <w:rPr>
          <w:b/>
        </w:rPr>
        <w:t xml:space="preserve">prax namiesto výkonov. </w:t>
      </w:r>
      <w:r w:rsidRPr="000939E3">
        <w:t xml:space="preserve">Novela </w:t>
      </w:r>
      <w:r w:rsidR="00A1412E" w:rsidRPr="000939E3">
        <w:t>zákona o odmeňovaní vo verejnom záujme schválená v roku 2018 čiastočne zjednodušila systém, avšak zmena filozofie odmeňovania nenastala. Významný vplyv na mzdu budú mať aj naďalej odpracované roky, ktoré nemajú jasný súvis s kvalitou práce. Novelou sa ale znižuje ich priemerný ročný rast z viac ako 1 % na 0,5 % základného platu. Konkurencieschopnosť odmeňovania verejnej správy by mohli podporiť širšie odmeňovacie intervaly. Možnosť ich zavedenia preskúma Koncepcia odmeňovania v štátnej službe pripravovaná Úradom vlády SR, neskôr tak urobí aj pre zamestnancov pri výkone práce vo verejnom záujme.</w:t>
      </w:r>
    </w:p>
    <w:p w14:paraId="6D09099D" w14:textId="0B79D0EA" w:rsidR="00A1412E" w:rsidRPr="000939E3" w:rsidRDefault="00A1412E" w:rsidP="00A1412E">
      <w:r w:rsidRPr="000939E3">
        <w:rPr>
          <w:b/>
        </w:rPr>
        <w:t xml:space="preserve">Relatívne rovnostársky správajúci sa systém odmeňovania vo verejnej správe v kombinácii s výrazne regionálne diferencovanými mzdami v súkromnom sektore spôsobuje veľké rozdiely v príjmoch medzi súkromným a verejným sektorom v niektorých regiónoch. </w:t>
      </w:r>
      <w:r w:rsidRPr="000939E3">
        <w:t xml:space="preserve">To môže vplývať na kvalitu verejných služieb. Rozdiely v príjme zamestnanca verejného sektora voči zamestnancovi v súkromnom sektore na pozícii lekára </w:t>
      </w:r>
      <w:r w:rsidR="00E70518">
        <w:t xml:space="preserve">– </w:t>
      </w:r>
      <w:r w:rsidRPr="000939E3">
        <w:t xml:space="preserve">špecialistu alebo učiteľa v regionálnom školstve v Bratislave a mimo nej sú výrazné. </w:t>
      </w:r>
    </w:p>
    <w:p w14:paraId="0EC2B444" w14:textId="77777777" w:rsidR="00A1412E" w:rsidRPr="000939E3" w:rsidRDefault="00A1412E" w:rsidP="00A1412E">
      <w:r w:rsidRPr="000939E3">
        <w:rPr>
          <w:b/>
        </w:rPr>
        <w:t xml:space="preserve">Prax kolektívneho vyjednávania vo verejnom sektore na Slovensku generuje rovnakú relatívnu valorizáciu pre väčšinu profesií napriek ich rozdielnej konkurencieschopnosti v odmeňovaní. </w:t>
      </w:r>
      <w:r w:rsidRPr="000939E3">
        <w:t xml:space="preserve">Prispieva k tomu najmä centralizované vyjednávanie, kedy sa o väčšine profesií rozhoduje na vládnej úrovni. Modely iných štátov ukazujú, že decentralizované a oddelené odvetvové vyjednávanie môže lepšie zohľadňovať potreby skupín zamestnancov a regionálnu rôznorodosť. Dôslednejšie oddelenie kolektívneho vyjednávania a určitá deregulácia miezd podporných zamestnancov (napríklad šoférov, upratovačov a pod) alebo sektorová minimálna mzda by mohli zefektívniť proces a priniesť lepšie benefity pre zamestnancov. Z pohľadu zamestnancov by deregulácia umožnila žiadať trhové platy, z pohľadu ústrednej štátnej správy môže byť riešením ponechať vyjednávanie o časti zamestnancov verejnej správy, ktorých neplatí, na samosprávy. </w:t>
      </w:r>
    </w:p>
    <w:p w14:paraId="5E8A3B4A" w14:textId="07376E98" w:rsidR="00A1412E" w:rsidRPr="000939E3" w:rsidRDefault="00A1412E" w:rsidP="00A1412E">
      <w:r w:rsidRPr="000939E3">
        <w:rPr>
          <w:rFonts w:eastAsia="Calibri" w:cs="Times New Roman"/>
          <w:b/>
          <w:color w:val="000000"/>
        </w:rPr>
        <w:lastRenderedPageBreak/>
        <w:t>Ministerstvá a iné ústredné orgány štátnej správy neobsadia každoročne v priemere päť tisíc rozpočtovaných miest. Väčšinu neobsadených miest tvoria policajti a vojaci.</w:t>
      </w:r>
      <w:r w:rsidRPr="000939E3">
        <w:rPr>
          <w:rFonts w:eastAsia="Calibri" w:cs="Times New Roman"/>
          <w:color w:val="000000"/>
        </w:rPr>
        <w:t xml:space="preserve"> </w:t>
      </w:r>
      <w:r w:rsidRPr="000939E3">
        <w:t>O</w:t>
      </w:r>
      <w:r w:rsidRPr="000939E3">
        <w:rPr>
          <w:rFonts w:eastAsia="Calibri" w:cs="Times New Roman"/>
          <w:color w:val="000000"/>
        </w:rPr>
        <w:t xml:space="preserve">proti mediánu EÚ má tak Slovensko </w:t>
      </w:r>
      <w:r w:rsidR="00B7793E" w:rsidRPr="000939E3">
        <w:rPr>
          <w:rFonts w:eastAsia="Calibri" w:cs="Times New Roman"/>
          <w:color w:val="000000"/>
        </w:rPr>
        <w:t xml:space="preserve">takmer </w:t>
      </w:r>
      <w:r w:rsidRPr="000939E3">
        <w:rPr>
          <w:rFonts w:eastAsia="Calibri" w:cs="Times New Roman"/>
          <w:color w:val="000000"/>
        </w:rPr>
        <w:t xml:space="preserve">štvornásobok voľných pracovných miest vo verejnej správe. Dosiahnutie rovnakej miery neobsadenosti ako v krajinách EÚ by znamenalo zrušenie 3,6 tisíc miest a uvoľnenie 48 mil. eur ročne. </w:t>
      </w:r>
      <w:r w:rsidRPr="000939E3">
        <w:t xml:space="preserve">Dlhodobo vysoký podiel neobsadených miest má </w:t>
      </w:r>
      <w:r w:rsidRPr="000939E3">
        <w:rPr>
          <w:rFonts w:eastAsia="Calibri" w:cs="Times New Roman"/>
          <w:color w:val="000000"/>
        </w:rPr>
        <w:t>MV SR (1</w:t>
      </w:r>
      <w:r w:rsidRPr="000939E3">
        <w:t xml:space="preserve">,8 tisíc miest, 4 % plánu) </w:t>
      </w:r>
      <w:r w:rsidRPr="000939E3">
        <w:rPr>
          <w:rFonts w:eastAsia="Calibri" w:cs="Times New Roman"/>
          <w:color w:val="000000"/>
        </w:rPr>
        <w:t xml:space="preserve">a MO SR </w:t>
      </w:r>
      <w:r w:rsidRPr="000939E3">
        <w:t>(1,4 tisíc miest, 7 % plánu), ide najmä o policajtov a vojakov. Vyšší než priemerný podiel neobsadených miest štátnej správy má aj MŽP SR (86 miest, 8 %) a MZ SR (188 miest, 7 %). Počet neobsadených miest dlhodobo nad mediánom EÚ naznačuje buď problém s obsadzovaním miest (resp. atraktivitou práce), alebo nesprávne stanovený počet potrebných pracovníkov. Revízia navrhuje zníženie počtu plánovaných miest pri zachovaní objemu prostriedkov na mzdy tak, aby počet neobsadených miest tvoril maximálne 5 % plánovaného počtu zamestnancov kapitoly.</w:t>
      </w:r>
    </w:p>
    <w:p w14:paraId="781174A0" w14:textId="09B16CA2" w:rsidR="00A1412E" w:rsidRPr="000939E3" w:rsidRDefault="00A1412E" w:rsidP="00A1412E">
      <w:pPr>
        <w:spacing w:before="120"/>
        <w:rPr>
          <w:rFonts w:eastAsia="Calibri" w:cs="Times New Roman"/>
          <w:color w:val="000000"/>
        </w:rPr>
      </w:pPr>
      <w:r w:rsidRPr="000939E3">
        <w:rPr>
          <w:rFonts w:eastAsia="Calibri" w:cs="Times New Roman"/>
          <w:b/>
          <w:color w:val="000000"/>
        </w:rPr>
        <w:t>Výrazné rozdiely medzi rozpočtovanou a skutočnou priemernou mzdou zamestnancov spôsobuje najmä vysoký podiel neobsadených miest, podhodnotené výdavky na odmeny a nerozpočtovanie miezd z eurofondov</w:t>
      </w:r>
      <w:r w:rsidR="00144E91" w:rsidRPr="000939E3">
        <w:rPr>
          <w:rFonts w:eastAsia="Calibri" w:cs="Times New Roman"/>
          <w:color w:val="000000"/>
        </w:rPr>
        <w:t xml:space="preserve">, vyznačujúcich sa vysokou nepresnosťou. </w:t>
      </w:r>
      <w:r w:rsidRPr="000939E3">
        <w:rPr>
          <w:color w:val="000000"/>
        </w:rPr>
        <w:t>Skutočné výdavky na kompenzácie sa v rokoch 2011-</w:t>
      </w:r>
      <w:r w:rsidR="00DF23C4" w:rsidRPr="000939E3">
        <w:rPr>
          <w:color w:val="000000"/>
        </w:rPr>
        <w:t xml:space="preserve">2019 </w:t>
      </w:r>
      <w:r w:rsidRPr="000939E3">
        <w:rPr>
          <w:color w:val="000000"/>
        </w:rPr>
        <w:t>od rozpočtu líšili priemerne o 4 % (100 mil. eur), z medzinárodného pohľadu</w:t>
      </w:r>
      <w:r w:rsidR="004B45B2" w:rsidRPr="000939E3">
        <w:rPr>
          <w:color w:val="000000"/>
        </w:rPr>
        <w:t xml:space="preserve"> sú rozpočtované spoľahlivo. Na </w:t>
      </w:r>
      <w:r w:rsidRPr="000939E3">
        <w:rPr>
          <w:color w:val="000000"/>
        </w:rPr>
        <w:t>detailnejšej úrovni má schválený rozpočet obmedzenú vypovedaciu</w:t>
      </w:r>
      <w:r w:rsidRPr="000939E3">
        <w:rPr>
          <w:rFonts w:eastAsia="Calibri" w:cs="Times New Roman"/>
          <w:color w:val="000000"/>
        </w:rPr>
        <w:t xml:space="preserve"> </w:t>
      </w:r>
      <w:r w:rsidRPr="000939E3">
        <w:rPr>
          <w:color w:val="000000"/>
        </w:rPr>
        <w:t>hodnotu</w:t>
      </w:r>
      <w:r w:rsidRPr="000939E3">
        <w:rPr>
          <w:rFonts w:eastAsia="Calibri" w:cs="Times New Roman"/>
          <w:color w:val="000000"/>
        </w:rPr>
        <w:t>. V prípade zamestnancov aparátov kapitol štátneho rozpočtu v rokoch 2011-</w:t>
      </w:r>
      <w:r w:rsidR="0004726E" w:rsidRPr="000939E3">
        <w:rPr>
          <w:rFonts w:eastAsia="Calibri" w:cs="Times New Roman"/>
          <w:color w:val="000000"/>
        </w:rPr>
        <w:t xml:space="preserve">2018 </w:t>
      </w:r>
      <w:r w:rsidRPr="000939E3">
        <w:rPr>
          <w:rFonts w:eastAsia="Calibri" w:cs="Times New Roman"/>
          <w:color w:val="000000"/>
        </w:rPr>
        <w:t xml:space="preserve">rozdiel </w:t>
      </w:r>
      <w:r w:rsidR="00DF23C4" w:rsidRPr="000939E3">
        <w:rPr>
          <w:rFonts w:eastAsia="Calibri" w:cs="Times New Roman"/>
          <w:color w:val="000000"/>
        </w:rPr>
        <w:t xml:space="preserve">medzi rozpočtovanou a skutočnou mzdou </w:t>
      </w:r>
      <w:r w:rsidRPr="000939E3">
        <w:rPr>
          <w:rFonts w:eastAsia="Calibri" w:cs="Times New Roman"/>
          <w:color w:val="000000"/>
        </w:rPr>
        <w:t>dosahoval </w:t>
      </w:r>
      <w:r w:rsidR="007F7612" w:rsidRPr="000939E3">
        <w:rPr>
          <w:rFonts w:eastAsia="Calibri" w:cs="Times New Roman"/>
          <w:color w:val="000000"/>
        </w:rPr>
        <w:t xml:space="preserve">21 </w:t>
      </w:r>
      <w:r w:rsidRPr="000939E3">
        <w:rPr>
          <w:rFonts w:eastAsia="Calibri" w:cs="Times New Roman"/>
          <w:color w:val="000000"/>
        </w:rPr>
        <w:t>%</w:t>
      </w:r>
      <w:r w:rsidR="008D38EF" w:rsidRPr="000939E3">
        <w:rPr>
          <w:rFonts w:eastAsia="Calibri" w:cs="Times New Roman"/>
          <w:color w:val="000000"/>
        </w:rPr>
        <w:t xml:space="preserve">. V roku 2018 rozdiel dosahoval </w:t>
      </w:r>
      <w:r w:rsidR="008634F6" w:rsidRPr="000939E3">
        <w:rPr>
          <w:rFonts w:eastAsia="Calibri" w:cs="Times New Roman"/>
          <w:color w:val="000000"/>
        </w:rPr>
        <w:t xml:space="preserve">26 % </w:t>
      </w:r>
      <w:r w:rsidR="008D38EF" w:rsidRPr="000939E3">
        <w:rPr>
          <w:rFonts w:eastAsia="Calibri" w:cs="Times New Roman"/>
          <w:color w:val="000000"/>
        </w:rPr>
        <w:t>(</w:t>
      </w:r>
      <w:r w:rsidR="007F7612" w:rsidRPr="000939E3">
        <w:rPr>
          <w:rFonts w:eastAsia="Calibri" w:cs="Times New Roman"/>
          <w:color w:val="000000"/>
        </w:rPr>
        <w:t xml:space="preserve">420 </w:t>
      </w:r>
      <w:r w:rsidRPr="000939E3">
        <w:rPr>
          <w:rFonts w:eastAsia="Calibri" w:cs="Times New Roman"/>
          <w:color w:val="000000"/>
        </w:rPr>
        <w:t xml:space="preserve">eur). </w:t>
      </w:r>
    </w:p>
    <w:p w14:paraId="50B409CC" w14:textId="77777777" w:rsidR="00A1412E" w:rsidRPr="000939E3" w:rsidRDefault="00A1412E" w:rsidP="00A1412E">
      <w:pPr>
        <w:rPr>
          <w:b/>
        </w:rPr>
      </w:pPr>
      <w:r w:rsidRPr="000939E3">
        <w:rPr>
          <w:b/>
        </w:rPr>
        <w:t>Finančné opatrenia revízie</w:t>
      </w:r>
    </w:p>
    <w:p w14:paraId="25E8B1B3" w14:textId="578C9958" w:rsidR="00A1412E" w:rsidRPr="000939E3" w:rsidRDefault="00A1412E" w:rsidP="00A1412E">
      <w:pPr>
        <w:rPr>
          <w:b/>
        </w:rPr>
      </w:pPr>
      <w:r w:rsidRPr="000939E3">
        <w:rPr>
          <w:b/>
        </w:rPr>
        <w:t xml:space="preserve">Hlavnou motiváciou revízie je vytvoriť priestor pre produktívnejšie investície a pomenovať sektorové zmeny, ktoré povedú k lepším výsledkom. Reformné opatrenia by mali byť nevyhnutnou súčasťou zvyšovania výdavkov na danú profesiu. Realokácia dnes neefektívne vynakladaných zdrojov a dodatočné navýšenie zdrojov podmienené reformami </w:t>
      </w:r>
      <w:r w:rsidR="00FA52CE" w:rsidRPr="000939E3">
        <w:rPr>
          <w:b/>
        </w:rPr>
        <w:t xml:space="preserve">a rozpočtovými možnosťami </w:t>
      </w:r>
      <w:r w:rsidRPr="000939E3">
        <w:rPr>
          <w:b/>
        </w:rPr>
        <w:t>vytvorí lepšie pracovné podmienky pre verejných zamestnancov a priestor pre lepšie služby občanom.</w:t>
      </w:r>
      <w:r w:rsidRPr="000939E3">
        <w:t xml:space="preserve"> </w:t>
      </w:r>
    </w:p>
    <w:p w14:paraId="6AF5EAA7" w14:textId="1F02FE07" w:rsidR="00A1412E" w:rsidRPr="000939E3" w:rsidRDefault="00A1412E" w:rsidP="00A1412E">
      <w:r w:rsidRPr="000939E3">
        <w:rPr>
          <w:b/>
        </w:rPr>
        <w:t xml:space="preserve">Pri výrazných rozdieloch v počtoch zamestnancov alebo výške miezd jednotlivých profesií medzi Slovenskom a vyspelými krajinami revízia navrhuje cielené zvyšovanie výdavkov s cieľom priblíženia sa medzinárodnému priemeru. </w:t>
      </w:r>
      <w:r w:rsidRPr="000939E3">
        <w:t>Cieľový stav dosiahnu</w:t>
      </w:r>
      <w:r w:rsidR="00262676" w:rsidRPr="000939E3">
        <w:t>ť</w:t>
      </w:r>
      <w:r w:rsidRPr="000939E3">
        <w:t xml:space="preserve"> sekto</w:t>
      </w:r>
      <w:r w:rsidR="004B45B2" w:rsidRPr="000939E3">
        <w:t>rovo priemern</w:t>
      </w:r>
      <w:r w:rsidR="00262676" w:rsidRPr="000939E3">
        <w:t>ú</w:t>
      </w:r>
      <w:r w:rsidR="004B45B2" w:rsidRPr="000939E3">
        <w:t xml:space="preserve"> zamestnanos</w:t>
      </w:r>
      <w:r w:rsidR="00262676" w:rsidRPr="000939E3">
        <w:t>ť</w:t>
      </w:r>
      <w:r w:rsidR="004B45B2" w:rsidRPr="000939E3">
        <w:t xml:space="preserve"> a </w:t>
      </w:r>
      <w:r w:rsidRPr="000939E3">
        <w:t>úrov</w:t>
      </w:r>
      <w:r w:rsidR="00262676" w:rsidRPr="000939E3">
        <w:t>eň</w:t>
      </w:r>
      <w:r w:rsidRPr="000939E3">
        <w:t xml:space="preserve"> odmeňovania </w:t>
      </w:r>
      <w:r w:rsidR="00262676" w:rsidRPr="000939E3">
        <w:t xml:space="preserve">v porovnaní s priemerom </w:t>
      </w:r>
      <w:r w:rsidRPr="000939E3">
        <w:t>EÚ je pritom indikatívny</w:t>
      </w:r>
      <w:r w:rsidR="00262676" w:rsidRPr="000939E3">
        <w:t>. P</w:t>
      </w:r>
      <w:r w:rsidRPr="000939E3">
        <w:t>lánované hodnoty odporúča revízia prehodnotiť po troch rokoch</w:t>
      </w:r>
      <w:r w:rsidR="00262676" w:rsidRPr="000939E3">
        <w:t>, najmä s ohľadom na dosahované výsledky sektora a uskutočnené reformy</w:t>
      </w:r>
      <w:r w:rsidRPr="000939E3">
        <w:t xml:space="preserve">. </w:t>
      </w:r>
    </w:p>
    <w:p w14:paraId="744AD768" w14:textId="77777777" w:rsidR="00144E91" w:rsidRPr="000939E3" w:rsidRDefault="00144E91" w:rsidP="00144E91">
      <w:r w:rsidRPr="000939E3">
        <w:rPr>
          <w:b/>
        </w:rPr>
        <w:t>Dorovnanie miezd v zaostávajúcich profesiách sa môže udiať arbitrárne zvoleným tempom</w:t>
      </w:r>
      <w:r w:rsidRPr="000939E3">
        <w:t>. Závisí od možností verejných financií s rešpektovaním cieľov vlády pre hospodárenie štátu.</w:t>
      </w:r>
    </w:p>
    <w:p w14:paraId="3B3AAA73" w14:textId="45F06566" w:rsidR="00A1412E" w:rsidRPr="000939E3" w:rsidRDefault="00A1412E" w:rsidP="00A1412E">
      <w:r w:rsidRPr="000939E3">
        <w:rPr>
          <w:b/>
        </w:rPr>
        <w:t xml:space="preserve">Najviac zaostávajúce profesie, ktoré stanovuje revízia ako priority z hľadiska výšky miezd alebo počtov zamestnancov, sú učitelia (mzdy), zdravotné sestry (počet) a sociálni pracovníci (počet aj mzdy). </w:t>
      </w:r>
      <w:r w:rsidRPr="000939E3">
        <w:t>Dofinancovanie týchto sektorov je hlavným predpokladom na zlepšenie zaostávajúcich výsledkov. Nevyhnutná je aj realizácia revíziou pomenovaných reformných opatrení. Z úradníckych pozícií zaostávajú najmä mzdy manažérov, IT pracovníkov, právnikov a analytikov.</w:t>
      </w:r>
      <w:r w:rsidR="00C562A8" w:rsidRPr="000939E3">
        <w:t xml:space="preserve"> </w:t>
      </w:r>
    </w:p>
    <w:p w14:paraId="54A9D3B8" w14:textId="76A14B28" w:rsidR="00A1412E" w:rsidRPr="000939E3" w:rsidRDefault="00A1412E" w:rsidP="00A1412E">
      <w:pPr>
        <w:rPr>
          <w:b/>
        </w:rPr>
      </w:pPr>
      <w:r w:rsidRPr="000939E3">
        <w:rPr>
          <w:b/>
        </w:rPr>
        <w:t xml:space="preserve">Revízia výdavkov identifikovala úsporné opatrenia vo výške </w:t>
      </w:r>
      <w:r w:rsidR="00096F6A" w:rsidRPr="000939E3">
        <w:rPr>
          <w:b/>
        </w:rPr>
        <w:t>765</w:t>
      </w:r>
      <w:r w:rsidR="00415701" w:rsidRPr="000939E3">
        <w:rPr>
          <w:b/>
        </w:rPr>
        <w:t xml:space="preserve"> </w:t>
      </w:r>
      <w:r w:rsidRPr="000939E3">
        <w:rPr>
          <w:b/>
        </w:rPr>
        <w:t>mil. eur a ďalšie realokačné opatrenia, ktoré vytvoria časť potrebného finančného priestoru a prispejú k lepšiemu využitiu súčasných zdrojov. Priestor na lepšie odmeňovanie identifikuje revízia výdavkov v prvom rade hľadaním neefektívnosti v rámci verejnej správy a vynucovaním už deklarovaných úspor ako napríklad v prípade IT projektov</w:t>
      </w:r>
    </w:p>
    <w:p w14:paraId="44C2A2B7" w14:textId="6CA7366E" w:rsidR="00266305" w:rsidRPr="000939E3" w:rsidRDefault="00A1412E" w:rsidP="00A1412E">
      <w:r w:rsidRPr="000939E3">
        <w:rPr>
          <w:b/>
        </w:rPr>
        <w:t xml:space="preserve">Ako </w:t>
      </w:r>
      <w:r w:rsidR="0064491E" w:rsidRPr="000939E3">
        <w:rPr>
          <w:b/>
        </w:rPr>
        <w:t>jedno z </w:t>
      </w:r>
      <w:r w:rsidRPr="000939E3">
        <w:rPr>
          <w:b/>
        </w:rPr>
        <w:t>kľúčov</w:t>
      </w:r>
      <w:r w:rsidR="0064491E" w:rsidRPr="000939E3">
        <w:rPr>
          <w:b/>
        </w:rPr>
        <w:t>ých</w:t>
      </w:r>
      <w:r w:rsidRPr="000939E3">
        <w:rPr>
          <w:b/>
        </w:rPr>
        <w:t xml:space="preserve"> </w:t>
      </w:r>
      <w:r w:rsidR="0064491E" w:rsidRPr="000939E3">
        <w:rPr>
          <w:b/>
        </w:rPr>
        <w:t xml:space="preserve">opatrení </w:t>
      </w:r>
      <w:r w:rsidRPr="000939E3">
        <w:rPr>
          <w:b/>
        </w:rPr>
        <w:t>definuje revízia 10</w:t>
      </w:r>
      <w:r w:rsidR="004B45B2" w:rsidRPr="000939E3">
        <w:rPr>
          <w:b/>
        </w:rPr>
        <w:t xml:space="preserve"> </w:t>
      </w:r>
      <w:r w:rsidRPr="000939E3">
        <w:rPr>
          <w:b/>
        </w:rPr>
        <w:t xml:space="preserve">% zníženie počtov zamestnancov v ústrednej štátnej správe. </w:t>
      </w:r>
      <w:r w:rsidR="00761A13" w:rsidRPr="000939E3">
        <w:rPr>
          <w:b/>
        </w:rPr>
        <w:t>Vhodným n</w:t>
      </w:r>
      <w:r w:rsidRPr="000939E3">
        <w:rPr>
          <w:b/>
        </w:rPr>
        <w:t xml:space="preserve">ástrojom na dosiahnutie cieľa sú optimalizačné audity vykonávané internými </w:t>
      </w:r>
      <w:r w:rsidRPr="000939E3">
        <w:rPr>
          <w:b/>
        </w:rPr>
        <w:lastRenderedPageBreak/>
        <w:t>kapacitami štátu.</w:t>
      </w:r>
      <w:r w:rsidRPr="000939E3">
        <w:t xml:space="preserve"> Auditmi </w:t>
      </w:r>
      <w:r w:rsidR="00262676" w:rsidRPr="000939E3">
        <w:t>by postupne mali prejsť</w:t>
      </w:r>
      <w:r w:rsidRPr="000939E3">
        <w:t xml:space="preserve"> všetky ministerstvá a orgány ústrednej štátnej správy (potenciál </w:t>
      </w:r>
      <w:r w:rsidR="003109BC" w:rsidRPr="000939E3">
        <w:t>1</w:t>
      </w:r>
      <w:r w:rsidR="00AF421B" w:rsidRPr="000939E3">
        <w:t>47</w:t>
      </w:r>
      <w:r w:rsidR="003109BC" w:rsidRPr="000939E3">
        <w:t xml:space="preserve"> </w:t>
      </w:r>
      <w:r w:rsidRPr="000939E3">
        <w:t>mil. eur) a kľúčové štátne podniky. Audity vykonané internými kapacitami poskytnú konkrétne a udržateľné opatrenia namiesto plošných a neudržateľných znižovaní výdavkov z minulosti. Celkový cieľ 10</w:t>
      </w:r>
      <w:r w:rsidR="00B77117" w:rsidRPr="000939E3">
        <w:t xml:space="preserve"> </w:t>
      </w:r>
      <w:r w:rsidRPr="000939E3">
        <w:t>% úspory je nižší ako potenciál už vykonaných auditov</w:t>
      </w:r>
      <w:r w:rsidR="00266305" w:rsidRPr="000939E3">
        <w:t>,</w:t>
      </w:r>
      <w:r w:rsidRPr="000939E3">
        <w:t xml:space="preserve"> </w:t>
      </w:r>
      <w:r w:rsidR="00266305" w:rsidRPr="000939E3">
        <w:t>ktoré identifikovali</w:t>
      </w:r>
      <w:r w:rsidRPr="000939E3">
        <w:t> úspory na úrovni 20</w:t>
      </w:r>
      <w:r w:rsidR="004B45B2" w:rsidRPr="000939E3">
        <w:t xml:space="preserve"> </w:t>
      </w:r>
      <w:r w:rsidRPr="000939E3">
        <w:t>% výdavkov na kompenzácie. Príkladmi sú analýza podporných a prierezových činností ministerstiev (</w:t>
      </w:r>
      <w:r w:rsidR="00140B22" w:rsidRPr="000939E3">
        <w:t>Kapitola 5.1</w:t>
      </w:r>
      <w:r w:rsidRPr="000939E3">
        <w:t xml:space="preserve">), výsledky auditov vykonaných </w:t>
      </w:r>
      <w:r w:rsidRPr="000939E3">
        <w:rPr>
          <w:bCs/>
        </w:rPr>
        <w:t>v Slovenskom vodohospodárskom podniku (v spolupráci s BCG) a </w:t>
      </w:r>
      <w:r w:rsidR="00B34EEE" w:rsidRPr="000939E3">
        <w:rPr>
          <w:bCs/>
        </w:rPr>
        <w:t>ďalších</w:t>
      </w:r>
      <w:r w:rsidR="00400518" w:rsidRPr="000939E3">
        <w:rPr>
          <w:bCs/>
        </w:rPr>
        <w:t xml:space="preserve"> štátnych podnikoch</w:t>
      </w:r>
      <w:r w:rsidR="000216FD" w:rsidRPr="000939E3">
        <w:rPr>
          <w:bCs/>
        </w:rPr>
        <w:t>,</w:t>
      </w:r>
      <w:r w:rsidRPr="000939E3">
        <w:rPr>
          <w:bCs/>
        </w:rPr>
        <w:t xml:space="preserve"> ale aj </w:t>
      </w:r>
      <w:r w:rsidRPr="000939E3">
        <w:t>staršie audity ministerstiev financií (2004), obrany (2</w:t>
      </w:r>
      <w:r w:rsidR="004B45B2" w:rsidRPr="000939E3">
        <w:t xml:space="preserve">005), kultúry (2009). </w:t>
      </w:r>
    </w:p>
    <w:p w14:paraId="122C20CC" w14:textId="5DF75601" w:rsidR="00A1412E" w:rsidRPr="000939E3" w:rsidRDefault="004B45B2" w:rsidP="00A1412E">
      <w:pPr>
        <w:rPr>
          <w:rFonts w:ascii="Calibri" w:hAnsi="Calibri"/>
        </w:rPr>
      </w:pPr>
      <w:r w:rsidRPr="000939E3">
        <w:t>Úspory na </w:t>
      </w:r>
      <w:r w:rsidR="00A1412E" w:rsidRPr="000939E3">
        <w:t xml:space="preserve">mzdových výdavkoch sa </w:t>
      </w:r>
      <w:r w:rsidR="00C75F28" w:rsidRPr="000939E3">
        <w:t xml:space="preserve">pritom </w:t>
      </w:r>
      <w:r w:rsidR="00A1412E" w:rsidRPr="000939E3">
        <w:t>nemôžu prejaviť na zvýšených výdavkoch na externé služby</w:t>
      </w:r>
      <w:r w:rsidR="00323D03" w:rsidRPr="000939E3">
        <w:t xml:space="preserve"> vrátane dohôd o práci vykonávaných mimo pracovného pomeru</w:t>
      </w:r>
      <w:r w:rsidR="00A1412E" w:rsidRPr="000939E3">
        <w:t xml:space="preserve">, ktoré budú monitorované. </w:t>
      </w:r>
      <w:r w:rsidR="00C75F28" w:rsidRPr="000939E3">
        <w:t>Časť týchto úspor by mala byť použitá na dr</w:t>
      </w:r>
      <w:r w:rsidR="00DF23C4" w:rsidRPr="000939E3">
        <w:t>a</w:t>
      </w:r>
      <w:r w:rsidR="00C75F28" w:rsidRPr="000939E3">
        <w:t>h</w:t>
      </w:r>
      <w:r w:rsidR="00DF23C4" w:rsidRPr="000939E3">
        <w:t>é</w:t>
      </w:r>
      <w:r w:rsidR="00C75F28" w:rsidRPr="000939E3">
        <w:t xml:space="preserve"> profesie v rámci rezortu, v súlade so závermi auditu.</w:t>
      </w:r>
    </w:p>
    <w:p w14:paraId="41F2FB9D" w14:textId="6EFFD628" w:rsidR="00A1412E" w:rsidRPr="000939E3" w:rsidRDefault="008A5973" w:rsidP="00A1412E">
      <w:r w:rsidRPr="000939E3">
        <w:rPr>
          <w:b/>
        </w:rPr>
        <w:t xml:space="preserve">Zefektívnením podporných a prierezových činností ministerstiev a ich podriadených organizácii je možné ušetriť viac ako </w:t>
      </w:r>
      <w:r w:rsidR="00096F6A" w:rsidRPr="000939E3">
        <w:rPr>
          <w:b/>
        </w:rPr>
        <w:t xml:space="preserve">44 </w:t>
      </w:r>
      <w:r w:rsidRPr="000939E3">
        <w:rPr>
          <w:b/>
        </w:rPr>
        <w:t xml:space="preserve">mil. eur ročne. </w:t>
      </w:r>
      <w:r w:rsidRPr="000939E3">
        <w:t xml:space="preserve">V podporných a prierezových činnostiach pracuje približne každý tretí zamestnanec ministerstiev a takmer každý desiaty zamestnanec podriadených organizácií. Znížením </w:t>
      </w:r>
      <w:r w:rsidR="004B45B2" w:rsidRPr="000939E3">
        <w:t>nákladov 12 </w:t>
      </w:r>
      <w:r w:rsidRPr="000939E3">
        <w:t xml:space="preserve">ústredných orgánov a ich podriadených organizácií na úroveň mediánu je možné v krátkom horizonte dosiahnuť úsporu </w:t>
      </w:r>
      <w:r w:rsidR="00D2631A" w:rsidRPr="000939E3">
        <w:t xml:space="preserve">18 </w:t>
      </w:r>
      <w:r w:rsidRPr="000939E3">
        <w:t xml:space="preserve">mil. eur. Vytvorením rezortných podporných centier je možné v strednodobom horizonte zvýšiť úsporu na </w:t>
      </w:r>
      <w:r w:rsidR="00D2631A" w:rsidRPr="000939E3">
        <w:t xml:space="preserve">32 </w:t>
      </w:r>
      <w:r w:rsidRPr="000939E3">
        <w:t>mil. eur ročne. Cieľom je v dlhodobom meradle vytvor</w:t>
      </w:r>
      <w:r w:rsidR="00C75F28" w:rsidRPr="000939E3">
        <w:t>iť</w:t>
      </w:r>
      <w:r w:rsidRPr="000939E3">
        <w:t xml:space="preserve"> niekoľk</w:t>
      </w:r>
      <w:r w:rsidR="00C75F28" w:rsidRPr="000939E3">
        <w:t>o</w:t>
      </w:r>
      <w:r w:rsidRPr="000939E3">
        <w:t xml:space="preserve"> štátnych servisný</w:t>
      </w:r>
      <w:r w:rsidR="005523DA" w:rsidRPr="000939E3">
        <w:t xml:space="preserve">ch centier, čo by malo ušetriť </w:t>
      </w:r>
      <w:r w:rsidRPr="000939E3">
        <w:t xml:space="preserve">viac ako </w:t>
      </w:r>
      <w:r w:rsidR="00096F6A" w:rsidRPr="000939E3">
        <w:t xml:space="preserve">44 </w:t>
      </w:r>
      <w:r w:rsidRPr="000939E3">
        <w:t>mil. eur ročne oproti súčasnosti.</w:t>
      </w:r>
      <w:r w:rsidR="00A1412E" w:rsidRPr="000939E3">
        <w:t xml:space="preserve"> </w:t>
      </w:r>
    </w:p>
    <w:p w14:paraId="21AB9725" w14:textId="67C7B098" w:rsidR="00A1412E" w:rsidRPr="000939E3" w:rsidRDefault="00A1412E" w:rsidP="00A1412E">
      <w:r w:rsidRPr="000939E3">
        <w:rPr>
          <w:b/>
        </w:rPr>
        <w:t xml:space="preserve">Finančne významné úspory môže priniesť koncentrácia výkonu samospráv do väčších celkov a zníženie počtu policajtov na európsky priemer. </w:t>
      </w:r>
      <w:r w:rsidRPr="000939E3">
        <w:t>Revízia odporúča reformu územno-správneho usporiadania tak, aby výkon správy rozdrobených obcí bol sústredený do väčších celkov, čo by</w:t>
      </w:r>
      <w:r w:rsidR="005523DA" w:rsidRPr="000939E3">
        <w:t xml:space="preserve"> prinieslo kvalitnejšie služby </w:t>
      </w:r>
      <w:r w:rsidRPr="000939E3">
        <w:t xml:space="preserve">a potenciálnu úsporu </w:t>
      </w:r>
      <w:r w:rsidR="003E1E1F" w:rsidRPr="000939E3">
        <w:t xml:space="preserve">396 </w:t>
      </w:r>
      <w:r w:rsidRPr="000939E3">
        <w:t>mil. eur ročne. Postupné zníženie počtu policajtov na európsky priemer zníži celkové mzdové náklady o 96 mil. eur, dodatočná úspora vznikne aj na výzbroji a výstroji. Zníženie počtu policajtov je možné dosiahnuť neobsadzovaním uvoľnených miest vrátane odchodu na dôchodok a scivilňovaním pozícií</w:t>
      </w:r>
      <w:r w:rsidR="00C75F28" w:rsidRPr="000939E3">
        <w:t>. Implementácia týchto opatrení si však vyžaduje dlhší čas.</w:t>
      </w:r>
    </w:p>
    <w:p w14:paraId="4ED22980" w14:textId="1E590EAF" w:rsidR="00A1412E" w:rsidRPr="000939E3" w:rsidRDefault="00A1412E" w:rsidP="00A1412E">
      <w:pPr>
        <w:rPr>
          <w:b/>
        </w:rPr>
      </w:pPr>
      <w:r w:rsidRPr="000939E3">
        <w:rPr>
          <w:b/>
        </w:rPr>
        <w:t xml:space="preserve">Významná časť prostriedkov na lepšie ohodnotenie učiteľov sa nachádza v sektore. </w:t>
      </w:r>
      <w:r w:rsidRPr="000939E3">
        <w:t xml:space="preserve">Úprava počtu akademických pracovníkov na študenta na </w:t>
      </w:r>
      <w:r w:rsidR="00C5375D" w:rsidRPr="000939E3">
        <w:t>úroveň ČR</w:t>
      </w:r>
      <w:r w:rsidRPr="000939E3">
        <w:t xml:space="preserve"> a počtu neučiteľov na úroveň roka 2010 by vysokým školám ročne uvoľnila približne </w:t>
      </w:r>
      <w:r w:rsidR="003E1E1F" w:rsidRPr="000939E3">
        <w:t xml:space="preserve">91 </w:t>
      </w:r>
      <w:r w:rsidRPr="000939E3">
        <w:t>mil. eur.</w:t>
      </w:r>
      <w:r w:rsidRPr="000939E3">
        <w:rPr>
          <w:b/>
          <w:bCs/>
        </w:rPr>
        <w:t xml:space="preserve"> </w:t>
      </w:r>
      <w:r w:rsidRPr="000939E3">
        <w:t xml:space="preserve">Rovnako, racionalizácia siete v regionálnom školstve by mohla priniesť úsporu vo výške približne </w:t>
      </w:r>
      <w:r w:rsidR="003E1E1F" w:rsidRPr="000939E3">
        <w:t xml:space="preserve">17 </w:t>
      </w:r>
      <w:r w:rsidRPr="000939E3">
        <w:t xml:space="preserve">mil. eur, z toho asi </w:t>
      </w:r>
      <w:r w:rsidR="003E1E1F" w:rsidRPr="000939E3">
        <w:t xml:space="preserve">15 </w:t>
      </w:r>
      <w:r w:rsidRPr="000939E3">
        <w:t>mil. eur na osobných výdavkoch</w:t>
      </w:r>
      <w:r w:rsidR="00144E91" w:rsidRPr="000939E3">
        <w:t>. Zároveň by</w:t>
      </w:r>
      <w:r w:rsidR="00DA125A" w:rsidRPr="000939E3">
        <w:t xml:space="preserve"> presun študentov do </w:t>
      </w:r>
      <w:r w:rsidRPr="000939E3">
        <w:t xml:space="preserve">väčších škôl </w:t>
      </w:r>
      <w:r w:rsidR="00144E91" w:rsidRPr="000939E3">
        <w:t xml:space="preserve">pomohol k </w:t>
      </w:r>
      <w:r w:rsidRPr="000939E3">
        <w:t>vyššej kvalifikovanosti výučby ako v malých školách.</w:t>
      </w:r>
    </w:p>
    <w:p w14:paraId="2F567BE6" w14:textId="269D1FFA" w:rsidR="00B80CC5" w:rsidRPr="000939E3" w:rsidRDefault="00B80CC5" w:rsidP="00B80CC5">
      <w:pPr>
        <w:pStyle w:val="Nadpis1"/>
        <w:rPr>
          <w:sz w:val="28"/>
        </w:rPr>
      </w:pPr>
      <w:bookmarkStart w:id="12" w:name="_Toc34050688"/>
      <w:r w:rsidRPr="000939E3">
        <w:lastRenderedPageBreak/>
        <w:t>Opatrenia revízie výdavkov</w:t>
      </w:r>
      <w:bookmarkEnd w:id="12"/>
      <w:r w:rsidRPr="000939E3">
        <w:t xml:space="preserve"> </w:t>
      </w:r>
    </w:p>
    <w:p w14:paraId="23DBE918" w14:textId="5A9230CF" w:rsidR="00B80CC5" w:rsidRPr="000939E3" w:rsidRDefault="00B80CC5" w:rsidP="00E70518">
      <w:pPr>
        <w:spacing w:after="120"/>
        <w:rPr>
          <w:b/>
        </w:rPr>
      </w:pPr>
      <w:r w:rsidRPr="000939E3">
        <w:rPr>
          <w:b/>
        </w:rPr>
        <w:t>Hlavnou motiváciou revízie je vytvoriť priestor pre produktívnejšie investície. Lepši</w:t>
      </w:r>
      <w:r w:rsidR="0038123E" w:rsidRPr="000939E3">
        <w:rPr>
          <w:b/>
        </w:rPr>
        <w:t xml:space="preserve">e rozdelenie </w:t>
      </w:r>
      <w:r w:rsidRPr="000939E3">
        <w:rPr>
          <w:b/>
        </w:rPr>
        <w:t xml:space="preserve">zdrojov </w:t>
      </w:r>
      <w:r w:rsidR="00144E91" w:rsidRPr="000939E3">
        <w:rPr>
          <w:b/>
        </w:rPr>
        <w:t xml:space="preserve">a lepšie </w:t>
      </w:r>
      <w:r w:rsidRPr="000939E3">
        <w:rPr>
          <w:b/>
        </w:rPr>
        <w:t xml:space="preserve">podmienky zamestnancov podporia efektívnejšiu a výkonnejšiu verejnú správu, </w:t>
      </w:r>
      <w:r w:rsidR="0038123E" w:rsidRPr="000939E3">
        <w:rPr>
          <w:b/>
        </w:rPr>
        <w:t xml:space="preserve">s cieľom zlepšiť </w:t>
      </w:r>
      <w:r w:rsidRPr="000939E3">
        <w:rPr>
          <w:b/>
        </w:rPr>
        <w:t>služby občanom.</w:t>
      </w:r>
    </w:p>
    <w:p w14:paraId="4689FC95" w14:textId="79064FA4" w:rsidR="00B80CC5" w:rsidRPr="000939E3" w:rsidRDefault="00B80CC5" w:rsidP="00E70518">
      <w:pPr>
        <w:spacing w:after="120"/>
      </w:pPr>
      <w:r w:rsidRPr="000939E3">
        <w:rPr>
          <w:b/>
        </w:rPr>
        <w:t xml:space="preserve">Úsporné opatrenia a realokácia dnes neefektívne vynakladaných zdrojov vytvoria časť potrebného finančného priestoru a prispejú k lepšiemu využitiu súčasných zdrojov. Ako </w:t>
      </w:r>
      <w:r w:rsidR="00644598" w:rsidRPr="000939E3">
        <w:rPr>
          <w:b/>
        </w:rPr>
        <w:t xml:space="preserve">jedno z kľúčových opatrení </w:t>
      </w:r>
      <w:r w:rsidRPr="000939E3">
        <w:rPr>
          <w:b/>
        </w:rPr>
        <w:t>definuje revízia 10</w:t>
      </w:r>
      <w:r w:rsidR="004B45B2" w:rsidRPr="000939E3">
        <w:rPr>
          <w:b/>
        </w:rPr>
        <w:t xml:space="preserve"> </w:t>
      </w:r>
      <w:r w:rsidRPr="000939E3">
        <w:rPr>
          <w:b/>
        </w:rPr>
        <w:t xml:space="preserve">% zníženie počtov zamestnancov v ústrednej štátnej správe. </w:t>
      </w:r>
      <w:r w:rsidRPr="000939E3">
        <w:t xml:space="preserve">Revízia navrhuje cielené, nie plošné opatrenia, ktoré sa v minulosti ukázali byť neudržateľné. </w:t>
      </w:r>
      <w:r w:rsidR="0038123E" w:rsidRPr="000939E3">
        <w:t xml:space="preserve">Hlavným nástrojom </w:t>
      </w:r>
      <w:r w:rsidR="00FD4BA2" w:rsidRPr="000939E3">
        <w:t xml:space="preserve">na doručenie tohto opatrenia </w:t>
      </w:r>
      <w:r w:rsidR="0038123E" w:rsidRPr="000939E3">
        <w:t xml:space="preserve">sú audity </w:t>
      </w:r>
      <w:r w:rsidR="00FD4BA2" w:rsidRPr="000939E3">
        <w:t xml:space="preserve">na ministerstvách a v </w:t>
      </w:r>
      <w:r w:rsidRPr="000939E3">
        <w:t>štátnych podnikov. Už uskutočnené audity</w:t>
      </w:r>
      <w:r w:rsidR="00AD5D4C" w:rsidRPr="000939E3">
        <w:t>,</w:t>
      </w:r>
      <w:r w:rsidRPr="000939E3">
        <w:t xml:space="preserve"> ako aj zahraničné skúsenosti potvrdzujú, že potenciál úspor vo výške približne 10 % rozpočtov je realistický. Alokácia dodatočných budúcich zdrojov vyžaduje nasmerovanie do oblastí, ktorých zamestnanci zaostávajú v pomere ku priemerným mzdám voči kolegom v</w:t>
      </w:r>
      <w:r w:rsidR="00DA125A" w:rsidRPr="000939E3">
        <w:t> </w:t>
      </w:r>
      <w:r w:rsidRPr="000939E3">
        <w:t>zahraničí najviac.</w:t>
      </w:r>
    </w:p>
    <w:p w14:paraId="36ABC92E" w14:textId="0F412044" w:rsidR="00B80CC5" w:rsidRPr="000939E3" w:rsidRDefault="00B80CC5" w:rsidP="00E70518">
      <w:pPr>
        <w:spacing w:after="120"/>
      </w:pPr>
      <w:r w:rsidRPr="000939E3">
        <w:rPr>
          <w:b/>
        </w:rPr>
        <w:t xml:space="preserve">Nevyhnutnou súčasťou zvyšovania miezd </w:t>
      </w:r>
      <w:r w:rsidR="00837521" w:rsidRPr="000939E3">
        <w:rPr>
          <w:b/>
        </w:rPr>
        <w:t xml:space="preserve">musia byť </w:t>
      </w:r>
      <w:r w:rsidRPr="000939E3">
        <w:rPr>
          <w:b/>
        </w:rPr>
        <w:t>reformné opatrenia, ktoré zabezpečia zlepšovanie výsledkov, v opačnom prípade je rizikom drahší</w:t>
      </w:r>
      <w:r w:rsidR="00FD4BA2" w:rsidRPr="000939E3">
        <w:rPr>
          <w:b/>
        </w:rPr>
        <w:t xml:space="preserve"> systém bez lepších výsledkov</w:t>
      </w:r>
      <w:r w:rsidRPr="000939E3">
        <w:rPr>
          <w:b/>
        </w:rPr>
        <w:t xml:space="preserve">. </w:t>
      </w:r>
      <w:r w:rsidR="00093F7D">
        <w:rPr>
          <w:b/>
        </w:rPr>
        <w:t>N</w:t>
      </w:r>
      <w:r w:rsidRPr="000939E3">
        <w:rPr>
          <w:b/>
        </w:rPr>
        <w:t xml:space="preserve">avyšovanie zdrojov </w:t>
      </w:r>
      <w:r w:rsidR="00093F7D">
        <w:rPr>
          <w:b/>
        </w:rPr>
        <w:t xml:space="preserve">musí byť podmienené </w:t>
      </w:r>
      <w:r w:rsidRPr="000939E3">
        <w:rPr>
          <w:b/>
        </w:rPr>
        <w:t>konkrétnymi reformnými opatreniami</w:t>
      </w:r>
      <w:r w:rsidR="002A5632" w:rsidRPr="000939E3">
        <w:rPr>
          <w:b/>
        </w:rPr>
        <w:t xml:space="preserve"> a rozpočtovými možnosťami</w:t>
      </w:r>
      <w:r w:rsidRPr="000939E3">
        <w:rPr>
          <w:b/>
        </w:rPr>
        <w:t xml:space="preserve">. </w:t>
      </w:r>
      <w:r w:rsidRPr="000939E3">
        <w:t>Medzinárodné výsledky Slovenska v oblastiach, ktoré revízia identifikuje ako prioritné na dofinancovanie (vzdelávanie, zdravotníctvo)</w:t>
      </w:r>
      <w:r w:rsidR="00CB24B9" w:rsidRPr="000939E3">
        <w:t>,</w:t>
      </w:r>
      <w:r w:rsidRPr="000939E3">
        <w:t xml:space="preserve"> sú pritom nízke. Podmienenie dodatočných finančných zdrojov uskutočnením štrukturálnych reforiem odporúčajú aj medzinárodné organizácie (IMF, EC 2017). Inak môže dôjsť</w:t>
      </w:r>
      <w:r w:rsidR="009113A0">
        <w:t xml:space="preserve"> </w:t>
      </w:r>
      <w:r w:rsidRPr="000939E3">
        <w:t>k</w:t>
      </w:r>
      <w:r w:rsidR="009113A0">
        <w:t xml:space="preserve"> </w:t>
      </w:r>
      <w:r w:rsidRPr="000939E3">
        <w:t>zvýšeniu nákladov bez zlepšenia výsledkov systému (napr. prudký rast platov lekárov vo Veľkej Británii (IMF, 2015)</w:t>
      </w:r>
      <w:r w:rsidR="009B2D2E" w:rsidRPr="000939E3">
        <w:t>, alebo na Slovensku (IFP, 2012)</w:t>
      </w:r>
      <w:r w:rsidRPr="000939E3">
        <w:t>. Navyšovanie zdrojov</w:t>
      </w:r>
      <w:r w:rsidR="00644598" w:rsidRPr="000939E3">
        <w:rPr>
          <w:rStyle w:val="Odkaznapoznmkupodiarou"/>
        </w:rPr>
        <w:footnoteReference w:id="2"/>
      </w:r>
      <w:r w:rsidRPr="000939E3">
        <w:t xml:space="preserve"> </w:t>
      </w:r>
      <w:r w:rsidR="000E4528" w:rsidRPr="000939E3">
        <w:t xml:space="preserve">odporúča </w:t>
      </w:r>
      <w:r w:rsidR="00837521" w:rsidRPr="000939E3">
        <w:t>revízia podmieniť</w:t>
      </w:r>
      <w:r w:rsidRPr="000939E3">
        <w:t xml:space="preserve"> konkrétnymi reformnými opatreniami.</w:t>
      </w:r>
    </w:p>
    <w:p w14:paraId="14D3A066" w14:textId="7E4C2849" w:rsidR="00B80CC5" w:rsidRPr="000939E3" w:rsidRDefault="00B80CC5" w:rsidP="00E70518">
      <w:pPr>
        <w:spacing w:after="120"/>
      </w:pPr>
      <w:r w:rsidRPr="000939E3">
        <w:rPr>
          <w:b/>
        </w:rPr>
        <w:t>Dorovnanie miezd v zaostávajúcich profesiách sa môže udiať arbitrárne zvoleným tempom</w:t>
      </w:r>
      <w:r w:rsidR="004B45B2" w:rsidRPr="000939E3">
        <w:t>. Závisí od </w:t>
      </w:r>
      <w:r w:rsidRPr="000939E3">
        <w:t>možností verejných financií s rešpektovaním cieľov vlády pre hospodárenie štátu a plnenia reformných opatrení stanovených revíziou.</w:t>
      </w:r>
      <w:r w:rsidR="00E71D68" w:rsidRPr="000939E3">
        <w:rPr>
          <w:b/>
          <w:color w:val="000000"/>
        </w:rPr>
        <w:t xml:space="preserve"> </w:t>
      </w:r>
      <w:r w:rsidR="00E71D68" w:rsidRPr="000939E3">
        <w:rPr>
          <w:color w:val="000000"/>
        </w:rPr>
        <w:t>Konkrétna výška hodnotových opatrení bude závisieť od disponibilného priestoru pri príprave rozpočtu verejnej správy na príslušné roky.</w:t>
      </w:r>
    </w:p>
    <w:tbl>
      <w:tblPr>
        <w:tblW w:w="5001" w:type="pct"/>
        <w:tblLayout w:type="fixed"/>
        <w:tblCellMar>
          <w:left w:w="70" w:type="dxa"/>
          <w:right w:w="70" w:type="dxa"/>
        </w:tblCellMar>
        <w:tblLook w:val="04A0" w:firstRow="1" w:lastRow="0" w:firstColumn="1" w:lastColumn="0" w:noHBand="0" w:noVBand="1"/>
      </w:tblPr>
      <w:tblGrid>
        <w:gridCol w:w="163"/>
        <w:gridCol w:w="4657"/>
        <w:gridCol w:w="1283"/>
        <w:gridCol w:w="844"/>
        <w:gridCol w:w="1000"/>
        <w:gridCol w:w="1127"/>
      </w:tblGrid>
      <w:tr w:rsidR="00A1770B" w:rsidRPr="000939E3" w14:paraId="5BB16EA3" w14:textId="77777777" w:rsidTr="00270484">
        <w:trPr>
          <w:trHeight w:val="170"/>
        </w:trPr>
        <w:tc>
          <w:tcPr>
            <w:tcW w:w="2656" w:type="pct"/>
            <w:gridSpan w:val="2"/>
            <w:tcBorders>
              <w:left w:val="nil"/>
              <w:bottom w:val="single" w:sz="4" w:space="0" w:color="000000"/>
              <w:right w:val="nil"/>
            </w:tcBorders>
            <w:shd w:val="clear" w:color="auto" w:fill="auto"/>
            <w:vAlign w:val="center"/>
          </w:tcPr>
          <w:p w14:paraId="2897B282" w14:textId="542EA95E" w:rsidR="00A1770B" w:rsidRPr="00E70518" w:rsidRDefault="00A1770B" w:rsidP="000216FD">
            <w:pPr>
              <w:spacing w:after="0" w:line="240" w:lineRule="auto"/>
              <w:jc w:val="left"/>
              <w:rPr>
                <w:rFonts w:eastAsia="Times New Roman" w:cs="Times New Roman"/>
                <w:b/>
                <w:bCs/>
                <w:color w:val="000000"/>
                <w:sz w:val="20"/>
                <w:szCs w:val="18"/>
                <w:lang w:eastAsia="sk-SK"/>
              </w:rPr>
            </w:pPr>
            <w:r w:rsidRPr="00E70518">
              <w:rPr>
                <w:b/>
                <w:color w:val="0070C0"/>
                <w:sz w:val="20"/>
                <w:szCs w:val="18"/>
              </w:rPr>
              <w:t>Hodnotové opatrenia - dorovnanie do 2027</w:t>
            </w:r>
          </w:p>
        </w:tc>
        <w:tc>
          <w:tcPr>
            <w:tcW w:w="707" w:type="pct"/>
            <w:tcBorders>
              <w:left w:val="nil"/>
              <w:bottom w:val="single" w:sz="4" w:space="0" w:color="000000"/>
              <w:right w:val="nil"/>
            </w:tcBorders>
            <w:shd w:val="clear" w:color="auto" w:fill="auto"/>
            <w:vAlign w:val="center"/>
          </w:tcPr>
          <w:p w14:paraId="5EA7E164" w14:textId="77777777" w:rsidR="00A1770B" w:rsidRPr="00E70518" w:rsidRDefault="00A1770B" w:rsidP="0097185B">
            <w:pPr>
              <w:spacing w:after="0" w:line="240" w:lineRule="auto"/>
              <w:jc w:val="center"/>
              <w:rPr>
                <w:rFonts w:eastAsia="Times New Roman" w:cs="Times New Roman"/>
                <w:b/>
                <w:bCs/>
                <w:color w:val="000000"/>
                <w:sz w:val="20"/>
                <w:szCs w:val="18"/>
                <w:lang w:eastAsia="sk-SK"/>
              </w:rPr>
            </w:pPr>
          </w:p>
        </w:tc>
        <w:tc>
          <w:tcPr>
            <w:tcW w:w="1016" w:type="pct"/>
            <w:gridSpan w:val="2"/>
            <w:tcBorders>
              <w:left w:val="nil"/>
              <w:bottom w:val="single" w:sz="4" w:space="0" w:color="auto"/>
              <w:right w:val="nil"/>
            </w:tcBorders>
            <w:shd w:val="clear" w:color="auto" w:fill="auto"/>
            <w:noWrap/>
            <w:vAlign w:val="bottom"/>
          </w:tcPr>
          <w:p w14:paraId="697EB40F" w14:textId="77777777" w:rsidR="00A1770B" w:rsidRPr="00E70518" w:rsidRDefault="00A1770B" w:rsidP="0097185B">
            <w:pPr>
              <w:spacing w:after="0" w:line="240" w:lineRule="auto"/>
              <w:jc w:val="center"/>
              <w:rPr>
                <w:rFonts w:eastAsia="Times New Roman" w:cs="Times New Roman"/>
                <w:b/>
                <w:bCs/>
                <w:color w:val="000000"/>
                <w:sz w:val="20"/>
                <w:szCs w:val="18"/>
                <w:lang w:eastAsia="sk-SK"/>
              </w:rPr>
            </w:pPr>
          </w:p>
        </w:tc>
        <w:tc>
          <w:tcPr>
            <w:tcW w:w="621" w:type="pct"/>
            <w:tcBorders>
              <w:left w:val="nil"/>
              <w:bottom w:val="single" w:sz="4" w:space="0" w:color="000000"/>
              <w:right w:val="nil"/>
            </w:tcBorders>
            <w:shd w:val="clear" w:color="auto" w:fill="auto"/>
            <w:vAlign w:val="center"/>
          </w:tcPr>
          <w:p w14:paraId="3CCE9185" w14:textId="672318ED" w:rsidR="00A1770B" w:rsidRPr="00E70518" w:rsidRDefault="00A1770B" w:rsidP="0097185B">
            <w:pPr>
              <w:spacing w:after="0" w:line="240" w:lineRule="auto"/>
              <w:jc w:val="center"/>
              <w:rPr>
                <w:rFonts w:eastAsia="Times New Roman" w:cs="Times New Roman"/>
                <w:b/>
                <w:bCs/>
                <w:color w:val="000000"/>
                <w:sz w:val="20"/>
                <w:szCs w:val="18"/>
                <w:lang w:eastAsia="sk-SK"/>
              </w:rPr>
            </w:pPr>
          </w:p>
        </w:tc>
      </w:tr>
      <w:tr w:rsidR="00A1770B" w:rsidRPr="000939E3" w14:paraId="0A64FFE7" w14:textId="77777777" w:rsidTr="00270484">
        <w:trPr>
          <w:trHeight w:val="170"/>
        </w:trPr>
        <w:tc>
          <w:tcPr>
            <w:tcW w:w="90" w:type="pct"/>
            <w:vMerge w:val="restart"/>
            <w:tcBorders>
              <w:top w:val="single" w:sz="4" w:space="0" w:color="auto"/>
              <w:left w:val="nil"/>
              <w:bottom w:val="single" w:sz="4" w:space="0" w:color="000000"/>
              <w:right w:val="nil"/>
            </w:tcBorders>
            <w:shd w:val="clear" w:color="auto" w:fill="auto"/>
            <w:vAlign w:val="center"/>
            <w:hideMark/>
          </w:tcPr>
          <w:p w14:paraId="4AD41317" w14:textId="71C9835C" w:rsidR="00A1770B" w:rsidRPr="000939E3" w:rsidRDefault="00A1770B" w:rsidP="0097185B">
            <w:pPr>
              <w:spacing w:after="0" w:line="240" w:lineRule="auto"/>
              <w:jc w:val="center"/>
              <w:rPr>
                <w:rFonts w:eastAsia="Times New Roman" w:cs="Times New Roman"/>
                <w:b/>
                <w:bCs/>
                <w:color w:val="000000"/>
                <w:sz w:val="20"/>
                <w:lang w:eastAsia="sk-SK"/>
              </w:rPr>
            </w:pPr>
          </w:p>
        </w:tc>
        <w:tc>
          <w:tcPr>
            <w:tcW w:w="2566" w:type="pct"/>
            <w:vMerge w:val="restart"/>
            <w:tcBorders>
              <w:top w:val="single" w:sz="4" w:space="0" w:color="auto"/>
              <w:left w:val="nil"/>
              <w:bottom w:val="single" w:sz="4" w:space="0" w:color="000000"/>
              <w:right w:val="nil"/>
            </w:tcBorders>
            <w:shd w:val="clear" w:color="auto" w:fill="auto"/>
            <w:noWrap/>
            <w:vAlign w:val="center"/>
            <w:hideMark/>
          </w:tcPr>
          <w:p w14:paraId="44ED4627" w14:textId="77777777" w:rsidR="00A1770B" w:rsidRPr="00E70518" w:rsidRDefault="00A1770B" w:rsidP="0097185B">
            <w:pPr>
              <w:spacing w:after="0" w:line="240" w:lineRule="auto"/>
              <w:jc w:val="center"/>
              <w:rPr>
                <w:rFonts w:eastAsia="Times New Roman" w:cs="Times New Roman"/>
                <w:b/>
                <w:bCs/>
                <w:color w:val="000000"/>
                <w:sz w:val="20"/>
                <w:szCs w:val="18"/>
                <w:lang w:eastAsia="sk-SK"/>
              </w:rPr>
            </w:pPr>
            <w:r w:rsidRPr="00E70518">
              <w:rPr>
                <w:rFonts w:eastAsia="Times New Roman" w:cs="Times New Roman"/>
                <w:b/>
                <w:bCs/>
                <w:color w:val="000000"/>
                <w:sz w:val="20"/>
                <w:szCs w:val="18"/>
                <w:lang w:eastAsia="sk-SK"/>
              </w:rPr>
              <w:t>Opatrenie</w:t>
            </w:r>
          </w:p>
        </w:tc>
        <w:tc>
          <w:tcPr>
            <w:tcW w:w="707" w:type="pct"/>
            <w:vMerge w:val="restart"/>
            <w:tcBorders>
              <w:top w:val="single" w:sz="4" w:space="0" w:color="auto"/>
              <w:left w:val="nil"/>
              <w:bottom w:val="single" w:sz="4" w:space="0" w:color="000000"/>
              <w:right w:val="nil"/>
            </w:tcBorders>
            <w:shd w:val="clear" w:color="auto" w:fill="auto"/>
            <w:vAlign w:val="center"/>
            <w:hideMark/>
          </w:tcPr>
          <w:p w14:paraId="5DA92194" w14:textId="65BF5F8B" w:rsidR="00A1770B" w:rsidRPr="00E70518" w:rsidRDefault="00A1770B" w:rsidP="00DA125A">
            <w:pPr>
              <w:spacing w:after="0" w:line="240" w:lineRule="auto"/>
              <w:jc w:val="center"/>
              <w:rPr>
                <w:rFonts w:eastAsia="Times New Roman" w:cs="Times New Roman"/>
                <w:b/>
                <w:bCs/>
                <w:color w:val="000000"/>
                <w:sz w:val="20"/>
                <w:szCs w:val="18"/>
                <w:lang w:eastAsia="sk-SK"/>
              </w:rPr>
            </w:pPr>
            <w:r w:rsidRPr="00E70518">
              <w:rPr>
                <w:rFonts w:eastAsia="Times New Roman" w:cs="Times New Roman"/>
                <w:b/>
                <w:bCs/>
                <w:color w:val="000000"/>
                <w:sz w:val="20"/>
                <w:szCs w:val="18"/>
                <w:lang w:eastAsia="sk-SK"/>
              </w:rPr>
              <w:t>Zdroj financovania</w:t>
            </w:r>
          </w:p>
        </w:tc>
        <w:tc>
          <w:tcPr>
            <w:tcW w:w="1016" w:type="pct"/>
            <w:gridSpan w:val="2"/>
            <w:tcBorders>
              <w:top w:val="single" w:sz="4" w:space="0" w:color="auto"/>
              <w:left w:val="nil"/>
              <w:bottom w:val="single" w:sz="4" w:space="0" w:color="auto"/>
              <w:right w:val="nil"/>
            </w:tcBorders>
            <w:shd w:val="clear" w:color="auto" w:fill="auto"/>
            <w:noWrap/>
            <w:vAlign w:val="bottom"/>
            <w:hideMark/>
          </w:tcPr>
          <w:p w14:paraId="4885D4B2" w14:textId="77777777" w:rsidR="00A1770B" w:rsidRPr="00E70518" w:rsidRDefault="00A1770B" w:rsidP="0097185B">
            <w:pPr>
              <w:spacing w:after="0" w:line="240" w:lineRule="auto"/>
              <w:jc w:val="center"/>
              <w:rPr>
                <w:rFonts w:eastAsia="Times New Roman" w:cs="Times New Roman"/>
                <w:b/>
                <w:bCs/>
                <w:color w:val="000000"/>
                <w:sz w:val="20"/>
                <w:szCs w:val="18"/>
                <w:lang w:eastAsia="sk-SK"/>
              </w:rPr>
            </w:pPr>
            <w:r w:rsidRPr="00E70518">
              <w:rPr>
                <w:rFonts w:eastAsia="Times New Roman" w:cs="Times New Roman"/>
                <w:b/>
                <w:bCs/>
                <w:color w:val="000000"/>
                <w:sz w:val="20"/>
                <w:szCs w:val="18"/>
                <w:lang w:eastAsia="sk-SK"/>
              </w:rPr>
              <w:t>Dodatočné výdavky oproti ZS (mil. eur)</w:t>
            </w:r>
          </w:p>
        </w:tc>
        <w:tc>
          <w:tcPr>
            <w:tcW w:w="621" w:type="pct"/>
            <w:vMerge w:val="restart"/>
            <w:tcBorders>
              <w:top w:val="single" w:sz="4" w:space="0" w:color="auto"/>
              <w:left w:val="nil"/>
              <w:bottom w:val="single" w:sz="4" w:space="0" w:color="000000"/>
              <w:right w:val="nil"/>
            </w:tcBorders>
            <w:shd w:val="clear" w:color="auto" w:fill="auto"/>
            <w:vAlign w:val="center"/>
            <w:hideMark/>
          </w:tcPr>
          <w:p w14:paraId="3384D826" w14:textId="2AED4749" w:rsidR="00A1770B" w:rsidRPr="00E70518" w:rsidRDefault="00A1770B" w:rsidP="00DA125A">
            <w:pPr>
              <w:spacing w:after="0" w:line="240" w:lineRule="auto"/>
              <w:jc w:val="center"/>
              <w:rPr>
                <w:rFonts w:eastAsia="Times New Roman" w:cs="Times New Roman"/>
                <w:b/>
                <w:bCs/>
                <w:color w:val="000000"/>
                <w:sz w:val="20"/>
                <w:szCs w:val="18"/>
                <w:lang w:eastAsia="sk-SK"/>
              </w:rPr>
            </w:pPr>
            <w:r w:rsidRPr="00E70518">
              <w:rPr>
                <w:rFonts w:eastAsia="Times New Roman" w:cs="Times New Roman"/>
                <w:b/>
                <w:bCs/>
                <w:color w:val="000000"/>
                <w:sz w:val="20"/>
                <w:szCs w:val="18"/>
                <w:lang w:eastAsia="sk-SK"/>
              </w:rPr>
              <w:t>Zodpovedný</w:t>
            </w:r>
          </w:p>
        </w:tc>
      </w:tr>
      <w:tr w:rsidR="00A1770B" w:rsidRPr="000939E3" w14:paraId="3D1F140A" w14:textId="77777777" w:rsidTr="00270484">
        <w:trPr>
          <w:trHeight w:val="170"/>
        </w:trPr>
        <w:tc>
          <w:tcPr>
            <w:tcW w:w="90" w:type="pct"/>
            <w:vMerge/>
            <w:tcBorders>
              <w:top w:val="single" w:sz="4" w:space="0" w:color="auto"/>
              <w:left w:val="nil"/>
              <w:bottom w:val="single" w:sz="4" w:space="0" w:color="000000"/>
              <w:right w:val="nil"/>
            </w:tcBorders>
            <w:vAlign w:val="center"/>
            <w:hideMark/>
          </w:tcPr>
          <w:p w14:paraId="5FB9E914" w14:textId="77777777" w:rsidR="00A1770B" w:rsidRPr="000939E3" w:rsidRDefault="00A1770B" w:rsidP="0097185B">
            <w:pPr>
              <w:spacing w:after="0" w:line="240" w:lineRule="auto"/>
              <w:rPr>
                <w:rFonts w:eastAsia="Times New Roman" w:cs="Times New Roman"/>
                <w:b/>
                <w:bCs/>
                <w:color w:val="000000"/>
                <w:sz w:val="20"/>
                <w:lang w:eastAsia="sk-SK"/>
              </w:rPr>
            </w:pPr>
          </w:p>
        </w:tc>
        <w:tc>
          <w:tcPr>
            <w:tcW w:w="2566" w:type="pct"/>
            <w:vMerge/>
            <w:tcBorders>
              <w:top w:val="single" w:sz="4" w:space="0" w:color="auto"/>
              <w:left w:val="nil"/>
              <w:bottom w:val="single" w:sz="4" w:space="0" w:color="000000"/>
              <w:right w:val="nil"/>
            </w:tcBorders>
            <w:vAlign w:val="center"/>
            <w:hideMark/>
          </w:tcPr>
          <w:p w14:paraId="7A2F8BE3" w14:textId="77777777" w:rsidR="00A1770B" w:rsidRPr="00E70518" w:rsidRDefault="00A1770B" w:rsidP="0097185B">
            <w:pPr>
              <w:spacing w:after="0" w:line="240" w:lineRule="auto"/>
              <w:rPr>
                <w:rFonts w:eastAsia="Times New Roman" w:cs="Times New Roman"/>
                <w:b/>
                <w:bCs/>
                <w:color w:val="000000"/>
                <w:sz w:val="20"/>
                <w:szCs w:val="18"/>
                <w:lang w:eastAsia="sk-SK"/>
              </w:rPr>
            </w:pPr>
          </w:p>
        </w:tc>
        <w:tc>
          <w:tcPr>
            <w:tcW w:w="707" w:type="pct"/>
            <w:vMerge/>
            <w:tcBorders>
              <w:top w:val="single" w:sz="4" w:space="0" w:color="auto"/>
              <w:left w:val="nil"/>
              <w:bottom w:val="single" w:sz="4" w:space="0" w:color="000000"/>
              <w:right w:val="nil"/>
            </w:tcBorders>
            <w:vAlign w:val="center"/>
            <w:hideMark/>
          </w:tcPr>
          <w:p w14:paraId="0D168BB0" w14:textId="77777777" w:rsidR="00A1770B" w:rsidRPr="00E70518" w:rsidRDefault="00A1770B" w:rsidP="0097185B">
            <w:pPr>
              <w:spacing w:after="0" w:line="240" w:lineRule="auto"/>
              <w:rPr>
                <w:rFonts w:eastAsia="Times New Roman" w:cs="Times New Roman"/>
                <w:b/>
                <w:bCs/>
                <w:color w:val="000000"/>
                <w:sz w:val="20"/>
                <w:szCs w:val="18"/>
                <w:lang w:eastAsia="sk-SK"/>
              </w:rPr>
            </w:pPr>
          </w:p>
        </w:tc>
        <w:tc>
          <w:tcPr>
            <w:tcW w:w="465" w:type="pct"/>
            <w:tcBorders>
              <w:top w:val="single" w:sz="4" w:space="0" w:color="auto"/>
              <w:left w:val="nil"/>
              <w:bottom w:val="single" w:sz="4" w:space="0" w:color="auto"/>
              <w:right w:val="nil"/>
            </w:tcBorders>
            <w:shd w:val="clear" w:color="auto" w:fill="auto"/>
            <w:noWrap/>
            <w:vAlign w:val="bottom"/>
            <w:hideMark/>
          </w:tcPr>
          <w:p w14:paraId="34F99B1B" w14:textId="0DC1ED84" w:rsidR="00A1770B" w:rsidRPr="00E70518" w:rsidRDefault="00A1770B" w:rsidP="00A1770B">
            <w:pPr>
              <w:spacing w:after="0" w:line="240" w:lineRule="auto"/>
              <w:jc w:val="center"/>
              <w:rPr>
                <w:rFonts w:eastAsia="Times New Roman" w:cs="Times New Roman"/>
                <w:b/>
                <w:bCs/>
                <w:color w:val="000000"/>
                <w:sz w:val="20"/>
                <w:szCs w:val="18"/>
                <w:lang w:eastAsia="sk-SK"/>
              </w:rPr>
            </w:pPr>
            <w:r w:rsidRPr="00E70518">
              <w:rPr>
                <w:rFonts w:eastAsia="Times New Roman" w:cs="Times New Roman"/>
                <w:b/>
                <w:bCs/>
                <w:color w:val="000000"/>
                <w:sz w:val="20"/>
                <w:szCs w:val="18"/>
                <w:lang w:eastAsia="sk-SK"/>
              </w:rPr>
              <w:t>Prvý rok</w:t>
            </w:r>
          </w:p>
        </w:tc>
        <w:tc>
          <w:tcPr>
            <w:tcW w:w="551" w:type="pct"/>
            <w:tcBorders>
              <w:top w:val="single" w:sz="4" w:space="0" w:color="auto"/>
              <w:left w:val="nil"/>
              <w:bottom w:val="single" w:sz="4" w:space="0" w:color="auto"/>
              <w:right w:val="nil"/>
            </w:tcBorders>
            <w:shd w:val="clear" w:color="auto" w:fill="auto"/>
            <w:noWrap/>
            <w:vAlign w:val="bottom"/>
          </w:tcPr>
          <w:p w14:paraId="66C02F2D" w14:textId="528B0BAC" w:rsidR="00A1770B" w:rsidRPr="00E70518" w:rsidRDefault="007E3625" w:rsidP="0097185B">
            <w:pPr>
              <w:spacing w:after="0" w:line="240" w:lineRule="auto"/>
              <w:jc w:val="center"/>
              <w:rPr>
                <w:rFonts w:eastAsia="Times New Roman" w:cs="Times New Roman"/>
                <w:b/>
                <w:bCs/>
                <w:color w:val="000000"/>
                <w:sz w:val="20"/>
                <w:szCs w:val="18"/>
                <w:lang w:eastAsia="sk-SK"/>
              </w:rPr>
            </w:pPr>
            <w:r>
              <w:rPr>
                <w:rFonts w:eastAsia="Times New Roman" w:cs="Times New Roman"/>
                <w:b/>
                <w:bCs/>
                <w:color w:val="000000"/>
                <w:sz w:val="20"/>
                <w:szCs w:val="18"/>
                <w:lang w:eastAsia="sk-SK"/>
              </w:rPr>
              <w:t>Potenciál</w:t>
            </w:r>
          </w:p>
        </w:tc>
        <w:tc>
          <w:tcPr>
            <w:tcW w:w="621" w:type="pct"/>
            <w:vMerge/>
            <w:tcBorders>
              <w:top w:val="single" w:sz="4" w:space="0" w:color="auto"/>
              <w:left w:val="nil"/>
              <w:bottom w:val="single" w:sz="4" w:space="0" w:color="000000"/>
              <w:right w:val="nil"/>
            </w:tcBorders>
            <w:vAlign w:val="center"/>
            <w:hideMark/>
          </w:tcPr>
          <w:p w14:paraId="7D623F30" w14:textId="77777777" w:rsidR="00A1770B" w:rsidRPr="00E70518" w:rsidRDefault="00A1770B" w:rsidP="0097185B">
            <w:pPr>
              <w:spacing w:after="0" w:line="240" w:lineRule="auto"/>
              <w:rPr>
                <w:rFonts w:eastAsia="Times New Roman" w:cs="Times New Roman"/>
                <w:b/>
                <w:bCs/>
                <w:color w:val="000000"/>
                <w:sz w:val="20"/>
                <w:szCs w:val="18"/>
                <w:lang w:eastAsia="sk-SK"/>
              </w:rPr>
            </w:pPr>
          </w:p>
        </w:tc>
      </w:tr>
      <w:tr w:rsidR="00A1770B" w:rsidRPr="000939E3" w14:paraId="409AFB4A" w14:textId="77777777" w:rsidTr="00270484">
        <w:trPr>
          <w:trHeight w:val="338"/>
        </w:trPr>
        <w:tc>
          <w:tcPr>
            <w:tcW w:w="90" w:type="pct"/>
            <w:tcBorders>
              <w:top w:val="nil"/>
              <w:left w:val="nil"/>
              <w:bottom w:val="dashed" w:sz="4" w:space="0" w:color="BFBFBF" w:themeColor="background1" w:themeShade="BF"/>
              <w:right w:val="nil"/>
            </w:tcBorders>
            <w:shd w:val="clear" w:color="auto" w:fill="auto"/>
            <w:noWrap/>
            <w:vAlign w:val="center"/>
            <w:hideMark/>
          </w:tcPr>
          <w:p w14:paraId="6C50AA5B" w14:textId="77777777" w:rsidR="00A1770B" w:rsidRPr="000939E3" w:rsidRDefault="00A1770B" w:rsidP="0079127E">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1</w:t>
            </w:r>
          </w:p>
        </w:tc>
        <w:tc>
          <w:tcPr>
            <w:tcW w:w="2566" w:type="pct"/>
            <w:tcBorders>
              <w:top w:val="nil"/>
              <w:left w:val="nil"/>
              <w:bottom w:val="dashed" w:sz="4" w:space="0" w:color="BFBFBF" w:themeColor="background1" w:themeShade="BF"/>
              <w:right w:val="nil"/>
            </w:tcBorders>
            <w:shd w:val="clear" w:color="auto" w:fill="auto"/>
            <w:noWrap/>
            <w:vAlign w:val="center"/>
            <w:hideMark/>
          </w:tcPr>
          <w:p w14:paraId="6DA46662" w14:textId="0313249C" w:rsidR="00A1770B" w:rsidRPr="00E70518" w:rsidRDefault="00A1770B">
            <w:pPr>
              <w:spacing w:after="0" w:line="240" w:lineRule="auto"/>
              <w:rPr>
                <w:rFonts w:eastAsia="Times New Roman" w:cs="Times New Roman"/>
                <w:color w:val="000000"/>
                <w:sz w:val="20"/>
                <w:szCs w:val="18"/>
                <w:lang w:eastAsia="sk-SK"/>
              </w:rPr>
            </w:pPr>
            <w:r w:rsidRPr="00E70518">
              <w:rPr>
                <w:rFonts w:eastAsia="Times New Roman" w:cs="Times New Roman"/>
                <w:color w:val="000000"/>
                <w:sz w:val="20"/>
                <w:szCs w:val="18"/>
                <w:lang w:eastAsia="sk-SK"/>
              </w:rPr>
              <w:t>Zvýšiť kompenzácie učiteľov v regionálnom školstve na priemer EÚ do roku 2027 súčasne s realizáciou reforiem</w:t>
            </w:r>
          </w:p>
        </w:tc>
        <w:tc>
          <w:tcPr>
            <w:tcW w:w="707" w:type="pct"/>
            <w:tcBorders>
              <w:top w:val="nil"/>
              <w:left w:val="nil"/>
              <w:bottom w:val="dashed" w:sz="4" w:space="0" w:color="BFBFBF" w:themeColor="background1" w:themeShade="BF"/>
              <w:right w:val="nil"/>
            </w:tcBorders>
            <w:shd w:val="clear" w:color="auto" w:fill="auto"/>
            <w:noWrap/>
            <w:vAlign w:val="center"/>
            <w:hideMark/>
          </w:tcPr>
          <w:p w14:paraId="56F8AB38" w14:textId="38C7E858" w:rsidR="00A1770B" w:rsidRPr="00E70518" w:rsidRDefault="00A1770B" w:rsidP="0079127E">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ŠR</w:t>
            </w:r>
            <w:r w:rsidRPr="00E70518" w:rsidDel="00DF6B5B">
              <w:rPr>
                <w:rFonts w:eastAsia="Times New Roman" w:cs="Times New Roman"/>
                <w:color w:val="000000"/>
                <w:sz w:val="20"/>
                <w:szCs w:val="18"/>
                <w:lang w:eastAsia="sk-SK"/>
              </w:rPr>
              <w:t xml:space="preserve"> </w:t>
            </w:r>
            <w:r w:rsidRPr="00E70518">
              <w:rPr>
                <w:rFonts w:eastAsia="Times New Roman" w:cs="Times New Roman"/>
                <w:color w:val="000000"/>
                <w:sz w:val="20"/>
                <w:szCs w:val="18"/>
                <w:lang w:eastAsia="sk-SK"/>
              </w:rPr>
              <w:t>+ samosprávy</w:t>
            </w:r>
          </w:p>
        </w:tc>
        <w:tc>
          <w:tcPr>
            <w:tcW w:w="465" w:type="pct"/>
            <w:tcBorders>
              <w:top w:val="nil"/>
              <w:left w:val="nil"/>
              <w:bottom w:val="dashed" w:sz="4" w:space="0" w:color="BFBFBF" w:themeColor="background1" w:themeShade="BF"/>
              <w:right w:val="nil"/>
            </w:tcBorders>
            <w:shd w:val="clear" w:color="auto" w:fill="auto"/>
            <w:noWrap/>
            <w:vAlign w:val="center"/>
          </w:tcPr>
          <w:p w14:paraId="1CCD79A8" w14:textId="0E1E4E77" w:rsidR="00A1770B" w:rsidRPr="00E70518" w:rsidRDefault="00A1770B" w:rsidP="00C40CB9">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113</w:t>
            </w:r>
          </w:p>
        </w:tc>
        <w:tc>
          <w:tcPr>
            <w:tcW w:w="551" w:type="pct"/>
            <w:tcBorders>
              <w:top w:val="nil"/>
              <w:left w:val="nil"/>
              <w:bottom w:val="dashed" w:sz="4" w:space="0" w:color="BFBFBF" w:themeColor="background1" w:themeShade="BF"/>
              <w:right w:val="nil"/>
            </w:tcBorders>
            <w:shd w:val="clear" w:color="auto" w:fill="auto"/>
            <w:noWrap/>
            <w:vAlign w:val="center"/>
          </w:tcPr>
          <w:p w14:paraId="11C0F49B" w14:textId="2321AE13" w:rsidR="00A1770B" w:rsidRPr="00E70518" w:rsidRDefault="00D802A7" w:rsidP="00D802A7">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883</w:t>
            </w:r>
          </w:p>
        </w:tc>
        <w:tc>
          <w:tcPr>
            <w:tcW w:w="621" w:type="pct"/>
            <w:tcBorders>
              <w:top w:val="nil"/>
              <w:left w:val="nil"/>
              <w:bottom w:val="dashed" w:sz="4" w:space="0" w:color="BFBFBF" w:themeColor="background1" w:themeShade="BF"/>
              <w:right w:val="nil"/>
            </w:tcBorders>
            <w:shd w:val="clear" w:color="auto" w:fill="auto"/>
            <w:vAlign w:val="center"/>
            <w:hideMark/>
          </w:tcPr>
          <w:p w14:paraId="0947C373" w14:textId="77777777" w:rsidR="00A1770B" w:rsidRPr="00E70518" w:rsidRDefault="00A1770B" w:rsidP="0079127E">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 xml:space="preserve">MŠVVaŠ, </w:t>
            </w:r>
          </w:p>
          <w:p w14:paraId="3E00D292" w14:textId="2121BA44" w:rsidR="00A1770B" w:rsidRPr="00E70518" w:rsidRDefault="00A1770B" w:rsidP="0079127E">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 xml:space="preserve">MF SR </w:t>
            </w:r>
          </w:p>
        </w:tc>
      </w:tr>
      <w:tr w:rsidR="00A1770B" w:rsidRPr="000939E3" w14:paraId="05D06F98" w14:textId="77777777" w:rsidTr="00270484">
        <w:trPr>
          <w:trHeight w:val="338"/>
        </w:trPr>
        <w:tc>
          <w:tcPr>
            <w:tcW w:w="90" w:type="pct"/>
            <w:tcBorders>
              <w:top w:val="nil"/>
              <w:left w:val="nil"/>
              <w:bottom w:val="dashed" w:sz="4" w:space="0" w:color="BFBFBF" w:themeColor="background1" w:themeShade="BF"/>
              <w:right w:val="nil"/>
            </w:tcBorders>
            <w:shd w:val="clear" w:color="auto" w:fill="auto"/>
            <w:noWrap/>
            <w:vAlign w:val="center"/>
          </w:tcPr>
          <w:p w14:paraId="7B7925E3" w14:textId="5031DF95" w:rsidR="00A1770B" w:rsidRPr="000939E3" w:rsidRDefault="00A1770B" w:rsidP="0079127E">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2</w:t>
            </w:r>
          </w:p>
        </w:tc>
        <w:tc>
          <w:tcPr>
            <w:tcW w:w="2566" w:type="pct"/>
            <w:tcBorders>
              <w:top w:val="nil"/>
              <w:left w:val="nil"/>
              <w:bottom w:val="dashed" w:sz="4" w:space="0" w:color="BFBFBF" w:themeColor="background1" w:themeShade="BF"/>
              <w:right w:val="nil"/>
            </w:tcBorders>
            <w:shd w:val="clear" w:color="auto" w:fill="auto"/>
            <w:noWrap/>
            <w:vAlign w:val="center"/>
          </w:tcPr>
          <w:p w14:paraId="71AF7E6E" w14:textId="42D6CDE0" w:rsidR="00A1770B" w:rsidRPr="00E70518" w:rsidRDefault="00A1770B" w:rsidP="000C2A51">
            <w:pPr>
              <w:spacing w:after="0" w:line="240" w:lineRule="auto"/>
              <w:jc w:val="left"/>
              <w:rPr>
                <w:rFonts w:eastAsia="Times New Roman" w:cs="Times New Roman"/>
                <w:color w:val="000000"/>
                <w:sz w:val="20"/>
                <w:szCs w:val="18"/>
                <w:lang w:eastAsia="sk-SK"/>
              </w:rPr>
            </w:pPr>
            <w:r w:rsidRPr="00E70518">
              <w:rPr>
                <w:rFonts w:eastAsia="Times New Roman" w:cs="Times New Roman"/>
                <w:color w:val="000000"/>
                <w:sz w:val="20"/>
                <w:szCs w:val="18"/>
                <w:lang w:eastAsia="sk-SK"/>
              </w:rPr>
              <w:t>Zvýšiť počet zdravotných sestier v ústavnej starostlivosti na úroveň EÚ do roku 2027 a zvýšiť ich kompetencie</w:t>
            </w:r>
          </w:p>
        </w:tc>
        <w:tc>
          <w:tcPr>
            <w:tcW w:w="707" w:type="pct"/>
            <w:tcBorders>
              <w:top w:val="nil"/>
              <w:left w:val="nil"/>
              <w:bottom w:val="dashed" w:sz="4" w:space="0" w:color="BFBFBF" w:themeColor="background1" w:themeShade="BF"/>
              <w:right w:val="nil"/>
            </w:tcBorders>
            <w:shd w:val="clear" w:color="auto" w:fill="auto"/>
            <w:noWrap/>
            <w:vAlign w:val="center"/>
          </w:tcPr>
          <w:p w14:paraId="749243A9" w14:textId="198BFF7E" w:rsidR="00A1770B" w:rsidRPr="00E70518" w:rsidRDefault="00A1770B" w:rsidP="00E12373">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zdravotné poistenie</w:t>
            </w:r>
          </w:p>
        </w:tc>
        <w:tc>
          <w:tcPr>
            <w:tcW w:w="465" w:type="pct"/>
            <w:tcBorders>
              <w:top w:val="nil"/>
              <w:left w:val="nil"/>
              <w:bottom w:val="dashed" w:sz="4" w:space="0" w:color="BFBFBF" w:themeColor="background1" w:themeShade="BF"/>
              <w:right w:val="nil"/>
            </w:tcBorders>
            <w:shd w:val="clear" w:color="auto" w:fill="auto"/>
            <w:noWrap/>
            <w:vAlign w:val="center"/>
          </w:tcPr>
          <w:p w14:paraId="2A3A946B" w14:textId="25FE69D9" w:rsidR="00A1770B" w:rsidRPr="00E70518" w:rsidRDefault="00A1770B" w:rsidP="00C40CB9">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8</w:t>
            </w:r>
          </w:p>
        </w:tc>
        <w:tc>
          <w:tcPr>
            <w:tcW w:w="551" w:type="pct"/>
            <w:tcBorders>
              <w:top w:val="nil"/>
              <w:left w:val="nil"/>
              <w:bottom w:val="dashed" w:sz="4" w:space="0" w:color="BFBFBF" w:themeColor="background1" w:themeShade="BF"/>
              <w:right w:val="nil"/>
            </w:tcBorders>
            <w:shd w:val="clear" w:color="auto" w:fill="auto"/>
            <w:noWrap/>
            <w:vAlign w:val="center"/>
          </w:tcPr>
          <w:p w14:paraId="245CA79C" w14:textId="5E1FD6D5" w:rsidR="00A1770B" w:rsidRPr="00E70518" w:rsidRDefault="00D802A7" w:rsidP="00D802A7">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54</w:t>
            </w:r>
          </w:p>
        </w:tc>
        <w:tc>
          <w:tcPr>
            <w:tcW w:w="621" w:type="pct"/>
            <w:tcBorders>
              <w:top w:val="nil"/>
              <w:left w:val="nil"/>
              <w:bottom w:val="dashed" w:sz="4" w:space="0" w:color="BFBFBF" w:themeColor="background1" w:themeShade="BF"/>
              <w:right w:val="nil"/>
            </w:tcBorders>
            <w:shd w:val="clear" w:color="auto" w:fill="auto"/>
            <w:vAlign w:val="center"/>
          </w:tcPr>
          <w:p w14:paraId="15F9F0BA" w14:textId="77777777" w:rsidR="00A1770B" w:rsidRPr="00E70518" w:rsidRDefault="00A1770B" w:rsidP="0079127E">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 xml:space="preserve">MZ SR, </w:t>
            </w:r>
          </w:p>
          <w:p w14:paraId="64BEC675" w14:textId="3094C020" w:rsidR="00A1770B" w:rsidRPr="00E70518" w:rsidRDefault="00A1770B" w:rsidP="0079127E">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 xml:space="preserve">MF SR </w:t>
            </w:r>
          </w:p>
        </w:tc>
      </w:tr>
      <w:tr w:rsidR="00A1770B" w:rsidRPr="000939E3" w14:paraId="55A5FF2F" w14:textId="77777777" w:rsidTr="00270484">
        <w:trPr>
          <w:trHeight w:val="338"/>
        </w:trPr>
        <w:tc>
          <w:tcPr>
            <w:tcW w:w="90" w:type="pct"/>
            <w:tcBorders>
              <w:top w:val="nil"/>
              <w:left w:val="nil"/>
              <w:bottom w:val="dashed" w:sz="4" w:space="0" w:color="BFBFBF" w:themeColor="background1" w:themeShade="BF"/>
              <w:right w:val="nil"/>
            </w:tcBorders>
            <w:shd w:val="clear" w:color="auto" w:fill="auto"/>
            <w:noWrap/>
            <w:vAlign w:val="center"/>
          </w:tcPr>
          <w:p w14:paraId="749BB95A" w14:textId="0D7D6028" w:rsidR="00A1770B" w:rsidRPr="000939E3" w:rsidRDefault="00A1770B" w:rsidP="0079127E">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3</w:t>
            </w:r>
          </w:p>
        </w:tc>
        <w:tc>
          <w:tcPr>
            <w:tcW w:w="2566" w:type="pct"/>
            <w:tcBorders>
              <w:top w:val="nil"/>
              <w:left w:val="nil"/>
              <w:bottom w:val="dashed" w:sz="4" w:space="0" w:color="BFBFBF" w:themeColor="background1" w:themeShade="BF"/>
              <w:right w:val="nil"/>
            </w:tcBorders>
            <w:shd w:val="clear" w:color="auto" w:fill="auto"/>
            <w:noWrap/>
            <w:vAlign w:val="center"/>
          </w:tcPr>
          <w:p w14:paraId="1522AC5B" w14:textId="2664D08F" w:rsidR="00A1770B" w:rsidRPr="00E70518" w:rsidRDefault="00A1770B" w:rsidP="0079127E">
            <w:pPr>
              <w:spacing w:after="0" w:line="240" w:lineRule="auto"/>
              <w:rPr>
                <w:rFonts w:eastAsia="Times New Roman" w:cs="Times New Roman"/>
                <w:color w:val="000000"/>
                <w:sz w:val="20"/>
                <w:szCs w:val="18"/>
                <w:lang w:eastAsia="sk-SK"/>
              </w:rPr>
            </w:pPr>
            <w:r w:rsidRPr="00E70518">
              <w:rPr>
                <w:rFonts w:eastAsia="Times New Roman" w:cs="Times New Roman"/>
                <w:color w:val="000000"/>
                <w:sz w:val="20"/>
                <w:szCs w:val="18"/>
                <w:lang w:eastAsia="sk-SK"/>
              </w:rPr>
              <w:t>Zvýšiť kompenzácie a počty pracovníkov v sociálnych službách na úroveň ČR do roku 2027 súčasne s realizáciou reforiem</w:t>
            </w:r>
          </w:p>
        </w:tc>
        <w:tc>
          <w:tcPr>
            <w:tcW w:w="707" w:type="pct"/>
            <w:tcBorders>
              <w:top w:val="nil"/>
              <w:left w:val="nil"/>
              <w:bottom w:val="dashed" w:sz="4" w:space="0" w:color="BFBFBF" w:themeColor="background1" w:themeShade="BF"/>
              <w:right w:val="nil"/>
            </w:tcBorders>
            <w:shd w:val="clear" w:color="auto" w:fill="auto"/>
            <w:noWrap/>
            <w:vAlign w:val="center"/>
          </w:tcPr>
          <w:p w14:paraId="6E3ADFDE" w14:textId="371D5B6F" w:rsidR="00A1770B" w:rsidRPr="00E70518" w:rsidRDefault="00A1770B" w:rsidP="0079127E">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ŠR + samosprávy</w:t>
            </w:r>
          </w:p>
        </w:tc>
        <w:tc>
          <w:tcPr>
            <w:tcW w:w="465" w:type="pct"/>
            <w:tcBorders>
              <w:top w:val="nil"/>
              <w:left w:val="nil"/>
              <w:bottom w:val="dashed" w:sz="4" w:space="0" w:color="BFBFBF" w:themeColor="background1" w:themeShade="BF"/>
              <w:right w:val="nil"/>
            </w:tcBorders>
            <w:shd w:val="clear" w:color="auto" w:fill="auto"/>
            <w:noWrap/>
            <w:vAlign w:val="center"/>
          </w:tcPr>
          <w:p w14:paraId="63AB4C6B" w14:textId="342EE26D" w:rsidR="00A1770B" w:rsidRPr="00E70518" w:rsidRDefault="00A1770B" w:rsidP="00C40CB9">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28</w:t>
            </w:r>
          </w:p>
        </w:tc>
        <w:tc>
          <w:tcPr>
            <w:tcW w:w="551" w:type="pct"/>
            <w:tcBorders>
              <w:top w:val="nil"/>
              <w:left w:val="nil"/>
              <w:bottom w:val="dashed" w:sz="4" w:space="0" w:color="BFBFBF" w:themeColor="background1" w:themeShade="BF"/>
              <w:right w:val="nil"/>
            </w:tcBorders>
            <w:shd w:val="clear" w:color="auto" w:fill="auto"/>
            <w:noWrap/>
            <w:vAlign w:val="center"/>
          </w:tcPr>
          <w:p w14:paraId="3D9F9FFB" w14:textId="0681919C" w:rsidR="00A1770B" w:rsidRPr="00E70518" w:rsidRDefault="00D802A7" w:rsidP="00D802A7">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250</w:t>
            </w:r>
          </w:p>
        </w:tc>
        <w:tc>
          <w:tcPr>
            <w:tcW w:w="621" w:type="pct"/>
            <w:tcBorders>
              <w:top w:val="nil"/>
              <w:left w:val="nil"/>
              <w:bottom w:val="dashed" w:sz="4" w:space="0" w:color="BFBFBF" w:themeColor="background1" w:themeShade="BF"/>
              <w:right w:val="nil"/>
            </w:tcBorders>
            <w:shd w:val="clear" w:color="auto" w:fill="auto"/>
            <w:vAlign w:val="center"/>
          </w:tcPr>
          <w:p w14:paraId="0F5BEB6A" w14:textId="77777777" w:rsidR="00E70518" w:rsidRPr="00E70518" w:rsidRDefault="00A1770B" w:rsidP="0079127E">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 xml:space="preserve">MPSVaR, </w:t>
            </w:r>
          </w:p>
          <w:p w14:paraId="52850F3A" w14:textId="5462F31C" w:rsidR="00A1770B" w:rsidRPr="00E70518" w:rsidRDefault="00A1770B" w:rsidP="0079127E">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 xml:space="preserve">MF SR </w:t>
            </w:r>
          </w:p>
        </w:tc>
      </w:tr>
      <w:tr w:rsidR="00A1770B" w:rsidRPr="000939E3" w14:paraId="1E6CC7CF" w14:textId="77777777" w:rsidTr="00270484">
        <w:trPr>
          <w:trHeight w:val="170"/>
        </w:trPr>
        <w:tc>
          <w:tcPr>
            <w:tcW w:w="90"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hideMark/>
          </w:tcPr>
          <w:p w14:paraId="14A70DF8" w14:textId="557AFE63" w:rsidR="00A1770B" w:rsidRPr="000939E3" w:rsidRDefault="00A1770B" w:rsidP="0079127E">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4</w:t>
            </w:r>
          </w:p>
        </w:tc>
        <w:tc>
          <w:tcPr>
            <w:tcW w:w="2566"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hideMark/>
          </w:tcPr>
          <w:p w14:paraId="67CF8C87" w14:textId="659CB2A0" w:rsidR="00A1770B" w:rsidRPr="00E70518" w:rsidRDefault="00A1770B" w:rsidP="000C2A51">
            <w:pPr>
              <w:spacing w:after="0" w:line="240" w:lineRule="auto"/>
              <w:jc w:val="left"/>
              <w:rPr>
                <w:rFonts w:eastAsia="Times New Roman" w:cs="Times New Roman"/>
                <w:color w:val="000000"/>
                <w:sz w:val="20"/>
                <w:szCs w:val="18"/>
                <w:lang w:eastAsia="sk-SK"/>
              </w:rPr>
            </w:pPr>
            <w:r w:rsidRPr="00E70518">
              <w:rPr>
                <w:rFonts w:eastAsia="Times New Roman" w:cs="Times New Roman"/>
                <w:color w:val="000000"/>
                <w:sz w:val="20"/>
                <w:szCs w:val="18"/>
                <w:lang w:eastAsia="sk-SK"/>
              </w:rPr>
              <w:t xml:space="preserve">Znížiť počet VŠ učiteľov na žiaka </w:t>
            </w:r>
            <w:r w:rsidR="008253AC" w:rsidRPr="00E70518">
              <w:rPr>
                <w:rFonts w:eastAsia="Times New Roman" w:cs="Times New Roman"/>
                <w:color w:val="000000"/>
                <w:sz w:val="20"/>
                <w:szCs w:val="18"/>
                <w:lang w:eastAsia="sk-SK"/>
              </w:rPr>
              <w:t xml:space="preserve">na úroveň ČR </w:t>
            </w:r>
            <w:r w:rsidRPr="00E70518">
              <w:rPr>
                <w:rFonts w:eastAsia="Times New Roman" w:cs="Times New Roman"/>
                <w:color w:val="000000"/>
                <w:sz w:val="20"/>
                <w:szCs w:val="18"/>
                <w:lang w:eastAsia="sk-SK"/>
              </w:rPr>
              <w:t>a súčasne zvýšiť platy VŠ učiteľov na priemer EÚ do roku 2027 súčasne s realizáciou reforiem</w:t>
            </w:r>
          </w:p>
        </w:tc>
        <w:tc>
          <w:tcPr>
            <w:tcW w:w="707"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hideMark/>
          </w:tcPr>
          <w:p w14:paraId="204F020B" w14:textId="16BB72B3" w:rsidR="00A1770B" w:rsidRPr="00E70518" w:rsidRDefault="00A1770B" w:rsidP="0079127E">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ŠR</w:t>
            </w:r>
          </w:p>
        </w:tc>
        <w:tc>
          <w:tcPr>
            <w:tcW w:w="465"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120E2229" w14:textId="7D527FBE" w:rsidR="00A1770B" w:rsidRPr="00E70518" w:rsidRDefault="00A1770B" w:rsidP="00C40CB9">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1</w:t>
            </w:r>
          </w:p>
        </w:tc>
        <w:tc>
          <w:tcPr>
            <w:tcW w:w="551"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43414148" w14:textId="33BBB430" w:rsidR="00A1770B" w:rsidRPr="00E70518" w:rsidRDefault="008253AC" w:rsidP="00C40CB9">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16</w:t>
            </w:r>
          </w:p>
        </w:tc>
        <w:tc>
          <w:tcPr>
            <w:tcW w:w="621" w:type="pct"/>
            <w:tcBorders>
              <w:top w:val="dashed" w:sz="4" w:space="0" w:color="BFBFBF" w:themeColor="background1" w:themeShade="BF"/>
              <w:left w:val="nil"/>
              <w:bottom w:val="dashed" w:sz="4" w:space="0" w:color="BFBFBF" w:themeColor="background1" w:themeShade="BF"/>
              <w:right w:val="nil"/>
            </w:tcBorders>
            <w:shd w:val="clear" w:color="auto" w:fill="auto"/>
            <w:vAlign w:val="center"/>
            <w:hideMark/>
          </w:tcPr>
          <w:p w14:paraId="25F391FB" w14:textId="77777777" w:rsidR="00A1770B" w:rsidRPr="00E70518" w:rsidRDefault="00A1770B" w:rsidP="0079127E">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 xml:space="preserve">MŠVVaŠ, </w:t>
            </w:r>
          </w:p>
          <w:p w14:paraId="6ED28CB4" w14:textId="0C340468" w:rsidR="00A1770B" w:rsidRPr="00E70518" w:rsidRDefault="00A1770B" w:rsidP="0079127E">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 xml:space="preserve">MF SR </w:t>
            </w:r>
          </w:p>
        </w:tc>
      </w:tr>
      <w:tr w:rsidR="00A1770B" w:rsidRPr="000939E3" w14:paraId="27D60602" w14:textId="77777777" w:rsidTr="00270484">
        <w:trPr>
          <w:trHeight w:val="80"/>
        </w:trPr>
        <w:tc>
          <w:tcPr>
            <w:tcW w:w="90" w:type="pct"/>
            <w:tcBorders>
              <w:top w:val="dashed" w:sz="4" w:space="0" w:color="BFBFBF" w:themeColor="background1" w:themeShade="BF"/>
              <w:left w:val="nil"/>
              <w:bottom w:val="single" w:sz="4" w:space="0" w:color="auto"/>
              <w:right w:val="nil"/>
            </w:tcBorders>
            <w:shd w:val="clear" w:color="auto" w:fill="auto"/>
            <w:noWrap/>
            <w:vAlign w:val="center"/>
            <w:hideMark/>
          </w:tcPr>
          <w:p w14:paraId="5B1C974C" w14:textId="6C5138EB" w:rsidR="00A1770B" w:rsidRPr="000939E3" w:rsidRDefault="00A1770B" w:rsidP="0079127E">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5</w:t>
            </w:r>
          </w:p>
        </w:tc>
        <w:tc>
          <w:tcPr>
            <w:tcW w:w="2566" w:type="pct"/>
            <w:tcBorders>
              <w:top w:val="dashed" w:sz="4" w:space="0" w:color="BFBFBF" w:themeColor="background1" w:themeShade="BF"/>
              <w:left w:val="nil"/>
              <w:bottom w:val="single" w:sz="4" w:space="0" w:color="auto"/>
              <w:right w:val="nil"/>
            </w:tcBorders>
            <w:shd w:val="clear" w:color="auto" w:fill="auto"/>
            <w:noWrap/>
            <w:vAlign w:val="center"/>
            <w:hideMark/>
          </w:tcPr>
          <w:p w14:paraId="72E535E4" w14:textId="7E3A3BFC" w:rsidR="00A1770B" w:rsidRPr="00E70518" w:rsidRDefault="00A1770B" w:rsidP="00982EBD">
            <w:pPr>
              <w:spacing w:after="0" w:line="240" w:lineRule="auto"/>
              <w:rPr>
                <w:rFonts w:eastAsia="Times New Roman" w:cs="Times New Roman"/>
                <w:color w:val="000000"/>
                <w:sz w:val="20"/>
                <w:szCs w:val="18"/>
                <w:lang w:eastAsia="sk-SK"/>
              </w:rPr>
            </w:pPr>
            <w:r w:rsidRPr="00E70518">
              <w:rPr>
                <w:rFonts w:eastAsia="Times New Roman" w:cs="Times New Roman"/>
                <w:color w:val="000000"/>
                <w:sz w:val="20"/>
                <w:szCs w:val="18"/>
                <w:lang w:eastAsia="sk-SK"/>
              </w:rPr>
              <w:t>Zvýšiť kompenzácie vysokokvalifikovaných pozícií v štátnej správe</w:t>
            </w:r>
          </w:p>
        </w:tc>
        <w:tc>
          <w:tcPr>
            <w:tcW w:w="707" w:type="pct"/>
            <w:tcBorders>
              <w:top w:val="dashed" w:sz="4" w:space="0" w:color="BFBFBF" w:themeColor="background1" w:themeShade="BF"/>
              <w:left w:val="nil"/>
              <w:bottom w:val="single" w:sz="4" w:space="0" w:color="auto"/>
              <w:right w:val="nil"/>
            </w:tcBorders>
            <w:shd w:val="clear" w:color="auto" w:fill="auto"/>
            <w:noWrap/>
            <w:vAlign w:val="center"/>
            <w:hideMark/>
          </w:tcPr>
          <w:p w14:paraId="5E51729F" w14:textId="1FF2DF55" w:rsidR="00A1770B" w:rsidRPr="00E70518" w:rsidRDefault="00A1770B" w:rsidP="0079127E">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ŠR</w:t>
            </w:r>
          </w:p>
        </w:tc>
        <w:tc>
          <w:tcPr>
            <w:tcW w:w="465" w:type="pct"/>
            <w:tcBorders>
              <w:top w:val="dashed" w:sz="4" w:space="0" w:color="BFBFBF" w:themeColor="background1" w:themeShade="BF"/>
              <w:left w:val="nil"/>
              <w:bottom w:val="single" w:sz="4" w:space="0" w:color="auto"/>
              <w:right w:val="nil"/>
            </w:tcBorders>
            <w:shd w:val="clear" w:color="auto" w:fill="auto"/>
            <w:noWrap/>
            <w:vAlign w:val="center"/>
            <w:hideMark/>
          </w:tcPr>
          <w:p w14:paraId="75A73545" w14:textId="159ADFF3" w:rsidR="00A1770B" w:rsidRPr="00E70518" w:rsidRDefault="005453A9" w:rsidP="0087225D">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rPr>
              <w:t>21</w:t>
            </w:r>
          </w:p>
        </w:tc>
        <w:tc>
          <w:tcPr>
            <w:tcW w:w="551" w:type="pct"/>
            <w:tcBorders>
              <w:top w:val="dashed" w:sz="4" w:space="0" w:color="BFBFBF" w:themeColor="background1" w:themeShade="BF"/>
              <w:left w:val="nil"/>
              <w:bottom w:val="single" w:sz="4" w:space="0" w:color="auto"/>
              <w:right w:val="nil"/>
            </w:tcBorders>
            <w:shd w:val="clear" w:color="auto" w:fill="auto"/>
            <w:noWrap/>
            <w:vAlign w:val="center"/>
          </w:tcPr>
          <w:p w14:paraId="2AB38D68" w14:textId="15CCC21B" w:rsidR="00A1770B" w:rsidRPr="00E70518" w:rsidRDefault="00A1770B" w:rsidP="00C40CB9">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40</w:t>
            </w:r>
          </w:p>
        </w:tc>
        <w:tc>
          <w:tcPr>
            <w:tcW w:w="621" w:type="pct"/>
            <w:tcBorders>
              <w:top w:val="dashed" w:sz="4" w:space="0" w:color="BFBFBF" w:themeColor="background1" w:themeShade="BF"/>
              <w:left w:val="nil"/>
              <w:bottom w:val="single" w:sz="4" w:space="0" w:color="auto"/>
              <w:right w:val="nil"/>
            </w:tcBorders>
            <w:shd w:val="clear" w:color="auto" w:fill="auto"/>
            <w:vAlign w:val="center"/>
            <w:hideMark/>
          </w:tcPr>
          <w:p w14:paraId="72E0D1A4" w14:textId="77777777" w:rsidR="00A1770B" w:rsidRPr="00E70518" w:rsidRDefault="00A1770B" w:rsidP="0079127E">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 xml:space="preserve">ÚV SR, </w:t>
            </w:r>
          </w:p>
          <w:p w14:paraId="35D78354" w14:textId="77777777" w:rsidR="00A1770B" w:rsidRPr="00E70518" w:rsidRDefault="00A1770B" w:rsidP="0079127E">
            <w:pPr>
              <w:spacing w:after="0" w:line="240" w:lineRule="auto"/>
              <w:jc w:val="center"/>
              <w:rPr>
                <w:rFonts w:eastAsia="Times New Roman" w:cs="Times New Roman"/>
                <w:color w:val="000000"/>
                <w:sz w:val="20"/>
                <w:szCs w:val="18"/>
                <w:lang w:eastAsia="sk-SK"/>
              </w:rPr>
            </w:pPr>
            <w:r w:rsidRPr="00E70518">
              <w:rPr>
                <w:rFonts w:eastAsia="Times New Roman" w:cs="Times New Roman"/>
                <w:color w:val="000000"/>
                <w:sz w:val="20"/>
                <w:szCs w:val="18"/>
                <w:lang w:eastAsia="sk-SK"/>
              </w:rPr>
              <w:t xml:space="preserve">MF SR, MPSVaR </w:t>
            </w:r>
          </w:p>
        </w:tc>
      </w:tr>
      <w:tr w:rsidR="00A1770B" w:rsidRPr="000939E3" w14:paraId="608A9E42" w14:textId="77777777" w:rsidTr="00270484">
        <w:trPr>
          <w:trHeight w:val="70"/>
        </w:trPr>
        <w:tc>
          <w:tcPr>
            <w:tcW w:w="90" w:type="pct"/>
            <w:tcBorders>
              <w:top w:val="single" w:sz="4" w:space="0" w:color="auto"/>
              <w:left w:val="nil"/>
              <w:bottom w:val="single" w:sz="4" w:space="0" w:color="auto"/>
              <w:right w:val="nil"/>
            </w:tcBorders>
            <w:shd w:val="clear" w:color="auto" w:fill="auto"/>
            <w:noWrap/>
            <w:vAlign w:val="center"/>
            <w:hideMark/>
          </w:tcPr>
          <w:p w14:paraId="58B1420F" w14:textId="77777777" w:rsidR="00A1770B" w:rsidRPr="000939E3" w:rsidRDefault="00A1770B" w:rsidP="0079127E">
            <w:pPr>
              <w:spacing w:after="0" w:line="240" w:lineRule="auto"/>
              <w:jc w:val="center"/>
              <w:rPr>
                <w:rFonts w:eastAsia="Times New Roman" w:cs="Times New Roman"/>
                <w:color w:val="000000"/>
                <w:sz w:val="20"/>
                <w:lang w:eastAsia="sk-SK"/>
              </w:rPr>
            </w:pPr>
          </w:p>
        </w:tc>
        <w:tc>
          <w:tcPr>
            <w:tcW w:w="2566" w:type="pct"/>
            <w:tcBorders>
              <w:top w:val="single" w:sz="4" w:space="0" w:color="auto"/>
              <w:left w:val="nil"/>
              <w:bottom w:val="single" w:sz="4" w:space="0" w:color="auto"/>
              <w:right w:val="nil"/>
            </w:tcBorders>
            <w:shd w:val="clear" w:color="auto" w:fill="auto"/>
            <w:noWrap/>
            <w:vAlign w:val="center"/>
            <w:hideMark/>
          </w:tcPr>
          <w:p w14:paraId="2340104B" w14:textId="77777777" w:rsidR="00A1770B" w:rsidRPr="00E70518" w:rsidRDefault="00A1770B" w:rsidP="0079127E">
            <w:pPr>
              <w:spacing w:after="0" w:line="240" w:lineRule="auto"/>
              <w:rPr>
                <w:rFonts w:eastAsia="Times New Roman" w:cs="Times New Roman"/>
                <w:b/>
                <w:bCs/>
                <w:color w:val="000000"/>
                <w:sz w:val="20"/>
                <w:szCs w:val="18"/>
                <w:lang w:eastAsia="sk-SK"/>
              </w:rPr>
            </w:pPr>
            <w:r w:rsidRPr="00E70518">
              <w:rPr>
                <w:rFonts w:eastAsia="Times New Roman" w:cs="Times New Roman"/>
                <w:b/>
                <w:bCs/>
                <w:color w:val="000000"/>
                <w:sz w:val="20"/>
                <w:szCs w:val="18"/>
                <w:lang w:eastAsia="sk-SK"/>
              </w:rPr>
              <w:t>Spolu</w:t>
            </w:r>
          </w:p>
        </w:tc>
        <w:tc>
          <w:tcPr>
            <w:tcW w:w="707" w:type="pct"/>
            <w:tcBorders>
              <w:top w:val="single" w:sz="4" w:space="0" w:color="auto"/>
              <w:left w:val="nil"/>
              <w:bottom w:val="single" w:sz="4" w:space="0" w:color="auto"/>
              <w:right w:val="nil"/>
            </w:tcBorders>
            <w:shd w:val="clear" w:color="auto" w:fill="auto"/>
            <w:noWrap/>
            <w:vAlign w:val="center"/>
            <w:hideMark/>
          </w:tcPr>
          <w:p w14:paraId="6BBDD4BA" w14:textId="77777777" w:rsidR="00A1770B" w:rsidRPr="00E70518" w:rsidRDefault="00A1770B" w:rsidP="0079127E">
            <w:pPr>
              <w:spacing w:after="0" w:line="240" w:lineRule="auto"/>
              <w:rPr>
                <w:rFonts w:eastAsia="Times New Roman" w:cs="Times New Roman"/>
                <w:b/>
                <w:bCs/>
                <w:color w:val="000000"/>
                <w:sz w:val="20"/>
                <w:szCs w:val="18"/>
                <w:lang w:eastAsia="sk-SK"/>
              </w:rPr>
            </w:pPr>
          </w:p>
        </w:tc>
        <w:tc>
          <w:tcPr>
            <w:tcW w:w="465" w:type="pct"/>
            <w:tcBorders>
              <w:top w:val="single" w:sz="4" w:space="0" w:color="auto"/>
              <w:left w:val="nil"/>
              <w:bottom w:val="single" w:sz="4" w:space="0" w:color="auto"/>
              <w:right w:val="nil"/>
            </w:tcBorders>
            <w:shd w:val="clear" w:color="auto" w:fill="auto"/>
            <w:noWrap/>
            <w:vAlign w:val="center"/>
            <w:hideMark/>
          </w:tcPr>
          <w:p w14:paraId="6C96C859" w14:textId="718E3AD3" w:rsidR="00A1770B" w:rsidRPr="00E70518" w:rsidRDefault="005453A9" w:rsidP="005453A9">
            <w:pPr>
              <w:spacing w:after="0" w:line="240" w:lineRule="auto"/>
              <w:jc w:val="center"/>
              <w:rPr>
                <w:rFonts w:eastAsia="Times New Roman" w:cs="Times New Roman"/>
                <w:b/>
                <w:bCs/>
                <w:color w:val="000000"/>
                <w:sz w:val="20"/>
                <w:szCs w:val="18"/>
                <w:lang w:eastAsia="sk-SK"/>
              </w:rPr>
            </w:pPr>
            <w:r w:rsidRPr="00E70518">
              <w:rPr>
                <w:rFonts w:eastAsia="Times New Roman" w:cs="Times New Roman"/>
                <w:b/>
                <w:bCs/>
                <w:color w:val="000000"/>
                <w:sz w:val="20"/>
                <w:szCs w:val="18"/>
                <w:lang w:eastAsia="sk-SK"/>
              </w:rPr>
              <w:t>171</w:t>
            </w:r>
          </w:p>
        </w:tc>
        <w:tc>
          <w:tcPr>
            <w:tcW w:w="551" w:type="pct"/>
            <w:tcBorders>
              <w:top w:val="single" w:sz="4" w:space="0" w:color="auto"/>
              <w:left w:val="nil"/>
              <w:bottom w:val="single" w:sz="4" w:space="0" w:color="auto"/>
              <w:right w:val="nil"/>
            </w:tcBorders>
            <w:shd w:val="clear" w:color="auto" w:fill="auto"/>
            <w:noWrap/>
            <w:vAlign w:val="center"/>
          </w:tcPr>
          <w:p w14:paraId="6F90E402" w14:textId="50BD2B75" w:rsidR="00A1770B" w:rsidRPr="00E70518" w:rsidRDefault="0087225D" w:rsidP="007858C2">
            <w:pPr>
              <w:spacing w:after="0" w:line="240" w:lineRule="auto"/>
              <w:jc w:val="center"/>
              <w:rPr>
                <w:rFonts w:eastAsia="Times New Roman" w:cs="Times New Roman"/>
                <w:b/>
                <w:bCs/>
                <w:color w:val="000000"/>
                <w:sz w:val="20"/>
                <w:szCs w:val="18"/>
                <w:lang w:eastAsia="sk-SK"/>
              </w:rPr>
            </w:pPr>
            <w:r w:rsidRPr="00E70518">
              <w:rPr>
                <w:rFonts w:eastAsia="Times New Roman" w:cs="Times New Roman"/>
                <w:b/>
                <w:bCs/>
                <w:color w:val="000000"/>
                <w:sz w:val="20"/>
                <w:szCs w:val="18"/>
                <w:lang w:eastAsia="sk-SK"/>
              </w:rPr>
              <w:t>1 243</w:t>
            </w:r>
          </w:p>
        </w:tc>
        <w:tc>
          <w:tcPr>
            <w:tcW w:w="621" w:type="pct"/>
            <w:tcBorders>
              <w:top w:val="single" w:sz="4" w:space="0" w:color="auto"/>
              <w:left w:val="nil"/>
              <w:bottom w:val="single" w:sz="4" w:space="0" w:color="auto"/>
              <w:right w:val="nil"/>
            </w:tcBorders>
            <w:shd w:val="clear" w:color="auto" w:fill="auto"/>
            <w:vAlign w:val="center"/>
            <w:hideMark/>
          </w:tcPr>
          <w:p w14:paraId="1272FE18" w14:textId="77777777" w:rsidR="00A1770B" w:rsidRPr="00E70518" w:rsidRDefault="00A1770B" w:rsidP="0079127E">
            <w:pPr>
              <w:spacing w:after="0" w:line="240" w:lineRule="auto"/>
              <w:jc w:val="right"/>
              <w:rPr>
                <w:rFonts w:eastAsia="Times New Roman" w:cs="Times New Roman"/>
                <w:b/>
                <w:bCs/>
                <w:color w:val="000000"/>
                <w:sz w:val="20"/>
                <w:szCs w:val="18"/>
                <w:lang w:eastAsia="sk-SK"/>
              </w:rPr>
            </w:pPr>
          </w:p>
        </w:tc>
      </w:tr>
      <w:tr w:rsidR="00E70518" w:rsidRPr="000939E3" w14:paraId="642AC812" w14:textId="77777777" w:rsidTr="00E70518">
        <w:trPr>
          <w:trHeight w:val="70"/>
        </w:trPr>
        <w:tc>
          <w:tcPr>
            <w:tcW w:w="5000" w:type="pct"/>
            <w:gridSpan w:val="6"/>
            <w:tcBorders>
              <w:top w:val="single" w:sz="4" w:space="0" w:color="auto"/>
              <w:left w:val="nil"/>
              <w:right w:val="nil"/>
            </w:tcBorders>
            <w:shd w:val="clear" w:color="auto" w:fill="auto"/>
            <w:noWrap/>
            <w:vAlign w:val="center"/>
          </w:tcPr>
          <w:p w14:paraId="41896968" w14:textId="77777777" w:rsidR="00E70518" w:rsidRDefault="00E70518" w:rsidP="00E70518">
            <w:pPr>
              <w:tabs>
                <w:tab w:val="right" w:pos="8934"/>
              </w:tabs>
              <w:spacing w:after="0" w:line="240" w:lineRule="auto"/>
              <w:rPr>
                <w:rFonts w:eastAsia="Times New Roman" w:cs="Times New Roman"/>
                <w:i/>
                <w:color w:val="000000"/>
                <w:sz w:val="18"/>
                <w:lang w:eastAsia="sk-SK"/>
              </w:rPr>
            </w:pPr>
            <w:r w:rsidRPr="000939E3">
              <w:rPr>
                <w:rFonts w:eastAsia="Times New Roman" w:cs="Times New Roman"/>
                <w:i/>
                <w:color w:val="000000"/>
                <w:sz w:val="18"/>
                <w:lang w:eastAsia="sk-SK"/>
              </w:rPr>
              <w:t>ZS – základný scenár je popísaný detailne v </w:t>
            </w:r>
            <w:r>
              <w:rPr>
                <w:rFonts w:eastAsia="Times New Roman" w:cs="Times New Roman"/>
                <w:i/>
                <w:color w:val="000000"/>
                <w:sz w:val="18"/>
                <w:lang w:eastAsia="sk-SK"/>
              </w:rPr>
              <w:fldChar w:fldCharType="begin"/>
            </w:r>
            <w:r>
              <w:rPr>
                <w:rFonts w:eastAsia="Times New Roman" w:cs="Times New Roman"/>
                <w:i/>
                <w:color w:val="000000"/>
                <w:sz w:val="18"/>
                <w:lang w:eastAsia="sk-SK"/>
              </w:rPr>
              <w:instrText xml:space="preserve"> REF _Ref34207092 \h  \* MERGEFORMAT </w:instrText>
            </w:r>
            <w:r>
              <w:rPr>
                <w:rFonts w:eastAsia="Times New Roman" w:cs="Times New Roman"/>
                <w:i/>
                <w:color w:val="000000"/>
                <w:sz w:val="18"/>
                <w:lang w:eastAsia="sk-SK"/>
              </w:rPr>
            </w:r>
            <w:r>
              <w:rPr>
                <w:rFonts w:eastAsia="Times New Roman" w:cs="Times New Roman"/>
                <w:i/>
                <w:color w:val="000000"/>
                <w:sz w:val="18"/>
                <w:lang w:eastAsia="sk-SK"/>
              </w:rPr>
              <w:fldChar w:fldCharType="separate"/>
            </w:r>
            <w:r w:rsidR="00BF69CA" w:rsidRPr="00BF69CA">
              <w:rPr>
                <w:rFonts w:eastAsia="Times New Roman" w:cs="Times New Roman"/>
                <w:i/>
                <w:color w:val="000000"/>
                <w:sz w:val="18"/>
                <w:lang w:eastAsia="sk-SK"/>
              </w:rPr>
              <w:t>Box 1</w:t>
            </w:r>
            <w:r>
              <w:rPr>
                <w:rFonts w:eastAsia="Times New Roman" w:cs="Times New Roman"/>
                <w:i/>
                <w:color w:val="000000"/>
                <w:sz w:val="18"/>
                <w:lang w:eastAsia="sk-SK"/>
              </w:rPr>
              <w:fldChar w:fldCharType="end"/>
            </w:r>
            <w:r>
              <w:rPr>
                <w:rFonts w:eastAsia="Times New Roman" w:cs="Times New Roman"/>
                <w:i/>
                <w:color w:val="000000"/>
                <w:sz w:val="18"/>
                <w:lang w:eastAsia="sk-SK"/>
              </w:rPr>
              <w:t>.</w:t>
            </w:r>
          </w:p>
          <w:p w14:paraId="194E193C" w14:textId="73311F32" w:rsidR="00E70518" w:rsidRPr="000939E3" w:rsidRDefault="00A55961" w:rsidP="00A216AB">
            <w:pPr>
              <w:tabs>
                <w:tab w:val="right" w:pos="8934"/>
              </w:tabs>
              <w:spacing w:after="0" w:line="240" w:lineRule="auto"/>
              <w:rPr>
                <w:rFonts w:eastAsia="Times New Roman" w:cs="Times New Roman"/>
                <w:b/>
                <w:bCs/>
                <w:color w:val="000000"/>
                <w:sz w:val="20"/>
                <w:lang w:eastAsia="sk-SK"/>
              </w:rPr>
            </w:pPr>
            <w:r>
              <w:rPr>
                <w:rFonts w:eastAsia="Times New Roman" w:cs="Times New Roman"/>
                <w:i/>
                <w:color w:val="000000"/>
                <w:sz w:val="18"/>
                <w:lang w:eastAsia="sk-SK"/>
              </w:rPr>
              <w:t>Pozn.</w:t>
            </w:r>
            <w:r w:rsidR="00E70518" w:rsidRPr="000939E3">
              <w:rPr>
                <w:rFonts w:eastAsia="Times New Roman" w:cs="Times New Roman"/>
                <w:i/>
                <w:color w:val="000000"/>
                <w:sz w:val="18"/>
                <w:lang w:eastAsia="sk-SK"/>
              </w:rPr>
              <w:t xml:space="preserve"> </w:t>
            </w:r>
            <w:r w:rsidR="00A216AB">
              <w:rPr>
                <w:rFonts w:eastAsia="Times New Roman" w:cs="Times New Roman"/>
                <w:i/>
                <w:color w:val="000000"/>
                <w:sz w:val="18"/>
                <w:lang w:eastAsia="sk-SK"/>
              </w:rPr>
              <w:t xml:space="preserve">Potenciál - </w:t>
            </w:r>
            <w:r w:rsidR="00E70518" w:rsidRPr="000939E3">
              <w:rPr>
                <w:rFonts w:eastAsia="Times New Roman" w:cs="Times New Roman"/>
                <w:i/>
                <w:color w:val="000000"/>
                <w:sz w:val="18"/>
                <w:lang w:eastAsia="sk-SK"/>
              </w:rPr>
              <w:t>podľa mzdovej obálky roka 2020</w:t>
            </w:r>
            <w:r w:rsidR="00E70518">
              <w:rPr>
                <w:rFonts w:eastAsia="Times New Roman" w:cs="Times New Roman"/>
                <w:i/>
                <w:color w:val="000000"/>
                <w:sz w:val="18"/>
                <w:lang w:eastAsia="sk-SK"/>
              </w:rPr>
              <w:t xml:space="preserve">; </w:t>
            </w:r>
            <w:r w:rsidR="00A216AB">
              <w:rPr>
                <w:rFonts w:eastAsia="Times New Roman" w:cs="Times New Roman"/>
                <w:i/>
                <w:color w:val="000000"/>
                <w:sz w:val="18"/>
                <w:lang w:eastAsia="sk-SK"/>
              </w:rPr>
              <w:t>p</w:t>
            </w:r>
            <w:r w:rsidR="00E70518" w:rsidRPr="000939E3">
              <w:rPr>
                <w:rFonts w:eastAsia="Times New Roman" w:cs="Times New Roman"/>
                <w:i/>
                <w:color w:val="000000"/>
                <w:sz w:val="18"/>
                <w:lang w:eastAsia="sk-SK"/>
              </w:rPr>
              <w:t>rvý rok – podľa predpokladaných výdavkov v roku 2021</w:t>
            </w:r>
          </w:p>
        </w:tc>
      </w:tr>
    </w:tbl>
    <w:p w14:paraId="7154BC48" w14:textId="4820DF46" w:rsidR="007E3625" w:rsidRDefault="008E4B7A" w:rsidP="008E4B7A">
      <w:pPr>
        <w:spacing w:after="160" w:line="259" w:lineRule="auto"/>
        <w:jc w:val="left"/>
      </w:pPr>
      <w:r>
        <w:br w:type="page"/>
      </w:r>
    </w:p>
    <w:tbl>
      <w:tblPr>
        <w:tblW w:w="5001" w:type="pct"/>
        <w:tblLayout w:type="fixed"/>
        <w:tblCellMar>
          <w:left w:w="70" w:type="dxa"/>
          <w:right w:w="70" w:type="dxa"/>
        </w:tblCellMar>
        <w:tblLook w:val="04A0" w:firstRow="1" w:lastRow="0" w:firstColumn="1" w:lastColumn="0" w:noHBand="0" w:noVBand="1"/>
      </w:tblPr>
      <w:tblGrid>
        <w:gridCol w:w="161"/>
        <w:gridCol w:w="4659"/>
        <w:gridCol w:w="1276"/>
        <w:gridCol w:w="851"/>
        <w:gridCol w:w="991"/>
        <w:gridCol w:w="1136"/>
      </w:tblGrid>
      <w:tr w:rsidR="00B15ADC" w:rsidRPr="000939E3" w14:paraId="577F95D0" w14:textId="77777777" w:rsidTr="00270484">
        <w:trPr>
          <w:trHeight w:val="352"/>
        </w:trPr>
        <w:tc>
          <w:tcPr>
            <w:tcW w:w="2656" w:type="pct"/>
            <w:gridSpan w:val="2"/>
            <w:tcBorders>
              <w:left w:val="nil"/>
              <w:bottom w:val="single" w:sz="4" w:space="0" w:color="000000"/>
              <w:right w:val="nil"/>
            </w:tcBorders>
            <w:shd w:val="clear" w:color="auto" w:fill="auto"/>
            <w:vAlign w:val="center"/>
          </w:tcPr>
          <w:p w14:paraId="17644E87" w14:textId="2222660D" w:rsidR="00B15ADC" w:rsidRPr="000939E3" w:rsidRDefault="00B15ADC" w:rsidP="000216FD">
            <w:pPr>
              <w:spacing w:after="0" w:line="240" w:lineRule="auto"/>
              <w:jc w:val="left"/>
              <w:rPr>
                <w:rFonts w:eastAsia="Times New Roman" w:cs="Times New Roman"/>
                <w:b/>
                <w:bCs/>
                <w:color w:val="000000"/>
                <w:sz w:val="20"/>
                <w:lang w:eastAsia="sk-SK"/>
              </w:rPr>
            </w:pPr>
            <w:r w:rsidRPr="000939E3">
              <w:rPr>
                <w:b/>
                <w:color w:val="0070C0"/>
              </w:rPr>
              <w:lastRenderedPageBreak/>
              <w:t>Hodnotové opatrenia - dorovnanie do 2030</w:t>
            </w:r>
          </w:p>
        </w:tc>
        <w:tc>
          <w:tcPr>
            <w:tcW w:w="703" w:type="pct"/>
            <w:tcBorders>
              <w:left w:val="nil"/>
              <w:bottom w:val="single" w:sz="4" w:space="0" w:color="000000"/>
              <w:right w:val="nil"/>
            </w:tcBorders>
            <w:shd w:val="clear" w:color="auto" w:fill="auto"/>
            <w:vAlign w:val="center"/>
          </w:tcPr>
          <w:p w14:paraId="7E2542DE" w14:textId="77777777" w:rsidR="00B15ADC" w:rsidRPr="000939E3" w:rsidRDefault="00B15ADC" w:rsidP="00244E9B">
            <w:pPr>
              <w:spacing w:after="0" w:line="240" w:lineRule="auto"/>
              <w:jc w:val="center"/>
              <w:rPr>
                <w:rFonts w:eastAsia="Times New Roman" w:cs="Times New Roman"/>
                <w:b/>
                <w:bCs/>
                <w:color w:val="000000"/>
                <w:sz w:val="20"/>
                <w:lang w:eastAsia="sk-SK"/>
              </w:rPr>
            </w:pPr>
          </w:p>
        </w:tc>
        <w:tc>
          <w:tcPr>
            <w:tcW w:w="469" w:type="pct"/>
            <w:tcBorders>
              <w:left w:val="nil"/>
              <w:bottom w:val="single" w:sz="4" w:space="0" w:color="auto"/>
              <w:right w:val="nil"/>
            </w:tcBorders>
          </w:tcPr>
          <w:p w14:paraId="25968099" w14:textId="77777777" w:rsidR="00B15ADC" w:rsidRPr="000939E3" w:rsidRDefault="00B15ADC" w:rsidP="00244E9B">
            <w:pPr>
              <w:spacing w:after="0" w:line="240" w:lineRule="auto"/>
              <w:jc w:val="center"/>
              <w:rPr>
                <w:rFonts w:eastAsia="Times New Roman" w:cs="Times New Roman"/>
                <w:b/>
                <w:bCs/>
                <w:color w:val="000000"/>
                <w:sz w:val="20"/>
                <w:lang w:eastAsia="sk-SK"/>
              </w:rPr>
            </w:pPr>
          </w:p>
        </w:tc>
        <w:tc>
          <w:tcPr>
            <w:tcW w:w="546" w:type="pct"/>
            <w:tcBorders>
              <w:left w:val="nil"/>
              <w:bottom w:val="single" w:sz="4" w:space="0" w:color="auto"/>
              <w:right w:val="nil"/>
            </w:tcBorders>
          </w:tcPr>
          <w:p w14:paraId="4AAC6D92" w14:textId="32D4B7A8" w:rsidR="00B15ADC" w:rsidRPr="000939E3" w:rsidRDefault="00B15ADC" w:rsidP="00244E9B">
            <w:pPr>
              <w:spacing w:after="0" w:line="240" w:lineRule="auto"/>
              <w:jc w:val="center"/>
              <w:rPr>
                <w:rFonts w:eastAsia="Times New Roman" w:cs="Times New Roman"/>
                <w:b/>
                <w:bCs/>
                <w:color w:val="000000"/>
                <w:sz w:val="20"/>
                <w:lang w:eastAsia="sk-SK"/>
              </w:rPr>
            </w:pPr>
          </w:p>
        </w:tc>
        <w:tc>
          <w:tcPr>
            <w:tcW w:w="626" w:type="pct"/>
            <w:tcBorders>
              <w:left w:val="nil"/>
              <w:bottom w:val="single" w:sz="4" w:space="0" w:color="000000"/>
              <w:right w:val="nil"/>
            </w:tcBorders>
            <w:shd w:val="clear" w:color="auto" w:fill="auto"/>
            <w:vAlign w:val="center"/>
          </w:tcPr>
          <w:p w14:paraId="22DB70B5" w14:textId="77777777" w:rsidR="00B15ADC" w:rsidRPr="000939E3" w:rsidRDefault="00B15ADC" w:rsidP="00244E9B">
            <w:pPr>
              <w:spacing w:after="0" w:line="240" w:lineRule="auto"/>
              <w:jc w:val="center"/>
              <w:rPr>
                <w:rFonts w:eastAsia="Times New Roman" w:cs="Times New Roman"/>
                <w:b/>
                <w:bCs/>
                <w:color w:val="000000"/>
                <w:sz w:val="20"/>
                <w:lang w:eastAsia="sk-SK"/>
              </w:rPr>
            </w:pPr>
          </w:p>
        </w:tc>
      </w:tr>
      <w:tr w:rsidR="00B15ADC" w:rsidRPr="000939E3" w14:paraId="023544BB" w14:textId="77777777" w:rsidTr="00270484">
        <w:trPr>
          <w:trHeight w:val="227"/>
        </w:trPr>
        <w:tc>
          <w:tcPr>
            <w:tcW w:w="89" w:type="pct"/>
            <w:vMerge w:val="restart"/>
            <w:tcBorders>
              <w:top w:val="single" w:sz="4" w:space="0" w:color="auto"/>
              <w:left w:val="nil"/>
              <w:bottom w:val="single" w:sz="4" w:space="0" w:color="000000"/>
              <w:right w:val="nil"/>
            </w:tcBorders>
            <w:shd w:val="clear" w:color="auto" w:fill="auto"/>
            <w:vAlign w:val="center"/>
            <w:hideMark/>
          </w:tcPr>
          <w:p w14:paraId="4AE97147" w14:textId="77777777" w:rsidR="00B15ADC" w:rsidRPr="000939E3" w:rsidRDefault="00B15ADC" w:rsidP="00B15ADC">
            <w:pPr>
              <w:spacing w:after="0" w:line="240" w:lineRule="auto"/>
              <w:jc w:val="center"/>
              <w:rPr>
                <w:rFonts w:eastAsia="Times New Roman" w:cs="Times New Roman"/>
                <w:b/>
                <w:bCs/>
                <w:color w:val="000000"/>
                <w:sz w:val="20"/>
                <w:lang w:eastAsia="sk-SK"/>
              </w:rPr>
            </w:pPr>
          </w:p>
        </w:tc>
        <w:tc>
          <w:tcPr>
            <w:tcW w:w="2567" w:type="pct"/>
            <w:vMerge w:val="restart"/>
            <w:tcBorders>
              <w:top w:val="single" w:sz="4" w:space="0" w:color="auto"/>
              <w:left w:val="nil"/>
              <w:bottom w:val="single" w:sz="4" w:space="0" w:color="000000"/>
              <w:right w:val="nil"/>
            </w:tcBorders>
            <w:shd w:val="clear" w:color="auto" w:fill="auto"/>
            <w:noWrap/>
            <w:vAlign w:val="center"/>
            <w:hideMark/>
          </w:tcPr>
          <w:p w14:paraId="78AB8C34" w14:textId="77777777" w:rsidR="00B15ADC" w:rsidRPr="000939E3" w:rsidRDefault="00B15ADC" w:rsidP="00B15ADC">
            <w:pPr>
              <w:spacing w:after="0" w:line="240" w:lineRule="auto"/>
              <w:jc w:val="center"/>
              <w:rPr>
                <w:rFonts w:eastAsia="Times New Roman" w:cs="Times New Roman"/>
                <w:b/>
                <w:bCs/>
                <w:color w:val="000000"/>
                <w:sz w:val="20"/>
                <w:lang w:eastAsia="sk-SK"/>
              </w:rPr>
            </w:pPr>
            <w:r w:rsidRPr="000939E3">
              <w:rPr>
                <w:rFonts w:eastAsia="Times New Roman" w:cs="Times New Roman"/>
                <w:b/>
                <w:bCs/>
                <w:color w:val="000000"/>
                <w:sz w:val="20"/>
                <w:lang w:eastAsia="sk-SK"/>
              </w:rPr>
              <w:t>Opatrenie</w:t>
            </w:r>
          </w:p>
        </w:tc>
        <w:tc>
          <w:tcPr>
            <w:tcW w:w="703" w:type="pct"/>
            <w:vMerge w:val="restart"/>
            <w:tcBorders>
              <w:top w:val="single" w:sz="4" w:space="0" w:color="auto"/>
              <w:left w:val="nil"/>
              <w:bottom w:val="single" w:sz="4" w:space="0" w:color="000000"/>
              <w:right w:val="nil"/>
            </w:tcBorders>
            <w:shd w:val="clear" w:color="auto" w:fill="auto"/>
            <w:vAlign w:val="center"/>
            <w:hideMark/>
          </w:tcPr>
          <w:p w14:paraId="682EA345" w14:textId="74D30511" w:rsidR="00B15ADC" w:rsidRPr="000939E3" w:rsidRDefault="00B15ADC" w:rsidP="00B15ADC">
            <w:pPr>
              <w:spacing w:after="0" w:line="240" w:lineRule="auto"/>
              <w:jc w:val="center"/>
              <w:rPr>
                <w:rFonts w:eastAsia="Times New Roman" w:cs="Times New Roman"/>
                <w:b/>
                <w:bCs/>
                <w:color w:val="000000"/>
                <w:sz w:val="20"/>
                <w:lang w:eastAsia="sk-SK"/>
              </w:rPr>
            </w:pPr>
            <w:r w:rsidRPr="000939E3">
              <w:rPr>
                <w:rFonts w:eastAsia="Times New Roman" w:cs="Times New Roman"/>
                <w:b/>
                <w:bCs/>
                <w:color w:val="000000"/>
                <w:sz w:val="20"/>
                <w:lang w:eastAsia="sk-SK"/>
              </w:rPr>
              <w:t>Zdroj financovania</w:t>
            </w:r>
          </w:p>
        </w:tc>
        <w:tc>
          <w:tcPr>
            <w:tcW w:w="1015" w:type="pct"/>
            <w:gridSpan w:val="2"/>
            <w:tcBorders>
              <w:top w:val="single" w:sz="4" w:space="0" w:color="auto"/>
              <w:left w:val="nil"/>
              <w:bottom w:val="single" w:sz="4" w:space="0" w:color="auto"/>
              <w:right w:val="nil"/>
            </w:tcBorders>
            <w:vAlign w:val="bottom"/>
          </w:tcPr>
          <w:p w14:paraId="5D5166C8" w14:textId="04951F46" w:rsidR="00B15ADC" w:rsidRPr="000939E3" w:rsidRDefault="00B15ADC" w:rsidP="00B15ADC">
            <w:pPr>
              <w:spacing w:after="0" w:line="240" w:lineRule="auto"/>
              <w:jc w:val="center"/>
              <w:rPr>
                <w:rFonts w:eastAsia="Times New Roman" w:cs="Times New Roman"/>
                <w:b/>
                <w:bCs/>
                <w:color w:val="000000"/>
                <w:sz w:val="20"/>
                <w:lang w:eastAsia="sk-SK"/>
              </w:rPr>
            </w:pPr>
            <w:r w:rsidRPr="000939E3">
              <w:rPr>
                <w:rFonts w:eastAsia="Times New Roman" w:cs="Times New Roman"/>
                <w:b/>
                <w:bCs/>
                <w:color w:val="000000"/>
                <w:sz w:val="20"/>
                <w:lang w:eastAsia="sk-SK"/>
              </w:rPr>
              <w:t>Dodatočné výdavky oproti ZS (mil. eur)</w:t>
            </w:r>
          </w:p>
        </w:tc>
        <w:tc>
          <w:tcPr>
            <w:tcW w:w="626" w:type="pct"/>
            <w:vMerge w:val="restart"/>
            <w:tcBorders>
              <w:top w:val="single" w:sz="4" w:space="0" w:color="auto"/>
              <w:left w:val="nil"/>
              <w:bottom w:val="single" w:sz="4" w:space="0" w:color="000000"/>
              <w:right w:val="nil"/>
            </w:tcBorders>
            <w:shd w:val="clear" w:color="auto" w:fill="auto"/>
            <w:vAlign w:val="center"/>
            <w:hideMark/>
          </w:tcPr>
          <w:p w14:paraId="3EB35E4B" w14:textId="5E764819" w:rsidR="00B15ADC" w:rsidRPr="000939E3" w:rsidRDefault="00B15ADC" w:rsidP="00B15ADC">
            <w:pPr>
              <w:spacing w:after="0" w:line="240" w:lineRule="auto"/>
              <w:jc w:val="center"/>
              <w:rPr>
                <w:rFonts w:eastAsia="Times New Roman" w:cs="Times New Roman"/>
                <w:b/>
                <w:bCs/>
                <w:color w:val="000000"/>
                <w:sz w:val="20"/>
                <w:lang w:eastAsia="sk-SK"/>
              </w:rPr>
            </w:pPr>
            <w:r w:rsidRPr="000939E3">
              <w:rPr>
                <w:rFonts w:eastAsia="Times New Roman" w:cs="Times New Roman"/>
                <w:b/>
                <w:bCs/>
                <w:color w:val="000000"/>
                <w:sz w:val="20"/>
                <w:lang w:eastAsia="sk-SK"/>
              </w:rPr>
              <w:t>Zodpovedný</w:t>
            </w:r>
          </w:p>
        </w:tc>
      </w:tr>
      <w:tr w:rsidR="00B15ADC" w:rsidRPr="000939E3" w14:paraId="2B5C8AEB" w14:textId="77777777" w:rsidTr="00270484">
        <w:trPr>
          <w:trHeight w:val="227"/>
        </w:trPr>
        <w:tc>
          <w:tcPr>
            <w:tcW w:w="89" w:type="pct"/>
            <w:vMerge/>
            <w:tcBorders>
              <w:top w:val="single" w:sz="4" w:space="0" w:color="auto"/>
              <w:left w:val="nil"/>
              <w:bottom w:val="single" w:sz="4" w:space="0" w:color="000000"/>
              <w:right w:val="nil"/>
            </w:tcBorders>
            <w:vAlign w:val="center"/>
            <w:hideMark/>
          </w:tcPr>
          <w:p w14:paraId="509A7979" w14:textId="77777777" w:rsidR="00B15ADC" w:rsidRPr="000939E3" w:rsidRDefault="00B15ADC" w:rsidP="00B15ADC">
            <w:pPr>
              <w:spacing w:after="0" w:line="240" w:lineRule="auto"/>
              <w:rPr>
                <w:rFonts w:eastAsia="Times New Roman" w:cs="Times New Roman"/>
                <w:b/>
                <w:bCs/>
                <w:color w:val="000000"/>
                <w:sz w:val="20"/>
                <w:lang w:eastAsia="sk-SK"/>
              </w:rPr>
            </w:pPr>
          </w:p>
        </w:tc>
        <w:tc>
          <w:tcPr>
            <w:tcW w:w="2567" w:type="pct"/>
            <w:vMerge/>
            <w:tcBorders>
              <w:top w:val="single" w:sz="4" w:space="0" w:color="auto"/>
              <w:left w:val="nil"/>
              <w:bottom w:val="single" w:sz="4" w:space="0" w:color="000000"/>
              <w:right w:val="nil"/>
            </w:tcBorders>
            <w:vAlign w:val="center"/>
            <w:hideMark/>
          </w:tcPr>
          <w:p w14:paraId="5132F1FF" w14:textId="77777777" w:rsidR="00B15ADC" w:rsidRPr="000939E3" w:rsidRDefault="00B15ADC" w:rsidP="00B15ADC">
            <w:pPr>
              <w:spacing w:after="0" w:line="240" w:lineRule="auto"/>
              <w:rPr>
                <w:rFonts w:eastAsia="Times New Roman" w:cs="Times New Roman"/>
                <w:b/>
                <w:bCs/>
                <w:color w:val="000000"/>
                <w:sz w:val="20"/>
                <w:lang w:eastAsia="sk-SK"/>
              </w:rPr>
            </w:pPr>
          </w:p>
        </w:tc>
        <w:tc>
          <w:tcPr>
            <w:tcW w:w="703" w:type="pct"/>
            <w:vMerge/>
            <w:tcBorders>
              <w:top w:val="single" w:sz="4" w:space="0" w:color="auto"/>
              <w:left w:val="nil"/>
              <w:bottom w:val="single" w:sz="4" w:space="0" w:color="000000"/>
              <w:right w:val="nil"/>
            </w:tcBorders>
            <w:vAlign w:val="center"/>
            <w:hideMark/>
          </w:tcPr>
          <w:p w14:paraId="2A7AA8B7" w14:textId="77777777" w:rsidR="00B15ADC" w:rsidRPr="000939E3" w:rsidRDefault="00B15ADC" w:rsidP="00B15ADC">
            <w:pPr>
              <w:spacing w:after="0" w:line="240" w:lineRule="auto"/>
              <w:rPr>
                <w:rFonts w:eastAsia="Times New Roman" w:cs="Times New Roman"/>
                <w:b/>
                <w:bCs/>
                <w:color w:val="000000"/>
                <w:sz w:val="20"/>
                <w:lang w:eastAsia="sk-SK"/>
              </w:rPr>
            </w:pPr>
          </w:p>
        </w:tc>
        <w:tc>
          <w:tcPr>
            <w:tcW w:w="469" w:type="pct"/>
            <w:tcBorders>
              <w:top w:val="nil"/>
              <w:left w:val="nil"/>
              <w:bottom w:val="single" w:sz="4" w:space="0" w:color="auto"/>
              <w:right w:val="nil"/>
            </w:tcBorders>
            <w:vAlign w:val="bottom"/>
          </w:tcPr>
          <w:p w14:paraId="0126C17D" w14:textId="7780A2FF" w:rsidR="00B15ADC" w:rsidRPr="000939E3" w:rsidRDefault="00B15ADC" w:rsidP="00B15ADC">
            <w:pPr>
              <w:spacing w:after="0" w:line="240" w:lineRule="auto"/>
              <w:jc w:val="center"/>
              <w:rPr>
                <w:rFonts w:eastAsia="Times New Roman" w:cs="Times New Roman"/>
                <w:b/>
                <w:bCs/>
                <w:color w:val="000000"/>
                <w:sz w:val="20"/>
                <w:lang w:eastAsia="sk-SK"/>
              </w:rPr>
            </w:pPr>
            <w:r w:rsidRPr="000939E3">
              <w:rPr>
                <w:rFonts w:eastAsia="Times New Roman" w:cs="Times New Roman"/>
                <w:b/>
                <w:bCs/>
                <w:color w:val="000000"/>
                <w:sz w:val="20"/>
                <w:lang w:eastAsia="sk-SK"/>
              </w:rPr>
              <w:t>Prvý rok</w:t>
            </w:r>
          </w:p>
        </w:tc>
        <w:tc>
          <w:tcPr>
            <w:tcW w:w="546" w:type="pct"/>
            <w:tcBorders>
              <w:top w:val="nil"/>
              <w:left w:val="nil"/>
              <w:bottom w:val="single" w:sz="4" w:space="0" w:color="auto"/>
              <w:right w:val="nil"/>
            </w:tcBorders>
            <w:vAlign w:val="bottom"/>
          </w:tcPr>
          <w:p w14:paraId="4F5B73EA" w14:textId="7AAAF6EC" w:rsidR="00B15ADC" w:rsidRPr="000939E3" w:rsidRDefault="007E3625" w:rsidP="00B15ADC">
            <w:pPr>
              <w:spacing w:after="0" w:line="240" w:lineRule="auto"/>
              <w:jc w:val="center"/>
              <w:rPr>
                <w:rFonts w:eastAsia="Times New Roman" w:cs="Times New Roman"/>
                <w:b/>
                <w:bCs/>
                <w:color w:val="000000"/>
                <w:sz w:val="20"/>
                <w:lang w:eastAsia="sk-SK"/>
              </w:rPr>
            </w:pPr>
            <w:r>
              <w:rPr>
                <w:rFonts w:eastAsia="Times New Roman" w:cs="Times New Roman"/>
                <w:b/>
                <w:bCs/>
                <w:color w:val="000000"/>
                <w:sz w:val="20"/>
                <w:lang w:eastAsia="sk-SK"/>
              </w:rPr>
              <w:t>Potenciál</w:t>
            </w:r>
          </w:p>
        </w:tc>
        <w:tc>
          <w:tcPr>
            <w:tcW w:w="626" w:type="pct"/>
            <w:vMerge/>
            <w:tcBorders>
              <w:top w:val="single" w:sz="4" w:space="0" w:color="auto"/>
              <w:left w:val="nil"/>
              <w:bottom w:val="single" w:sz="4" w:space="0" w:color="000000"/>
              <w:right w:val="nil"/>
            </w:tcBorders>
            <w:vAlign w:val="center"/>
            <w:hideMark/>
          </w:tcPr>
          <w:p w14:paraId="624926A6" w14:textId="77777777" w:rsidR="00B15ADC" w:rsidRPr="000939E3" w:rsidRDefault="00B15ADC" w:rsidP="00B15ADC">
            <w:pPr>
              <w:spacing w:after="0" w:line="240" w:lineRule="auto"/>
              <w:rPr>
                <w:rFonts w:eastAsia="Times New Roman" w:cs="Times New Roman"/>
                <w:b/>
                <w:bCs/>
                <w:color w:val="000000"/>
                <w:sz w:val="20"/>
                <w:lang w:eastAsia="sk-SK"/>
              </w:rPr>
            </w:pPr>
          </w:p>
        </w:tc>
      </w:tr>
      <w:tr w:rsidR="0087225D" w:rsidRPr="000939E3" w14:paraId="2206A996" w14:textId="77777777" w:rsidTr="00270484">
        <w:trPr>
          <w:trHeight w:val="20"/>
        </w:trPr>
        <w:tc>
          <w:tcPr>
            <w:tcW w:w="89" w:type="pct"/>
            <w:tcBorders>
              <w:top w:val="nil"/>
              <w:left w:val="nil"/>
              <w:bottom w:val="dashed" w:sz="4" w:space="0" w:color="BFBFBF" w:themeColor="background1" w:themeShade="BF"/>
              <w:right w:val="nil"/>
            </w:tcBorders>
            <w:shd w:val="clear" w:color="auto" w:fill="auto"/>
            <w:noWrap/>
            <w:vAlign w:val="center"/>
            <w:hideMark/>
          </w:tcPr>
          <w:p w14:paraId="184A2055" w14:textId="77777777"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1</w:t>
            </w:r>
          </w:p>
        </w:tc>
        <w:tc>
          <w:tcPr>
            <w:tcW w:w="2567" w:type="pct"/>
            <w:tcBorders>
              <w:top w:val="nil"/>
              <w:left w:val="nil"/>
              <w:bottom w:val="dashed" w:sz="4" w:space="0" w:color="BFBFBF" w:themeColor="background1" w:themeShade="BF"/>
              <w:right w:val="nil"/>
            </w:tcBorders>
            <w:shd w:val="clear" w:color="auto" w:fill="auto"/>
            <w:noWrap/>
            <w:vAlign w:val="center"/>
            <w:hideMark/>
          </w:tcPr>
          <w:p w14:paraId="6EC710E0" w14:textId="5EB47635" w:rsidR="0087225D" w:rsidRPr="000939E3" w:rsidRDefault="0087225D" w:rsidP="0087225D">
            <w:pPr>
              <w:spacing w:after="0" w:line="240" w:lineRule="auto"/>
              <w:rPr>
                <w:rFonts w:eastAsia="Times New Roman" w:cs="Times New Roman"/>
                <w:color w:val="000000"/>
                <w:sz w:val="20"/>
                <w:lang w:eastAsia="sk-SK"/>
              </w:rPr>
            </w:pPr>
            <w:r w:rsidRPr="000939E3">
              <w:rPr>
                <w:rFonts w:eastAsia="Times New Roman" w:cs="Times New Roman"/>
                <w:color w:val="000000"/>
                <w:sz w:val="20"/>
                <w:lang w:eastAsia="sk-SK"/>
              </w:rPr>
              <w:t>Zvýšiť kompenzácie učiteľov v regionálnom školstve na priemer EÚ do roku 2030 súčasne s realizáciou reforiem</w:t>
            </w:r>
          </w:p>
        </w:tc>
        <w:tc>
          <w:tcPr>
            <w:tcW w:w="703" w:type="pct"/>
            <w:tcBorders>
              <w:top w:val="nil"/>
              <w:left w:val="nil"/>
              <w:bottom w:val="dashed" w:sz="4" w:space="0" w:color="BFBFBF" w:themeColor="background1" w:themeShade="BF"/>
              <w:right w:val="nil"/>
            </w:tcBorders>
            <w:shd w:val="clear" w:color="auto" w:fill="auto"/>
            <w:noWrap/>
            <w:vAlign w:val="center"/>
            <w:hideMark/>
          </w:tcPr>
          <w:p w14:paraId="65DF63D3" w14:textId="57D0946E"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ŠR</w:t>
            </w:r>
            <w:r w:rsidRPr="000939E3" w:rsidDel="00DF6B5B">
              <w:rPr>
                <w:rFonts w:eastAsia="Times New Roman" w:cs="Times New Roman"/>
                <w:color w:val="000000"/>
                <w:sz w:val="20"/>
                <w:lang w:eastAsia="sk-SK"/>
              </w:rPr>
              <w:t xml:space="preserve"> </w:t>
            </w:r>
            <w:r w:rsidRPr="000939E3">
              <w:rPr>
                <w:rFonts w:eastAsia="Times New Roman" w:cs="Times New Roman"/>
                <w:color w:val="000000"/>
                <w:sz w:val="20"/>
                <w:lang w:eastAsia="sk-SK"/>
              </w:rPr>
              <w:t>+ samosprávy</w:t>
            </w:r>
          </w:p>
        </w:tc>
        <w:tc>
          <w:tcPr>
            <w:tcW w:w="469" w:type="pct"/>
            <w:tcBorders>
              <w:top w:val="nil"/>
              <w:left w:val="nil"/>
              <w:bottom w:val="dashed" w:sz="4" w:space="0" w:color="BFBFBF" w:themeColor="background1" w:themeShade="BF"/>
              <w:right w:val="nil"/>
            </w:tcBorders>
            <w:vAlign w:val="center"/>
          </w:tcPr>
          <w:p w14:paraId="218AE424" w14:textId="1F16A31C" w:rsidR="0087225D" w:rsidRPr="000939E3" w:rsidRDefault="0087225D" w:rsidP="0087225D">
            <w:pPr>
              <w:spacing w:after="0" w:line="240" w:lineRule="auto"/>
              <w:jc w:val="center"/>
              <w:rPr>
                <w:rFonts w:eastAsia="Times New Roman" w:cs="Times New Roman"/>
                <w:color w:val="000000"/>
                <w:sz w:val="20"/>
                <w:szCs w:val="20"/>
              </w:rPr>
            </w:pPr>
            <w:r w:rsidRPr="000939E3">
              <w:rPr>
                <w:rFonts w:eastAsia="Times New Roman" w:cs="Times New Roman"/>
                <w:color w:val="000000"/>
                <w:sz w:val="20"/>
                <w:lang w:eastAsia="sk-SK"/>
              </w:rPr>
              <w:t>72</w:t>
            </w:r>
          </w:p>
        </w:tc>
        <w:tc>
          <w:tcPr>
            <w:tcW w:w="546" w:type="pct"/>
            <w:tcBorders>
              <w:top w:val="nil"/>
              <w:left w:val="nil"/>
              <w:bottom w:val="dashed" w:sz="4" w:space="0" w:color="BFBFBF" w:themeColor="background1" w:themeShade="BF"/>
              <w:right w:val="nil"/>
            </w:tcBorders>
            <w:vAlign w:val="center"/>
          </w:tcPr>
          <w:p w14:paraId="3AF9A17E" w14:textId="2B99FC7C" w:rsidR="0087225D" w:rsidRPr="000939E3" w:rsidRDefault="0087225D" w:rsidP="0087225D">
            <w:pPr>
              <w:spacing w:after="0" w:line="240" w:lineRule="auto"/>
              <w:jc w:val="center"/>
              <w:rPr>
                <w:rFonts w:eastAsia="Times New Roman" w:cs="Times New Roman"/>
                <w:color w:val="000000"/>
                <w:sz w:val="20"/>
                <w:szCs w:val="20"/>
              </w:rPr>
            </w:pPr>
            <w:r w:rsidRPr="000939E3">
              <w:rPr>
                <w:rFonts w:eastAsia="Times New Roman" w:cs="Times New Roman"/>
                <w:color w:val="000000"/>
                <w:sz w:val="20"/>
                <w:lang w:eastAsia="sk-SK"/>
              </w:rPr>
              <w:t>883</w:t>
            </w:r>
          </w:p>
        </w:tc>
        <w:tc>
          <w:tcPr>
            <w:tcW w:w="626" w:type="pct"/>
            <w:tcBorders>
              <w:top w:val="nil"/>
              <w:left w:val="nil"/>
              <w:bottom w:val="dashed" w:sz="4" w:space="0" w:color="BFBFBF" w:themeColor="background1" w:themeShade="BF"/>
              <w:right w:val="nil"/>
            </w:tcBorders>
            <w:shd w:val="clear" w:color="auto" w:fill="auto"/>
            <w:vAlign w:val="center"/>
            <w:hideMark/>
          </w:tcPr>
          <w:p w14:paraId="095F1A63" w14:textId="77777777"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 xml:space="preserve">MŠVVaŠ, </w:t>
            </w:r>
          </w:p>
          <w:p w14:paraId="529B11CC" w14:textId="2084088E"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 xml:space="preserve">MF SR </w:t>
            </w:r>
          </w:p>
        </w:tc>
      </w:tr>
      <w:tr w:rsidR="0087225D" w:rsidRPr="000939E3" w14:paraId="3ACA0BC3" w14:textId="77777777" w:rsidTr="00270484">
        <w:trPr>
          <w:trHeight w:val="20"/>
        </w:trPr>
        <w:tc>
          <w:tcPr>
            <w:tcW w:w="89" w:type="pct"/>
            <w:tcBorders>
              <w:top w:val="nil"/>
              <w:left w:val="nil"/>
              <w:bottom w:val="dashed" w:sz="4" w:space="0" w:color="BFBFBF" w:themeColor="background1" w:themeShade="BF"/>
              <w:right w:val="nil"/>
            </w:tcBorders>
            <w:shd w:val="clear" w:color="auto" w:fill="auto"/>
            <w:noWrap/>
            <w:vAlign w:val="center"/>
          </w:tcPr>
          <w:p w14:paraId="74A4973C" w14:textId="77777777"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2</w:t>
            </w:r>
          </w:p>
        </w:tc>
        <w:tc>
          <w:tcPr>
            <w:tcW w:w="2567" w:type="pct"/>
            <w:tcBorders>
              <w:top w:val="nil"/>
              <w:left w:val="nil"/>
              <w:bottom w:val="dashed" w:sz="4" w:space="0" w:color="BFBFBF" w:themeColor="background1" w:themeShade="BF"/>
              <w:right w:val="nil"/>
            </w:tcBorders>
            <w:shd w:val="clear" w:color="auto" w:fill="auto"/>
            <w:noWrap/>
            <w:vAlign w:val="center"/>
          </w:tcPr>
          <w:p w14:paraId="694ADE64" w14:textId="13B9153D" w:rsidR="0087225D" w:rsidRPr="000939E3" w:rsidRDefault="0087225D" w:rsidP="0087225D">
            <w:pPr>
              <w:spacing w:after="0" w:line="240" w:lineRule="auto"/>
              <w:jc w:val="left"/>
              <w:rPr>
                <w:rFonts w:eastAsia="Times New Roman" w:cs="Times New Roman"/>
                <w:color w:val="000000"/>
                <w:sz w:val="20"/>
                <w:lang w:eastAsia="sk-SK"/>
              </w:rPr>
            </w:pPr>
            <w:r w:rsidRPr="000939E3">
              <w:rPr>
                <w:rFonts w:eastAsia="Times New Roman" w:cs="Times New Roman"/>
                <w:color w:val="000000"/>
                <w:sz w:val="20"/>
                <w:lang w:eastAsia="sk-SK"/>
              </w:rPr>
              <w:t>Zvýšiť počet zdravotných sestier v ústavnej starostlivosti na úroveň EÚ do roku 2030 a zvýšiť ich kompetencie</w:t>
            </w:r>
          </w:p>
        </w:tc>
        <w:tc>
          <w:tcPr>
            <w:tcW w:w="703" w:type="pct"/>
            <w:tcBorders>
              <w:top w:val="nil"/>
              <w:left w:val="nil"/>
              <w:bottom w:val="dashed" w:sz="4" w:space="0" w:color="BFBFBF" w:themeColor="background1" w:themeShade="BF"/>
              <w:right w:val="nil"/>
            </w:tcBorders>
            <w:shd w:val="clear" w:color="auto" w:fill="auto"/>
            <w:noWrap/>
            <w:vAlign w:val="center"/>
          </w:tcPr>
          <w:p w14:paraId="78429D6F" w14:textId="2ED55E5D"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zdravotné poistenie</w:t>
            </w:r>
          </w:p>
        </w:tc>
        <w:tc>
          <w:tcPr>
            <w:tcW w:w="469" w:type="pct"/>
            <w:tcBorders>
              <w:top w:val="nil"/>
              <w:left w:val="nil"/>
              <w:bottom w:val="dashed" w:sz="4" w:space="0" w:color="BFBFBF" w:themeColor="background1" w:themeShade="BF"/>
              <w:right w:val="nil"/>
            </w:tcBorders>
            <w:vAlign w:val="center"/>
          </w:tcPr>
          <w:p w14:paraId="20F2C3BA" w14:textId="44507EEB" w:rsidR="0087225D" w:rsidRPr="000939E3" w:rsidRDefault="0087225D" w:rsidP="0087225D">
            <w:pPr>
              <w:spacing w:after="0" w:line="240" w:lineRule="auto"/>
              <w:jc w:val="center"/>
              <w:rPr>
                <w:rFonts w:eastAsia="Times New Roman" w:cs="Times New Roman"/>
                <w:color w:val="000000"/>
                <w:sz w:val="20"/>
                <w:szCs w:val="20"/>
              </w:rPr>
            </w:pPr>
            <w:r w:rsidRPr="000939E3">
              <w:rPr>
                <w:rFonts w:eastAsia="Times New Roman" w:cs="Times New Roman"/>
                <w:color w:val="000000"/>
                <w:sz w:val="20"/>
                <w:lang w:eastAsia="sk-SK"/>
              </w:rPr>
              <w:t>6</w:t>
            </w:r>
          </w:p>
        </w:tc>
        <w:tc>
          <w:tcPr>
            <w:tcW w:w="546" w:type="pct"/>
            <w:tcBorders>
              <w:top w:val="nil"/>
              <w:left w:val="nil"/>
              <w:bottom w:val="dashed" w:sz="4" w:space="0" w:color="BFBFBF" w:themeColor="background1" w:themeShade="BF"/>
              <w:right w:val="nil"/>
            </w:tcBorders>
            <w:vAlign w:val="center"/>
          </w:tcPr>
          <w:p w14:paraId="62C5B92B" w14:textId="0C3486EB" w:rsidR="0087225D" w:rsidRPr="000939E3" w:rsidRDefault="0087225D" w:rsidP="0087225D">
            <w:pPr>
              <w:spacing w:after="0" w:line="240" w:lineRule="auto"/>
              <w:jc w:val="center"/>
              <w:rPr>
                <w:rFonts w:eastAsia="Times New Roman" w:cs="Times New Roman"/>
                <w:color w:val="000000"/>
                <w:sz w:val="20"/>
                <w:szCs w:val="20"/>
              </w:rPr>
            </w:pPr>
            <w:r w:rsidRPr="000939E3">
              <w:rPr>
                <w:rFonts w:eastAsia="Times New Roman" w:cs="Times New Roman"/>
                <w:color w:val="000000"/>
                <w:sz w:val="20"/>
                <w:lang w:eastAsia="sk-SK"/>
              </w:rPr>
              <w:t>54</w:t>
            </w:r>
          </w:p>
        </w:tc>
        <w:tc>
          <w:tcPr>
            <w:tcW w:w="626" w:type="pct"/>
            <w:tcBorders>
              <w:top w:val="nil"/>
              <w:left w:val="nil"/>
              <w:bottom w:val="dashed" w:sz="4" w:space="0" w:color="BFBFBF" w:themeColor="background1" w:themeShade="BF"/>
              <w:right w:val="nil"/>
            </w:tcBorders>
            <w:shd w:val="clear" w:color="auto" w:fill="auto"/>
            <w:vAlign w:val="center"/>
          </w:tcPr>
          <w:p w14:paraId="0CF3566C" w14:textId="77777777"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 xml:space="preserve">MZ SR, </w:t>
            </w:r>
          </w:p>
          <w:p w14:paraId="6E4727AD" w14:textId="77777777"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 xml:space="preserve">MF SR </w:t>
            </w:r>
          </w:p>
        </w:tc>
      </w:tr>
      <w:tr w:rsidR="0087225D" w:rsidRPr="000939E3" w14:paraId="09934263" w14:textId="77777777" w:rsidTr="00270484">
        <w:trPr>
          <w:trHeight w:val="20"/>
        </w:trPr>
        <w:tc>
          <w:tcPr>
            <w:tcW w:w="89" w:type="pct"/>
            <w:tcBorders>
              <w:top w:val="nil"/>
              <w:left w:val="nil"/>
              <w:bottom w:val="dashed" w:sz="4" w:space="0" w:color="BFBFBF" w:themeColor="background1" w:themeShade="BF"/>
              <w:right w:val="nil"/>
            </w:tcBorders>
            <w:shd w:val="clear" w:color="auto" w:fill="auto"/>
            <w:noWrap/>
            <w:vAlign w:val="center"/>
          </w:tcPr>
          <w:p w14:paraId="743211AD" w14:textId="77777777"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3</w:t>
            </w:r>
          </w:p>
        </w:tc>
        <w:tc>
          <w:tcPr>
            <w:tcW w:w="2567" w:type="pct"/>
            <w:tcBorders>
              <w:top w:val="nil"/>
              <w:left w:val="nil"/>
              <w:bottom w:val="dashed" w:sz="4" w:space="0" w:color="BFBFBF" w:themeColor="background1" w:themeShade="BF"/>
              <w:right w:val="nil"/>
            </w:tcBorders>
            <w:shd w:val="clear" w:color="auto" w:fill="auto"/>
            <w:noWrap/>
            <w:vAlign w:val="center"/>
          </w:tcPr>
          <w:p w14:paraId="3FDD11E2" w14:textId="7FFE9A3F" w:rsidR="0087225D" w:rsidRPr="000939E3" w:rsidRDefault="0087225D" w:rsidP="0087225D">
            <w:pPr>
              <w:spacing w:after="0" w:line="240" w:lineRule="auto"/>
              <w:rPr>
                <w:rFonts w:eastAsia="Times New Roman" w:cs="Times New Roman"/>
                <w:color w:val="000000"/>
                <w:sz w:val="20"/>
                <w:lang w:eastAsia="sk-SK"/>
              </w:rPr>
            </w:pPr>
            <w:r w:rsidRPr="000939E3">
              <w:rPr>
                <w:rFonts w:eastAsia="Times New Roman" w:cs="Times New Roman"/>
                <w:color w:val="000000"/>
                <w:sz w:val="20"/>
                <w:lang w:eastAsia="sk-SK"/>
              </w:rPr>
              <w:t>Zvýšiť kompenzácie a počty pracovníkov v sociálnych službách na úroveň ČR do roku 2030 súčasne s realizáciou reforiem</w:t>
            </w:r>
          </w:p>
        </w:tc>
        <w:tc>
          <w:tcPr>
            <w:tcW w:w="703" w:type="pct"/>
            <w:tcBorders>
              <w:top w:val="nil"/>
              <w:left w:val="nil"/>
              <w:bottom w:val="dashed" w:sz="4" w:space="0" w:color="BFBFBF" w:themeColor="background1" w:themeShade="BF"/>
              <w:right w:val="nil"/>
            </w:tcBorders>
            <w:shd w:val="clear" w:color="auto" w:fill="auto"/>
            <w:noWrap/>
            <w:vAlign w:val="center"/>
          </w:tcPr>
          <w:p w14:paraId="1F03E4A5" w14:textId="607F404A"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ŠR + samosprávy</w:t>
            </w:r>
          </w:p>
        </w:tc>
        <w:tc>
          <w:tcPr>
            <w:tcW w:w="469" w:type="pct"/>
            <w:tcBorders>
              <w:top w:val="nil"/>
              <w:left w:val="nil"/>
              <w:bottom w:val="dashed" w:sz="4" w:space="0" w:color="BFBFBF" w:themeColor="background1" w:themeShade="BF"/>
              <w:right w:val="nil"/>
            </w:tcBorders>
            <w:vAlign w:val="center"/>
          </w:tcPr>
          <w:p w14:paraId="190CC809" w14:textId="29C337B4" w:rsidR="0087225D" w:rsidRPr="000939E3" w:rsidRDefault="0087225D" w:rsidP="0087225D">
            <w:pPr>
              <w:spacing w:after="0" w:line="240" w:lineRule="auto"/>
              <w:jc w:val="center"/>
              <w:rPr>
                <w:rFonts w:eastAsia="Times New Roman" w:cs="Times New Roman"/>
                <w:color w:val="000000"/>
                <w:sz w:val="20"/>
                <w:szCs w:val="20"/>
              </w:rPr>
            </w:pPr>
            <w:r w:rsidRPr="000939E3">
              <w:rPr>
                <w:rFonts w:eastAsia="Times New Roman" w:cs="Times New Roman"/>
                <w:color w:val="000000"/>
                <w:sz w:val="20"/>
                <w:lang w:eastAsia="sk-SK"/>
              </w:rPr>
              <w:t>19</w:t>
            </w:r>
          </w:p>
        </w:tc>
        <w:tc>
          <w:tcPr>
            <w:tcW w:w="546" w:type="pct"/>
            <w:tcBorders>
              <w:top w:val="nil"/>
              <w:left w:val="nil"/>
              <w:bottom w:val="dashed" w:sz="4" w:space="0" w:color="BFBFBF" w:themeColor="background1" w:themeShade="BF"/>
              <w:right w:val="nil"/>
            </w:tcBorders>
            <w:vAlign w:val="center"/>
          </w:tcPr>
          <w:p w14:paraId="5D8BAFBA" w14:textId="71ACE9C6" w:rsidR="0087225D" w:rsidRPr="000939E3" w:rsidRDefault="0087225D" w:rsidP="0087225D">
            <w:pPr>
              <w:spacing w:after="0" w:line="240" w:lineRule="auto"/>
              <w:jc w:val="center"/>
              <w:rPr>
                <w:rFonts w:eastAsia="Times New Roman" w:cs="Times New Roman"/>
                <w:color w:val="000000"/>
                <w:sz w:val="20"/>
                <w:szCs w:val="20"/>
              </w:rPr>
            </w:pPr>
            <w:r w:rsidRPr="000939E3">
              <w:rPr>
                <w:rFonts w:eastAsia="Times New Roman" w:cs="Times New Roman"/>
                <w:color w:val="000000"/>
                <w:sz w:val="20"/>
                <w:lang w:eastAsia="sk-SK"/>
              </w:rPr>
              <w:t>250</w:t>
            </w:r>
          </w:p>
        </w:tc>
        <w:tc>
          <w:tcPr>
            <w:tcW w:w="626" w:type="pct"/>
            <w:tcBorders>
              <w:top w:val="nil"/>
              <w:left w:val="nil"/>
              <w:bottom w:val="dashed" w:sz="4" w:space="0" w:color="BFBFBF" w:themeColor="background1" w:themeShade="BF"/>
              <w:right w:val="nil"/>
            </w:tcBorders>
            <w:shd w:val="clear" w:color="auto" w:fill="auto"/>
            <w:vAlign w:val="center"/>
          </w:tcPr>
          <w:p w14:paraId="17BEB0D9" w14:textId="4657A65D"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 xml:space="preserve">MPSVaR, MF SR </w:t>
            </w:r>
          </w:p>
        </w:tc>
      </w:tr>
      <w:tr w:rsidR="0087225D" w:rsidRPr="000939E3" w14:paraId="18BF6AA9" w14:textId="77777777" w:rsidTr="00270484">
        <w:trPr>
          <w:trHeight w:val="20"/>
        </w:trPr>
        <w:tc>
          <w:tcPr>
            <w:tcW w:w="89"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hideMark/>
          </w:tcPr>
          <w:p w14:paraId="7166835D" w14:textId="77777777"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4</w:t>
            </w:r>
          </w:p>
        </w:tc>
        <w:tc>
          <w:tcPr>
            <w:tcW w:w="2567"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hideMark/>
          </w:tcPr>
          <w:p w14:paraId="04CA77DB" w14:textId="2A971818" w:rsidR="0087225D" w:rsidRPr="000939E3" w:rsidRDefault="0087225D" w:rsidP="0087225D">
            <w:pPr>
              <w:spacing w:after="0" w:line="240" w:lineRule="auto"/>
              <w:jc w:val="left"/>
              <w:rPr>
                <w:rFonts w:eastAsia="Times New Roman" w:cs="Times New Roman"/>
                <w:color w:val="000000"/>
                <w:sz w:val="20"/>
                <w:lang w:eastAsia="sk-SK"/>
              </w:rPr>
            </w:pPr>
            <w:r w:rsidRPr="000939E3">
              <w:rPr>
                <w:rFonts w:eastAsia="Times New Roman" w:cs="Times New Roman"/>
                <w:color w:val="000000"/>
                <w:sz w:val="20"/>
                <w:lang w:eastAsia="sk-SK"/>
              </w:rPr>
              <w:t>Znížiť počty VŠ učiteľov na žiaka na úroveň ČR a súčasne zvýšiť platy VŠ učiteľov na priemer EÚ do roku 2030 súčasne s realizáciou reforiem</w:t>
            </w:r>
          </w:p>
        </w:tc>
        <w:tc>
          <w:tcPr>
            <w:tcW w:w="703"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hideMark/>
          </w:tcPr>
          <w:p w14:paraId="6664C3C7" w14:textId="640875DC"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ŠR</w:t>
            </w:r>
          </w:p>
        </w:tc>
        <w:tc>
          <w:tcPr>
            <w:tcW w:w="469" w:type="pct"/>
            <w:tcBorders>
              <w:top w:val="dashed" w:sz="4" w:space="0" w:color="BFBFBF" w:themeColor="background1" w:themeShade="BF"/>
              <w:left w:val="nil"/>
              <w:bottom w:val="dashed" w:sz="4" w:space="0" w:color="BFBFBF" w:themeColor="background1" w:themeShade="BF"/>
              <w:right w:val="nil"/>
            </w:tcBorders>
            <w:vAlign w:val="center"/>
          </w:tcPr>
          <w:p w14:paraId="5A7755A2" w14:textId="06DE9D9C" w:rsidR="0087225D" w:rsidRPr="000939E3" w:rsidRDefault="0087225D" w:rsidP="0087225D">
            <w:pPr>
              <w:spacing w:after="0" w:line="240" w:lineRule="auto"/>
              <w:jc w:val="center"/>
              <w:rPr>
                <w:rFonts w:eastAsia="Times New Roman" w:cs="Times New Roman"/>
                <w:color w:val="000000"/>
                <w:sz w:val="20"/>
                <w:szCs w:val="20"/>
              </w:rPr>
            </w:pPr>
            <w:r w:rsidRPr="000939E3">
              <w:rPr>
                <w:rFonts w:eastAsia="Times New Roman" w:cs="Times New Roman"/>
                <w:color w:val="000000"/>
                <w:sz w:val="20"/>
                <w:lang w:eastAsia="sk-SK"/>
              </w:rPr>
              <w:t>1</w:t>
            </w:r>
          </w:p>
        </w:tc>
        <w:tc>
          <w:tcPr>
            <w:tcW w:w="546" w:type="pct"/>
            <w:tcBorders>
              <w:top w:val="dashed" w:sz="4" w:space="0" w:color="BFBFBF" w:themeColor="background1" w:themeShade="BF"/>
              <w:left w:val="nil"/>
              <w:bottom w:val="dashed" w:sz="4" w:space="0" w:color="BFBFBF" w:themeColor="background1" w:themeShade="BF"/>
              <w:right w:val="nil"/>
            </w:tcBorders>
            <w:vAlign w:val="center"/>
          </w:tcPr>
          <w:p w14:paraId="285FA844" w14:textId="0BE5B981" w:rsidR="0087225D" w:rsidRPr="000939E3" w:rsidRDefault="0087225D" w:rsidP="0087225D">
            <w:pPr>
              <w:spacing w:after="0" w:line="240" w:lineRule="auto"/>
              <w:jc w:val="center"/>
              <w:rPr>
                <w:rFonts w:eastAsia="Times New Roman" w:cs="Times New Roman"/>
                <w:color w:val="000000"/>
                <w:sz w:val="20"/>
                <w:szCs w:val="20"/>
              </w:rPr>
            </w:pPr>
            <w:r w:rsidRPr="000939E3">
              <w:rPr>
                <w:rFonts w:eastAsia="Times New Roman" w:cs="Times New Roman"/>
                <w:color w:val="000000"/>
                <w:sz w:val="20"/>
                <w:lang w:eastAsia="sk-SK"/>
              </w:rPr>
              <w:t>16</w:t>
            </w:r>
          </w:p>
        </w:tc>
        <w:tc>
          <w:tcPr>
            <w:tcW w:w="626" w:type="pct"/>
            <w:tcBorders>
              <w:top w:val="dashed" w:sz="4" w:space="0" w:color="BFBFBF" w:themeColor="background1" w:themeShade="BF"/>
              <w:left w:val="nil"/>
              <w:bottom w:val="dashed" w:sz="4" w:space="0" w:color="BFBFBF" w:themeColor="background1" w:themeShade="BF"/>
              <w:right w:val="nil"/>
            </w:tcBorders>
            <w:shd w:val="clear" w:color="auto" w:fill="auto"/>
            <w:vAlign w:val="center"/>
            <w:hideMark/>
          </w:tcPr>
          <w:p w14:paraId="0448F918" w14:textId="77777777"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 xml:space="preserve">MŠVVaŠ, </w:t>
            </w:r>
          </w:p>
          <w:p w14:paraId="6AE2C57E" w14:textId="7E88C876"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 xml:space="preserve">MF SR </w:t>
            </w:r>
          </w:p>
        </w:tc>
      </w:tr>
      <w:tr w:rsidR="0087225D" w:rsidRPr="000939E3" w14:paraId="6FFDA044" w14:textId="77777777" w:rsidTr="00270484">
        <w:trPr>
          <w:trHeight w:val="20"/>
        </w:trPr>
        <w:tc>
          <w:tcPr>
            <w:tcW w:w="89" w:type="pct"/>
            <w:tcBorders>
              <w:top w:val="dashed" w:sz="4" w:space="0" w:color="BFBFBF" w:themeColor="background1" w:themeShade="BF"/>
              <w:left w:val="nil"/>
              <w:bottom w:val="single" w:sz="4" w:space="0" w:color="auto"/>
              <w:right w:val="nil"/>
            </w:tcBorders>
            <w:shd w:val="clear" w:color="auto" w:fill="auto"/>
            <w:noWrap/>
            <w:vAlign w:val="center"/>
            <w:hideMark/>
          </w:tcPr>
          <w:p w14:paraId="090845EA" w14:textId="03017AD3"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5</w:t>
            </w:r>
          </w:p>
        </w:tc>
        <w:tc>
          <w:tcPr>
            <w:tcW w:w="2567" w:type="pct"/>
            <w:tcBorders>
              <w:top w:val="dashed" w:sz="4" w:space="0" w:color="BFBFBF" w:themeColor="background1" w:themeShade="BF"/>
              <w:left w:val="nil"/>
              <w:bottom w:val="single" w:sz="4" w:space="0" w:color="auto"/>
              <w:right w:val="nil"/>
            </w:tcBorders>
            <w:shd w:val="clear" w:color="auto" w:fill="auto"/>
            <w:noWrap/>
            <w:vAlign w:val="center"/>
            <w:hideMark/>
          </w:tcPr>
          <w:p w14:paraId="1D6ECD05" w14:textId="0A29ECF2" w:rsidR="0087225D" w:rsidRPr="000939E3" w:rsidRDefault="0087225D" w:rsidP="0087225D">
            <w:pPr>
              <w:spacing w:after="0" w:line="240" w:lineRule="auto"/>
              <w:rPr>
                <w:rFonts w:eastAsia="Times New Roman" w:cs="Times New Roman"/>
                <w:color w:val="000000"/>
                <w:sz w:val="20"/>
                <w:lang w:eastAsia="sk-SK"/>
              </w:rPr>
            </w:pPr>
            <w:r w:rsidRPr="000939E3">
              <w:rPr>
                <w:rFonts w:eastAsia="Times New Roman" w:cs="Times New Roman"/>
                <w:color w:val="000000"/>
                <w:sz w:val="20"/>
                <w:lang w:eastAsia="sk-SK"/>
              </w:rPr>
              <w:t>Zvýšiť kompenzácie vysokokvalifikovaných pozícií v štátnej správe</w:t>
            </w:r>
          </w:p>
        </w:tc>
        <w:tc>
          <w:tcPr>
            <w:tcW w:w="703" w:type="pct"/>
            <w:tcBorders>
              <w:top w:val="dashed" w:sz="4" w:space="0" w:color="BFBFBF" w:themeColor="background1" w:themeShade="BF"/>
              <w:left w:val="nil"/>
              <w:bottom w:val="single" w:sz="4" w:space="0" w:color="auto"/>
              <w:right w:val="nil"/>
            </w:tcBorders>
            <w:shd w:val="clear" w:color="auto" w:fill="auto"/>
            <w:noWrap/>
            <w:vAlign w:val="center"/>
            <w:hideMark/>
          </w:tcPr>
          <w:p w14:paraId="3EBBF655" w14:textId="5D3B649A"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ŠR</w:t>
            </w:r>
          </w:p>
        </w:tc>
        <w:tc>
          <w:tcPr>
            <w:tcW w:w="469" w:type="pct"/>
            <w:tcBorders>
              <w:top w:val="dashed" w:sz="4" w:space="0" w:color="BFBFBF" w:themeColor="background1" w:themeShade="BF"/>
              <w:left w:val="nil"/>
              <w:bottom w:val="single" w:sz="4" w:space="0" w:color="auto"/>
              <w:right w:val="nil"/>
            </w:tcBorders>
            <w:vAlign w:val="center"/>
          </w:tcPr>
          <w:p w14:paraId="062D1C9B" w14:textId="020E016C" w:rsidR="0087225D" w:rsidRPr="000939E3" w:rsidRDefault="005453A9" w:rsidP="005453A9">
            <w:pPr>
              <w:spacing w:after="0" w:line="240" w:lineRule="auto"/>
              <w:jc w:val="center"/>
              <w:rPr>
                <w:rFonts w:eastAsia="Times New Roman" w:cs="Times New Roman"/>
                <w:color w:val="000000"/>
                <w:sz w:val="20"/>
                <w:szCs w:val="20"/>
              </w:rPr>
            </w:pPr>
            <w:r w:rsidRPr="000939E3">
              <w:rPr>
                <w:rFonts w:eastAsia="Times New Roman" w:cs="Times New Roman"/>
                <w:color w:val="000000"/>
                <w:sz w:val="20"/>
                <w:szCs w:val="20"/>
              </w:rPr>
              <w:t>21</w:t>
            </w:r>
          </w:p>
        </w:tc>
        <w:tc>
          <w:tcPr>
            <w:tcW w:w="546" w:type="pct"/>
            <w:tcBorders>
              <w:top w:val="dashed" w:sz="4" w:space="0" w:color="BFBFBF" w:themeColor="background1" w:themeShade="BF"/>
              <w:left w:val="nil"/>
              <w:bottom w:val="single" w:sz="4" w:space="0" w:color="auto"/>
              <w:right w:val="nil"/>
            </w:tcBorders>
            <w:vAlign w:val="center"/>
          </w:tcPr>
          <w:p w14:paraId="06648417" w14:textId="2D677538" w:rsidR="0087225D" w:rsidRPr="000939E3" w:rsidRDefault="0087225D" w:rsidP="0087225D">
            <w:pPr>
              <w:spacing w:after="0" w:line="240" w:lineRule="auto"/>
              <w:jc w:val="center"/>
              <w:rPr>
                <w:rFonts w:eastAsia="Times New Roman" w:cs="Times New Roman"/>
                <w:color w:val="000000"/>
                <w:sz w:val="20"/>
                <w:szCs w:val="20"/>
              </w:rPr>
            </w:pPr>
            <w:r w:rsidRPr="000939E3">
              <w:rPr>
                <w:rFonts w:eastAsia="Times New Roman" w:cs="Times New Roman"/>
                <w:color w:val="000000"/>
                <w:sz w:val="20"/>
                <w:lang w:eastAsia="sk-SK"/>
              </w:rPr>
              <w:t>40</w:t>
            </w:r>
          </w:p>
        </w:tc>
        <w:tc>
          <w:tcPr>
            <w:tcW w:w="626" w:type="pct"/>
            <w:tcBorders>
              <w:top w:val="dashed" w:sz="4" w:space="0" w:color="BFBFBF" w:themeColor="background1" w:themeShade="BF"/>
              <w:left w:val="nil"/>
              <w:bottom w:val="single" w:sz="4" w:space="0" w:color="auto"/>
              <w:right w:val="nil"/>
            </w:tcBorders>
            <w:shd w:val="clear" w:color="auto" w:fill="auto"/>
            <w:vAlign w:val="center"/>
            <w:hideMark/>
          </w:tcPr>
          <w:p w14:paraId="22E32060" w14:textId="77777777"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 xml:space="preserve">ÚV SR, </w:t>
            </w:r>
          </w:p>
          <w:p w14:paraId="7E5DCFE6" w14:textId="6AD1900C" w:rsidR="0087225D" w:rsidRPr="000939E3" w:rsidRDefault="0087225D" w:rsidP="0087225D">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 xml:space="preserve">MPSVaR, MF SR </w:t>
            </w:r>
          </w:p>
        </w:tc>
      </w:tr>
      <w:tr w:rsidR="0087225D" w:rsidRPr="000939E3" w14:paraId="0276B418" w14:textId="77777777" w:rsidTr="00270484">
        <w:trPr>
          <w:trHeight w:val="20"/>
        </w:trPr>
        <w:tc>
          <w:tcPr>
            <w:tcW w:w="89" w:type="pct"/>
            <w:tcBorders>
              <w:top w:val="single" w:sz="4" w:space="0" w:color="auto"/>
              <w:left w:val="nil"/>
              <w:bottom w:val="single" w:sz="4" w:space="0" w:color="auto"/>
              <w:right w:val="nil"/>
            </w:tcBorders>
            <w:shd w:val="clear" w:color="auto" w:fill="auto"/>
            <w:noWrap/>
            <w:vAlign w:val="center"/>
            <w:hideMark/>
          </w:tcPr>
          <w:p w14:paraId="6FFA3854" w14:textId="77777777" w:rsidR="0087225D" w:rsidRPr="000939E3" w:rsidRDefault="0087225D" w:rsidP="0087225D">
            <w:pPr>
              <w:spacing w:after="0" w:line="240" w:lineRule="auto"/>
              <w:jc w:val="center"/>
              <w:rPr>
                <w:rFonts w:eastAsia="Times New Roman" w:cs="Times New Roman"/>
                <w:color w:val="000000"/>
                <w:sz w:val="20"/>
                <w:lang w:eastAsia="sk-SK"/>
              </w:rPr>
            </w:pPr>
          </w:p>
        </w:tc>
        <w:tc>
          <w:tcPr>
            <w:tcW w:w="2567" w:type="pct"/>
            <w:tcBorders>
              <w:top w:val="single" w:sz="4" w:space="0" w:color="auto"/>
              <w:left w:val="nil"/>
              <w:bottom w:val="single" w:sz="4" w:space="0" w:color="auto"/>
              <w:right w:val="nil"/>
            </w:tcBorders>
            <w:shd w:val="clear" w:color="auto" w:fill="auto"/>
            <w:noWrap/>
            <w:vAlign w:val="center"/>
            <w:hideMark/>
          </w:tcPr>
          <w:p w14:paraId="6D4FD072" w14:textId="77777777" w:rsidR="0087225D" w:rsidRPr="000939E3" w:rsidRDefault="0087225D" w:rsidP="0087225D">
            <w:pPr>
              <w:spacing w:after="0" w:line="240" w:lineRule="auto"/>
              <w:rPr>
                <w:rFonts w:eastAsia="Times New Roman" w:cs="Times New Roman"/>
                <w:b/>
                <w:bCs/>
                <w:color w:val="000000"/>
                <w:sz w:val="20"/>
                <w:lang w:eastAsia="sk-SK"/>
              </w:rPr>
            </w:pPr>
            <w:r w:rsidRPr="000939E3">
              <w:rPr>
                <w:rFonts w:eastAsia="Times New Roman" w:cs="Times New Roman"/>
                <w:b/>
                <w:bCs/>
                <w:color w:val="000000"/>
                <w:sz w:val="20"/>
                <w:lang w:eastAsia="sk-SK"/>
              </w:rPr>
              <w:t>Spolu</w:t>
            </w:r>
          </w:p>
        </w:tc>
        <w:tc>
          <w:tcPr>
            <w:tcW w:w="703" w:type="pct"/>
            <w:tcBorders>
              <w:top w:val="single" w:sz="4" w:space="0" w:color="auto"/>
              <w:left w:val="nil"/>
              <w:bottom w:val="single" w:sz="4" w:space="0" w:color="auto"/>
              <w:right w:val="nil"/>
            </w:tcBorders>
            <w:shd w:val="clear" w:color="auto" w:fill="auto"/>
            <w:noWrap/>
            <w:vAlign w:val="center"/>
            <w:hideMark/>
          </w:tcPr>
          <w:p w14:paraId="29FC8ED7" w14:textId="77777777" w:rsidR="0087225D" w:rsidRPr="000939E3" w:rsidRDefault="0087225D" w:rsidP="0087225D">
            <w:pPr>
              <w:spacing w:after="0" w:line="240" w:lineRule="auto"/>
              <w:rPr>
                <w:rFonts w:eastAsia="Times New Roman" w:cs="Times New Roman"/>
                <w:b/>
                <w:bCs/>
                <w:color w:val="000000"/>
                <w:sz w:val="20"/>
                <w:lang w:eastAsia="sk-SK"/>
              </w:rPr>
            </w:pPr>
          </w:p>
        </w:tc>
        <w:tc>
          <w:tcPr>
            <w:tcW w:w="469" w:type="pct"/>
            <w:tcBorders>
              <w:top w:val="single" w:sz="4" w:space="0" w:color="auto"/>
              <w:left w:val="nil"/>
              <w:bottom w:val="single" w:sz="4" w:space="0" w:color="auto"/>
              <w:right w:val="nil"/>
            </w:tcBorders>
            <w:vAlign w:val="center"/>
          </w:tcPr>
          <w:p w14:paraId="595D1018" w14:textId="6E593FDC" w:rsidR="0087225D" w:rsidRPr="000939E3" w:rsidRDefault="005453A9" w:rsidP="0087225D">
            <w:pPr>
              <w:spacing w:after="0" w:line="240" w:lineRule="auto"/>
              <w:jc w:val="center"/>
              <w:rPr>
                <w:rFonts w:eastAsia="Times New Roman" w:cs="Times New Roman"/>
                <w:b/>
                <w:bCs/>
                <w:color w:val="000000"/>
                <w:sz w:val="20"/>
                <w:szCs w:val="20"/>
              </w:rPr>
            </w:pPr>
            <w:r w:rsidRPr="000939E3">
              <w:rPr>
                <w:rFonts w:eastAsia="Times New Roman" w:cs="Times New Roman"/>
                <w:b/>
                <w:bCs/>
                <w:color w:val="000000"/>
                <w:sz w:val="20"/>
                <w:lang w:eastAsia="sk-SK"/>
              </w:rPr>
              <w:t>119</w:t>
            </w:r>
          </w:p>
        </w:tc>
        <w:tc>
          <w:tcPr>
            <w:tcW w:w="546" w:type="pct"/>
            <w:tcBorders>
              <w:top w:val="single" w:sz="4" w:space="0" w:color="auto"/>
              <w:left w:val="nil"/>
              <w:bottom w:val="single" w:sz="4" w:space="0" w:color="auto"/>
              <w:right w:val="nil"/>
            </w:tcBorders>
            <w:vAlign w:val="center"/>
          </w:tcPr>
          <w:p w14:paraId="0935F118" w14:textId="6BF45BBC" w:rsidR="0087225D" w:rsidRPr="000939E3" w:rsidRDefault="0087225D" w:rsidP="0087225D">
            <w:pPr>
              <w:spacing w:after="0" w:line="240" w:lineRule="auto"/>
              <w:jc w:val="center"/>
              <w:rPr>
                <w:rFonts w:eastAsia="Times New Roman" w:cs="Times New Roman"/>
                <w:b/>
                <w:bCs/>
                <w:color w:val="000000"/>
                <w:sz w:val="20"/>
                <w:szCs w:val="20"/>
              </w:rPr>
            </w:pPr>
            <w:r w:rsidRPr="000939E3">
              <w:rPr>
                <w:rFonts w:eastAsia="Times New Roman" w:cs="Times New Roman"/>
                <w:b/>
                <w:bCs/>
                <w:color w:val="000000"/>
                <w:sz w:val="20"/>
                <w:lang w:eastAsia="sk-SK"/>
              </w:rPr>
              <w:t>1 243</w:t>
            </w:r>
          </w:p>
        </w:tc>
        <w:tc>
          <w:tcPr>
            <w:tcW w:w="626" w:type="pct"/>
            <w:tcBorders>
              <w:top w:val="single" w:sz="4" w:space="0" w:color="auto"/>
              <w:left w:val="nil"/>
              <w:bottom w:val="single" w:sz="4" w:space="0" w:color="auto"/>
              <w:right w:val="nil"/>
            </w:tcBorders>
            <w:shd w:val="clear" w:color="auto" w:fill="auto"/>
            <w:vAlign w:val="center"/>
            <w:hideMark/>
          </w:tcPr>
          <w:p w14:paraId="0546A6B9" w14:textId="77777777" w:rsidR="0087225D" w:rsidRPr="000939E3" w:rsidRDefault="0087225D" w:rsidP="0087225D">
            <w:pPr>
              <w:spacing w:after="0" w:line="240" w:lineRule="auto"/>
              <w:jc w:val="right"/>
              <w:rPr>
                <w:rFonts w:eastAsia="Times New Roman" w:cs="Times New Roman"/>
                <w:b/>
                <w:bCs/>
                <w:color w:val="000000"/>
                <w:sz w:val="20"/>
                <w:lang w:eastAsia="sk-SK"/>
              </w:rPr>
            </w:pPr>
          </w:p>
        </w:tc>
      </w:tr>
      <w:tr w:rsidR="00E70518" w:rsidRPr="000939E3" w14:paraId="776693FD" w14:textId="77777777" w:rsidTr="00E70518">
        <w:trPr>
          <w:trHeight w:val="70"/>
        </w:trPr>
        <w:tc>
          <w:tcPr>
            <w:tcW w:w="5000" w:type="pct"/>
            <w:gridSpan w:val="6"/>
            <w:tcBorders>
              <w:top w:val="single" w:sz="4" w:space="0" w:color="auto"/>
              <w:left w:val="nil"/>
              <w:right w:val="nil"/>
            </w:tcBorders>
            <w:shd w:val="clear" w:color="auto" w:fill="auto"/>
            <w:noWrap/>
            <w:vAlign w:val="center"/>
          </w:tcPr>
          <w:p w14:paraId="4F267E92" w14:textId="77777777" w:rsidR="00E70518" w:rsidRDefault="00E70518" w:rsidP="00E70518">
            <w:pPr>
              <w:tabs>
                <w:tab w:val="right" w:pos="8934"/>
              </w:tabs>
              <w:spacing w:after="0" w:line="240" w:lineRule="auto"/>
              <w:rPr>
                <w:rFonts w:eastAsia="Times New Roman" w:cs="Times New Roman"/>
                <w:i/>
                <w:color w:val="000000"/>
                <w:sz w:val="18"/>
                <w:lang w:eastAsia="sk-SK"/>
              </w:rPr>
            </w:pPr>
            <w:r w:rsidRPr="000939E3">
              <w:rPr>
                <w:rFonts w:eastAsia="Times New Roman" w:cs="Times New Roman"/>
                <w:i/>
                <w:color w:val="000000"/>
                <w:sz w:val="18"/>
                <w:lang w:eastAsia="sk-SK"/>
              </w:rPr>
              <w:t>ZS – základný scenár je popísaný detailne v </w:t>
            </w:r>
            <w:r>
              <w:rPr>
                <w:rFonts w:eastAsia="Times New Roman" w:cs="Times New Roman"/>
                <w:i/>
                <w:color w:val="000000"/>
                <w:sz w:val="18"/>
                <w:lang w:eastAsia="sk-SK"/>
              </w:rPr>
              <w:fldChar w:fldCharType="begin"/>
            </w:r>
            <w:r>
              <w:rPr>
                <w:rFonts w:eastAsia="Times New Roman" w:cs="Times New Roman"/>
                <w:i/>
                <w:color w:val="000000"/>
                <w:sz w:val="18"/>
                <w:lang w:eastAsia="sk-SK"/>
              </w:rPr>
              <w:instrText xml:space="preserve"> REF _Ref34207092 \h  \* MERGEFORMAT </w:instrText>
            </w:r>
            <w:r>
              <w:rPr>
                <w:rFonts w:eastAsia="Times New Roman" w:cs="Times New Roman"/>
                <w:i/>
                <w:color w:val="000000"/>
                <w:sz w:val="18"/>
                <w:lang w:eastAsia="sk-SK"/>
              </w:rPr>
            </w:r>
            <w:r>
              <w:rPr>
                <w:rFonts w:eastAsia="Times New Roman" w:cs="Times New Roman"/>
                <w:i/>
                <w:color w:val="000000"/>
                <w:sz w:val="18"/>
                <w:lang w:eastAsia="sk-SK"/>
              </w:rPr>
              <w:fldChar w:fldCharType="separate"/>
            </w:r>
            <w:r w:rsidR="00BF69CA" w:rsidRPr="00BF69CA">
              <w:rPr>
                <w:rFonts w:eastAsia="Times New Roman" w:cs="Times New Roman"/>
                <w:i/>
                <w:color w:val="000000"/>
                <w:sz w:val="18"/>
                <w:lang w:eastAsia="sk-SK"/>
              </w:rPr>
              <w:t>Box 1</w:t>
            </w:r>
            <w:r>
              <w:rPr>
                <w:rFonts w:eastAsia="Times New Roman" w:cs="Times New Roman"/>
                <w:i/>
                <w:color w:val="000000"/>
                <w:sz w:val="18"/>
                <w:lang w:eastAsia="sk-SK"/>
              </w:rPr>
              <w:fldChar w:fldCharType="end"/>
            </w:r>
            <w:r>
              <w:rPr>
                <w:rFonts w:eastAsia="Times New Roman" w:cs="Times New Roman"/>
                <w:i/>
                <w:color w:val="000000"/>
                <w:sz w:val="18"/>
                <w:lang w:eastAsia="sk-SK"/>
              </w:rPr>
              <w:t>.</w:t>
            </w:r>
          </w:p>
          <w:p w14:paraId="039B49B0" w14:textId="50875DFC" w:rsidR="00E70518" w:rsidRPr="000939E3" w:rsidRDefault="00A55961" w:rsidP="00A216AB">
            <w:pPr>
              <w:spacing w:after="0" w:line="240" w:lineRule="auto"/>
              <w:jc w:val="left"/>
              <w:rPr>
                <w:rFonts w:eastAsia="Times New Roman" w:cs="Times New Roman"/>
                <w:b/>
                <w:bCs/>
                <w:color w:val="000000"/>
                <w:sz w:val="20"/>
                <w:lang w:eastAsia="sk-SK"/>
              </w:rPr>
            </w:pPr>
            <w:r>
              <w:rPr>
                <w:rFonts w:eastAsia="Times New Roman" w:cs="Times New Roman"/>
                <w:i/>
                <w:color w:val="000000"/>
                <w:sz w:val="18"/>
                <w:lang w:eastAsia="sk-SK"/>
              </w:rPr>
              <w:t xml:space="preserve">Pozn. </w:t>
            </w:r>
            <w:r w:rsidR="00A216AB">
              <w:rPr>
                <w:rFonts w:eastAsia="Times New Roman" w:cs="Times New Roman"/>
                <w:i/>
                <w:color w:val="000000"/>
                <w:sz w:val="18"/>
                <w:lang w:eastAsia="sk-SK"/>
              </w:rPr>
              <w:t xml:space="preserve">Potenciál </w:t>
            </w:r>
            <w:r w:rsidR="00E70518" w:rsidRPr="000939E3">
              <w:rPr>
                <w:rFonts w:eastAsia="Times New Roman" w:cs="Times New Roman"/>
                <w:i/>
                <w:color w:val="000000"/>
                <w:sz w:val="18"/>
                <w:lang w:eastAsia="sk-SK"/>
              </w:rPr>
              <w:t xml:space="preserve"> - podľa mzdovej obálky roka 2020</w:t>
            </w:r>
            <w:r w:rsidR="00E70518">
              <w:rPr>
                <w:rFonts w:eastAsia="Times New Roman" w:cs="Times New Roman"/>
                <w:i/>
                <w:color w:val="000000"/>
                <w:sz w:val="18"/>
                <w:lang w:eastAsia="sk-SK"/>
              </w:rPr>
              <w:t xml:space="preserve">; </w:t>
            </w:r>
            <w:r w:rsidR="00E70518" w:rsidRPr="000939E3">
              <w:rPr>
                <w:rFonts w:eastAsia="Times New Roman" w:cs="Times New Roman"/>
                <w:i/>
                <w:color w:val="000000"/>
                <w:sz w:val="18"/>
                <w:lang w:eastAsia="sk-SK"/>
              </w:rPr>
              <w:t>Prvý rok – podľa predpokladaných výdavkov v roku 2021</w:t>
            </w:r>
          </w:p>
        </w:tc>
      </w:tr>
    </w:tbl>
    <w:p w14:paraId="5460F464" w14:textId="2DB9F00C" w:rsidR="00AC2A92" w:rsidRPr="000939E3" w:rsidRDefault="00AC2A92" w:rsidP="0097185B"/>
    <w:tbl>
      <w:tblPr>
        <w:tblW w:w="5000" w:type="pct"/>
        <w:tblLayout w:type="fixed"/>
        <w:tblCellMar>
          <w:left w:w="70" w:type="dxa"/>
          <w:right w:w="70" w:type="dxa"/>
        </w:tblCellMar>
        <w:tblLook w:val="04A0" w:firstRow="1" w:lastRow="0" w:firstColumn="1" w:lastColumn="0" w:noHBand="0" w:noVBand="1"/>
      </w:tblPr>
      <w:tblGrid>
        <w:gridCol w:w="161"/>
        <w:gridCol w:w="265"/>
        <w:gridCol w:w="4252"/>
        <w:gridCol w:w="1134"/>
        <w:gridCol w:w="992"/>
        <w:gridCol w:w="993"/>
        <w:gridCol w:w="1275"/>
      </w:tblGrid>
      <w:tr w:rsidR="003D758C" w:rsidRPr="000939E3" w14:paraId="491A5108" w14:textId="77777777" w:rsidTr="003D758C">
        <w:trPr>
          <w:trHeight w:val="170"/>
        </w:trPr>
        <w:tc>
          <w:tcPr>
            <w:tcW w:w="5812" w:type="dxa"/>
            <w:gridSpan w:val="4"/>
            <w:tcBorders>
              <w:left w:val="nil"/>
              <w:bottom w:val="single" w:sz="4" w:space="0" w:color="auto"/>
              <w:right w:val="nil"/>
            </w:tcBorders>
            <w:shd w:val="clear" w:color="auto" w:fill="auto"/>
            <w:vAlign w:val="center"/>
          </w:tcPr>
          <w:p w14:paraId="26BC0436" w14:textId="0A3C5EFC" w:rsidR="003D758C" w:rsidRPr="000939E3" w:rsidRDefault="003D758C" w:rsidP="0061483B">
            <w:pPr>
              <w:spacing w:after="0" w:line="240" w:lineRule="auto"/>
              <w:jc w:val="left"/>
              <w:rPr>
                <w:rFonts w:eastAsia="Times New Roman" w:cs="Times New Roman"/>
                <w:b/>
                <w:bCs/>
                <w:color w:val="000000"/>
                <w:sz w:val="20"/>
                <w:szCs w:val="20"/>
                <w:lang w:eastAsia="sk-SK"/>
              </w:rPr>
            </w:pPr>
            <w:r w:rsidRPr="000939E3">
              <w:rPr>
                <w:b/>
                <w:color w:val="0070C0"/>
              </w:rPr>
              <w:t>Úsporné opatrenia</w:t>
            </w:r>
          </w:p>
        </w:tc>
        <w:tc>
          <w:tcPr>
            <w:tcW w:w="992" w:type="dxa"/>
            <w:tcBorders>
              <w:left w:val="nil"/>
              <w:bottom w:val="single" w:sz="4" w:space="0" w:color="000000"/>
              <w:right w:val="nil"/>
            </w:tcBorders>
            <w:shd w:val="clear" w:color="auto" w:fill="auto"/>
            <w:vAlign w:val="center"/>
          </w:tcPr>
          <w:p w14:paraId="15FA42FE" w14:textId="77777777" w:rsidR="003D758C" w:rsidRPr="000939E3" w:rsidRDefault="003D758C" w:rsidP="00A41E58">
            <w:pPr>
              <w:spacing w:after="0" w:line="240" w:lineRule="auto"/>
              <w:jc w:val="center"/>
              <w:rPr>
                <w:rFonts w:eastAsia="Times New Roman" w:cs="Times New Roman"/>
                <w:b/>
                <w:bCs/>
                <w:color w:val="000000"/>
                <w:sz w:val="20"/>
                <w:szCs w:val="20"/>
                <w:lang w:eastAsia="sk-SK"/>
              </w:rPr>
            </w:pPr>
          </w:p>
        </w:tc>
        <w:tc>
          <w:tcPr>
            <w:tcW w:w="993" w:type="dxa"/>
            <w:tcBorders>
              <w:left w:val="nil"/>
              <w:bottom w:val="single" w:sz="4" w:space="0" w:color="auto"/>
              <w:right w:val="nil"/>
            </w:tcBorders>
          </w:tcPr>
          <w:p w14:paraId="1913F64B" w14:textId="77777777" w:rsidR="003D758C" w:rsidRPr="000939E3" w:rsidRDefault="003D758C" w:rsidP="00A41E58">
            <w:pPr>
              <w:spacing w:after="0" w:line="240" w:lineRule="auto"/>
              <w:jc w:val="center"/>
              <w:rPr>
                <w:rFonts w:eastAsia="Times New Roman" w:cs="Times New Roman"/>
                <w:b/>
                <w:bCs/>
                <w:color w:val="000000"/>
                <w:sz w:val="20"/>
                <w:szCs w:val="20"/>
                <w:lang w:eastAsia="sk-SK"/>
              </w:rPr>
            </w:pPr>
          </w:p>
        </w:tc>
        <w:tc>
          <w:tcPr>
            <w:tcW w:w="1275" w:type="dxa"/>
            <w:tcBorders>
              <w:left w:val="nil"/>
              <w:bottom w:val="single" w:sz="4" w:space="0" w:color="000000"/>
              <w:right w:val="nil"/>
            </w:tcBorders>
            <w:shd w:val="clear" w:color="auto" w:fill="auto"/>
            <w:vAlign w:val="center"/>
          </w:tcPr>
          <w:p w14:paraId="3CE8C6AB" w14:textId="185BE95B" w:rsidR="003D758C" w:rsidRPr="000939E3" w:rsidRDefault="003D758C" w:rsidP="00A41E58">
            <w:pPr>
              <w:spacing w:after="0" w:line="240" w:lineRule="auto"/>
              <w:jc w:val="center"/>
              <w:rPr>
                <w:rFonts w:eastAsia="Times New Roman" w:cs="Times New Roman"/>
                <w:b/>
                <w:bCs/>
                <w:color w:val="000000"/>
                <w:sz w:val="20"/>
                <w:szCs w:val="20"/>
                <w:lang w:eastAsia="sk-SK"/>
              </w:rPr>
            </w:pPr>
          </w:p>
        </w:tc>
      </w:tr>
      <w:tr w:rsidR="00A1770B" w:rsidRPr="000939E3" w14:paraId="2DBF7B88" w14:textId="77777777" w:rsidTr="001A3985">
        <w:trPr>
          <w:trHeight w:val="874"/>
        </w:trPr>
        <w:tc>
          <w:tcPr>
            <w:tcW w:w="161" w:type="dxa"/>
            <w:tcBorders>
              <w:top w:val="single" w:sz="4" w:space="0" w:color="auto"/>
              <w:left w:val="nil"/>
              <w:bottom w:val="single" w:sz="4" w:space="0" w:color="000000"/>
              <w:right w:val="nil"/>
            </w:tcBorders>
            <w:shd w:val="clear" w:color="auto" w:fill="auto"/>
            <w:vAlign w:val="center"/>
            <w:hideMark/>
          </w:tcPr>
          <w:p w14:paraId="079F4BE0" w14:textId="0CD2469B" w:rsidR="00A1770B" w:rsidRPr="000939E3" w:rsidRDefault="00A1770B" w:rsidP="00A1770B">
            <w:pPr>
              <w:spacing w:after="0" w:line="240" w:lineRule="auto"/>
              <w:jc w:val="center"/>
              <w:rPr>
                <w:rFonts w:eastAsia="Times New Roman" w:cs="Times New Roman"/>
                <w:bCs/>
                <w:color w:val="000000"/>
                <w:sz w:val="20"/>
                <w:lang w:eastAsia="sk-SK"/>
              </w:rPr>
            </w:pPr>
          </w:p>
        </w:tc>
        <w:tc>
          <w:tcPr>
            <w:tcW w:w="4517" w:type="dxa"/>
            <w:gridSpan w:val="2"/>
            <w:tcBorders>
              <w:top w:val="single" w:sz="4" w:space="0" w:color="auto"/>
              <w:left w:val="nil"/>
              <w:bottom w:val="single" w:sz="4" w:space="0" w:color="000000"/>
              <w:right w:val="nil"/>
            </w:tcBorders>
            <w:shd w:val="clear" w:color="auto" w:fill="auto"/>
            <w:vAlign w:val="center"/>
            <w:hideMark/>
          </w:tcPr>
          <w:p w14:paraId="052E7279" w14:textId="77777777" w:rsidR="00A1770B" w:rsidRPr="000939E3" w:rsidRDefault="00A1770B" w:rsidP="00A1770B">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Opatrenie</w:t>
            </w:r>
          </w:p>
        </w:tc>
        <w:tc>
          <w:tcPr>
            <w:tcW w:w="1134" w:type="dxa"/>
            <w:tcBorders>
              <w:top w:val="single" w:sz="4" w:space="0" w:color="auto"/>
              <w:left w:val="nil"/>
              <w:bottom w:val="single" w:sz="4" w:space="0" w:color="000000"/>
              <w:right w:val="nil"/>
            </w:tcBorders>
            <w:shd w:val="clear" w:color="auto" w:fill="auto"/>
            <w:vAlign w:val="center"/>
            <w:hideMark/>
          </w:tcPr>
          <w:p w14:paraId="61EA31DE" w14:textId="77777777" w:rsidR="00A1770B" w:rsidRPr="000939E3" w:rsidRDefault="00A1770B" w:rsidP="001A3985">
            <w:pPr>
              <w:spacing w:after="0" w:line="240" w:lineRule="auto"/>
              <w:ind w:left="-70" w:right="-70"/>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Zdroj financovania</w:t>
            </w:r>
          </w:p>
        </w:tc>
        <w:tc>
          <w:tcPr>
            <w:tcW w:w="992" w:type="dxa"/>
            <w:tcBorders>
              <w:top w:val="single" w:sz="4" w:space="0" w:color="auto"/>
              <w:left w:val="nil"/>
              <w:bottom w:val="single" w:sz="4" w:space="0" w:color="000000"/>
              <w:right w:val="nil"/>
            </w:tcBorders>
            <w:shd w:val="clear" w:color="auto" w:fill="auto"/>
            <w:vAlign w:val="center"/>
          </w:tcPr>
          <w:p w14:paraId="70880E67" w14:textId="29BD35A3" w:rsidR="00A1770B" w:rsidRPr="000939E3" w:rsidRDefault="00A1770B" w:rsidP="00A1770B">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Prvý rok</w:t>
            </w:r>
          </w:p>
        </w:tc>
        <w:tc>
          <w:tcPr>
            <w:tcW w:w="993" w:type="dxa"/>
            <w:tcBorders>
              <w:top w:val="single" w:sz="4" w:space="0" w:color="auto"/>
              <w:left w:val="nil"/>
              <w:bottom w:val="single" w:sz="4" w:space="0" w:color="auto"/>
              <w:right w:val="nil"/>
            </w:tcBorders>
            <w:vAlign w:val="center"/>
          </w:tcPr>
          <w:p w14:paraId="4BF7257A" w14:textId="77777777" w:rsidR="00A1770B" w:rsidRPr="000939E3" w:rsidRDefault="00A1770B" w:rsidP="00A1770B">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Potenciál</w:t>
            </w:r>
            <w:r w:rsidRPr="000939E3">
              <w:rPr>
                <w:rStyle w:val="Odkaznapoznmkupodiarou"/>
                <w:rFonts w:eastAsia="Times New Roman" w:cs="Times New Roman"/>
                <w:b/>
                <w:bCs/>
                <w:color w:val="000000"/>
                <w:sz w:val="20"/>
                <w:szCs w:val="20"/>
                <w:lang w:eastAsia="sk-SK"/>
              </w:rPr>
              <w:footnoteReference w:id="3"/>
            </w:r>
            <w:r w:rsidRPr="000939E3">
              <w:rPr>
                <w:rFonts w:eastAsia="Times New Roman" w:cs="Times New Roman"/>
                <w:b/>
                <w:bCs/>
                <w:color w:val="000000"/>
                <w:sz w:val="20"/>
                <w:szCs w:val="20"/>
                <w:lang w:eastAsia="sk-SK"/>
              </w:rPr>
              <w:t xml:space="preserve"> </w:t>
            </w:r>
          </w:p>
          <w:p w14:paraId="782F3C17" w14:textId="636592A2" w:rsidR="00A1770B" w:rsidRPr="000939E3" w:rsidRDefault="00A1770B" w:rsidP="00A1770B">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(mil. eur)</w:t>
            </w:r>
          </w:p>
        </w:tc>
        <w:tc>
          <w:tcPr>
            <w:tcW w:w="1275" w:type="dxa"/>
            <w:tcBorders>
              <w:top w:val="single" w:sz="4" w:space="0" w:color="auto"/>
              <w:left w:val="nil"/>
              <w:bottom w:val="single" w:sz="4" w:space="0" w:color="000000"/>
              <w:right w:val="nil"/>
            </w:tcBorders>
            <w:shd w:val="clear" w:color="auto" w:fill="auto"/>
            <w:vAlign w:val="center"/>
          </w:tcPr>
          <w:p w14:paraId="68D77C11" w14:textId="2DDC517F" w:rsidR="00A1770B" w:rsidRPr="000939E3" w:rsidRDefault="00A1770B" w:rsidP="00A1770B">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Zodpovedný</w:t>
            </w:r>
          </w:p>
        </w:tc>
      </w:tr>
      <w:tr w:rsidR="00A1770B" w:rsidRPr="000939E3" w14:paraId="27C07D34" w14:textId="77777777" w:rsidTr="001A3985">
        <w:trPr>
          <w:trHeight w:val="453"/>
        </w:trPr>
        <w:tc>
          <w:tcPr>
            <w:tcW w:w="161" w:type="dxa"/>
            <w:tcBorders>
              <w:top w:val="nil"/>
              <w:left w:val="nil"/>
              <w:bottom w:val="dashed" w:sz="4" w:space="0" w:color="BFBFBF" w:themeColor="background1" w:themeShade="BF"/>
              <w:right w:val="nil"/>
            </w:tcBorders>
            <w:shd w:val="clear" w:color="auto" w:fill="auto"/>
            <w:noWrap/>
            <w:vAlign w:val="center"/>
          </w:tcPr>
          <w:p w14:paraId="62927126" w14:textId="77777777" w:rsidR="00A1770B" w:rsidRPr="000939E3" w:rsidRDefault="00A1770B" w:rsidP="00A1770B">
            <w:pPr>
              <w:spacing w:after="0" w:line="240" w:lineRule="auto"/>
              <w:jc w:val="center"/>
              <w:rPr>
                <w:rFonts w:eastAsia="Times New Roman" w:cs="Times New Roman"/>
                <w:bCs/>
                <w:color w:val="000000"/>
                <w:sz w:val="20"/>
                <w:lang w:eastAsia="sk-SK"/>
              </w:rPr>
            </w:pPr>
            <w:r w:rsidRPr="000939E3">
              <w:rPr>
                <w:rFonts w:eastAsia="Times New Roman" w:cs="Times New Roman"/>
                <w:bCs/>
                <w:color w:val="000000"/>
                <w:sz w:val="20"/>
                <w:lang w:eastAsia="sk-SK"/>
              </w:rPr>
              <w:t>1</w:t>
            </w:r>
          </w:p>
        </w:tc>
        <w:tc>
          <w:tcPr>
            <w:tcW w:w="4517" w:type="dxa"/>
            <w:gridSpan w:val="2"/>
            <w:tcBorders>
              <w:top w:val="nil"/>
              <w:left w:val="nil"/>
              <w:bottom w:val="dashed" w:sz="4" w:space="0" w:color="BFBFBF" w:themeColor="background1" w:themeShade="BF"/>
              <w:right w:val="nil"/>
            </w:tcBorders>
            <w:shd w:val="clear" w:color="auto" w:fill="auto"/>
            <w:vAlign w:val="center"/>
          </w:tcPr>
          <w:p w14:paraId="270BA3F6" w14:textId="77777777" w:rsidR="00A1770B" w:rsidRPr="000939E3" w:rsidRDefault="00A1770B" w:rsidP="00A1770B">
            <w:pPr>
              <w:spacing w:after="0" w:line="240" w:lineRule="auto"/>
              <w:jc w:val="left"/>
              <w:rPr>
                <w:rFonts w:eastAsia="Times New Roman" w:cs="Times New Roman"/>
                <w:color w:val="000000"/>
                <w:sz w:val="20"/>
                <w:szCs w:val="20"/>
                <w:lang w:eastAsia="sk-SK"/>
              </w:rPr>
            </w:pPr>
            <w:r w:rsidRPr="000939E3">
              <w:rPr>
                <w:rFonts w:eastAsia="Times New Roman" w:cs="Times New Roman"/>
                <w:color w:val="000000"/>
                <w:sz w:val="20"/>
                <w:szCs w:val="20"/>
              </w:rPr>
              <w:t>Audity na ministerstvách</w:t>
            </w:r>
          </w:p>
        </w:tc>
        <w:tc>
          <w:tcPr>
            <w:tcW w:w="1134" w:type="dxa"/>
            <w:tcBorders>
              <w:top w:val="single" w:sz="4" w:space="0" w:color="auto"/>
              <w:left w:val="nil"/>
              <w:bottom w:val="dashed" w:sz="4" w:space="0" w:color="BFBFBF" w:themeColor="background1" w:themeShade="BF"/>
              <w:right w:val="nil"/>
            </w:tcBorders>
            <w:shd w:val="clear" w:color="auto" w:fill="auto"/>
            <w:vAlign w:val="center"/>
          </w:tcPr>
          <w:p w14:paraId="049DD017" w14:textId="77777777" w:rsidR="00A1770B" w:rsidRPr="000939E3" w:rsidRDefault="00A1770B"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rPr>
              <w:t>ŠR</w:t>
            </w:r>
          </w:p>
        </w:tc>
        <w:tc>
          <w:tcPr>
            <w:tcW w:w="992" w:type="dxa"/>
            <w:tcBorders>
              <w:top w:val="single" w:sz="4" w:space="0" w:color="auto"/>
              <w:left w:val="nil"/>
              <w:bottom w:val="dashed" w:sz="4" w:space="0" w:color="BFBFBF" w:themeColor="background1" w:themeShade="BF"/>
              <w:right w:val="nil"/>
            </w:tcBorders>
            <w:shd w:val="clear" w:color="auto" w:fill="auto"/>
            <w:noWrap/>
            <w:vAlign w:val="center"/>
          </w:tcPr>
          <w:p w14:paraId="3544ACEA" w14:textId="4A74C023" w:rsidR="00A1770B" w:rsidRPr="000939E3" w:rsidRDefault="00E3489C"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37</w:t>
            </w:r>
          </w:p>
        </w:tc>
        <w:tc>
          <w:tcPr>
            <w:tcW w:w="993" w:type="dxa"/>
            <w:tcBorders>
              <w:top w:val="single" w:sz="4" w:space="0" w:color="auto"/>
              <w:left w:val="nil"/>
              <w:bottom w:val="dashed" w:sz="4" w:space="0" w:color="BFBFBF" w:themeColor="background1" w:themeShade="BF"/>
              <w:right w:val="nil"/>
            </w:tcBorders>
            <w:vAlign w:val="center"/>
          </w:tcPr>
          <w:p w14:paraId="6A333197" w14:textId="72E477D4" w:rsidR="00A1770B" w:rsidRPr="000939E3" w:rsidRDefault="00A1770B"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rPr>
              <w:t>147</w:t>
            </w:r>
          </w:p>
        </w:tc>
        <w:tc>
          <w:tcPr>
            <w:tcW w:w="1275" w:type="dxa"/>
            <w:tcBorders>
              <w:top w:val="nil"/>
              <w:left w:val="nil"/>
              <w:bottom w:val="dashed" w:sz="4" w:space="0" w:color="BFBFBF" w:themeColor="background1" w:themeShade="BF"/>
              <w:right w:val="nil"/>
            </w:tcBorders>
            <w:shd w:val="clear" w:color="auto" w:fill="auto"/>
            <w:vAlign w:val="center"/>
          </w:tcPr>
          <w:p w14:paraId="4AF157C2" w14:textId="35C1E321" w:rsidR="00A1770B" w:rsidRPr="000939E3" w:rsidRDefault="00A1770B"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ÚV SR, MF SR, MV SR</w:t>
            </w:r>
          </w:p>
        </w:tc>
      </w:tr>
      <w:tr w:rsidR="00A1770B" w:rsidRPr="000939E3" w14:paraId="6C57281E" w14:textId="77777777" w:rsidTr="001A3985">
        <w:trPr>
          <w:trHeight w:val="453"/>
        </w:trPr>
        <w:tc>
          <w:tcPr>
            <w:tcW w:w="161" w:type="dxa"/>
            <w:vMerge w:val="restart"/>
            <w:tcBorders>
              <w:top w:val="nil"/>
              <w:left w:val="nil"/>
              <w:right w:val="nil"/>
            </w:tcBorders>
            <w:shd w:val="clear" w:color="auto" w:fill="auto"/>
            <w:noWrap/>
            <w:vAlign w:val="center"/>
          </w:tcPr>
          <w:p w14:paraId="1E8FF18F" w14:textId="77777777" w:rsidR="00A1770B" w:rsidRPr="000939E3" w:rsidRDefault="00A1770B" w:rsidP="00A1770B">
            <w:pPr>
              <w:spacing w:after="0" w:line="240" w:lineRule="auto"/>
              <w:jc w:val="center"/>
              <w:rPr>
                <w:rFonts w:eastAsia="Times New Roman" w:cs="Times New Roman"/>
                <w:bCs/>
                <w:color w:val="000000"/>
                <w:sz w:val="20"/>
                <w:lang w:eastAsia="sk-SK"/>
              </w:rPr>
            </w:pPr>
          </w:p>
        </w:tc>
        <w:tc>
          <w:tcPr>
            <w:tcW w:w="265" w:type="dxa"/>
            <w:vMerge w:val="restart"/>
            <w:tcBorders>
              <w:top w:val="nil"/>
              <w:left w:val="nil"/>
              <w:right w:val="nil"/>
            </w:tcBorders>
            <w:shd w:val="clear" w:color="auto" w:fill="auto"/>
            <w:textDirection w:val="btLr"/>
            <w:vAlign w:val="center"/>
          </w:tcPr>
          <w:p w14:paraId="1332C13C" w14:textId="77777777" w:rsidR="00A1770B" w:rsidRPr="000939E3" w:rsidRDefault="00A1770B" w:rsidP="00E70518">
            <w:pPr>
              <w:spacing w:after="0" w:line="240" w:lineRule="auto"/>
              <w:ind w:right="113"/>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z toho</w:t>
            </w:r>
          </w:p>
        </w:tc>
        <w:tc>
          <w:tcPr>
            <w:tcW w:w="4252" w:type="dxa"/>
            <w:tcBorders>
              <w:top w:val="nil"/>
              <w:left w:val="nil"/>
              <w:bottom w:val="dashed" w:sz="4" w:space="0" w:color="BFBFBF" w:themeColor="background1" w:themeShade="BF"/>
              <w:right w:val="nil"/>
            </w:tcBorders>
            <w:shd w:val="clear" w:color="auto" w:fill="auto"/>
            <w:vAlign w:val="center"/>
          </w:tcPr>
          <w:p w14:paraId="1D2BDCD0" w14:textId="1746DD95" w:rsidR="00A1770B" w:rsidRPr="000939E3" w:rsidRDefault="00A1770B" w:rsidP="00A1770B">
            <w:pPr>
              <w:spacing w:after="0" w:line="240" w:lineRule="auto"/>
              <w:jc w:val="left"/>
              <w:rPr>
                <w:rFonts w:eastAsia="Times New Roman" w:cs="Times New Roman"/>
                <w:color w:val="000000"/>
                <w:sz w:val="20"/>
                <w:szCs w:val="20"/>
                <w:lang w:eastAsia="sk-SK"/>
              </w:rPr>
            </w:pPr>
            <w:r w:rsidRPr="000939E3">
              <w:rPr>
                <w:rFonts w:eastAsia="Times New Roman" w:cs="Times New Roman"/>
                <w:i/>
                <w:iCs/>
                <w:color w:val="000000"/>
                <w:sz w:val="18"/>
                <w:szCs w:val="20"/>
              </w:rPr>
              <w:t>Optimalizovať podporné a prierezové činností na ministerstvách a v pridružených organizáciách</w:t>
            </w:r>
          </w:p>
        </w:tc>
        <w:tc>
          <w:tcPr>
            <w:tcW w:w="1134" w:type="dxa"/>
            <w:tcBorders>
              <w:top w:val="nil"/>
              <w:left w:val="nil"/>
              <w:bottom w:val="dashed" w:sz="4" w:space="0" w:color="BFBFBF" w:themeColor="background1" w:themeShade="BF"/>
              <w:right w:val="nil"/>
            </w:tcBorders>
            <w:shd w:val="clear" w:color="auto" w:fill="auto"/>
            <w:vAlign w:val="center"/>
          </w:tcPr>
          <w:p w14:paraId="36C2CC03" w14:textId="77777777" w:rsidR="00A1770B" w:rsidRPr="000939E3" w:rsidRDefault="00A1770B" w:rsidP="00A1770B">
            <w:pPr>
              <w:spacing w:after="0" w:line="240" w:lineRule="auto"/>
              <w:jc w:val="center"/>
              <w:rPr>
                <w:rFonts w:eastAsia="Times New Roman" w:cs="Times New Roman"/>
                <w:i/>
                <w:color w:val="000000"/>
                <w:sz w:val="18"/>
                <w:szCs w:val="20"/>
                <w:lang w:eastAsia="sk-SK"/>
              </w:rPr>
            </w:pPr>
            <w:r w:rsidRPr="000939E3">
              <w:rPr>
                <w:rFonts w:eastAsia="Times New Roman" w:cs="Times New Roman"/>
                <w:i/>
                <w:color w:val="000000"/>
                <w:sz w:val="18"/>
                <w:szCs w:val="20"/>
              </w:rPr>
              <w:t>ŠR</w:t>
            </w:r>
          </w:p>
        </w:tc>
        <w:tc>
          <w:tcPr>
            <w:tcW w:w="992" w:type="dxa"/>
            <w:tcBorders>
              <w:top w:val="nil"/>
              <w:left w:val="nil"/>
              <w:bottom w:val="dashed" w:sz="4" w:space="0" w:color="BFBFBF" w:themeColor="background1" w:themeShade="BF"/>
              <w:right w:val="nil"/>
            </w:tcBorders>
            <w:shd w:val="clear" w:color="auto" w:fill="auto"/>
            <w:noWrap/>
            <w:vAlign w:val="center"/>
          </w:tcPr>
          <w:p w14:paraId="6A196E9F" w14:textId="7E091ECE" w:rsidR="00A1770B" w:rsidRPr="000939E3" w:rsidRDefault="00327A69" w:rsidP="00A1770B">
            <w:pPr>
              <w:spacing w:after="0" w:line="240" w:lineRule="auto"/>
              <w:jc w:val="center"/>
              <w:rPr>
                <w:rFonts w:eastAsia="Times New Roman" w:cs="Times New Roman"/>
                <w:color w:val="000000"/>
                <w:sz w:val="18"/>
                <w:szCs w:val="18"/>
                <w:lang w:eastAsia="sk-SK"/>
              </w:rPr>
            </w:pPr>
            <w:r w:rsidRPr="000939E3">
              <w:rPr>
                <w:rFonts w:eastAsia="Times New Roman" w:cs="Times New Roman"/>
                <w:color w:val="000000"/>
                <w:sz w:val="18"/>
                <w:szCs w:val="18"/>
                <w:lang w:eastAsia="sk-SK"/>
              </w:rPr>
              <w:t>9</w:t>
            </w:r>
          </w:p>
        </w:tc>
        <w:tc>
          <w:tcPr>
            <w:tcW w:w="993" w:type="dxa"/>
            <w:tcBorders>
              <w:top w:val="nil"/>
              <w:left w:val="nil"/>
              <w:bottom w:val="dashed" w:sz="4" w:space="0" w:color="BFBFBF" w:themeColor="background1" w:themeShade="BF"/>
              <w:right w:val="nil"/>
            </w:tcBorders>
            <w:vAlign w:val="center"/>
          </w:tcPr>
          <w:p w14:paraId="7D536679" w14:textId="4CC1A2CD" w:rsidR="00A1770B" w:rsidRPr="000939E3" w:rsidRDefault="00FB5659" w:rsidP="00FB5659">
            <w:pPr>
              <w:spacing w:after="0" w:line="240" w:lineRule="auto"/>
              <w:jc w:val="center"/>
              <w:rPr>
                <w:rFonts w:eastAsia="Times New Roman" w:cs="Times New Roman"/>
                <w:i/>
                <w:color w:val="000000"/>
                <w:sz w:val="18"/>
                <w:szCs w:val="20"/>
                <w:lang w:eastAsia="sk-SK"/>
              </w:rPr>
            </w:pPr>
            <w:r w:rsidRPr="000939E3">
              <w:rPr>
                <w:rFonts w:eastAsia="Times New Roman" w:cs="Times New Roman"/>
                <w:i/>
                <w:color w:val="000000"/>
                <w:sz w:val="18"/>
                <w:szCs w:val="20"/>
                <w:lang w:eastAsia="sk-SK"/>
              </w:rPr>
              <w:t>44</w:t>
            </w:r>
          </w:p>
        </w:tc>
        <w:tc>
          <w:tcPr>
            <w:tcW w:w="1275" w:type="dxa"/>
            <w:tcBorders>
              <w:top w:val="nil"/>
              <w:left w:val="nil"/>
              <w:bottom w:val="dashed" w:sz="4" w:space="0" w:color="BFBFBF" w:themeColor="background1" w:themeShade="BF"/>
              <w:right w:val="nil"/>
            </w:tcBorders>
            <w:shd w:val="clear" w:color="auto" w:fill="auto"/>
            <w:vAlign w:val="center"/>
          </w:tcPr>
          <w:p w14:paraId="54CD8AEA" w14:textId="49026E6F" w:rsidR="00A1770B" w:rsidRPr="000939E3" w:rsidRDefault="00A1770B" w:rsidP="00A1770B">
            <w:pPr>
              <w:spacing w:after="0" w:line="240" w:lineRule="auto"/>
              <w:jc w:val="center"/>
              <w:rPr>
                <w:rFonts w:eastAsia="Times New Roman" w:cs="Times New Roman"/>
                <w:i/>
                <w:color w:val="000000"/>
                <w:sz w:val="18"/>
                <w:szCs w:val="20"/>
                <w:lang w:eastAsia="sk-SK"/>
              </w:rPr>
            </w:pPr>
            <w:r w:rsidRPr="000939E3">
              <w:rPr>
                <w:rFonts w:eastAsia="Times New Roman" w:cs="Times New Roman"/>
                <w:i/>
                <w:color w:val="000000"/>
                <w:sz w:val="18"/>
                <w:szCs w:val="20"/>
                <w:lang w:eastAsia="sk-SK"/>
              </w:rPr>
              <w:t>MF SR, MV SR, ministerstvá</w:t>
            </w:r>
          </w:p>
        </w:tc>
      </w:tr>
      <w:tr w:rsidR="00A1770B" w:rsidRPr="000939E3" w14:paraId="1B1DE4AD" w14:textId="77777777" w:rsidTr="001A3985">
        <w:trPr>
          <w:trHeight w:val="330"/>
        </w:trPr>
        <w:tc>
          <w:tcPr>
            <w:tcW w:w="161" w:type="dxa"/>
            <w:vMerge/>
            <w:tcBorders>
              <w:left w:val="nil"/>
              <w:bottom w:val="dashed" w:sz="4" w:space="0" w:color="BFBFBF" w:themeColor="background1" w:themeShade="BF"/>
              <w:right w:val="nil"/>
            </w:tcBorders>
            <w:shd w:val="clear" w:color="auto" w:fill="auto"/>
            <w:noWrap/>
            <w:vAlign w:val="center"/>
          </w:tcPr>
          <w:p w14:paraId="66AB036D" w14:textId="77777777" w:rsidR="00A1770B" w:rsidRPr="000939E3" w:rsidRDefault="00A1770B" w:rsidP="00A1770B">
            <w:pPr>
              <w:spacing w:after="0" w:line="240" w:lineRule="auto"/>
              <w:jc w:val="center"/>
              <w:rPr>
                <w:rFonts w:eastAsia="Times New Roman" w:cs="Times New Roman"/>
                <w:bCs/>
                <w:color w:val="000000"/>
                <w:sz w:val="20"/>
                <w:lang w:eastAsia="sk-SK"/>
              </w:rPr>
            </w:pPr>
          </w:p>
        </w:tc>
        <w:tc>
          <w:tcPr>
            <w:tcW w:w="265" w:type="dxa"/>
            <w:vMerge/>
            <w:tcBorders>
              <w:left w:val="nil"/>
              <w:bottom w:val="dashed" w:sz="4" w:space="0" w:color="BFBFBF" w:themeColor="background1" w:themeShade="BF"/>
              <w:right w:val="nil"/>
            </w:tcBorders>
            <w:shd w:val="clear" w:color="auto" w:fill="auto"/>
            <w:vAlign w:val="center"/>
          </w:tcPr>
          <w:p w14:paraId="49AF689B" w14:textId="77777777" w:rsidR="00A1770B" w:rsidRPr="000939E3" w:rsidRDefault="00A1770B" w:rsidP="00A1770B">
            <w:pPr>
              <w:spacing w:after="0" w:line="240" w:lineRule="auto"/>
              <w:ind w:left="227"/>
              <w:jc w:val="left"/>
              <w:rPr>
                <w:rFonts w:eastAsia="Times New Roman" w:cs="Times New Roman"/>
                <w:color w:val="000000"/>
                <w:sz w:val="20"/>
                <w:szCs w:val="20"/>
                <w:lang w:eastAsia="sk-SK"/>
              </w:rPr>
            </w:pPr>
          </w:p>
        </w:tc>
        <w:tc>
          <w:tcPr>
            <w:tcW w:w="4252" w:type="dxa"/>
            <w:tcBorders>
              <w:top w:val="nil"/>
              <w:left w:val="nil"/>
              <w:bottom w:val="dashed" w:sz="4" w:space="0" w:color="BFBFBF" w:themeColor="background1" w:themeShade="BF"/>
              <w:right w:val="nil"/>
            </w:tcBorders>
            <w:shd w:val="clear" w:color="auto" w:fill="auto"/>
            <w:vAlign w:val="center"/>
          </w:tcPr>
          <w:p w14:paraId="694CCD62" w14:textId="04E4DCCE" w:rsidR="00A1770B" w:rsidRPr="000939E3" w:rsidRDefault="00A1770B" w:rsidP="00A1770B">
            <w:pPr>
              <w:spacing w:after="0" w:line="240" w:lineRule="auto"/>
              <w:jc w:val="left"/>
              <w:rPr>
                <w:rFonts w:eastAsia="Times New Roman" w:cs="Times New Roman"/>
                <w:color w:val="000000"/>
                <w:sz w:val="20"/>
                <w:szCs w:val="20"/>
                <w:lang w:eastAsia="sk-SK"/>
              </w:rPr>
            </w:pPr>
            <w:r w:rsidRPr="000939E3">
              <w:rPr>
                <w:rFonts w:eastAsia="Times New Roman" w:cs="Times New Roman"/>
                <w:i/>
                <w:iCs/>
                <w:sz w:val="18"/>
                <w:szCs w:val="20"/>
              </w:rPr>
              <w:t>Monitorovať a vynucovať deklarované úspory z IT projektov</w:t>
            </w:r>
          </w:p>
        </w:tc>
        <w:tc>
          <w:tcPr>
            <w:tcW w:w="1134" w:type="dxa"/>
            <w:tcBorders>
              <w:top w:val="nil"/>
              <w:left w:val="nil"/>
              <w:bottom w:val="dashed" w:sz="4" w:space="0" w:color="BFBFBF" w:themeColor="background1" w:themeShade="BF"/>
              <w:right w:val="nil"/>
            </w:tcBorders>
            <w:shd w:val="clear" w:color="auto" w:fill="auto"/>
            <w:vAlign w:val="center"/>
          </w:tcPr>
          <w:p w14:paraId="427028F4" w14:textId="77777777" w:rsidR="00A1770B" w:rsidRPr="000939E3" w:rsidRDefault="00A1770B" w:rsidP="00A1770B">
            <w:pPr>
              <w:spacing w:after="0" w:line="240" w:lineRule="auto"/>
              <w:jc w:val="center"/>
              <w:rPr>
                <w:rFonts w:eastAsia="Times New Roman" w:cs="Times New Roman"/>
                <w:i/>
                <w:color w:val="000000"/>
                <w:sz w:val="18"/>
                <w:szCs w:val="20"/>
                <w:lang w:eastAsia="sk-SK"/>
              </w:rPr>
            </w:pPr>
            <w:r w:rsidRPr="000939E3">
              <w:rPr>
                <w:rFonts w:eastAsia="Times New Roman" w:cs="Times New Roman"/>
                <w:i/>
                <w:color w:val="000000"/>
                <w:sz w:val="18"/>
                <w:szCs w:val="20"/>
              </w:rPr>
              <w:t>ŠR</w:t>
            </w:r>
          </w:p>
        </w:tc>
        <w:tc>
          <w:tcPr>
            <w:tcW w:w="992" w:type="dxa"/>
            <w:tcBorders>
              <w:top w:val="nil"/>
              <w:left w:val="nil"/>
              <w:bottom w:val="dashed" w:sz="4" w:space="0" w:color="BFBFBF" w:themeColor="background1" w:themeShade="BF"/>
              <w:right w:val="nil"/>
            </w:tcBorders>
            <w:shd w:val="clear" w:color="auto" w:fill="auto"/>
            <w:noWrap/>
            <w:vAlign w:val="center"/>
          </w:tcPr>
          <w:p w14:paraId="63DFF83F" w14:textId="131C21AF" w:rsidR="00A1770B" w:rsidRPr="000939E3" w:rsidRDefault="00113AE6" w:rsidP="00A1770B">
            <w:pPr>
              <w:spacing w:after="0" w:line="240" w:lineRule="auto"/>
              <w:jc w:val="center"/>
              <w:rPr>
                <w:rFonts w:eastAsia="Times New Roman" w:cs="Times New Roman"/>
                <w:color w:val="000000"/>
                <w:sz w:val="18"/>
                <w:szCs w:val="20"/>
                <w:lang w:eastAsia="sk-SK"/>
              </w:rPr>
            </w:pPr>
            <w:r w:rsidRPr="000939E3">
              <w:rPr>
                <w:rFonts w:eastAsia="Times New Roman" w:cs="Times New Roman"/>
                <w:color w:val="000000"/>
                <w:sz w:val="18"/>
                <w:szCs w:val="20"/>
                <w:lang w:eastAsia="sk-SK"/>
              </w:rPr>
              <w:t>2</w:t>
            </w:r>
          </w:p>
        </w:tc>
        <w:tc>
          <w:tcPr>
            <w:tcW w:w="993" w:type="dxa"/>
            <w:tcBorders>
              <w:top w:val="nil"/>
              <w:left w:val="nil"/>
              <w:bottom w:val="dashed" w:sz="4" w:space="0" w:color="BFBFBF" w:themeColor="background1" w:themeShade="BF"/>
              <w:right w:val="nil"/>
            </w:tcBorders>
            <w:vAlign w:val="center"/>
          </w:tcPr>
          <w:p w14:paraId="240FAB0F" w14:textId="3B8F8138" w:rsidR="00A1770B" w:rsidRPr="000939E3" w:rsidRDefault="00F649A5" w:rsidP="00F649A5">
            <w:pPr>
              <w:spacing w:after="0" w:line="240" w:lineRule="auto"/>
              <w:jc w:val="center"/>
              <w:rPr>
                <w:rFonts w:eastAsia="Times New Roman" w:cs="Times New Roman"/>
                <w:i/>
                <w:color w:val="000000"/>
                <w:sz w:val="18"/>
                <w:szCs w:val="20"/>
                <w:lang w:eastAsia="sk-SK"/>
              </w:rPr>
            </w:pPr>
            <w:r w:rsidRPr="000939E3">
              <w:rPr>
                <w:rFonts w:eastAsia="Times New Roman" w:cs="Times New Roman"/>
                <w:i/>
                <w:iCs/>
                <w:color w:val="000000"/>
                <w:sz w:val="18"/>
                <w:szCs w:val="20"/>
              </w:rPr>
              <w:t>104</w:t>
            </w:r>
            <w:r w:rsidR="002F079F" w:rsidRPr="000939E3">
              <w:rPr>
                <w:rFonts w:eastAsia="Times New Roman" w:cs="Times New Roman"/>
                <w:i/>
                <w:iCs/>
                <w:color w:val="000000"/>
                <w:sz w:val="18"/>
                <w:szCs w:val="20"/>
              </w:rPr>
              <w:t>*</w:t>
            </w:r>
          </w:p>
        </w:tc>
        <w:tc>
          <w:tcPr>
            <w:tcW w:w="1275" w:type="dxa"/>
            <w:tcBorders>
              <w:top w:val="nil"/>
              <w:left w:val="nil"/>
              <w:bottom w:val="dashed" w:sz="4" w:space="0" w:color="BFBFBF" w:themeColor="background1" w:themeShade="BF"/>
              <w:right w:val="nil"/>
            </w:tcBorders>
            <w:shd w:val="clear" w:color="auto" w:fill="auto"/>
            <w:vAlign w:val="center"/>
          </w:tcPr>
          <w:p w14:paraId="57F98987" w14:textId="038F1B1C" w:rsidR="00A1770B" w:rsidRPr="000939E3" w:rsidRDefault="00A1770B" w:rsidP="00A1770B">
            <w:pPr>
              <w:spacing w:after="0" w:line="240" w:lineRule="auto"/>
              <w:jc w:val="center"/>
              <w:rPr>
                <w:rFonts w:eastAsia="Times New Roman" w:cs="Times New Roman"/>
                <w:i/>
                <w:color w:val="000000"/>
                <w:sz w:val="18"/>
                <w:szCs w:val="20"/>
                <w:lang w:eastAsia="sk-SK"/>
              </w:rPr>
            </w:pPr>
            <w:r w:rsidRPr="000939E3">
              <w:rPr>
                <w:rFonts w:eastAsia="Times New Roman" w:cs="Times New Roman"/>
                <w:i/>
                <w:color w:val="000000"/>
                <w:sz w:val="18"/>
                <w:szCs w:val="20"/>
                <w:lang w:eastAsia="sk-SK"/>
              </w:rPr>
              <w:t>prijímatelia</w:t>
            </w:r>
          </w:p>
        </w:tc>
      </w:tr>
      <w:tr w:rsidR="00A1770B" w:rsidRPr="000939E3" w14:paraId="68E8EC7C" w14:textId="77777777" w:rsidTr="001A3985">
        <w:trPr>
          <w:trHeight w:val="172"/>
        </w:trPr>
        <w:tc>
          <w:tcPr>
            <w:tcW w:w="161" w:type="dxa"/>
            <w:tcBorders>
              <w:top w:val="dashed" w:sz="4" w:space="0" w:color="BFBFBF" w:themeColor="background1" w:themeShade="BF"/>
              <w:left w:val="nil"/>
              <w:bottom w:val="dashed" w:sz="4" w:space="0" w:color="BFBFBF" w:themeColor="background1" w:themeShade="BF"/>
              <w:right w:val="nil"/>
            </w:tcBorders>
            <w:shd w:val="clear" w:color="auto" w:fill="auto"/>
            <w:noWrap/>
            <w:vAlign w:val="center"/>
            <w:hideMark/>
          </w:tcPr>
          <w:p w14:paraId="64DA7226" w14:textId="77777777" w:rsidR="00A1770B" w:rsidRPr="000939E3" w:rsidRDefault="00A1770B" w:rsidP="00A1770B">
            <w:pPr>
              <w:spacing w:after="0" w:line="240" w:lineRule="auto"/>
              <w:jc w:val="center"/>
              <w:rPr>
                <w:rFonts w:eastAsia="Times New Roman" w:cs="Times New Roman"/>
                <w:bCs/>
                <w:color w:val="000000"/>
                <w:sz w:val="20"/>
                <w:lang w:eastAsia="sk-SK"/>
              </w:rPr>
            </w:pPr>
            <w:r w:rsidRPr="000939E3">
              <w:rPr>
                <w:rFonts w:eastAsia="Times New Roman" w:cs="Times New Roman"/>
                <w:bCs/>
                <w:color w:val="000000"/>
                <w:sz w:val="20"/>
                <w:lang w:eastAsia="sk-SK"/>
              </w:rPr>
              <w:t>2</w:t>
            </w:r>
          </w:p>
        </w:tc>
        <w:tc>
          <w:tcPr>
            <w:tcW w:w="4517" w:type="dxa"/>
            <w:gridSpan w:val="2"/>
            <w:tcBorders>
              <w:top w:val="dashed" w:sz="4" w:space="0" w:color="BFBFBF" w:themeColor="background1" w:themeShade="BF"/>
              <w:left w:val="nil"/>
              <w:bottom w:val="dashed" w:sz="4" w:space="0" w:color="BFBFBF" w:themeColor="background1" w:themeShade="BF"/>
              <w:right w:val="nil"/>
            </w:tcBorders>
            <w:shd w:val="clear" w:color="auto" w:fill="auto"/>
            <w:vAlign w:val="center"/>
            <w:hideMark/>
          </w:tcPr>
          <w:p w14:paraId="2B5A0994" w14:textId="03356A74" w:rsidR="00A1770B" w:rsidRPr="000939E3" w:rsidRDefault="00A1770B" w:rsidP="00A1770B">
            <w:pPr>
              <w:spacing w:after="0" w:line="240" w:lineRule="auto"/>
              <w:jc w:val="left"/>
              <w:rPr>
                <w:rFonts w:eastAsia="Times New Roman" w:cs="Times New Roman"/>
                <w:sz w:val="20"/>
                <w:szCs w:val="20"/>
                <w:lang w:eastAsia="sk-SK"/>
              </w:rPr>
            </w:pPr>
            <w:r w:rsidRPr="000939E3">
              <w:rPr>
                <w:rFonts w:eastAsia="Times New Roman" w:cs="Times New Roman"/>
                <w:color w:val="000000"/>
                <w:sz w:val="20"/>
                <w:szCs w:val="20"/>
              </w:rPr>
              <w:t>Optimalizovať zamestnanosť v štátnych podnikoch</w:t>
            </w:r>
          </w:p>
        </w:tc>
        <w:tc>
          <w:tcPr>
            <w:tcW w:w="1134" w:type="dxa"/>
            <w:tcBorders>
              <w:top w:val="dashed" w:sz="4" w:space="0" w:color="BFBFBF" w:themeColor="background1" w:themeShade="BF"/>
              <w:left w:val="nil"/>
              <w:bottom w:val="dashed" w:sz="4" w:space="0" w:color="BFBFBF" w:themeColor="background1" w:themeShade="BF"/>
              <w:right w:val="nil"/>
            </w:tcBorders>
            <w:shd w:val="clear" w:color="auto" w:fill="auto"/>
            <w:vAlign w:val="center"/>
            <w:hideMark/>
          </w:tcPr>
          <w:p w14:paraId="382E2A37" w14:textId="77777777" w:rsidR="00A1770B" w:rsidRPr="000939E3" w:rsidRDefault="00A1770B"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rPr>
              <w:t>štátne podniky</w:t>
            </w:r>
          </w:p>
        </w:tc>
        <w:tc>
          <w:tcPr>
            <w:tcW w:w="992" w:type="dxa"/>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5E164357" w14:textId="528B8C1E" w:rsidR="00A1770B" w:rsidRPr="000939E3" w:rsidRDefault="00327A69"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33</w:t>
            </w:r>
          </w:p>
        </w:tc>
        <w:tc>
          <w:tcPr>
            <w:tcW w:w="993" w:type="dxa"/>
            <w:tcBorders>
              <w:top w:val="dashed" w:sz="4" w:space="0" w:color="BFBFBF" w:themeColor="background1" w:themeShade="BF"/>
              <w:left w:val="nil"/>
              <w:bottom w:val="dashed" w:sz="4" w:space="0" w:color="BFBFBF" w:themeColor="background1" w:themeShade="BF"/>
              <w:right w:val="nil"/>
            </w:tcBorders>
            <w:vAlign w:val="center"/>
          </w:tcPr>
          <w:p w14:paraId="212CFF35" w14:textId="4E8B4213" w:rsidR="00A1770B" w:rsidRPr="000939E3" w:rsidRDefault="00327A69"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67</w:t>
            </w:r>
          </w:p>
        </w:tc>
        <w:tc>
          <w:tcPr>
            <w:tcW w:w="1275" w:type="dxa"/>
            <w:tcBorders>
              <w:top w:val="dashed" w:sz="4" w:space="0" w:color="BFBFBF" w:themeColor="background1" w:themeShade="BF"/>
              <w:left w:val="nil"/>
              <w:bottom w:val="dashed" w:sz="4" w:space="0" w:color="BFBFBF" w:themeColor="background1" w:themeShade="BF"/>
              <w:right w:val="nil"/>
            </w:tcBorders>
            <w:shd w:val="clear" w:color="auto" w:fill="auto"/>
            <w:vAlign w:val="center"/>
          </w:tcPr>
          <w:p w14:paraId="7D7ABE71" w14:textId="08222689" w:rsidR="00A1770B" w:rsidRPr="000939E3" w:rsidRDefault="00A1770B"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MF SR</w:t>
            </w:r>
          </w:p>
        </w:tc>
      </w:tr>
      <w:tr w:rsidR="00A1770B" w:rsidRPr="000939E3" w14:paraId="7A4D0562" w14:textId="77777777" w:rsidTr="001A3985">
        <w:trPr>
          <w:trHeight w:val="122"/>
        </w:trPr>
        <w:tc>
          <w:tcPr>
            <w:tcW w:w="161" w:type="dxa"/>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4AC53F91" w14:textId="77777777" w:rsidR="00A1770B" w:rsidRPr="000939E3" w:rsidRDefault="00A1770B" w:rsidP="00A1770B">
            <w:pPr>
              <w:spacing w:after="0" w:line="240" w:lineRule="auto"/>
              <w:jc w:val="center"/>
              <w:rPr>
                <w:rFonts w:eastAsia="Times New Roman" w:cs="Times New Roman"/>
                <w:bCs/>
                <w:color w:val="000000"/>
                <w:sz w:val="20"/>
                <w:lang w:eastAsia="sk-SK"/>
              </w:rPr>
            </w:pPr>
            <w:r w:rsidRPr="000939E3">
              <w:rPr>
                <w:rFonts w:eastAsia="Times New Roman" w:cs="Times New Roman"/>
                <w:bCs/>
                <w:color w:val="000000"/>
                <w:sz w:val="20"/>
                <w:lang w:eastAsia="sk-SK"/>
              </w:rPr>
              <w:t>3</w:t>
            </w:r>
          </w:p>
        </w:tc>
        <w:tc>
          <w:tcPr>
            <w:tcW w:w="4517" w:type="dxa"/>
            <w:gridSpan w:val="2"/>
            <w:tcBorders>
              <w:top w:val="dashed" w:sz="4" w:space="0" w:color="BFBFBF" w:themeColor="background1" w:themeShade="BF"/>
              <w:left w:val="nil"/>
              <w:bottom w:val="dashed" w:sz="4" w:space="0" w:color="BFBFBF" w:themeColor="background1" w:themeShade="BF"/>
              <w:right w:val="nil"/>
            </w:tcBorders>
            <w:shd w:val="clear" w:color="auto" w:fill="auto"/>
            <w:vAlign w:val="center"/>
          </w:tcPr>
          <w:p w14:paraId="0C247472" w14:textId="7514E912" w:rsidR="00A1770B" w:rsidRPr="000939E3" w:rsidRDefault="00A1770B" w:rsidP="00A1770B">
            <w:pPr>
              <w:spacing w:after="0" w:line="240" w:lineRule="auto"/>
              <w:jc w:val="left"/>
              <w:rPr>
                <w:rFonts w:eastAsia="Times New Roman" w:cs="Times New Roman"/>
                <w:color w:val="000000"/>
                <w:sz w:val="20"/>
                <w:szCs w:val="20"/>
                <w:lang w:eastAsia="sk-SK"/>
              </w:rPr>
            </w:pPr>
            <w:r w:rsidRPr="000939E3">
              <w:rPr>
                <w:rFonts w:eastAsia="Times New Roman" w:cs="Times New Roman"/>
                <w:sz w:val="20"/>
                <w:szCs w:val="20"/>
              </w:rPr>
              <w:t>Znížiť počet policajtov na priemer EÚ do roku 2027</w:t>
            </w:r>
          </w:p>
        </w:tc>
        <w:tc>
          <w:tcPr>
            <w:tcW w:w="1134" w:type="dxa"/>
            <w:tcBorders>
              <w:top w:val="dashed" w:sz="4" w:space="0" w:color="BFBFBF" w:themeColor="background1" w:themeShade="BF"/>
              <w:left w:val="nil"/>
              <w:bottom w:val="dashed" w:sz="4" w:space="0" w:color="BFBFBF" w:themeColor="background1" w:themeShade="BF"/>
              <w:right w:val="nil"/>
            </w:tcBorders>
            <w:shd w:val="clear" w:color="auto" w:fill="auto"/>
            <w:vAlign w:val="center"/>
          </w:tcPr>
          <w:p w14:paraId="6D93F9ED" w14:textId="77777777" w:rsidR="00A1770B" w:rsidRPr="000939E3" w:rsidRDefault="00A1770B"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rPr>
              <w:t>ŠR</w:t>
            </w:r>
          </w:p>
        </w:tc>
        <w:tc>
          <w:tcPr>
            <w:tcW w:w="992" w:type="dxa"/>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60E7E1FF" w14:textId="3961330C" w:rsidR="00A1770B" w:rsidRPr="000939E3" w:rsidRDefault="00E3489C"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16</w:t>
            </w:r>
          </w:p>
        </w:tc>
        <w:tc>
          <w:tcPr>
            <w:tcW w:w="993" w:type="dxa"/>
            <w:tcBorders>
              <w:top w:val="dashed" w:sz="4" w:space="0" w:color="BFBFBF" w:themeColor="background1" w:themeShade="BF"/>
              <w:left w:val="nil"/>
              <w:bottom w:val="dashed" w:sz="4" w:space="0" w:color="BFBFBF" w:themeColor="background1" w:themeShade="BF"/>
              <w:right w:val="nil"/>
            </w:tcBorders>
            <w:vAlign w:val="center"/>
          </w:tcPr>
          <w:p w14:paraId="0A29E4FE" w14:textId="1951E010" w:rsidR="00A1770B" w:rsidRPr="000939E3" w:rsidRDefault="00A1770B"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rPr>
              <w:t>96</w:t>
            </w:r>
          </w:p>
        </w:tc>
        <w:tc>
          <w:tcPr>
            <w:tcW w:w="1275" w:type="dxa"/>
            <w:tcBorders>
              <w:top w:val="dashed" w:sz="4" w:space="0" w:color="BFBFBF" w:themeColor="background1" w:themeShade="BF"/>
              <w:left w:val="nil"/>
              <w:bottom w:val="dashed" w:sz="4" w:space="0" w:color="BFBFBF" w:themeColor="background1" w:themeShade="BF"/>
              <w:right w:val="nil"/>
            </w:tcBorders>
            <w:shd w:val="clear" w:color="auto" w:fill="auto"/>
            <w:vAlign w:val="center"/>
          </w:tcPr>
          <w:p w14:paraId="0DBF2DCF" w14:textId="564758E3" w:rsidR="00A1770B" w:rsidRPr="000939E3" w:rsidRDefault="00A1770B"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MV SR</w:t>
            </w:r>
          </w:p>
        </w:tc>
      </w:tr>
      <w:tr w:rsidR="00A1770B" w:rsidRPr="000939E3" w14:paraId="4311D0FC" w14:textId="77777777" w:rsidTr="001A3985">
        <w:trPr>
          <w:trHeight w:val="122"/>
        </w:trPr>
        <w:tc>
          <w:tcPr>
            <w:tcW w:w="161" w:type="dxa"/>
            <w:tcBorders>
              <w:top w:val="dashed" w:sz="4" w:space="0" w:color="BFBFBF" w:themeColor="background1" w:themeShade="BF"/>
              <w:left w:val="nil"/>
              <w:bottom w:val="dashed" w:sz="4" w:space="0" w:color="BFBFBF" w:themeColor="background1" w:themeShade="BF"/>
              <w:right w:val="nil"/>
            </w:tcBorders>
            <w:shd w:val="clear" w:color="auto" w:fill="auto"/>
            <w:noWrap/>
            <w:vAlign w:val="center"/>
            <w:hideMark/>
          </w:tcPr>
          <w:p w14:paraId="77D480BA" w14:textId="77777777" w:rsidR="00A1770B" w:rsidRPr="000939E3" w:rsidRDefault="00A1770B" w:rsidP="00A1770B">
            <w:pPr>
              <w:spacing w:after="0" w:line="240" w:lineRule="auto"/>
              <w:jc w:val="center"/>
              <w:rPr>
                <w:rFonts w:eastAsia="Times New Roman" w:cs="Times New Roman"/>
                <w:bCs/>
                <w:color w:val="000000"/>
                <w:sz w:val="20"/>
                <w:lang w:eastAsia="sk-SK"/>
              </w:rPr>
            </w:pPr>
            <w:r w:rsidRPr="000939E3">
              <w:rPr>
                <w:rFonts w:eastAsia="Times New Roman" w:cs="Times New Roman"/>
                <w:bCs/>
                <w:color w:val="000000"/>
                <w:sz w:val="20"/>
                <w:lang w:eastAsia="sk-SK"/>
              </w:rPr>
              <w:t>4</w:t>
            </w:r>
          </w:p>
        </w:tc>
        <w:tc>
          <w:tcPr>
            <w:tcW w:w="4517" w:type="dxa"/>
            <w:gridSpan w:val="2"/>
            <w:tcBorders>
              <w:top w:val="dashed" w:sz="4" w:space="0" w:color="BFBFBF" w:themeColor="background1" w:themeShade="BF"/>
              <w:left w:val="nil"/>
              <w:bottom w:val="dashed" w:sz="4" w:space="0" w:color="BFBFBF" w:themeColor="background1" w:themeShade="BF"/>
              <w:right w:val="nil"/>
            </w:tcBorders>
            <w:shd w:val="clear" w:color="auto" w:fill="auto"/>
            <w:vAlign w:val="center"/>
            <w:hideMark/>
          </w:tcPr>
          <w:p w14:paraId="2E5B50CA" w14:textId="2D310E52" w:rsidR="00A1770B" w:rsidRPr="000939E3" w:rsidRDefault="00A1770B" w:rsidP="00A1770B">
            <w:pPr>
              <w:spacing w:after="0" w:line="240" w:lineRule="auto"/>
              <w:jc w:val="left"/>
              <w:rPr>
                <w:rFonts w:eastAsia="Times New Roman" w:cs="Times New Roman"/>
                <w:color w:val="000000"/>
                <w:sz w:val="20"/>
                <w:szCs w:val="20"/>
                <w:lang w:eastAsia="sk-SK"/>
              </w:rPr>
            </w:pPr>
            <w:r w:rsidRPr="000939E3">
              <w:rPr>
                <w:rFonts w:eastAsia="Times New Roman" w:cs="Times New Roman"/>
                <w:color w:val="000000"/>
                <w:sz w:val="20"/>
                <w:szCs w:val="20"/>
              </w:rPr>
              <w:t xml:space="preserve">Racionalizovať školskú sieť v regionálnom školstve </w:t>
            </w:r>
          </w:p>
        </w:tc>
        <w:tc>
          <w:tcPr>
            <w:tcW w:w="1134" w:type="dxa"/>
            <w:tcBorders>
              <w:top w:val="dashed" w:sz="4" w:space="0" w:color="BFBFBF" w:themeColor="background1" w:themeShade="BF"/>
              <w:left w:val="nil"/>
              <w:bottom w:val="dashed" w:sz="4" w:space="0" w:color="BFBFBF" w:themeColor="background1" w:themeShade="BF"/>
              <w:right w:val="nil"/>
            </w:tcBorders>
            <w:shd w:val="clear" w:color="auto" w:fill="auto"/>
            <w:vAlign w:val="center"/>
            <w:hideMark/>
          </w:tcPr>
          <w:p w14:paraId="00371A8C" w14:textId="77777777" w:rsidR="00A1770B" w:rsidRPr="000939E3" w:rsidRDefault="00A1770B"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rPr>
              <w:t>ŠR</w:t>
            </w:r>
          </w:p>
        </w:tc>
        <w:tc>
          <w:tcPr>
            <w:tcW w:w="992" w:type="dxa"/>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5D021312" w14:textId="60F02747" w:rsidR="00A1770B" w:rsidRPr="000939E3" w:rsidRDefault="00E3489C"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w:t>
            </w:r>
          </w:p>
        </w:tc>
        <w:tc>
          <w:tcPr>
            <w:tcW w:w="993" w:type="dxa"/>
            <w:tcBorders>
              <w:top w:val="dashed" w:sz="4" w:space="0" w:color="BFBFBF" w:themeColor="background1" w:themeShade="BF"/>
              <w:left w:val="nil"/>
              <w:bottom w:val="dashed" w:sz="4" w:space="0" w:color="BFBFBF" w:themeColor="background1" w:themeShade="BF"/>
              <w:right w:val="nil"/>
            </w:tcBorders>
            <w:vAlign w:val="center"/>
          </w:tcPr>
          <w:p w14:paraId="0C0078B1" w14:textId="0B5D06A8" w:rsidR="00A1770B" w:rsidRPr="000939E3" w:rsidRDefault="00E71ACD" w:rsidP="00E71AC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rPr>
              <w:t>15</w:t>
            </w:r>
          </w:p>
        </w:tc>
        <w:tc>
          <w:tcPr>
            <w:tcW w:w="1275" w:type="dxa"/>
            <w:tcBorders>
              <w:top w:val="dashed" w:sz="4" w:space="0" w:color="BFBFBF" w:themeColor="background1" w:themeShade="BF"/>
              <w:left w:val="nil"/>
              <w:bottom w:val="dashed" w:sz="4" w:space="0" w:color="BFBFBF" w:themeColor="background1" w:themeShade="BF"/>
              <w:right w:val="nil"/>
            </w:tcBorders>
            <w:shd w:val="clear" w:color="auto" w:fill="auto"/>
            <w:vAlign w:val="center"/>
          </w:tcPr>
          <w:p w14:paraId="4F6DD1AE" w14:textId="0442A6AA" w:rsidR="00A1770B" w:rsidRPr="000939E3" w:rsidRDefault="00A1770B"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MŠVVaŠ SR</w:t>
            </w:r>
          </w:p>
        </w:tc>
      </w:tr>
      <w:tr w:rsidR="00A1770B" w:rsidRPr="000939E3" w14:paraId="30B7C2D0" w14:textId="77777777" w:rsidTr="001A3985">
        <w:trPr>
          <w:trHeight w:val="172"/>
        </w:trPr>
        <w:tc>
          <w:tcPr>
            <w:tcW w:w="161" w:type="dxa"/>
            <w:tcBorders>
              <w:top w:val="dashed" w:sz="4" w:space="0" w:color="BFBFBF" w:themeColor="background1" w:themeShade="BF"/>
              <w:left w:val="nil"/>
              <w:bottom w:val="dashed" w:sz="4" w:space="0" w:color="BFBFBF" w:themeColor="background1" w:themeShade="BF"/>
              <w:right w:val="nil"/>
            </w:tcBorders>
            <w:shd w:val="clear" w:color="auto" w:fill="auto"/>
            <w:noWrap/>
            <w:vAlign w:val="center"/>
            <w:hideMark/>
          </w:tcPr>
          <w:p w14:paraId="1D8B260C" w14:textId="77777777" w:rsidR="00A1770B" w:rsidRPr="000939E3" w:rsidRDefault="00A1770B" w:rsidP="00A1770B">
            <w:pPr>
              <w:spacing w:after="0" w:line="240" w:lineRule="auto"/>
              <w:jc w:val="center"/>
              <w:rPr>
                <w:rFonts w:eastAsia="Times New Roman" w:cs="Times New Roman"/>
                <w:bCs/>
                <w:color w:val="000000"/>
                <w:sz w:val="20"/>
                <w:lang w:eastAsia="sk-SK"/>
              </w:rPr>
            </w:pPr>
            <w:r w:rsidRPr="000939E3">
              <w:rPr>
                <w:rFonts w:eastAsia="Times New Roman" w:cs="Times New Roman"/>
                <w:bCs/>
                <w:color w:val="000000"/>
                <w:sz w:val="20"/>
                <w:lang w:eastAsia="sk-SK"/>
              </w:rPr>
              <w:t>5</w:t>
            </w:r>
          </w:p>
        </w:tc>
        <w:tc>
          <w:tcPr>
            <w:tcW w:w="4517" w:type="dxa"/>
            <w:gridSpan w:val="2"/>
            <w:tcBorders>
              <w:top w:val="dashed" w:sz="4" w:space="0" w:color="BFBFBF" w:themeColor="background1" w:themeShade="BF"/>
              <w:left w:val="nil"/>
              <w:bottom w:val="dashed" w:sz="4" w:space="0" w:color="BFBFBF" w:themeColor="background1" w:themeShade="BF"/>
              <w:right w:val="nil"/>
            </w:tcBorders>
            <w:shd w:val="clear" w:color="auto" w:fill="auto"/>
            <w:vAlign w:val="center"/>
            <w:hideMark/>
          </w:tcPr>
          <w:p w14:paraId="7E3F4D4F" w14:textId="53022AC8" w:rsidR="00A1770B" w:rsidRPr="000939E3" w:rsidRDefault="00A1770B" w:rsidP="00A1770B">
            <w:pPr>
              <w:spacing w:after="0" w:line="240" w:lineRule="auto"/>
              <w:jc w:val="left"/>
              <w:rPr>
                <w:rFonts w:eastAsia="Times New Roman" w:cs="Times New Roman"/>
                <w:color w:val="000000"/>
                <w:sz w:val="20"/>
                <w:szCs w:val="20"/>
                <w:lang w:eastAsia="sk-SK"/>
              </w:rPr>
            </w:pPr>
            <w:r w:rsidRPr="000939E3">
              <w:rPr>
                <w:rFonts w:eastAsia="Times New Roman" w:cs="Times New Roman"/>
                <w:color w:val="000000"/>
                <w:sz w:val="20"/>
                <w:szCs w:val="20"/>
              </w:rPr>
              <w:t>Optimalizovať počet nepedagogických zamestnancov na VŠ</w:t>
            </w:r>
          </w:p>
        </w:tc>
        <w:tc>
          <w:tcPr>
            <w:tcW w:w="1134" w:type="dxa"/>
            <w:tcBorders>
              <w:top w:val="dashed" w:sz="4" w:space="0" w:color="BFBFBF" w:themeColor="background1" w:themeShade="BF"/>
              <w:left w:val="nil"/>
              <w:bottom w:val="dashed" w:sz="4" w:space="0" w:color="BFBFBF" w:themeColor="background1" w:themeShade="BF"/>
              <w:right w:val="nil"/>
            </w:tcBorders>
            <w:shd w:val="clear" w:color="auto" w:fill="auto"/>
            <w:vAlign w:val="center"/>
            <w:hideMark/>
          </w:tcPr>
          <w:p w14:paraId="5D85BD51" w14:textId="77777777" w:rsidR="00A1770B" w:rsidRPr="000939E3" w:rsidRDefault="00A1770B"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rPr>
              <w:t>ŠR</w:t>
            </w:r>
          </w:p>
        </w:tc>
        <w:tc>
          <w:tcPr>
            <w:tcW w:w="992" w:type="dxa"/>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6EBCC2BC" w14:textId="0AD50F2F" w:rsidR="00A1770B" w:rsidRPr="000939E3" w:rsidRDefault="003E1E1F" w:rsidP="003E1E1F">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44</w:t>
            </w:r>
          </w:p>
        </w:tc>
        <w:tc>
          <w:tcPr>
            <w:tcW w:w="993" w:type="dxa"/>
            <w:tcBorders>
              <w:top w:val="dashed" w:sz="4" w:space="0" w:color="BFBFBF" w:themeColor="background1" w:themeShade="BF"/>
              <w:left w:val="nil"/>
              <w:bottom w:val="dashed" w:sz="4" w:space="0" w:color="BFBFBF" w:themeColor="background1" w:themeShade="BF"/>
              <w:right w:val="nil"/>
            </w:tcBorders>
            <w:vAlign w:val="center"/>
          </w:tcPr>
          <w:p w14:paraId="159A8AB4" w14:textId="2AB441BC" w:rsidR="00A1770B" w:rsidRPr="000939E3" w:rsidRDefault="00A1770B" w:rsidP="003E1E1F">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rPr>
              <w:t>4</w:t>
            </w:r>
            <w:r w:rsidR="003E1E1F" w:rsidRPr="000939E3">
              <w:rPr>
                <w:rFonts w:eastAsia="Times New Roman" w:cs="Times New Roman"/>
                <w:color w:val="000000"/>
                <w:sz w:val="20"/>
                <w:szCs w:val="20"/>
              </w:rPr>
              <w:t>4</w:t>
            </w:r>
          </w:p>
        </w:tc>
        <w:tc>
          <w:tcPr>
            <w:tcW w:w="1275" w:type="dxa"/>
            <w:tcBorders>
              <w:top w:val="dashed" w:sz="4" w:space="0" w:color="BFBFBF" w:themeColor="background1" w:themeShade="BF"/>
              <w:left w:val="nil"/>
              <w:bottom w:val="dashed" w:sz="4" w:space="0" w:color="BFBFBF" w:themeColor="background1" w:themeShade="BF"/>
              <w:right w:val="nil"/>
            </w:tcBorders>
            <w:shd w:val="clear" w:color="auto" w:fill="auto"/>
            <w:vAlign w:val="center"/>
          </w:tcPr>
          <w:p w14:paraId="6D09EC36" w14:textId="0922C2DF" w:rsidR="00A1770B" w:rsidRPr="000939E3" w:rsidRDefault="00A1770B"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MŠVVaŠ SR</w:t>
            </w:r>
          </w:p>
        </w:tc>
      </w:tr>
      <w:tr w:rsidR="00A1770B" w:rsidRPr="000939E3" w14:paraId="33275F2A" w14:textId="77777777" w:rsidTr="001A3985">
        <w:trPr>
          <w:trHeight w:val="505"/>
        </w:trPr>
        <w:tc>
          <w:tcPr>
            <w:tcW w:w="161" w:type="dxa"/>
            <w:tcBorders>
              <w:top w:val="dashed" w:sz="4" w:space="0" w:color="BFBFBF" w:themeColor="background1" w:themeShade="BF"/>
              <w:left w:val="nil"/>
              <w:bottom w:val="dashed" w:sz="4" w:space="0" w:color="BFBFBF" w:themeColor="background1" w:themeShade="BF"/>
              <w:right w:val="nil"/>
            </w:tcBorders>
            <w:shd w:val="clear" w:color="auto" w:fill="auto"/>
            <w:noWrap/>
            <w:vAlign w:val="center"/>
            <w:hideMark/>
          </w:tcPr>
          <w:p w14:paraId="14B979DC" w14:textId="77777777" w:rsidR="00A1770B" w:rsidRPr="000939E3" w:rsidRDefault="00A1770B" w:rsidP="00A1770B">
            <w:pPr>
              <w:spacing w:after="0" w:line="240" w:lineRule="auto"/>
              <w:jc w:val="center"/>
              <w:rPr>
                <w:rFonts w:eastAsia="Times New Roman" w:cs="Times New Roman"/>
                <w:bCs/>
                <w:color w:val="000000"/>
                <w:sz w:val="20"/>
                <w:lang w:eastAsia="sk-SK"/>
              </w:rPr>
            </w:pPr>
            <w:r w:rsidRPr="000939E3">
              <w:rPr>
                <w:rFonts w:eastAsia="Times New Roman" w:cs="Times New Roman"/>
                <w:bCs/>
                <w:color w:val="000000"/>
                <w:sz w:val="20"/>
                <w:lang w:eastAsia="sk-SK"/>
              </w:rPr>
              <w:t>6</w:t>
            </w:r>
          </w:p>
        </w:tc>
        <w:tc>
          <w:tcPr>
            <w:tcW w:w="4517" w:type="dxa"/>
            <w:gridSpan w:val="2"/>
            <w:tcBorders>
              <w:top w:val="dashed" w:sz="4" w:space="0" w:color="BFBFBF" w:themeColor="background1" w:themeShade="BF"/>
              <w:left w:val="nil"/>
              <w:bottom w:val="dashed" w:sz="4" w:space="0" w:color="BFBFBF" w:themeColor="background1" w:themeShade="BF"/>
              <w:right w:val="nil"/>
            </w:tcBorders>
            <w:shd w:val="clear" w:color="auto" w:fill="auto"/>
            <w:vAlign w:val="center"/>
            <w:hideMark/>
          </w:tcPr>
          <w:p w14:paraId="2A84ADA9" w14:textId="70895E11" w:rsidR="00A1770B" w:rsidRPr="000939E3" w:rsidRDefault="00A1770B" w:rsidP="00A1770B">
            <w:pPr>
              <w:spacing w:after="0" w:line="240" w:lineRule="auto"/>
              <w:jc w:val="left"/>
              <w:rPr>
                <w:rFonts w:eastAsia="Times New Roman" w:cs="Times New Roman"/>
                <w:sz w:val="20"/>
                <w:szCs w:val="20"/>
                <w:lang w:eastAsia="sk-SK"/>
              </w:rPr>
            </w:pPr>
            <w:r w:rsidRPr="000939E3">
              <w:rPr>
                <w:rFonts w:eastAsia="Times New Roman" w:cs="Times New Roman"/>
                <w:sz w:val="20"/>
                <w:szCs w:val="20"/>
              </w:rPr>
              <w:t>Sústrediť výkon samospráv do väčších celkov od roku 2023</w:t>
            </w:r>
          </w:p>
        </w:tc>
        <w:tc>
          <w:tcPr>
            <w:tcW w:w="1134" w:type="dxa"/>
            <w:tcBorders>
              <w:top w:val="dashed" w:sz="4" w:space="0" w:color="BFBFBF" w:themeColor="background1" w:themeShade="BF"/>
              <w:left w:val="nil"/>
              <w:bottom w:val="dashed" w:sz="4" w:space="0" w:color="BFBFBF" w:themeColor="background1" w:themeShade="BF"/>
              <w:right w:val="nil"/>
            </w:tcBorders>
            <w:shd w:val="clear" w:color="auto" w:fill="auto"/>
            <w:vAlign w:val="center"/>
            <w:hideMark/>
          </w:tcPr>
          <w:p w14:paraId="3F0703D6" w14:textId="77777777" w:rsidR="00A1770B" w:rsidRPr="000939E3" w:rsidRDefault="00A1770B" w:rsidP="00A1770B">
            <w:pPr>
              <w:spacing w:after="0" w:line="240" w:lineRule="auto"/>
              <w:jc w:val="center"/>
              <w:rPr>
                <w:rFonts w:eastAsia="Times New Roman" w:cs="Times New Roman"/>
                <w:sz w:val="20"/>
                <w:szCs w:val="20"/>
                <w:lang w:eastAsia="sk-SK"/>
              </w:rPr>
            </w:pPr>
            <w:r w:rsidRPr="000939E3">
              <w:rPr>
                <w:rFonts w:eastAsia="Times New Roman" w:cs="Times New Roman"/>
                <w:sz w:val="20"/>
                <w:szCs w:val="20"/>
              </w:rPr>
              <w:t>samosprávy</w:t>
            </w:r>
          </w:p>
        </w:tc>
        <w:tc>
          <w:tcPr>
            <w:tcW w:w="992" w:type="dxa"/>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0B2B019C" w14:textId="7419038D" w:rsidR="00A1770B" w:rsidRPr="000939E3" w:rsidRDefault="00E3489C"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0</w:t>
            </w:r>
          </w:p>
        </w:tc>
        <w:tc>
          <w:tcPr>
            <w:tcW w:w="993" w:type="dxa"/>
            <w:tcBorders>
              <w:top w:val="dashed" w:sz="4" w:space="0" w:color="BFBFBF" w:themeColor="background1" w:themeShade="BF"/>
              <w:left w:val="nil"/>
              <w:bottom w:val="dashed" w:sz="4" w:space="0" w:color="BFBFBF" w:themeColor="background1" w:themeShade="BF"/>
              <w:right w:val="nil"/>
            </w:tcBorders>
            <w:vAlign w:val="center"/>
          </w:tcPr>
          <w:p w14:paraId="62717422" w14:textId="604AA3F5" w:rsidR="00A1770B" w:rsidRPr="000939E3" w:rsidRDefault="00F649A5"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rPr>
              <w:t>396</w:t>
            </w:r>
          </w:p>
        </w:tc>
        <w:tc>
          <w:tcPr>
            <w:tcW w:w="1275" w:type="dxa"/>
            <w:tcBorders>
              <w:top w:val="dashed" w:sz="4" w:space="0" w:color="BFBFBF" w:themeColor="background1" w:themeShade="BF"/>
              <w:left w:val="nil"/>
              <w:bottom w:val="dashed" w:sz="4" w:space="0" w:color="BFBFBF" w:themeColor="background1" w:themeShade="BF"/>
              <w:right w:val="nil"/>
            </w:tcBorders>
            <w:shd w:val="clear" w:color="auto" w:fill="auto"/>
            <w:vAlign w:val="center"/>
          </w:tcPr>
          <w:p w14:paraId="7C498A8F" w14:textId="64C7DCE0" w:rsidR="00A1770B" w:rsidRPr="000939E3" w:rsidRDefault="00A1770B"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MV SR,</w:t>
            </w:r>
          </w:p>
          <w:p w14:paraId="4B706D8C" w14:textId="4997018A" w:rsidR="00A1770B" w:rsidRPr="000939E3" w:rsidRDefault="00A1770B" w:rsidP="00A1770B">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MF SR</w:t>
            </w:r>
          </w:p>
        </w:tc>
      </w:tr>
      <w:tr w:rsidR="00A1770B" w:rsidRPr="000939E3" w14:paraId="176775D5" w14:textId="77777777" w:rsidTr="001A3985">
        <w:trPr>
          <w:trHeight w:val="264"/>
        </w:trPr>
        <w:tc>
          <w:tcPr>
            <w:tcW w:w="161" w:type="dxa"/>
            <w:tcBorders>
              <w:top w:val="single" w:sz="4" w:space="0" w:color="auto"/>
              <w:left w:val="nil"/>
              <w:bottom w:val="single" w:sz="4" w:space="0" w:color="auto"/>
              <w:right w:val="nil"/>
            </w:tcBorders>
            <w:shd w:val="clear" w:color="auto" w:fill="auto"/>
            <w:noWrap/>
            <w:vAlign w:val="center"/>
            <w:hideMark/>
          </w:tcPr>
          <w:p w14:paraId="6FB501F8" w14:textId="77777777" w:rsidR="00A1770B" w:rsidRPr="000939E3" w:rsidRDefault="00A1770B" w:rsidP="00A1770B">
            <w:pPr>
              <w:spacing w:after="0" w:line="240" w:lineRule="auto"/>
              <w:jc w:val="center"/>
              <w:rPr>
                <w:rFonts w:eastAsia="Times New Roman" w:cs="Times New Roman"/>
                <w:bCs/>
                <w:color w:val="000000"/>
                <w:sz w:val="20"/>
                <w:lang w:eastAsia="sk-SK"/>
              </w:rPr>
            </w:pPr>
            <w:r w:rsidRPr="000939E3">
              <w:rPr>
                <w:rFonts w:eastAsia="Times New Roman" w:cs="Times New Roman"/>
                <w:bCs/>
                <w:color w:val="000000"/>
                <w:sz w:val="20"/>
                <w:lang w:eastAsia="sk-SK"/>
              </w:rPr>
              <w:t> </w:t>
            </w:r>
          </w:p>
        </w:tc>
        <w:tc>
          <w:tcPr>
            <w:tcW w:w="4517" w:type="dxa"/>
            <w:gridSpan w:val="2"/>
            <w:tcBorders>
              <w:top w:val="single" w:sz="4" w:space="0" w:color="auto"/>
              <w:left w:val="nil"/>
              <w:bottom w:val="single" w:sz="4" w:space="0" w:color="auto"/>
              <w:right w:val="nil"/>
            </w:tcBorders>
            <w:shd w:val="clear" w:color="auto" w:fill="auto"/>
            <w:noWrap/>
            <w:vAlign w:val="center"/>
            <w:hideMark/>
          </w:tcPr>
          <w:p w14:paraId="0E1967D4" w14:textId="77777777" w:rsidR="00A1770B" w:rsidRPr="000939E3" w:rsidRDefault="00A1770B" w:rsidP="00A1770B">
            <w:pPr>
              <w:spacing w:after="0" w:line="240" w:lineRule="auto"/>
              <w:rPr>
                <w:rFonts w:eastAsia="Times New Roman" w:cs="Times New Roman"/>
                <w:b/>
                <w:bCs/>
                <w:color w:val="000000"/>
                <w:sz w:val="20"/>
                <w:szCs w:val="20"/>
                <w:lang w:eastAsia="sk-SK"/>
              </w:rPr>
            </w:pPr>
            <w:r w:rsidRPr="000939E3">
              <w:rPr>
                <w:rFonts w:eastAsia="Times New Roman" w:cs="Times New Roman"/>
                <w:b/>
                <w:bCs/>
                <w:color w:val="000000"/>
                <w:sz w:val="20"/>
                <w:szCs w:val="20"/>
              </w:rPr>
              <w:t>Spolu</w:t>
            </w:r>
          </w:p>
        </w:tc>
        <w:tc>
          <w:tcPr>
            <w:tcW w:w="1134" w:type="dxa"/>
            <w:tcBorders>
              <w:top w:val="single" w:sz="4" w:space="0" w:color="auto"/>
              <w:left w:val="nil"/>
              <w:bottom w:val="single" w:sz="4" w:space="0" w:color="auto"/>
              <w:right w:val="nil"/>
            </w:tcBorders>
            <w:shd w:val="clear" w:color="auto" w:fill="auto"/>
            <w:noWrap/>
            <w:vAlign w:val="center"/>
            <w:hideMark/>
          </w:tcPr>
          <w:p w14:paraId="7FB0F6AB" w14:textId="77777777" w:rsidR="00A1770B" w:rsidRPr="000939E3" w:rsidRDefault="00A1770B" w:rsidP="00A1770B">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rPr>
              <w:t> </w:t>
            </w:r>
          </w:p>
        </w:tc>
        <w:tc>
          <w:tcPr>
            <w:tcW w:w="992" w:type="dxa"/>
            <w:tcBorders>
              <w:top w:val="single" w:sz="4" w:space="0" w:color="auto"/>
              <w:left w:val="nil"/>
              <w:bottom w:val="single" w:sz="4" w:space="0" w:color="auto"/>
              <w:right w:val="nil"/>
            </w:tcBorders>
            <w:shd w:val="clear" w:color="auto" w:fill="auto"/>
            <w:noWrap/>
            <w:vAlign w:val="center"/>
          </w:tcPr>
          <w:p w14:paraId="42F40957" w14:textId="3322E985" w:rsidR="00A1770B" w:rsidRPr="000939E3" w:rsidRDefault="00113AE6" w:rsidP="00A1770B">
            <w:pPr>
              <w:spacing w:after="0" w:line="240" w:lineRule="auto"/>
              <w:jc w:val="center"/>
              <w:rPr>
                <w:rFonts w:eastAsia="Times New Roman" w:cs="Times New Roman"/>
                <w:b/>
                <w:color w:val="000000"/>
                <w:sz w:val="20"/>
                <w:szCs w:val="20"/>
                <w:lang w:eastAsia="sk-SK"/>
              </w:rPr>
            </w:pPr>
            <w:r w:rsidRPr="000939E3">
              <w:rPr>
                <w:rFonts w:eastAsia="Times New Roman" w:cs="Times New Roman"/>
                <w:b/>
                <w:color w:val="000000"/>
                <w:sz w:val="20"/>
                <w:szCs w:val="20"/>
                <w:lang w:eastAsia="sk-SK"/>
              </w:rPr>
              <w:t>131</w:t>
            </w:r>
          </w:p>
        </w:tc>
        <w:tc>
          <w:tcPr>
            <w:tcW w:w="993" w:type="dxa"/>
            <w:tcBorders>
              <w:top w:val="single" w:sz="4" w:space="0" w:color="auto"/>
              <w:left w:val="nil"/>
              <w:bottom w:val="single" w:sz="4" w:space="0" w:color="auto"/>
              <w:right w:val="nil"/>
            </w:tcBorders>
            <w:vAlign w:val="center"/>
          </w:tcPr>
          <w:p w14:paraId="41D86008" w14:textId="3944E1A9" w:rsidR="00A1770B" w:rsidRPr="000939E3" w:rsidRDefault="00113AE6" w:rsidP="00A1770B">
            <w:pPr>
              <w:spacing w:after="0" w:line="240" w:lineRule="auto"/>
              <w:jc w:val="center"/>
              <w:rPr>
                <w:rFonts w:eastAsia="Times New Roman" w:cs="Times New Roman"/>
                <w:b/>
                <w:color w:val="000000"/>
                <w:sz w:val="20"/>
                <w:szCs w:val="20"/>
                <w:lang w:eastAsia="sk-SK"/>
              </w:rPr>
            </w:pPr>
            <w:r w:rsidRPr="000939E3">
              <w:rPr>
                <w:rFonts w:eastAsia="Times New Roman" w:cs="Times New Roman"/>
                <w:b/>
                <w:color w:val="000000"/>
                <w:sz w:val="20"/>
                <w:szCs w:val="20"/>
                <w:lang w:eastAsia="sk-SK"/>
              </w:rPr>
              <w:t>765</w:t>
            </w:r>
          </w:p>
        </w:tc>
        <w:tc>
          <w:tcPr>
            <w:tcW w:w="1275" w:type="dxa"/>
            <w:tcBorders>
              <w:top w:val="single" w:sz="4" w:space="0" w:color="auto"/>
              <w:left w:val="nil"/>
              <w:bottom w:val="single" w:sz="4" w:space="0" w:color="auto"/>
              <w:right w:val="nil"/>
            </w:tcBorders>
            <w:shd w:val="clear" w:color="auto" w:fill="auto"/>
            <w:noWrap/>
            <w:vAlign w:val="center"/>
          </w:tcPr>
          <w:p w14:paraId="05AEA11C" w14:textId="3DECD5F1" w:rsidR="00A1770B" w:rsidRPr="000939E3" w:rsidRDefault="00A1770B" w:rsidP="00A1770B">
            <w:pPr>
              <w:spacing w:after="0" w:line="240" w:lineRule="auto"/>
              <w:jc w:val="center"/>
              <w:rPr>
                <w:rFonts w:eastAsia="Times New Roman" w:cs="Times New Roman"/>
                <w:b/>
                <w:color w:val="000000"/>
                <w:sz w:val="20"/>
                <w:szCs w:val="20"/>
                <w:lang w:eastAsia="sk-SK"/>
              </w:rPr>
            </w:pPr>
          </w:p>
        </w:tc>
      </w:tr>
      <w:tr w:rsidR="002F079F" w:rsidRPr="000939E3" w14:paraId="175ADC96" w14:textId="77777777" w:rsidTr="000939E3">
        <w:trPr>
          <w:trHeight w:val="120"/>
        </w:trPr>
        <w:tc>
          <w:tcPr>
            <w:tcW w:w="9072" w:type="dxa"/>
            <w:gridSpan w:val="7"/>
            <w:tcBorders>
              <w:top w:val="single" w:sz="4" w:space="0" w:color="auto"/>
              <w:left w:val="nil"/>
              <w:right w:val="nil"/>
            </w:tcBorders>
            <w:shd w:val="clear" w:color="auto" w:fill="auto"/>
            <w:noWrap/>
            <w:vAlign w:val="center"/>
          </w:tcPr>
          <w:p w14:paraId="0BB0C3F9" w14:textId="2A80E5F7" w:rsidR="002F079F" w:rsidRPr="000939E3" w:rsidRDefault="002F079F" w:rsidP="005C4BF3">
            <w:pPr>
              <w:spacing w:after="0" w:line="240" w:lineRule="auto"/>
              <w:jc w:val="left"/>
              <w:rPr>
                <w:rFonts w:eastAsia="Times New Roman" w:cs="Times New Roman"/>
                <w:color w:val="000000"/>
                <w:sz w:val="20"/>
                <w:szCs w:val="20"/>
                <w:lang w:eastAsia="sk-SK"/>
              </w:rPr>
            </w:pPr>
            <w:r w:rsidRPr="000939E3">
              <w:rPr>
                <w:rFonts w:eastAsia="Times New Roman" w:cs="Times New Roman"/>
                <w:color w:val="000000"/>
                <w:sz w:val="20"/>
                <w:szCs w:val="20"/>
                <w:lang w:eastAsia="sk-SK"/>
              </w:rPr>
              <w:t xml:space="preserve">* </w:t>
            </w:r>
            <w:r w:rsidRPr="000939E3">
              <w:rPr>
                <w:rFonts w:eastAsia="Times New Roman" w:cs="Times New Roman"/>
                <w:i/>
                <w:color w:val="000000"/>
                <w:sz w:val="18"/>
                <w:szCs w:val="20"/>
                <w:lang w:eastAsia="sk-SK"/>
              </w:rPr>
              <w:t>Úspory z IT projektov môžu mať prekryv s úsporami v podporných a prierezových činnostiach</w:t>
            </w:r>
            <w:r w:rsidR="006F1764" w:rsidRPr="000939E3">
              <w:rPr>
                <w:rFonts w:eastAsia="Times New Roman" w:cs="Times New Roman"/>
                <w:i/>
                <w:color w:val="000000"/>
                <w:sz w:val="18"/>
                <w:szCs w:val="20"/>
                <w:lang w:eastAsia="sk-SK"/>
              </w:rPr>
              <w:t>.</w:t>
            </w:r>
            <w:r w:rsidRPr="000939E3">
              <w:rPr>
                <w:rFonts w:eastAsia="Times New Roman" w:cs="Times New Roman"/>
                <w:i/>
                <w:color w:val="000000"/>
                <w:sz w:val="18"/>
                <w:szCs w:val="20"/>
                <w:lang w:eastAsia="sk-SK"/>
              </w:rPr>
              <w:t xml:space="preserve"> Úspory tiež zahŕňajú iné organizácie ako ministerstvá.</w:t>
            </w:r>
          </w:p>
        </w:tc>
      </w:tr>
    </w:tbl>
    <w:p w14:paraId="6DE38040" w14:textId="77777777" w:rsidR="0047746E" w:rsidRPr="000939E3" w:rsidRDefault="0047746E" w:rsidP="0047746E"/>
    <w:tbl>
      <w:tblPr>
        <w:tblW w:w="5000" w:type="pct"/>
        <w:tblLayout w:type="fixed"/>
        <w:tblCellMar>
          <w:left w:w="70" w:type="dxa"/>
          <w:right w:w="70" w:type="dxa"/>
        </w:tblCellMar>
        <w:tblLook w:val="04A0" w:firstRow="1" w:lastRow="0" w:firstColumn="1" w:lastColumn="0" w:noHBand="0" w:noVBand="1"/>
      </w:tblPr>
      <w:tblGrid>
        <w:gridCol w:w="426"/>
        <w:gridCol w:w="4988"/>
        <w:gridCol w:w="1248"/>
        <w:gridCol w:w="2410"/>
      </w:tblGrid>
      <w:tr w:rsidR="008C0C46" w:rsidRPr="000939E3" w14:paraId="23981E0C" w14:textId="77777777" w:rsidTr="002B1D3D">
        <w:trPr>
          <w:trHeight w:val="20"/>
          <w:tblHeader/>
        </w:trPr>
        <w:tc>
          <w:tcPr>
            <w:tcW w:w="2984" w:type="pct"/>
            <w:gridSpan w:val="2"/>
            <w:tcBorders>
              <w:left w:val="nil"/>
              <w:bottom w:val="single" w:sz="4" w:space="0" w:color="auto"/>
              <w:right w:val="nil"/>
            </w:tcBorders>
            <w:shd w:val="clear" w:color="auto" w:fill="auto"/>
            <w:vAlign w:val="center"/>
          </w:tcPr>
          <w:p w14:paraId="13E9896B" w14:textId="77777777" w:rsidR="008C0C46" w:rsidRPr="000939E3" w:rsidRDefault="008C0C46" w:rsidP="001D63C0">
            <w:pPr>
              <w:spacing w:after="0" w:line="240" w:lineRule="auto"/>
              <w:contextualSpacing/>
              <w:jc w:val="left"/>
              <w:rPr>
                <w:rFonts w:eastAsia="Times New Roman" w:cs="Times New Roman"/>
                <w:b/>
                <w:bCs/>
                <w:color w:val="000000"/>
                <w:sz w:val="20"/>
                <w:szCs w:val="20"/>
                <w:lang w:eastAsia="sk-SK"/>
              </w:rPr>
            </w:pPr>
            <w:r w:rsidRPr="000939E3">
              <w:rPr>
                <w:b/>
                <w:color w:val="0070C0"/>
              </w:rPr>
              <w:t>Opatrenia pre lepšie riadenie</w:t>
            </w:r>
          </w:p>
        </w:tc>
        <w:tc>
          <w:tcPr>
            <w:tcW w:w="688" w:type="pct"/>
            <w:tcBorders>
              <w:left w:val="nil"/>
              <w:bottom w:val="single" w:sz="4" w:space="0" w:color="auto"/>
              <w:right w:val="nil"/>
            </w:tcBorders>
            <w:shd w:val="clear" w:color="auto" w:fill="auto"/>
            <w:noWrap/>
            <w:vAlign w:val="center"/>
          </w:tcPr>
          <w:p w14:paraId="0149961B" w14:textId="77777777" w:rsidR="008C0C46" w:rsidRPr="000939E3" w:rsidRDefault="008C0C46" w:rsidP="001D63C0">
            <w:pPr>
              <w:spacing w:after="0" w:line="240" w:lineRule="auto"/>
              <w:contextualSpacing/>
              <w:jc w:val="center"/>
              <w:rPr>
                <w:rFonts w:eastAsia="Times New Roman" w:cs="Times New Roman"/>
                <w:b/>
                <w:bCs/>
                <w:color w:val="000000"/>
                <w:sz w:val="20"/>
                <w:szCs w:val="20"/>
                <w:lang w:eastAsia="sk-SK"/>
              </w:rPr>
            </w:pPr>
          </w:p>
        </w:tc>
        <w:tc>
          <w:tcPr>
            <w:tcW w:w="1328" w:type="pct"/>
            <w:tcBorders>
              <w:left w:val="nil"/>
              <w:bottom w:val="single" w:sz="4" w:space="0" w:color="auto"/>
              <w:right w:val="nil"/>
            </w:tcBorders>
            <w:shd w:val="clear" w:color="auto" w:fill="auto"/>
            <w:noWrap/>
            <w:vAlign w:val="center"/>
          </w:tcPr>
          <w:p w14:paraId="7F10412D" w14:textId="77777777" w:rsidR="008C0C46" w:rsidRPr="000939E3" w:rsidRDefault="008C0C46" w:rsidP="001D63C0">
            <w:pPr>
              <w:spacing w:after="0" w:line="240" w:lineRule="auto"/>
              <w:contextualSpacing/>
              <w:jc w:val="center"/>
              <w:rPr>
                <w:rFonts w:eastAsia="Times New Roman" w:cs="Times New Roman"/>
                <w:b/>
                <w:bCs/>
                <w:color w:val="000000"/>
                <w:sz w:val="20"/>
                <w:szCs w:val="20"/>
                <w:lang w:eastAsia="sk-SK"/>
              </w:rPr>
            </w:pPr>
          </w:p>
        </w:tc>
      </w:tr>
      <w:tr w:rsidR="008C0C46" w:rsidRPr="000939E3" w14:paraId="2DB22C9C" w14:textId="77777777" w:rsidTr="002B1D3D">
        <w:trPr>
          <w:trHeight w:val="20"/>
          <w:tblHeader/>
        </w:trPr>
        <w:tc>
          <w:tcPr>
            <w:tcW w:w="235" w:type="pct"/>
            <w:tcBorders>
              <w:top w:val="single" w:sz="4" w:space="0" w:color="auto"/>
              <w:left w:val="nil"/>
              <w:bottom w:val="single" w:sz="4" w:space="0" w:color="auto"/>
              <w:right w:val="nil"/>
            </w:tcBorders>
            <w:shd w:val="clear" w:color="auto" w:fill="auto"/>
            <w:vAlign w:val="center"/>
            <w:hideMark/>
          </w:tcPr>
          <w:p w14:paraId="1DC56CA8" w14:textId="6653A071" w:rsidR="008C0C46" w:rsidRPr="000939E3" w:rsidRDefault="008C0C46" w:rsidP="001D63C0">
            <w:pPr>
              <w:spacing w:after="0" w:line="240" w:lineRule="auto"/>
              <w:contextualSpacing/>
              <w:jc w:val="center"/>
              <w:rPr>
                <w:rFonts w:eastAsia="Times New Roman" w:cs="Times New Roman"/>
                <w:b/>
                <w:bCs/>
                <w:color w:val="000000"/>
                <w:sz w:val="20"/>
                <w:szCs w:val="20"/>
                <w:lang w:eastAsia="sk-SK"/>
              </w:rPr>
            </w:pPr>
          </w:p>
        </w:tc>
        <w:tc>
          <w:tcPr>
            <w:tcW w:w="2749" w:type="pct"/>
            <w:tcBorders>
              <w:top w:val="single" w:sz="4" w:space="0" w:color="auto"/>
              <w:left w:val="nil"/>
              <w:bottom w:val="single" w:sz="4" w:space="0" w:color="auto"/>
              <w:right w:val="nil"/>
            </w:tcBorders>
            <w:shd w:val="clear" w:color="auto" w:fill="auto"/>
            <w:vAlign w:val="center"/>
            <w:hideMark/>
          </w:tcPr>
          <w:p w14:paraId="39E628A5" w14:textId="77777777" w:rsidR="008C0C46" w:rsidRPr="000939E3" w:rsidRDefault="008C0C46" w:rsidP="001D63C0">
            <w:pPr>
              <w:spacing w:after="0" w:line="240" w:lineRule="auto"/>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Opatrenie</w:t>
            </w:r>
          </w:p>
        </w:tc>
        <w:tc>
          <w:tcPr>
            <w:tcW w:w="688" w:type="pct"/>
            <w:tcBorders>
              <w:top w:val="single" w:sz="4" w:space="0" w:color="auto"/>
              <w:left w:val="nil"/>
              <w:bottom w:val="single" w:sz="4" w:space="0" w:color="auto"/>
              <w:right w:val="nil"/>
            </w:tcBorders>
            <w:shd w:val="clear" w:color="auto" w:fill="auto"/>
            <w:noWrap/>
            <w:vAlign w:val="center"/>
            <w:hideMark/>
          </w:tcPr>
          <w:p w14:paraId="4DB223F2" w14:textId="77777777" w:rsidR="008C0C46" w:rsidRPr="000939E3" w:rsidRDefault="008C0C46" w:rsidP="001D63C0">
            <w:pPr>
              <w:spacing w:after="0" w:line="240" w:lineRule="auto"/>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Oblasť</w:t>
            </w:r>
          </w:p>
        </w:tc>
        <w:tc>
          <w:tcPr>
            <w:tcW w:w="1328" w:type="pct"/>
            <w:tcBorders>
              <w:top w:val="single" w:sz="4" w:space="0" w:color="auto"/>
              <w:left w:val="nil"/>
              <w:bottom w:val="single" w:sz="4" w:space="0" w:color="auto"/>
              <w:right w:val="nil"/>
            </w:tcBorders>
            <w:shd w:val="clear" w:color="auto" w:fill="auto"/>
            <w:noWrap/>
            <w:vAlign w:val="center"/>
          </w:tcPr>
          <w:p w14:paraId="4619EB3B" w14:textId="77777777" w:rsidR="008C0C46" w:rsidRPr="000939E3" w:rsidRDefault="008C0C46" w:rsidP="001D63C0">
            <w:pPr>
              <w:spacing w:after="0" w:line="240" w:lineRule="auto"/>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Zodpovedný</w:t>
            </w:r>
          </w:p>
        </w:tc>
      </w:tr>
      <w:tr w:rsidR="008C0C46" w:rsidRPr="000939E3" w14:paraId="7B28F80E" w14:textId="77777777" w:rsidTr="002B1D3D">
        <w:trPr>
          <w:trHeight w:val="20"/>
        </w:trPr>
        <w:tc>
          <w:tcPr>
            <w:tcW w:w="235" w:type="pct"/>
            <w:tcBorders>
              <w:top w:val="single" w:sz="4" w:space="0" w:color="auto"/>
              <w:left w:val="nil"/>
              <w:bottom w:val="dashed" w:sz="4" w:space="0" w:color="BFBFBF" w:themeColor="background1" w:themeShade="BF"/>
              <w:right w:val="nil"/>
            </w:tcBorders>
            <w:shd w:val="clear" w:color="auto" w:fill="auto"/>
            <w:noWrap/>
            <w:vAlign w:val="center"/>
          </w:tcPr>
          <w:p w14:paraId="27662847"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w:t>
            </w:r>
          </w:p>
        </w:tc>
        <w:tc>
          <w:tcPr>
            <w:tcW w:w="2749" w:type="pct"/>
            <w:tcBorders>
              <w:top w:val="single" w:sz="4" w:space="0" w:color="auto"/>
              <w:left w:val="nil"/>
              <w:bottom w:val="dashed" w:sz="4" w:space="0" w:color="BFBFBF" w:themeColor="background1" w:themeShade="BF"/>
              <w:right w:val="nil"/>
            </w:tcBorders>
            <w:shd w:val="clear" w:color="auto" w:fill="auto"/>
            <w:noWrap/>
            <w:vAlign w:val="center"/>
          </w:tcPr>
          <w:p w14:paraId="1523E9D6" w14:textId="77777777" w:rsidR="008C0C46" w:rsidRPr="000939E3" w:rsidRDefault="008C0C46" w:rsidP="001D63C0">
            <w:pPr>
              <w:spacing w:after="0"/>
              <w:contextualSpacing/>
              <w:jc w:val="left"/>
              <w:rPr>
                <w:color w:val="000000"/>
                <w:sz w:val="20"/>
              </w:rPr>
            </w:pPr>
            <w:r w:rsidRPr="000939E3">
              <w:rPr>
                <w:color w:val="000000"/>
                <w:sz w:val="20"/>
              </w:rPr>
              <w:t>Pravidelné optimalizačné audity na ministerstvách</w:t>
            </w:r>
          </w:p>
        </w:tc>
        <w:tc>
          <w:tcPr>
            <w:tcW w:w="688" w:type="pct"/>
            <w:tcBorders>
              <w:top w:val="single" w:sz="4" w:space="0" w:color="auto"/>
              <w:left w:val="nil"/>
              <w:bottom w:val="dashed" w:sz="4" w:space="0" w:color="BFBFBF" w:themeColor="background1" w:themeShade="BF"/>
              <w:right w:val="nil"/>
            </w:tcBorders>
            <w:shd w:val="clear" w:color="auto" w:fill="auto"/>
            <w:noWrap/>
            <w:vAlign w:val="center"/>
          </w:tcPr>
          <w:p w14:paraId="1DCE7981"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optimalizácia</w:t>
            </w:r>
          </w:p>
        </w:tc>
        <w:tc>
          <w:tcPr>
            <w:tcW w:w="1328" w:type="pct"/>
            <w:tcBorders>
              <w:top w:val="single" w:sz="4" w:space="0" w:color="auto"/>
              <w:left w:val="nil"/>
              <w:bottom w:val="dashed" w:sz="4" w:space="0" w:color="BFBFBF" w:themeColor="background1" w:themeShade="BF"/>
              <w:right w:val="nil"/>
            </w:tcBorders>
            <w:shd w:val="clear" w:color="auto" w:fill="auto"/>
            <w:noWrap/>
            <w:vAlign w:val="center"/>
          </w:tcPr>
          <w:p w14:paraId="15181DA3"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ÚV SR, ministerstvá</w:t>
            </w:r>
          </w:p>
        </w:tc>
      </w:tr>
      <w:tr w:rsidR="008C0C46" w:rsidRPr="000939E3" w14:paraId="1A758A94" w14:textId="77777777" w:rsidTr="002B1D3D">
        <w:trPr>
          <w:trHeight w:val="20"/>
        </w:trPr>
        <w:tc>
          <w:tcPr>
            <w:tcW w:w="235"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6DC12DB0" w14:textId="77777777" w:rsidR="008C0C46" w:rsidRPr="000939E3" w:rsidRDefault="008C0C46" w:rsidP="001D63C0">
            <w:pPr>
              <w:spacing w:after="0" w:line="240" w:lineRule="auto"/>
              <w:contextualSpacing/>
              <w:jc w:val="center"/>
              <w:rPr>
                <w:rFonts w:eastAsia="Times New Roman" w:cs="Times New Roman"/>
                <w:sz w:val="20"/>
                <w:szCs w:val="20"/>
                <w:lang w:eastAsia="sk-SK"/>
              </w:rPr>
            </w:pPr>
            <w:r w:rsidRPr="000939E3">
              <w:rPr>
                <w:rFonts w:eastAsia="Times New Roman" w:cs="Times New Roman"/>
                <w:sz w:val="20"/>
                <w:szCs w:val="20"/>
                <w:lang w:eastAsia="sk-SK"/>
              </w:rPr>
              <w:t>2</w:t>
            </w:r>
          </w:p>
        </w:tc>
        <w:tc>
          <w:tcPr>
            <w:tcW w:w="2749"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2702BBD7" w14:textId="77777777" w:rsidR="008C0C46" w:rsidRPr="000939E3" w:rsidRDefault="008C0C46" w:rsidP="001D63C0">
            <w:pPr>
              <w:spacing w:after="0"/>
              <w:contextualSpacing/>
              <w:jc w:val="left"/>
              <w:rPr>
                <w:color w:val="000000"/>
                <w:sz w:val="20"/>
              </w:rPr>
            </w:pPr>
            <w:r w:rsidRPr="000939E3">
              <w:rPr>
                <w:color w:val="000000"/>
                <w:sz w:val="20"/>
              </w:rPr>
              <w:t>Pravidelné výkonnostné audity v štátnych podnikoch</w:t>
            </w:r>
          </w:p>
        </w:tc>
        <w:tc>
          <w:tcPr>
            <w:tcW w:w="68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2EECE72C"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optimalizácia</w:t>
            </w:r>
          </w:p>
        </w:tc>
        <w:tc>
          <w:tcPr>
            <w:tcW w:w="132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516D4213"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MF SR, ministerstvá</w:t>
            </w:r>
          </w:p>
        </w:tc>
      </w:tr>
      <w:tr w:rsidR="008C0C46" w:rsidRPr="000939E3" w14:paraId="42F2B74C" w14:textId="77777777" w:rsidTr="002B1D3D">
        <w:trPr>
          <w:trHeight w:val="20"/>
        </w:trPr>
        <w:tc>
          <w:tcPr>
            <w:tcW w:w="235"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2A520B56" w14:textId="77777777" w:rsidR="008C0C46" w:rsidRPr="000939E3" w:rsidRDefault="008C0C46" w:rsidP="001D63C0">
            <w:pPr>
              <w:spacing w:after="0" w:line="240" w:lineRule="auto"/>
              <w:contextualSpacing/>
              <w:jc w:val="center"/>
              <w:rPr>
                <w:rFonts w:eastAsia="Times New Roman" w:cs="Times New Roman"/>
                <w:sz w:val="20"/>
                <w:szCs w:val="20"/>
                <w:lang w:eastAsia="sk-SK"/>
              </w:rPr>
            </w:pPr>
            <w:r w:rsidRPr="000939E3">
              <w:rPr>
                <w:rFonts w:eastAsia="Times New Roman" w:cs="Times New Roman"/>
                <w:color w:val="000000"/>
                <w:sz w:val="20"/>
                <w:szCs w:val="20"/>
                <w:lang w:eastAsia="sk-SK"/>
              </w:rPr>
              <w:t>3</w:t>
            </w:r>
          </w:p>
        </w:tc>
        <w:tc>
          <w:tcPr>
            <w:tcW w:w="2749"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2889A53B" w14:textId="54B816A8" w:rsidR="008C0C46" w:rsidRPr="000939E3" w:rsidRDefault="008C0C46" w:rsidP="001D63C0">
            <w:pPr>
              <w:spacing w:after="0"/>
              <w:contextualSpacing/>
              <w:jc w:val="left"/>
              <w:rPr>
                <w:color w:val="000000"/>
                <w:sz w:val="20"/>
              </w:rPr>
            </w:pPr>
            <w:r w:rsidRPr="000939E3">
              <w:rPr>
                <w:color w:val="000000"/>
                <w:sz w:val="20"/>
              </w:rPr>
              <w:t>Zníž</w:t>
            </w:r>
            <w:r w:rsidR="00A6740C" w:rsidRPr="000939E3">
              <w:rPr>
                <w:color w:val="000000"/>
                <w:sz w:val="20"/>
              </w:rPr>
              <w:t>iť</w:t>
            </w:r>
            <w:r w:rsidRPr="000939E3">
              <w:rPr>
                <w:color w:val="000000"/>
                <w:sz w:val="20"/>
              </w:rPr>
              <w:t xml:space="preserve"> poč</w:t>
            </w:r>
            <w:r w:rsidR="00A6740C" w:rsidRPr="000939E3">
              <w:rPr>
                <w:color w:val="000000"/>
                <w:sz w:val="20"/>
              </w:rPr>
              <w:t>et</w:t>
            </w:r>
            <w:r w:rsidRPr="000939E3">
              <w:rPr>
                <w:color w:val="000000"/>
                <w:sz w:val="20"/>
              </w:rPr>
              <w:t xml:space="preserve"> voľných pracovných miest v štátnej správe na 5 %</w:t>
            </w:r>
          </w:p>
        </w:tc>
        <w:tc>
          <w:tcPr>
            <w:tcW w:w="68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43948ABF"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rozpočtovanie</w:t>
            </w:r>
          </w:p>
        </w:tc>
        <w:tc>
          <w:tcPr>
            <w:tcW w:w="132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349B91B6" w14:textId="6D2A0840"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MF</w:t>
            </w:r>
            <w:r w:rsidR="00B629EB" w:rsidRPr="000939E3">
              <w:rPr>
                <w:rFonts w:eastAsia="Times New Roman" w:cs="Times New Roman"/>
                <w:color w:val="000000"/>
                <w:sz w:val="20"/>
                <w:szCs w:val="20"/>
                <w:lang w:eastAsia="sk-SK"/>
              </w:rPr>
              <w:t xml:space="preserve"> </w:t>
            </w:r>
            <w:r w:rsidRPr="000939E3">
              <w:rPr>
                <w:rFonts w:eastAsia="Times New Roman" w:cs="Times New Roman"/>
                <w:color w:val="000000"/>
                <w:sz w:val="20"/>
                <w:szCs w:val="20"/>
                <w:lang w:eastAsia="sk-SK"/>
              </w:rPr>
              <w:t>SR</w:t>
            </w:r>
          </w:p>
        </w:tc>
      </w:tr>
      <w:tr w:rsidR="00A67189" w:rsidRPr="000939E3" w14:paraId="5708437D" w14:textId="77777777" w:rsidTr="002B1D3D">
        <w:trPr>
          <w:trHeight w:val="20"/>
        </w:trPr>
        <w:tc>
          <w:tcPr>
            <w:tcW w:w="235"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39AD1DA6" w14:textId="20AD3970" w:rsidR="00A67189" w:rsidRPr="000939E3" w:rsidRDefault="00A67189"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4</w:t>
            </w:r>
          </w:p>
        </w:tc>
        <w:tc>
          <w:tcPr>
            <w:tcW w:w="2749"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41573761" w14:textId="01E96C7D" w:rsidR="00A67189" w:rsidRPr="000939E3" w:rsidRDefault="00A67189" w:rsidP="001D63C0">
            <w:pPr>
              <w:spacing w:after="0"/>
              <w:contextualSpacing/>
              <w:jc w:val="left"/>
              <w:rPr>
                <w:color w:val="000000"/>
                <w:sz w:val="20"/>
              </w:rPr>
            </w:pPr>
            <w:r w:rsidRPr="000939E3">
              <w:rPr>
                <w:rFonts w:eastAsia="Times New Roman" w:cs="Times New Roman"/>
                <w:sz w:val="20"/>
                <w:szCs w:val="20"/>
              </w:rPr>
              <w:t>Naviazať valorizácie miezd zdravotníckych pracovníkov na infláciu</w:t>
            </w:r>
          </w:p>
        </w:tc>
        <w:tc>
          <w:tcPr>
            <w:tcW w:w="68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49F4686B" w14:textId="462871AF" w:rsidR="00A67189" w:rsidRPr="000939E3" w:rsidRDefault="00A95691"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odmeňovanie</w:t>
            </w:r>
          </w:p>
        </w:tc>
        <w:tc>
          <w:tcPr>
            <w:tcW w:w="132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4056A517" w14:textId="4C9F91E7" w:rsidR="00A67189" w:rsidRPr="000939E3" w:rsidRDefault="00A67189"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MZ SR, MF SR</w:t>
            </w:r>
          </w:p>
        </w:tc>
      </w:tr>
      <w:tr w:rsidR="008C0C46" w:rsidRPr="000939E3" w14:paraId="35F45394" w14:textId="77777777" w:rsidTr="002B1D3D">
        <w:trPr>
          <w:trHeight w:val="20"/>
        </w:trPr>
        <w:tc>
          <w:tcPr>
            <w:tcW w:w="235"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746EC9FB" w14:textId="2E030727" w:rsidR="008C0C46" w:rsidRPr="000939E3" w:rsidRDefault="00A67189" w:rsidP="001D63C0">
            <w:pPr>
              <w:spacing w:after="0" w:line="240" w:lineRule="auto"/>
              <w:contextualSpacing/>
              <w:jc w:val="center"/>
              <w:rPr>
                <w:rFonts w:eastAsia="Times New Roman" w:cs="Times New Roman"/>
                <w:sz w:val="20"/>
                <w:szCs w:val="20"/>
                <w:lang w:eastAsia="sk-SK"/>
              </w:rPr>
            </w:pPr>
            <w:r w:rsidRPr="000939E3">
              <w:rPr>
                <w:rFonts w:eastAsia="Times New Roman" w:cs="Times New Roman"/>
                <w:sz w:val="20"/>
                <w:szCs w:val="20"/>
                <w:lang w:eastAsia="sk-SK"/>
              </w:rPr>
              <w:t>5</w:t>
            </w:r>
          </w:p>
        </w:tc>
        <w:tc>
          <w:tcPr>
            <w:tcW w:w="2749"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59478730" w14:textId="5122362B" w:rsidR="008C0C46" w:rsidRPr="000939E3" w:rsidRDefault="008C0C46" w:rsidP="001D63C0">
            <w:pPr>
              <w:spacing w:after="0"/>
              <w:contextualSpacing/>
              <w:jc w:val="left"/>
              <w:rPr>
                <w:color w:val="000000"/>
                <w:sz w:val="20"/>
              </w:rPr>
            </w:pPr>
            <w:r w:rsidRPr="000939E3">
              <w:rPr>
                <w:color w:val="000000"/>
                <w:sz w:val="20"/>
              </w:rPr>
              <w:t>Zruš</w:t>
            </w:r>
            <w:r w:rsidR="00A6740C" w:rsidRPr="000939E3">
              <w:rPr>
                <w:color w:val="000000"/>
                <w:sz w:val="20"/>
              </w:rPr>
              <w:t>iť</w:t>
            </w:r>
            <w:r w:rsidRPr="000939E3">
              <w:rPr>
                <w:color w:val="000000"/>
                <w:sz w:val="20"/>
              </w:rPr>
              <w:t xml:space="preserve"> špecifick</w:t>
            </w:r>
            <w:r w:rsidR="00A6740C" w:rsidRPr="000939E3">
              <w:rPr>
                <w:color w:val="000000"/>
                <w:sz w:val="20"/>
              </w:rPr>
              <w:t>é</w:t>
            </w:r>
            <w:r w:rsidRPr="000939E3">
              <w:rPr>
                <w:color w:val="000000"/>
                <w:sz w:val="20"/>
              </w:rPr>
              <w:t xml:space="preserve"> platov</w:t>
            </w:r>
            <w:r w:rsidR="00A6740C" w:rsidRPr="000939E3">
              <w:rPr>
                <w:color w:val="000000"/>
                <w:sz w:val="20"/>
              </w:rPr>
              <w:t>é</w:t>
            </w:r>
            <w:r w:rsidRPr="000939E3">
              <w:rPr>
                <w:color w:val="000000"/>
                <w:sz w:val="20"/>
              </w:rPr>
              <w:t xml:space="preserve"> koeficient</w:t>
            </w:r>
            <w:r w:rsidR="00A6740C" w:rsidRPr="000939E3">
              <w:rPr>
                <w:color w:val="000000"/>
                <w:sz w:val="20"/>
              </w:rPr>
              <w:t>y</w:t>
            </w:r>
            <w:r w:rsidRPr="000939E3">
              <w:rPr>
                <w:color w:val="000000"/>
                <w:sz w:val="20"/>
              </w:rPr>
              <w:t xml:space="preserve"> vybraných inštitúcií</w:t>
            </w:r>
          </w:p>
        </w:tc>
        <w:tc>
          <w:tcPr>
            <w:tcW w:w="68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281A1095"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odmeňovanie</w:t>
            </w:r>
          </w:p>
        </w:tc>
        <w:tc>
          <w:tcPr>
            <w:tcW w:w="132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0AFAFD4C"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ÚV SR, NKÚ SR, KNR SR, KP SR, KVOP SR, KÚS SR</w:t>
            </w:r>
          </w:p>
        </w:tc>
      </w:tr>
      <w:tr w:rsidR="008C0C46" w:rsidRPr="000939E3" w14:paraId="1ABA49B2" w14:textId="77777777" w:rsidTr="00E70518">
        <w:trPr>
          <w:trHeight w:val="20"/>
        </w:trPr>
        <w:tc>
          <w:tcPr>
            <w:tcW w:w="235"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79371F9E" w14:textId="45363584" w:rsidR="008C0C46" w:rsidRPr="000939E3" w:rsidRDefault="00A67189" w:rsidP="001D63C0">
            <w:pPr>
              <w:spacing w:after="0" w:line="240" w:lineRule="auto"/>
              <w:contextualSpacing/>
              <w:jc w:val="center"/>
              <w:rPr>
                <w:rFonts w:eastAsia="Times New Roman" w:cs="Times New Roman"/>
                <w:sz w:val="20"/>
                <w:szCs w:val="20"/>
                <w:lang w:eastAsia="sk-SK"/>
              </w:rPr>
            </w:pPr>
            <w:r w:rsidRPr="000939E3">
              <w:rPr>
                <w:rFonts w:eastAsia="Times New Roman" w:cs="Times New Roman"/>
                <w:color w:val="000000"/>
                <w:sz w:val="20"/>
                <w:szCs w:val="20"/>
                <w:lang w:eastAsia="sk-SK"/>
              </w:rPr>
              <w:t>6</w:t>
            </w:r>
          </w:p>
        </w:tc>
        <w:tc>
          <w:tcPr>
            <w:tcW w:w="2749"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52C4DBD8" w14:textId="0F47B6AB" w:rsidR="008C0C46" w:rsidRPr="000939E3" w:rsidRDefault="008C0C46" w:rsidP="001D63C0">
            <w:pPr>
              <w:spacing w:after="0"/>
              <w:contextualSpacing/>
              <w:jc w:val="left"/>
              <w:rPr>
                <w:color w:val="000000"/>
                <w:sz w:val="20"/>
              </w:rPr>
            </w:pPr>
            <w:r w:rsidRPr="000939E3">
              <w:rPr>
                <w:color w:val="000000"/>
                <w:sz w:val="20"/>
              </w:rPr>
              <w:t>Rozpočtova</w:t>
            </w:r>
            <w:r w:rsidR="00A6740C" w:rsidRPr="000939E3">
              <w:rPr>
                <w:color w:val="000000"/>
                <w:sz w:val="20"/>
              </w:rPr>
              <w:t>ť</w:t>
            </w:r>
            <w:r w:rsidRPr="000939E3">
              <w:rPr>
                <w:color w:val="000000"/>
                <w:sz w:val="20"/>
              </w:rPr>
              <w:t xml:space="preserve"> EÚ fond</w:t>
            </w:r>
            <w:r w:rsidR="00A6740C" w:rsidRPr="000939E3">
              <w:rPr>
                <w:color w:val="000000"/>
                <w:sz w:val="20"/>
              </w:rPr>
              <w:t>y</w:t>
            </w:r>
            <w:r w:rsidRPr="000939E3">
              <w:rPr>
                <w:color w:val="000000"/>
                <w:sz w:val="20"/>
              </w:rPr>
              <w:t xml:space="preserve"> na mzdy</w:t>
            </w:r>
          </w:p>
        </w:tc>
        <w:tc>
          <w:tcPr>
            <w:tcW w:w="68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6532D997"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rozpočtovanie</w:t>
            </w:r>
          </w:p>
        </w:tc>
        <w:tc>
          <w:tcPr>
            <w:tcW w:w="132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6AD253D0"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MF SR</w:t>
            </w:r>
          </w:p>
        </w:tc>
      </w:tr>
      <w:tr w:rsidR="008C0C46" w:rsidRPr="000939E3" w14:paraId="0CC5829C" w14:textId="77777777" w:rsidTr="00E70518">
        <w:trPr>
          <w:trHeight w:val="20"/>
        </w:trPr>
        <w:tc>
          <w:tcPr>
            <w:tcW w:w="235" w:type="pct"/>
            <w:tcBorders>
              <w:top w:val="dashed" w:sz="4" w:space="0" w:color="BFBFBF" w:themeColor="background1" w:themeShade="BF"/>
              <w:left w:val="nil"/>
              <w:bottom w:val="single" w:sz="4" w:space="0" w:color="auto"/>
              <w:right w:val="nil"/>
            </w:tcBorders>
            <w:shd w:val="clear" w:color="auto" w:fill="auto"/>
            <w:noWrap/>
            <w:vAlign w:val="center"/>
          </w:tcPr>
          <w:p w14:paraId="77A9F519" w14:textId="4BAFD455" w:rsidR="008C0C46" w:rsidRPr="000939E3" w:rsidRDefault="00A67189" w:rsidP="001D63C0">
            <w:pPr>
              <w:spacing w:after="0" w:line="240" w:lineRule="auto"/>
              <w:contextualSpacing/>
              <w:jc w:val="center"/>
              <w:rPr>
                <w:rFonts w:eastAsia="Times New Roman" w:cs="Times New Roman"/>
                <w:sz w:val="20"/>
                <w:szCs w:val="20"/>
                <w:lang w:eastAsia="sk-SK"/>
              </w:rPr>
            </w:pPr>
            <w:r w:rsidRPr="000939E3">
              <w:rPr>
                <w:rFonts w:eastAsia="Times New Roman" w:cs="Times New Roman"/>
                <w:sz w:val="20"/>
                <w:szCs w:val="20"/>
                <w:lang w:eastAsia="sk-SK"/>
              </w:rPr>
              <w:t>7</w:t>
            </w:r>
          </w:p>
        </w:tc>
        <w:tc>
          <w:tcPr>
            <w:tcW w:w="2749" w:type="pct"/>
            <w:tcBorders>
              <w:top w:val="dashed" w:sz="4" w:space="0" w:color="BFBFBF" w:themeColor="background1" w:themeShade="BF"/>
              <w:left w:val="nil"/>
              <w:bottom w:val="single" w:sz="4" w:space="0" w:color="auto"/>
              <w:right w:val="nil"/>
            </w:tcBorders>
            <w:shd w:val="clear" w:color="auto" w:fill="auto"/>
            <w:noWrap/>
            <w:vAlign w:val="center"/>
          </w:tcPr>
          <w:p w14:paraId="4E2CAC34" w14:textId="66B40239" w:rsidR="008C0C46" w:rsidRPr="000939E3" w:rsidRDefault="008C0C46" w:rsidP="001D63C0">
            <w:pPr>
              <w:spacing w:after="0"/>
              <w:contextualSpacing/>
              <w:jc w:val="left"/>
              <w:rPr>
                <w:color w:val="000000"/>
                <w:sz w:val="20"/>
              </w:rPr>
            </w:pPr>
            <w:r w:rsidRPr="000939E3">
              <w:rPr>
                <w:color w:val="000000"/>
                <w:sz w:val="20"/>
              </w:rPr>
              <w:t>Zahrn</w:t>
            </w:r>
            <w:r w:rsidR="00A6740C" w:rsidRPr="000939E3">
              <w:rPr>
                <w:color w:val="000000"/>
                <w:sz w:val="20"/>
              </w:rPr>
              <w:t>úť</w:t>
            </w:r>
            <w:r w:rsidRPr="000939E3">
              <w:rPr>
                <w:color w:val="000000"/>
                <w:sz w:val="20"/>
              </w:rPr>
              <w:t xml:space="preserve"> rozpočtovani</w:t>
            </w:r>
            <w:r w:rsidR="00A6740C" w:rsidRPr="000939E3">
              <w:rPr>
                <w:color w:val="000000"/>
                <w:sz w:val="20"/>
              </w:rPr>
              <w:t>e</w:t>
            </w:r>
            <w:r w:rsidRPr="000939E3">
              <w:rPr>
                <w:color w:val="000000"/>
                <w:sz w:val="20"/>
              </w:rPr>
              <w:t xml:space="preserve"> odmien do prípravy rozpočtu</w:t>
            </w:r>
          </w:p>
        </w:tc>
        <w:tc>
          <w:tcPr>
            <w:tcW w:w="688" w:type="pct"/>
            <w:tcBorders>
              <w:top w:val="dashed" w:sz="4" w:space="0" w:color="BFBFBF" w:themeColor="background1" w:themeShade="BF"/>
              <w:left w:val="nil"/>
              <w:bottom w:val="single" w:sz="4" w:space="0" w:color="auto"/>
              <w:right w:val="nil"/>
            </w:tcBorders>
            <w:shd w:val="clear" w:color="auto" w:fill="auto"/>
            <w:noWrap/>
            <w:vAlign w:val="center"/>
          </w:tcPr>
          <w:p w14:paraId="22D724EE"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rozpočtovanie</w:t>
            </w:r>
          </w:p>
        </w:tc>
        <w:tc>
          <w:tcPr>
            <w:tcW w:w="1328" w:type="pct"/>
            <w:tcBorders>
              <w:top w:val="dashed" w:sz="4" w:space="0" w:color="BFBFBF" w:themeColor="background1" w:themeShade="BF"/>
              <w:left w:val="nil"/>
              <w:bottom w:val="single" w:sz="4" w:space="0" w:color="auto"/>
              <w:right w:val="nil"/>
            </w:tcBorders>
            <w:shd w:val="clear" w:color="auto" w:fill="auto"/>
            <w:noWrap/>
            <w:vAlign w:val="center"/>
          </w:tcPr>
          <w:p w14:paraId="32B0705D"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ministerstvá</w:t>
            </w:r>
          </w:p>
        </w:tc>
      </w:tr>
      <w:tr w:rsidR="008C0C46" w:rsidRPr="000939E3" w14:paraId="5BF6129B" w14:textId="77777777" w:rsidTr="00E70518">
        <w:trPr>
          <w:trHeight w:val="20"/>
        </w:trPr>
        <w:tc>
          <w:tcPr>
            <w:tcW w:w="235" w:type="pct"/>
            <w:tcBorders>
              <w:top w:val="single" w:sz="4" w:space="0" w:color="auto"/>
              <w:left w:val="nil"/>
              <w:bottom w:val="dashed" w:sz="4" w:space="0" w:color="BFBFBF" w:themeColor="background1" w:themeShade="BF"/>
              <w:right w:val="nil"/>
            </w:tcBorders>
            <w:shd w:val="clear" w:color="auto" w:fill="auto"/>
            <w:noWrap/>
            <w:vAlign w:val="center"/>
          </w:tcPr>
          <w:p w14:paraId="10306108" w14:textId="33719061" w:rsidR="008C0C46" w:rsidRPr="000939E3" w:rsidRDefault="00A67189" w:rsidP="001D63C0">
            <w:pPr>
              <w:spacing w:after="0" w:line="240" w:lineRule="auto"/>
              <w:contextualSpacing/>
              <w:jc w:val="center"/>
              <w:rPr>
                <w:rFonts w:eastAsia="Times New Roman" w:cs="Times New Roman"/>
                <w:sz w:val="20"/>
                <w:szCs w:val="20"/>
                <w:lang w:eastAsia="sk-SK"/>
              </w:rPr>
            </w:pPr>
            <w:r w:rsidRPr="000939E3">
              <w:rPr>
                <w:rFonts w:eastAsia="Times New Roman" w:cs="Times New Roman"/>
                <w:color w:val="000000"/>
                <w:sz w:val="20"/>
                <w:szCs w:val="20"/>
                <w:lang w:eastAsia="sk-SK"/>
              </w:rPr>
              <w:lastRenderedPageBreak/>
              <w:t>8</w:t>
            </w:r>
          </w:p>
        </w:tc>
        <w:tc>
          <w:tcPr>
            <w:tcW w:w="2749" w:type="pct"/>
            <w:tcBorders>
              <w:top w:val="single" w:sz="4" w:space="0" w:color="auto"/>
              <w:left w:val="nil"/>
              <w:bottom w:val="dashed" w:sz="4" w:space="0" w:color="BFBFBF" w:themeColor="background1" w:themeShade="BF"/>
              <w:right w:val="nil"/>
            </w:tcBorders>
            <w:shd w:val="clear" w:color="auto" w:fill="auto"/>
            <w:noWrap/>
            <w:vAlign w:val="center"/>
          </w:tcPr>
          <w:p w14:paraId="2B0738E3" w14:textId="45F165B0" w:rsidR="008C0C46" w:rsidRPr="000939E3" w:rsidRDefault="008C0C46" w:rsidP="001D63C0">
            <w:pPr>
              <w:spacing w:after="0"/>
              <w:contextualSpacing/>
              <w:jc w:val="left"/>
              <w:rPr>
                <w:color w:val="000000"/>
                <w:sz w:val="20"/>
              </w:rPr>
            </w:pPr>
            <w:r w:rsidRPr="000939E3">
              <w:rPr>
                <w:color w:val="000000"/>
                <w:sz w:val="20"/>
              </w:rPr>
              <w:t>Zvýš</w:t>
            </w:r>
            <w:r w:rsidR="00A6740C" w:rsidRPr="000939E3">
              <w:rPr>
                <w:color w:val="000000"/>
                <w:sz w:val="20"/>
              </w:rPr>
              <w:t>iť</w:t>
            </w:r>
            <w:r w:rsidRPr="000939E3">
              <w:rPr>
                <w:color w:val="000000"/>
                <w:sz w:val="20"/>
              </w:rPr>
              <w:t xml:space="preserve"> flexibilit</w:t>
            </w:r>
            <w:r w:rsidR="00A6740C" w:rsidRPr="000939E3">
              <w:rPr>
                <w:color w:val="000000"/>
                <w:sz w:val="20"/>
              </w:rPr>
              <w:t>u</w:t>
            </w:r>
            <w:r w:rsidR="00820790" w:rsidRPr="000939E3">
              <w:rPr>
                <w:color w:val="000000"/>
                <w:sz w:val="20"/>
              </w:rPr>
              <w:t xml:space="preserve"> </w:t>
            </w:r>
            <w:r w:rsidRPr="000939E3">
              <w:rPr>
                <w:color w:val="000000"/>
                <w:sz w:val="20"/>
              </w:rPr>
              <w:t>v odmeňovaní štátnych a verejných zamestnancov s dôrazom na ich výkon</w:t>
            </w:r>
          </w:p>
        </w:tc>
        <w:tc>
          <w:tcPr>
            <w:tcW w:w="688" w:type="pct"/>
            <w:tcBorders>
              <w:top w:val="single" w:sz="4" w:space="0" w:color="auto"/>
              <w:left w:val="nil"/>
              <w:bottom w:val="dashed" w:sz="4" w:space="0" w:color="BFBFBF" w:themeColor="background1" w:themeShade="BF"/>
              <w:right w:val="nil"/>
            </w:tcBorders>
            <w:shd w:val="clear" w:color="auto" w:fill="auto"/>
            <w:noWrap/>
            <w:vAlign w:val="center"/>
          </w:tcPr>
          <w:p w14:paraId="4F1E3328"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odmeňovanie</w:t>
            </w:r>
          </w:p>
        </w:tc>
        <w:tc>
          <w:tcPr>
            <w:tcW w:w="1328" w:type="pct"/>
            <w:tcBorders>
              <w:top w:val="single" w:sz="4" w:space="0" w:color="auto"/>
              <w:left w:val="nil"/>
              <w:bottom w:val="dashed" w:sz="4" w:space="0" w:color="BFBFBF" w:themeColor="background1" w:themeShade="BF"/>
              <w:right w:val="nil"/>
            </w:tcBorders>
            <w:shd w:val="clear" w:color="auto" w:fill="auto"/>
            <w:noWrap/>
            <w:vAlign w:val="center"/>
          </w:tcPr>
          <w:p w14:paraId="549D6570"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ÚV SR, MF SR</w:t>
            </w:r>
          </w:p>
        </w:tc>
      </w:tr>
      <w:tr w:rsidR="008C0C46" w:rsidRPr="000939E3" w14:paraId="4BE79CDE" w14:textId="77777777" w:rsidTr="002B1D3D">
        <w:trPr>
          <w:trHeight w:val="20"/>
        </w:trPr>
        <w:tc>
          <w:tcPr>
            <w:tcW w:w="235"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0A34B0E2" w14:textId="26BCA85D" w:rsidR="008C0C46" w:rsidRPr="000939E3" w:rsidRDefault="00A67189" w:rsidP="001D63C0">
            <w:pPr>
              <w:spacing w:after="0" w:line="240" w:lineRule="auto"/>
              <w:contextualSpacing/>
              <w:jc w:val="center"/>
              <w:rPr>
                <w:rFonts w:eastAsia="Times New Roman" w:cs="Times New Roman"/>
                <w:sz w:val="20"/>
                <w:szCs w:val="20"/>
                <w:lang w:eastAsia="sk-SK"/>
              </w:rPr>
            </w:pPr>
            <w:r w:rsidRPr="000939E3">
              <w:rPr>
                <w:rFonts w:eastAsia="Times New Roman" w:cs="Times New Roman"/>
                <w:color w:val="000000"/>
                <w:sz w:val="20"/>
                <w:szCs w:val="20"/>
                <w:lang w:eastAsia="sk-SK"/>
              </w:rPr>
              <w:t>9</w:t>
            </w:r>
          </w:p>
        </w:tc>
        <w:tc>
          <w:tcPr>
            <w:tcW w:w="2749"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22728926" w14:textId="745E6262" w:rsidR="008C0C46" w:rsidRPr="000939E3" w:rsidRDefault="008C0C46" w:rsidP="001D63C0">
            <w:pPr>
              <w:spacing w:after="0"/>
              <w:contextualSpacing/>
              <w:jc w:val="left"/>
              <w:rPr>
                <w:color w:val="000000"/>
                <w:sz w:val="20"/>
              </w:rPr>
            </w:pPr>
            <w:r w:rsidRPr="000939E3">
              <w:rPr>
                <w:color w:val="000000"/>
                <w:sz w:val="20"/>
              </w:rPr>
              <w:t>Zvýš</w:t>
            </w:r>
            <w:r w:rsidR="00A6740C" w:rsidRPr="000939E3">
              <w:rPr>
                <w:color w:val="000000"/>
                <w:sz w:val="20"/>
              </w:rPr>
              <w:t>iť</w:t>
            </w:r>
            <w:r w:rsidRPr="000939E3">
              <w:rPr>
                <w:color w:val="000000"/>
                <w:sz w:val="20"/>
              </w:rPr>
              <w:t xml:space="preserve"> možnosti zamestnávania bakalárov v štátnej správe a prehodnot</w:t>
            </w:r>
            <w:r w:rsidR="00A6740C" w:rsidRPr="000939E3">
              <w:rPr>
                <w:color w:val="000000"/>
                <w:sz w:val="20"/>
              </w:rPr>
              <w:t>iť</w:t>
            </w:r>
            <w:r w:rsidRPr="000939E3">
              <w:rPr>
                <w:color w:val="000000"/>
                <w:sz w:val="20"/>
              </w:rPr>
              <w:t xml:space="preserve"> uznávani</w:t>
            </w:r>
            <w:r w:rsidR="00A6740C" w:rsidRPr="000939E3">
              <w:rPr>
                <w:color w:val="000000"/>
                <w:sz w:val="20"/>
              </w:rPr>
              <w:t>e</w:t>
            </w:r>
            <w:r w:rsidRPr="000939E3">
              <w:rPr>
                <w:color w:val="000000"/>
                <w:sz w:val="20"/>
              </w:rPr>
              <w:t xml:space="preserve"> praxe </w:t>
            </w:r>
          </w:p>
        </w:tc>
        <w:tc>
          <w:tcPr>
            <w:tcW w:w="68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1F042F61"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riadenie</w:t>
            </w:r>
          </w:p>
        </w:tc>
        <w:tc>
          <w:tcPr>
            <w:tcW w:w="132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7E9A5508"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ÚV SR</w:t>
            </w:r>
          </w:p>
        </w:tc>
      </w:tr>
      <w:tr w:rsidR="008C0C46" w:rsidRPr="000939E3" w14:paraId="4FB31098" w14:textId="77777777" w:rsidTr="002B1D3D">
        <w:trPr>
          <w:trHeight w:val="20"/>
        </w:trPr>
        <w:tc>
          <w:tcPr>
            <w:tcW w:w="235"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0F79E072" w14:textId="2E93CA6F" w:rsidR="008C0C46" w:rsidRPr="000939E3" w:rsidRDefault="00A67189"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sz w:val="20"/>
                <w:szCs w:val="20"/>
                <w:lang w:eastAsia="sk-SK"/>
              </w:rPr>
              <w:t>10</w:t>
            </w:r>
          </w:p>
        </w:tc>
        <w:tc>
          <w:tcPr>
            <w:tcW w:w="2749"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51A44031" w14:textId="79041AC2" w:rsidR="008C0C46" w:rsidRPr="000939E3" w:rsidRDefault="008C0C46" w:rsidP="001D63C0">
            <w:pPr>
              <w:spacing w:after="0"/>
              <w:contextualSpacing/>
              <w:jc w:val="left"/>
              <w:rPr>
                <w:color w:val="000000"/>
                <w:sz w:val="20"/>
              </w:rPr>
            </w:pPr>
            <w:r w:rsidRPr="000939E3">
              <w:rPr>
                <w:sz w:val="20"/>
              </w:rPr>
              <w:t>Posil</w:t>
            </w:r>
            <w:r w:rsidR="00A6740C" w:rsidRPr="000939E3">
              <w:rPr>
                <w:sz w:val="20"/>
              </w:rPr>
              <w:t>niť</w:t>
            </w:r>
            <w:r w:rsidRPr="000939E3">
              <w:rPr>
                <w:sz w:val="20"/>
              </w:rPr>
              <w:t xml:space="preserve"> centrálne riadeni</w:t>
            </w:r>
            <w:r w:rsidR="00A6740C" w:rsidRPr="000939E3">
              <w:rPr>
                <w:sz w:val="20"/>
              </w:rPr>
              <w:t>e</w:t>
            </w:r>
            <w:r w:rsidRPr="000939E3">
              <w:rPr>
                <w:sz w:val="20"/>
              </w:rPr>
              <w:t xml:space="preserve"> ľudských zdrojov</w:t>
            </w:r>
          </w:p>
        </w:tc>
        <w:tc>
          <w:tcPr>
            <w:tcW w:w="68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253F7C48"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riadenie</w:t>
            </w:r>
          </w:p>
        </w:tc>
        <w:tc>
          <w:tcPr>
            <w:tcW w:w="132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0F8F9FE4"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ÚV SR</w:t>
            </w:r>
          </w:p>
        </w:tc>
      </w:tr>
      <w:tr w:rsidR="008C0C46" w:rsidRPr="000939E3" w14:paraId="7CD00726" w14:textId="77777777" w:rsidTr="002B1D3D">
        <w:trPr>
          <w:trHeight w:val="20"/>
        </w:trPr>
        <w:tc>
          <w:tcPr>
            <w:tcW w:w="235"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239087FD" w14:textId="76C9C536" w:rsidR="008C0C46" w:rsidRPr="000939E3" w:rsidRDefault="008C0C46" w:rsidP="001D63C0">
            <w:pPr>
              <w:spacing w:after="0" w:line="240" w:lineRule="auto"/>
              <w:contextualSpacing/>
              <w:jc w:val="center"/>
              <w:rPr>
                <w:rFonts w:eastAsia="Times New Roman" w:cs="Times New Roman"/>
                <w:sz w:val="20"/>
                <w:szCs w:val="20"/>
                <w:lang w:eastAsia="sk-SK"/>
              </w:rPr>
            </w:pPr>
            <w:r w:rsidRPr="000939E3">
              <w:rPr>
                <w:rFonts w:eastAsia="Times New Roman" w:cs="Times New Roman"/>
                <w:sz w:val="20"/>
                <w:szCs w:val="20"/>
                <w:lang w:eastAsia="sk-SK"/>
              </w:rPr>
              <w:t>1</w:t>
            </w:r>
            <w:r w:rsidR="00A67189" w:rsidRPr="000939E3">
              <w:rPr>
                <w:rFonts w:eastAsia="Times New Roman" w:cs="Times New Roman"/>
                <w:sz w:val="20"/>
                <w:szCs w:val="20"/>
                <w:lang w:eastAsia="sk-SK"/>
              </w:rPr>
              <w:t>1</w:t>
            </w:r>
          </w:p>
        </w:tc>
        <w:tc>
          <w:tcPr>
            <w:tcW w:w="2749"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7ABDB68B" w14:textId="657AFCBC" w:rsidR="008C0C46" w:rsidRPr="000939E3" w:rsidRDefault="008C0C46" w:rsidP="001D63C0">
            <w:pPr>
              <w:spacing w:after="0"/>
              <w:contextualSpacing/>
              <w:jc w:val="left"/>
              <w:rPr>
                <w:sz w:val="20"/>
              </w:rPr>
            </w:pPr>
            <w:r w:rsidRPr="000939E3">
              <w:rPr>
                <w:color w:val="000000"/>
                <w:sz w:val="20"/>
              </w:rPr>
              <w:t>Prehodnot</w:t>
            </w:r>
            <w:r w:rsidR="00A6740C" w:rsidRPr="000939E3">
              <w:rPr>
                <w:color w:val="000000"/>
                <w:sz w:val="20"/>
              </w:rPr>
              <w:t>iť</w:t>
            </w:r>
            <w:r w:rsidRPr="000939E3">
              <w:rPr>
                <w:color w:val="000000"/>
                <w:sz w:val="20"/>
              </w:rPr>
              <w:t xml:space="preserve"> inštitucionálne usporiadani</w:t>
            </w:r>
            <w:r w:rsidR="00A6740C" w:rsidRPr="000939E3">
              <w:rPr>
                <w:color w:val="000000"/>
                <w:sz w:val="20"/>
              </w:rPr>
              <w:t>e</w:t>
            </w:r>
            <w:r w:rsidRPr="000939E3">
              <w:rPr>
                <w:color w:val="000000"/>
                <w:sz w:val="20"/>
              </w:rPr>
              <w:t xml:space="preserve"> kolektívneho vyjednávania</w:t>
            </w:r>
          </w:p>
        </w:tc>
        <w:tc>
          <w:tcPr>
            <w:tcW w:w="68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5B10F731" w14:textId="3A3EB1C2" w:rsidR="008C0C46" w:rsidRPr="000939E3" w:rsidRDefault="00C60669"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riadenie</w:t>
            </w:r>
          </w:p>
        </w:tc>
        <w:tc>
          <w:tcPr>
            <w:tcW w:w="1328" w:type="pct"/>
            <w:tcBorders>
              <w:top w:val="dashed" w:sz="4" w:space="0" w:color="BFBFBF" w:themeColor="background1" w:themeShade="BF"/>
              <w:left w:val="nil"/>
              <w:bottom w:val="dashed" w:sz="4" w:space="0" w:color="BFBFBF" w:themeColor="background1" w:themeShade="BF"/>
              <w:right w:val="nil"/>
            </w:tcBorders>
            <w:shd w:val="clear" w:color="auto" w:fill="auto"/>
            <w:noWrap/>
            <w:vAlign w:val="center"/>
          </w:tcPr>
          <w:p w14:paraId="34E80704" w14:textId="30D65415"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MPSVaR</w:t>
            </w:r>
            <w:r w:rsidR="00894264" w:rsidRPr="000939E3">
              <w:rPr>
                <w:rFonts w:eastAsia="Times New Roman" w:cs="Times New Roman"/>
                <w:color w:val="000000"/>
                <w:sz w:val="20"/>
                <w:szCs w:val="20"/>
                <w:lang w:eastAsia="sk-SK"/>
              </w:rPr>
              <w:t xml:space="preserve"> SR</w:t>
            </w:r>
          </w:p>
        </w:tc>
      </w:tr>
      <w:tr w:rsidR="008C0C46" w:rsidRPr="000939E3" w14:paraId="3023681A" w14:textId="77777777" w:rsidTr="002B1D3D">
        <w:trPr>
          <w:trHeight w:val="20"/>
        </w:trPr>
        <w:tc>
          <w:tcPr>
            <w:tcW w:w="235" w:type="pct"/>
            <w:tcBorders>
              <w:top w:val="dashed" w:sz="4" w:space="0" w:color="BFBFBF" w:themeColor="background1" w:themeShade="BF"/>
              <w:left w:val="nil"/>
              <w:bottom w:val="single" w:sz="4" w:space="0" w:color="auto"/>
              <w:right w:val="nil"/>
            </w:tcBorders>
            <w:shd w:val="clear" w:color="auto" w:fill="auto"/>
            <w:noWrap/>
            <w:vAlign w:val="center"/>
          </w:tcPr>
          <w:p w14:paraId="53AF422D" w14:textId="359F8DFF" w:rsidR="008C0C46" w:rsidRPr="000939E3" w:rsidRDefault="00A67189" w:rsidP="001D63C0">
            <w:pPr>
              <w:spacing w:after="0" w:line="240" w:lineRule="auto"/>
              <w:contextualSpacing/>
              <w:jc w:val="center"/>
              <w:rPr>
                <w:rFonts w:eastAsia="Times New Roman" w:cs="Times New Roman"/>
                <w:sz w:val="20"/>
                <w:szCs w:val="20"/>
                <w:lang w:eastAsia="sk-SK"/>
              </w:rPr>
            </w:pPr>
            <w:r w:rsidRPr="000939E3">
              <w:rPr>
                <w:rFonts w:eastAsia="Times New Roman" w:cs="Times New Roman"/>
                <w:sz w:val="20"/>
                <w:szCs w:val="20"/>
                <w:lang w:eastAsia="sk-SK"/>
              </w:rPr>
              <w:t>12</w:t>
            </w:r>
          </w:p>
        </w:tc>
        <w:tc>
          <w:tcPr>
            <w:tcW w:w="2749" w:type="pct"/>
            <w:tcBorders>
              <w:top w:val="dashed" w:sz="4" w:space="0" w:color="BFBFBF" w:themeColor="background1" w:themeShade="BF"/>
              <w:left w:val="nil"/>
              <w:bottom w:val="single" w:sz="4" w:space="0" w:color="auto"/>
              <w:right w:val="nil"/>
            </w:tcBorders>
            <w:shd w:val="clear" w:color="auto" w:fill="auto"/>
            <w:noWrap/>
            <w:vAlign w:val="center"/>
          </w:tcPr>
          <w:p w14:paraId="058A9E7B" w14:textId="6236A3D9" w:rsidR="008C0C46" w:rsidRPr="000939E3" w:rsidRDefault="008C0C46" w:rsidP="001D63C0">
            <w:pPr>
              <w:spacing w:after="0"/>
              <w:contextualSpacing/>
              <w:jc w:val="left"/>
              <w:rPr>
                <w:color w:val="000000"/>
                <w:sz w:val="20"/>
              </w:rPr>
            </w:pPr>
            <w:r w:rsidRPr="000939E3">
              <w:rPr>
                <w:rFonts w:eastAsia="Times New Roman" w:cs="Times New Roman"/>
                <w:color w:val="000000"/>
                <w:sz w:val="20"/>
                <w:lang w:eastAsia="sk-SK"/>
              </w:rPr>
              <w:t>Anal</w:t>
            </w:r>
            <w:r w:rsidR="00A6740C" w:rsidRPr="000939E3">
              <w:rPr>
                <w:rFonts w:eastAsia="Times New Roman" w:cs="Times New Roman"/>
                <w:color w:val="000000"/>
                <w:sz w:val="20"/>
                <w:lang w:eastAsia="sk-SK"/>
              </w:rPr>
              <w:t>y</w:t>
            </w:r>
            <w:r w:rsidRPr="000939E3">
              <w:rPr>
                <w:rFonts w:eastAsia="Times New Roman" w:cs="Times New Roman"/>
                <w:color w:val="000000"/>
                <w:sz w:val="20"/>
                <w:lang w:eastAsia="sk-SK"/>
              </w:rPr>
              <w:t>z</w:t>
            </w:r>
            <w:r w:rsidR="00A6740C" w:rsidRPr="000939E3">
              <w:rPr>
                <w:rFonts w:eastAsia="Times New Roman" w:cs="Times New Roman"/>
                <w:color w:val="000000"/>
                <w:sz w:val="20"/>
                <w:lang w:eastAsia="sk-SK"/>
              </w:rPr>
              <w:t>ovať</w:t>
            </w:r>
            <w:r w:rsidRPr="000939E3">
              <w:rPr>
                <w:rFonts w:eastAsia="Times New Roman" w:cs="Times New Roman"/>
                <w:color w:val="000000"/>
                <w:sz w:val="20"/>
                <w:lang w:eastAsia="sk-SK"/>
              </w:rPr>
              <w:t xml:space="preserve"> zavedeni</w:t>
            </w:r>
            <w:r w:rsidR="00A6740C" w:rsidRPr="000939E3">
              <w:rPr>
                <w:rFonts w:eastAsia="Times New Roman" w:cs="Times New Roman"/>
                <w:color w:val="000000"/>
                <w:sz w:val="20"/>
                <w:lang w:eastAsia="sk-SK"/>
              </w:rPr>
              <w:t>e</w:t>
            </w:r>
            <w:r w:rsidRPr="000939E3">
              <w:rPr>
                <w:rFonts w:eastAsia="Times New Roman" w:cs="Times New Roman"/>
                <w:color w:val="000000"/>
                <w:sz w:val="20"/>
                <w:lang w:eastAsia="sk-SK"/>
              </w:rPr>
              <w:t xml:space="preserve"> príspevkov zohľadňujúcich regionálne rozdielnu mzdovú úroveň </w:t>
            </w:r>
          </w:p>
        </w:tc>
        <w:tc>
          <w:tcPr>
            <w:tcW w:w="688" w:type="pct"/>
            <w:tcBorders>
              <w:top w:val="dashed" w:sz="4" w:space="0" w:color="BFBFBF" w:themeColor="background1" w:themeShade="BF"/>
              <w:left w:val="nil"/>
              <w:bottom w:val="single" w:sz="4" w:space="0" w:color="auto"/>
              <w:right w:val="nil"/>
            </w:tcBorders>
            <w:shd w:val="clear" w:color="auto" w:fill="auto"/>
            <w:noWrap/>
            <w:vAlign w:val="center"/>
          </w:tcPr>
          <w:p w14:paraId="31EE77E7" w14:textId="77777777"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odmeňovanie</w:t>
            </w:r>
            <w:r w:rsidRPr="000939E3" w:rsidDel="00E457AA">
              <w:rPr>
                <w:rFonts w:eastAsia="Times New Roman" w:cs="Times New Roman"/>
                <w:color w:val="000000"/>
                <w:sz w:val="20"/>
                <w:szCs w:val="20"/>
                <w:lang w:eastAsia="sk-SK"/>
              </w:rPr>
              <w:t xml:space="preserve"> </w:t>
            </w:r>
          </w:p>
        </w:tc>
        <w:tc>
          <w:tcPr>
            <w:tcW w:w="1328" w:type="pct"/>
            <w:tcBorders>
              <w:top w:val="dashed" w:sz="4" w:space="0" w:color="BFBFBF" w:themeColor="background1" w:themeShade="BF"/>
              <w:left w:val="nil"/>
              <w:bottom w:val="single" w:sz="4" w:space="0" w:color="auto"/>
              <w:right w:val="nil"/>
            </w:tcBorders>
            <w:shd w:val="clear" w:color="auto" w:fill="auto"/>
            <w:noWrap/>
            <w:vAlign w:val="center"/>
          </w:tcPr>
          <w:p w14:paraId="247A9AA2" w14:textId="77777777" w:rsidR="008C0C46" w:rsidRPr="000939E3" w:rsidRDefault="008C0C46" w:rsidP="001D63C0">
            <w:pPr>
              <w:spacing w:after="0" w:line="240" w:lineRule="auto"/>
              <w:contextualSpacing/>
              <w:jc w:val="center"/>
              <w:rPr>
                <w:rFonts w:eastAsia="Times New Roman" w:cs="Times New Roman"/>
                <w:color w:val="000000"/>
                <w:sz w:val="20"/>
                <w:lang w:eastAsia="sk-SK"/>
              </w:rPr>
            </w:pPr>
            <w:r w:rsidRPr="000939E3">
              <w:rPr>
                <w:rFonts w:eastAsia="Times New Roman" w:cs="Times New Roman"/>
                <w:color w:val="000000"/>
                <w:sz w:val="20"/>
                <w:lang w:eastAsia="sk-SK"/>
              </w:rPr>
              <w:t xml:space="preserve">ÚV SR, </w:t>
            </w:r>
          </w:p>
          <w:p w14:paraId="0E8AF7CB" w14:textId="2964668C" w:rsidR="008C0C46" w:rsidRPr="000939E3" w:rsidRDefault="008C0C46" w:rsidP="001D63C0">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lang w:eastAsia="sk-SK"/>
              </w:rPr>
              <w:t xml:space="preserve"> MPSVaR</w:t>
            </w:r>
            <w:r w:rsidR="00894264" w:rsidRPr="000939E3">
              <w:rPr>
                <w:rFonts w:eastAsia="Times New Roman" w:cs="Times New Roman"/>
                <w:color w:val="000000"/>
                <w:sz w:val="20"/>
                <w:lang w:eastAsia="sk-SK"/>
              </w:rPr>
              <w:t xml:space="preserve"> SR</w:t>
            </w:r>
            <w:r w:rsidRPr="000939E3">
              <w:rPr>
                <w:rFonts w:eastAsia="Times New Roman" w:cs="Times New Roman"/>
                <w:color w:val="000000"/>
                <w:sz w:val="20"/>
                <w:lang w:eastAsia="sk-SK"/>
              </w:rPr>
              <w:t xml:space="preserve">, </w:t>
            </w:r>
            <w:r w:rsidRPr="000939E3">
              <w:rPr>
                <w:rFonts w:eastAsia="Times New Roman" w:cs="Times New Roman"/>
                <w:color w:val="000000"/>
                <w:sz w:val="20"/>
                <w:lang w:eastAsia="sk-SK"/>
              </w:rPr>
              <w:br/>
              <w:t xml:space="preserve">MF SR </w:t>
            </w:r>
          </w:p>
        </w:tc>
      </w:tr>
      <w:tr w:rsidR="008C0C46" w:rsidRPr="000939E3" w14:paraId="64A4B566" w14:textId="77777777" w:rsidTr="002B1D3D">
        <w:trPr>
          <w:trHeight w:val="20"/>
        </w:trPr>
        <w:tc>
          <w:tcPr>
            <w:tcW w:w="2984" w:type="pct"/>
            <w:gridSpan w:val="2"/>
            <w:tcBorders>
              <w:top w:val="single" w:sz="4" w:space="0" w:color="auto"/>
              <w:left w:val="nil"/>
              <w:bottom w:val="nil"/>
              <w:right w:val="nil"/>
            </w:tcBorders>
            <w:shd w:val="clear" w:color="auto" w:fill="auto"/>
            <w:noWrap/>
            <w:hideMark/>
          </w:tcPr>
          <w:p w14:paraId="595D6843" w14:textId="3E4838CA" w:rsidR="008C0C46" w:rsidRPr="000939E3" w:rsidRDefault="008C0C46" w:rsidP="001D63C0">
            <w:pPr>
              <w:spacing w:after="0" w:line="240" w:lineRule="auto"/>
              <w:contextualSpacing/>
              <w:jc w:val="left"/>
              <w:rPr>
                <w:rFonts w:eastAsia="Times New Roman" w:cs="Times New Roman"/>
                <w:i/>
                <w:sz w:val="18"/>
                <w:szCs w:val="20"/>
                <w:lang w:eastAsia="sk-SK"/>
              </w:rPr>
            </w:pPr>
          </w:p>
        </w:tc>
        <w:tc>
          <w:tcPr>
            <w:tcW w:w="688" w:type="pct"/>
            <w:tcBorders>
              <w:top w:val="single" w:sz="4" w:space="0" w:color="auto"/>
              <w:left w:val="nil"/>
              <w:bottom w:val="nil"/>
              <w:right w:val="nil"/>
            </w:tcBorders>
            <w:shd w:val="clear" w:color="auto" w:fill="auto"/>
            <w:noWrap/>
            <w:vAlign w:val="center"/>
            <w:hideMark/>
          </w:tcPr>
          <w:p w14:paraId="6F75C2BB" w14:textId="77777777" w:rsidR="008C0C46" w:rsidRPr="000939E3" w:rsidRDefault="008C0C46" w:rsidP="001D63C0">
            <w:pPr>
              <w:spacing w:after="0" w:line="240" w:lineRule="auto"/>
              <w:contextualSpacing/>
              <w:rPr>
                <w:rFonts w:eastAsia="Times New Roman" w:cs="Times New Roman"/>
                <w:sz w:val="20"/>
                <w:szCs w:val="20"/>
                <w:lang w:eastAsia="sk-SK"/>
              </w:rPr>
            </w:pPr>
          </w:p>
        </w:tc>
        <w:tc>
          <w:tcPr>
            <w:tcW w:w="1328" w:type="pct"/>
            <w:tcBorders>
              <w:top w:val="single" w:sz="4" w:space="0" w:color="auto"/>
              <w:left w:val="nil"/>
              <w:bottom w:val="nil"/>
              <w:right w:val="nil"/>
            </w:tcBorders>
            <w:shd w:val="clear" w:color="auto" w:fill="auto"/>
            <w:noWrap/>
            <w:vAlign w:val="bottom"/>
            <w:hideMark/>
          </w:tcPr>
          <w:p w14:paraId="13BC6B75" w14:textId="77777777" w:rsidR="008C0C46" w:rsidRPr="000939E3" w:rsidRDefault="008C0C46" w:rsidP="001D63C0">
            <w:pPr>
              <w:spacing w:after="0" w:line="240" w:lineRule="auto"/>
              <w:contextualSpacing/>
              <w:jc w:val="center"/>
              <w:rPr>
                <w:rFonts w:eastAsia="Times New Roman" w:cs="Times New Roman"/>
                <w:sz w:val="20"/>
                <w:szCs w:val="20"/>
                <w:lang w:eastAsia="sk-SK"/>
              </w:rPr>
            </w:pPr>
          </w:p>
        </w:tc>
      </w:tr>
    </w:tbl>
    <w:p w14:paraId="509DC9CF" w14:textId="55628C5F" w:rsidR="008F042B" w:rsidRPr="000939E3" w:rsidRDefault="0097185B" w:rsidP="008F042B">
      <w:pPr>
        <w:pStyle w:val="Nadpis2"/>
      </w:pPr>
      <w:bookmarkStart w:id="13" w:name="_Toc34050689"/>
      <w:r w:rsidRPr="000939E3">
        <w:t>Hodnota</w:t>
      </w:r>
      <w:bookmarkEnd w:id="13"/>
    </w:p>
    <w:p w14:paraId="1042E95C" w14:textId="6FD79618" w:rsidR="00663031" w:rsidRPr="000939E3" w:rsidRDefault="00FD4BA2" w:rsidP="002B1D3D">
      <w:pPr>
        <w:pStyle w:val="Odsekzoznamu"/>
        <w:numPr>
          <w:ilvl w:val="0"/>
          <w:numId w:val="15"/>
        </w:numPr>
        <w:tabs>
          <w:tab w:val="left" w:pos="284"/>
        </w:tabs>
        <w:spacing w:beforeLines="120" w:before="288"/>
        <w:ind w:left="0" w:firstLine="0"/>
        <w:contextualSpacing w:val="0"/>
        <w:jc w:val="both"/>
        <w:rPr>
          <w:b/>
        </w:rPr>
      </w:pPr>
      <w:bookmarkStart w:id="14" w:name="Hodnota_1"/>
      <w:bookmarkStart w:id="15" w:name="Hodnota_2"/>
      <w:r w:rsidRPr="000939E3">
        <w:rPr>
          <w:b/>
        </w:rPr>
        <w:t>Opatrenie: Z</w:t>
      </w:r>
      <w:r w:rsidR="00663031" w:rsidRPr="000939E3">
        <w:rPr>
          <w:b/>
        </w:rPr>
        <w:t xml:space="preserve">vyšovať kompenzácie učiteľov v regionálnom školstve tak, aby v porovnaní s priemernou mzdou </w:t>
      </w:r>
      <w:r w:rsidR="003A426E" w:rsidRPr="000939E3">
        <w:rPr>
          <w:b/>
        </w:rPr>
        <w:t>vysokoškolsky</w:t>
      </w:r>
      <w:r w:rsidR="00663031" w:rsidRPr="000939E3">
        <w:rPr>
          <w:b/>
        </w:rPr>
        <w:t xml:space="preserve"> vzdelaných dosiahli priemer</w:t>
      </w:r>
      <w:r w:rsidR="00663031" w:rsidRPr="000939E3">
        <w:t xml:space="preserve"> </w:t>
      </w:r>
      <w:r w:rsidR="00663031" w:rsidRPr="000939E3">
        <w:rPr>
          <w:b/>
        </w:rPr>
        <w:t>EÚ</w:t>
      </w:r>
      <w:r w:rsidRPr="000939E3">
        <w:rPr>
          <w:b/>
        </w:rPr>
        <w:t>. P</w:t>
      </w:r>
      <w:r w:rsidR="00663031" w:rsidRPr="000939E3">
        <w:rPr>
          <w:b/>
        </w:rPr>
        <w:t>odmienk</w:t>
      </w:r>
      <w:r w:rsidRPr="000939E3">
        <w:rPr>
          <w:b/>
        </w:rPr>
        <w:t>ou</w:t>
      </w:r>
      <w:r w:rsidR="00663031" w:rsidRPr="000939E3">
        <w:rPr>
          <w:b/>
        </w:rPr>
        <w:t xml:space="preserve"> </w:t>
      </w:r>
      <w:r w:rsidRPr="000939E3">
        <w:rPr>
          <w:b/>
        </w:rPr>
        <w:t xml:space="preserve">je </w:t>
      </w:r>
      <w:r w:rsidR="00663031" w:rsidRPr="000939E3">
        <w:rPr>
          <w:b/>
        </w:rPr>
        <w:t>uskutočneni</w:t>
      </w:r>
      <w:r w:rsidRPr="000939E3">
        <w:rPr>
          <w:b/>
        </w:rPr>
        <w:t>e</w:t>
      </w:r>
      <w:r w:rsidR="00663031" w:rsidRPr="000939E3">
        <w:rPr>
          <w:b/>
        </w:rPr>
        <w:t xml:space="preserve"> reforiem vedúcich k lepšiemu prepojeniu odmeňovania na kvalitu. </w:t>
      </w:r>
      <w:bookmarkEnd w:id="14"/>
      <w:r w:rsidR="00663031" w:rsidRPr="000939E3">
        <w:rPr>
          <w:b/>
        </w:rPr>
        <w:t>Revízia navrhuje rast miezd pedagogických a odborných zamestnancov v regionálnom školstve od roku 2021 do roku 2027 o</w:t>
      </w:r>
      <w:r w:rsidR="00837521" w:rsidRPr="000939E3">
        <w:rPr>
          <w:b/>
        </w:rPr>
        <w:t xml:space="preserve"> približne </w:t>
      </w:r>
      <w:r w:rsidR="00663031" w:rsidRPr="000939E3">
        <w:rPr>
          <w:b/>
        </w:rPr>
        <w:t xml:space="preserve">10 % ročne, opatrenie </w:t>
      </w:r>
      <w:r w:rsidRPr="000939E3">
        <w:rPr>
          <w:b/>
        </w:rPr>
        <w:t xml:space="preserve">by si </w:t>
      </w:r>
      <w:r w:rsidR="00663031" w:rsidRPr="000939E3">
        <w:rPr>
          <w:b/>
        </w:rPr>
        <w:t>vyžiada</w:t>
      </w:r>
      <w:r w:rsidRPr="000939E3">
        <w:rPr>
          <w:b/>
        </w:rPr>
        <w:t>lo z</w:t>
      </w:r>
      <w:r w:rsidR="00663031" w:rsidRPr="000939E3">
        <w:rPr>
          <w:b/>
        </w:rPr>
        <w:t xml:space="preserve">výšenie výdavkov oproti základnému scenáru o približne </w:t>
      </w:r>
      <w:r w:rsidR="00DF23C4" w:rsidRPr="000939E3">
        <w:rPr>
          <w:b/>
        </w:rPr>
        <w:t xml:space="preserve">113 </w:t>
      </w:r>
      <w:r w:rsidR="00663031" w:rsidRPr="000939E3">
        <w:rPr>
          <w:b/>
        </w:rPr>
        <w:t>mil. eur</w:t>
      </w:r>
      <w:r w:rsidRPr="000939E3">
        <w:rPr>
          <w:b/>
        </w:rPr>
        <w:t xml:space="preserve"> v</w:t>
      </w:r>
      <w:r w:rsidR="00DF23C4" w:rsidRPr="000939E3">
        <w:rPr>
          <w:b/>
        </w:rPr>
        <w:t xml:space="preserve"> prvom </w:t>
      </w:r>
      <w:r w:rsidRPr="000939E3">
        <w:rPr>
          <w:b/>
        </w:rPr>
        <w:t>roku</w:t>
      </w:r>
      <w:r w:rsidR="00663031" w:rsidRPr="000939E3">
        <w:rPr>
          <w:b/>
        </w:rPr>
        <w:t>.</w:t>
      </w:r>
      <w:r w:rsidR="00CA5985" w:rsidRPr="000939E3">
        <w:rPr>
          <w:b/>
        </w:rPr>
        <w:t xml:space="preserve"> V prípade dorovnania do roku </w:t>
      </w:r>
      <w:r w:rsidR="003E3A38" w:rsidRPr="000939E3">
        <w:rPr>
          <w:b/>
        </w:rPr>
        <w:t xml:space="preserve">2030 </w:t>
      </w:r>
      <w:r w:rsidR="00CA5985" w:rsidRPr="000939E3">
        <w:rPr>
          <w:b/>
        </w:rPr>
        <w:t>by bolo zvýšenie v</w:t>
      </w:r>
      <w:r w:rsidR="00DF23C4" w:rsidRPr="000939E3">
        <w:rPr>
          <w:b/>
        </w:rPr>
        <w:t xml:space="preserve"> prvom </w:t>
      </w:r>
      <w:r w:rsidR="00CA5985" w:rsidRPr="000939E3">
        <w:rPr>
          <w:b/>
        </w:rPr>
        <w:t>roku </w:t>
      </w:r>
      <w:r w:rsidR="00DF23C4" w:rsidRPr="000939E3">
        <w:rPr>
          <w:b/>
        </w:rPr>
        <w:t xml:space="preserve">72 </w:t>
      </w:r>
      <w:r w:rsidR="00CA5985" w:rsidRPr="000939E3">
        <w:rPr>
          <w:b/>
        </w:rPr>
        <w:t>mil. eur.</w:t>
      </w:r>
      <w:r w:rsidRPr="000939E3">
        <w:rPr>
          <w:b/>
        </w:rPr>
        <w:t xml:space="preserve"> Konk</w:t>
      </w:r>
      <w:r w:rsidR="002B1D3D" w:rsidRPr="000939E3">
        <w:rPr>
          <w:b/>
        </w:rPr>
        <w:t>rétne zvýšenie bude závisieť od </w:t>
      </w:r>
      <w:r w:rsidRPr="000939E3">
        <w:rPr>
          <w:b/>
        </w:rPr>
        <w:t xml:space="preserve">možnosti verejných financií. </w:t>
      </w:r>
    </w:p>
    <w:p w14:paraId="24CC0175" w14:textId="5C2D23B8" w:rsidR="00675448" w:rsidRPr="000939E3" w:rsidRDefault="00663031" w:rsidP="00070F4A">
      <w:pPr>
        <w:pStyle w:val="Odsekzoznamu"/>
        <w:tabs>
          <w:tab w:val="left" w:pos="284"/>
        </w:tabs>
        <w:spacing w:beforeLines="120" w:before="288"/>
        <w:ind w:left="0"/>
        <w:contextualSpacing w:val="0"/>
        <w:jc w:val="both"/>
        <w:rPr>
          <w:rFonts w:cs="Segoe UI"/>
          <w:b/>
          <w:bCs/>
          <w:bdr w:val="none" w:sz="0" w:space="0" w:color="auto" w:frame="1"/>
        </w:rPr>
      </w:pPr>
      <w:r w:rsidRPr="000939E3">
        <w:rPr>
          <w:b/>
        </w:rPr>
        <w:t>Z početných skupín verejných zamestnancov zaostávajú platmi najviac pedagogickí a odborní zamestnanci v regionálnom školstve.</w:t>
      </w:r>
      <w:r w:rsidRPr="000939E3">
        <w:t xml:space="preserve"> </w:t>
      </w:r>
      <w:r w:rsidR="00EC0CA7" w:rsidRPr="000939E3">
        <w:t>Tarifné mzdy učiteľov rástli na Slovensku rýchlejšie ako v krajinách EÚ, od roku 20</w:t>
      </w:r>
      <w:r w:rsidR="00223567" w:rsidRPr="000939E3">
        <w:t>12</w:t>
      </w:r>
      <w:r w:rsidR="00E71902" w:rsidRPr="000939E3">
        <w:t xml:space="preserve"> do 2017</w:t>
      </w:r>
      <w:r w:rsidR="00EC0CA7" w:rsidRPr="000939E3">
        <w:t xml:space="preserve"> sa zvýšili o približne </w:t>
      </w:r>
      <w:r w:rsidR="00223567" w:rsidRPr="000939E3">
        <w:t>44</w:t>
      </w:r>
      <w:r w:rsidR="00EC0CA7" w:rsidRPr="000939E3">
        <w:t> %, čo je vyšší nárast ako vo väčšine krajín EÚ. Priemer krajín EÚ s dostupnými údajmi bol 1</w:t>
      </w:r>
      <w:r w:rsidR="00223567" w:rsidRPr="000939E3">
        <w:t>2</w:t>
      </w:r>
      <w:r w:rsidR="00EC0CA7" w:rsidRPr="000939E3">
        <w:t xml:space="preserve"> %</w:t>
      </w:r>
      <w:r w:rsidR="00992F66" w:rsidRPr="000939E3">
        <w:t xml:space="preserve"> (</w:t>
      </w:r>
      <w:r w:rsidR="00992F66" w:rsidRPr="000939E3">
        <w:fldChar w:fldCharType="begin"/>
      </w:r>
      <w:r w:rsidR="00992F66" w:rsidRPr="000939E3">
        <w:instrText xml:space="preserve"> REF _Ref12532370 \h </w:instrText>
      </w:r>
      <w:r w:rsidR="000939E3">
        <w:instrText xml:space="preserve"> \* MERGEFORMAT </w:instrText>
      </w:r>
      <w:r w:rsidR="00992F66" w:rsidRPr="000939E3">
        <w:fldChar w:fldCharType="separate"/>
      </w:r>
      <w:r w:rsidR="00BF69CA" w:rsidRPr="00BF69CA">
        <w:t xml:space="preserve">Graf </w:t>
      </w:r>
      <w:r w:rsidR="00BF69CA" w:rsidRPr="00BF69CA">
        <w:rPr>
          <w:noProof/>
        </w:rPr>
        <w:t>51</w:t>
      </w:r>
      <w:r w:rsidR="00992F66" w:rsidRPr="000939E3">
        <w:fldChar w:fldCharType="end"/>
      </w:r>
      <w:r w:rsidR="00992F66" w:rsidRPr="000939E3">
        <w:t>)</w:t>
      </w:r>
      <w:r w:rsidR="00EC0CA7" w:rsidRPr="000939E3">
        <w:t xml:space="preserve">. </w:t>
      </w:r>
      <w:r w:rsidR="00F2445C" w:rsidRPr="000939E3">
        <w:t>V rovnakom období však vzrástli aj mzdy VŠ vzdelaných zamestnancov, a to približne o 2</w:t>
      </w:r>
      <w:r w:rsidR="003E3A38" w:rsidRPr="000939E3">
        <w:t>0</w:t>
      </w:r>
      <w:r w:rsidR="00820790" w:rsidRPr="000939E3">
        <w:t xml:space="preserve"> %. </w:t>
      </w:r>
      <w:r w:rsidRPr="000939E3">
        <w:t xml:space="preserve">Podľa </w:t>
      </w:r>
      <w:r w:rsidR="00EC0CA7" w:rsidRPr="000939E3">
        <w:t xml:space="preserve">prieskumu </w:t>
      </w:r>
      <w:r w:rsidRPr="000939E3">
        <w:t xml:space="preserve">OECD </w:t>
      </w:r>
      <w:r w:rsidR="00F2445C" w:rsidRPr="000939E3">
        <w:t xml:space="preserve">tak </w:t>
      </w:r>
      <w:r w:rsidRPr="000939E3">
        <w:t xml:space="preserve">zarábali </w:t>
      </w:r>
      <w:r w:rsidR="00EC0CA7" w:rsidRPr="000939E3">
        <w:t xml:space="preserve">slovenskí učitelia </w:t>
      </w:r>
      <w:r w:rsidRPr="000939E3">
        <w:t xml:space="preserve">v roku </w:t>
      </w:r>
      <w:r w:rsidR="00DC09D2" w:rsidRPr="000939E3">
        <w:t xml:space="preserve">2017 </w:t>
      </w:r>
      <w:r w:rsidRPr="000939E3">
        <w:t xml:space="preserve">iba </w:t>
      </w:r>
      <w:r w:rsidR="00DC09D2" w:rsidRPr="000939E3">
        <w:t xml:space="preserve">65 </w:t>
      </w:r>
      <w:r w:rsidRPr="000939E3">
        <w:t xml:space="preserve">% mzdy </w:t>
      </w:r>
      <w:r w:rsidR="003A426E" w:rsidRPr="000939E3">
        <w:t>vysokoškolsky</w:t>
      </w:r>
      <w:r w:rsidRPr="000939E3">
        <w:t xml:space="preserve"> vzdelaných zamestnancov, priemer krajín OECD a EÚ je okolo 90 %. Z vyspelých krajín majú učitelia nižšie mzdy iba v ČR</w:t>
      </w:r>
      <w:r w:rsidRPr="000939E3">
        <w:rPr>
          <w:b/>
        </w:rPr>
        <w:t xml:space="preserve">. </w:t>
      </w:r>
      <w:r w:rsidR="00070F4A" w:rsidRPr="000939E3">
        <w:rPr>
          <w:rStyle w:val="Siln"/>
          <w:rFonts w:cs="Segoe UI"/>
          <w:b w:val="0"/>
          <w:bdr w:val="none" w:sz="0" w:space="0" w:color="auto" w:frame="1"/>
        </w:rPr>
        <w:t xml:space="preserve">Úspešné krajiny v poslednom testovaní PISA, napríklad Estónsko, Fínsko či Poľsko, platia svojich učiteľov lepšie ako Slovensko (Kapitola </w:t>
      </w:r>
      <w:r w:rsidR="00324579" w:rsidRPr="000939E3">
        <w:rPr>
          <w:rStyle w:val="Siln"/>
          <w:rFonts w:cs="Segoe UI"/>
          <w:b w:val="0"/>
          <w:bdr w:val="none" w:sz="0" w:space="0" w:color="auto" w:frame="1"/>
        </w:rPr>
        <w:t>5.2</w:t>
      </w:r>
      <w:r w:rsidR="00070F4A" w:rsidRPr="000939E3">
        <w:rPr>
          <w:rStyle w:val="Siln"/>
          <w:rFonts w:cs="Segoe UI"/>
          <w:b w:val="0"/>
          <w:bdr w:val="none" w:sz="0" w:space="0" w:color="auto" w:frame="1"/>
        </w:rPr>
        <w:t>)</w:t>
      </w:r>
      <w:r w:rsidR="00324579" w:rsidRPr="000939E3">
        <w:rPr>
          <w:rStyle w:val="Siln"/>
          <w:rFonts w:cs="Segoe UI"/>
          <w:b w:val="0"/>
          <w:bdr w:val="none" w:sz="0" w:space="0" w:color="auto" w:frame="1"/>
        </w:rPr>
        <w:t>, výška platov je pritom významným prvkom atraktivity povolania</w:t>
      </w:r>
      <w:r w:rsidR="002A5632" w:rsidRPr="000939E3">
        <w:rPr>
          <w:rStyle w:val="Siln"/>
          <w:rFonts w:cs="Segoe UI"/>
          <w:b w:val="0"/>
          <w:bdr w:val="none" w:sz="0" w:space="0" w:color="auto" w:frame="1"/>
        </w:rPr>
        <w:t>.</w:t>
      </w:r>
      <w:r w:rsidR="00070F4A" w:rsidRPr="000939E3">
        <w:rPr>
          <w:rStyle w:val="Siln"/>
          <w:rFonts w:cs="Segoe UI"/>
          <w:bdr w:val="none" w:sz="0" w:space="0" w:color="auto" w:frame="1"/>
        </w:rPr>
        <w:t xml:space="preserve"> </w:t>
      </w:r>
    </w:p>
    <w:p w14:paraId="5D3BE9E8" w14:textId="515F23E8" w:rsidR="00EC0CA7" w:rsidRPr="000939E3" w:rsidRDefault="00663031" w:rsidP="00EC0CA7">
      <w:r w:rsidRPr="000939E3">
        <w:rPr>
          <w:b/>
        </w:rPr>
        <w:t xml:space="preserve">Po </w:t>
      </w:r>
      <w:r w:rsidR="00BF4ABE" w:rsidRPr="000939E3">
        <w:rPr>
          <w:b/>
        </w:rPr>
        <w:t>z</w:t>
      </w:r>
      <w:r w:rsidRPr="000939E3">
        <w:rPr>
          <w:b/>
        </w:rPr>
        <w:t>výšení miezd o 10 % v rokoch 2019 a 2020 (zahrnuté v základnom scenári</w:t>
      </w:r>
      <w:r w:rsidR="00C41398" w:rsidRPr="000939E3">
        <w:rPr>
          <w:b/>
        </w:rPr>
        <w:t>, Box 1</w:t>
      </w:r>
      <w:r w:rsidRPr="000939E3">
        <w:rPr>
          <w:b/>
        </w:rPr>
        <w:t xml:space="preserve">) by mal priemerný plat učiteľov regionálneho školstva dosiahnuť približne 68 % miezd </w:t>
      </w:r>
      <w:r w:rsidR="00584FD3" w:rsidRPr="000939E3">
        <w:rPr>
          <w:b/>
        </w:rPr>
        <w:t xml:space="preserve">vysokoškolsky </w:t>
      </w:r>
      <w:r w:rsidRPr="000939E3">
        <w:rPr>
          <w:b/>
        </w:rPr>
        <w:t>vzdelaných zamestnancov</w:t>
      </w:r>
      <w:r w:rsidRPr="000939E3">
        <w:t xml:space="preserve">. </w:t>
      </w:r>
      <w:r w:rsidRPr="000939E3" w:rsidDel="00382C5B">
        <w:t xml:space="preserve">Aby platy v súlade s Národným programom výchovy a vzdelávania </w:t>
      </w:r>
      <w:r w:rsidR="00444177" w:rsidRPr="000939E3">
        <w:t xml:space="preserve">(NPRVaV) </w:t>
      </w:r>
      <w:r w:rsidRPr="000939E3" w:rsidDel="00382C5B">
        <w:t>do roku 2027 dosiahli priemernú úroveň OECD a EÚ, musia od roku 2021 rásť približne o 10 % ročne</w:t>
      </w:r>
      <w:r w:rsidRPr="000939E3">
        <w:t>, pričom tempo rastu bude nevyhnutné periodicky prehodnocovať. Opatrenie a jeho finančný vplyv zohľadňuje aj potrebný mierny rast počtu učiteľov.</w:t>
      </w:r>
      <w:r w:rsidR="00EC0CA7" w:rsidRPr="000939E3">
        <w:rPr>
          <w:b/>
        </w:rPr>
        <w:t xml:space="preserve"> Nevyhnutnou súčasťou zvyšovania miezd učiteľov musia ale byť reformné opatrenia, ktoré zabezpečia zlepšovanie výsledkov vo vzdelávaní.</w:t>
      </w:r>
      <w:r w:rsidR="00EC0CA7" w:rsidRPr="000939E3">
        <w:t xml:space="preserve"> Mnohé z nich už boli pome</w:t>
      </w:r>
      <w:r w:rsidR="008E043C">
        <w:t xml:space="preserve">nované vo vládnych materiáloch - </w:t>
      </w:r>
      <w:r w:rsidR="00EC0CA7" w:rsidRPr="000939E3">
        <w:t xml:space="preserve">v Revízii výdavkov na vzdelávanie a v Národnom programe reforiem SR. </w:t>
      </w:r>
    </w:p>
    <w:p w14:paraId="163AA547" w14:textId="5E372980" w:rsidR="001D63C0" w:rsidRDefault="00BF4ABE" w:rsidP="00EA76CC">
      <w:pPr>
        <w:pStyle w:val="Odsekzoznamu"/>
        <w:tabs>
          <w:tab w:val="left" w:pos="284"/>
        </w:tabs>
        <w:spacing w:beforeLines="120" w:before="288"/>
        <w:ind w:left="0"/>
        <w:contextualSpacing w:val="0"/>
        <w:jc w:val="both"/>
      </w:pPr>
      <w:r w:rsidRPr="000939E3">
        <w:rPr>
          <w:b/>
        </w:rPr>
        <w:t>Z</w:t>
      </w:r>
      <w:r w:rsidR="00EA76CC" w:rsidRPr="000939E3">
        <w:rPr>
          <w:b/>
        </w:rPr>
        <w:t>výšenie miezd pritom nemusí byť plošné,</w:t>
      </w:r>
      <w:r w:rsidR="00EA76CC" w:rsidRPr="000939E3">
        <w:t xml:space="preserve"> malo</w:t>
      </w:r>
      <w:r w:rsidR="00820790" w:rsidRPr="000939E3">
        <w:t xml:space="preserve"> by cieliť na </w:t>
      </w:r>
      <w:r w:rsidR="00EA76CC" w:rsidRPr="000939E3">
        <w:t xml:space="preserve">zlepšovanie výsledkov, napríklad prostredníctvom zatraktívnenia učiteľskej profesie pre mladých absolventov, učiteľov vybraných predmetov alebo učiteľov pracujúcich so žiakmi so špeciálnymi vzdelávacími potrebami. </w:t>
      </w:r>
    </w:p>
    <w:p w14:paraId="053FED0B" w14:textId="77777777" w:rsidR="001D63C0" w:rsidRDefault="001D63C0">
      <w:pPr>
        <w:spacing w:after="160" w:line="259" w:lineRule="auto"/>
        <w:jc w:val="left"/>
      </w:pPr>
      <w:r>
        <w:br w:type="page"/>
      </w:r>
    </w:p>
    <w:p w14:paraId="15EE4687" w14:textId="392BBB90" w:rsidR="00445104" w:rsidRPr="000939E3" w:rsidRDefault="00BF4ABE" w:rsidP="00445104">
      <w:pPr>
        <w:pStyle w:val="Odsekzoznamu"/>
        <w:numPr>
          <w:ilvl w:val="0"/>
          <w:numId w:val="15"/>
        </w:numPr>
        <w:tabs>
          <w:tab w:val="left" w:pos="284"/>
        </w:tabs>
        <w:spacing w:beforeLines="120" w:before="288"/>
        <w:ind w:left="0" w:firstLine="0"/>
        <w:contextualSpacing w:val="0"/>
        <w:jc w:val="both"/>
        <w:rPr>
          <w:b/>
        </w:rPr>
      </w:pPr>
      <w:r w:rsidRPr="000939E3">
        <w:rPr>
          <w:b/>
        </w:rPr>
        <w:lastRenderedPageBreak/>
        <w:t xml:space="preserve">Opatrenie: </w:t>
      </w:r>
      <w:r w:rsidR="00445104" w:rsidRPr="000939E3">
        <w:rPr>
          <w:b/>
        </w:rPr>
        <w:t>Zvýš</w:t>
      </w:r>
      <w:r w:rsidR="000C2A51" w:rsidRPr="000939E3">
        <w:rPr>
          <w:b/>
        </w:rPr>
        <w:t>iť</w:t>
      </w:r>
      <w:r w:rsidR="00445104" w:rsidRPr="000939E3">
        <w:rPr>
          <w:b/>
        </w:rPr>
        <w:t xml:space="preserve"> poč</w:t>
      </w:r>
      <w:r w:rsidR="000C2A51" w:rsidRPr="000939E3">
        <w:rPr>
          <w:b/>
        </w:rPr>
        <w:t>et</w:t>
      </w:r>
      <w:r w:rsidR="00445104" w:rsidRPr="000939E3">
        <w:rPr>
          <w:b/>
        </w:rPr>
        <w:t xml:space="preserve"> zdravotných sestier v ústavnej starostlivosti. Revízia navrhuje </w:t>
      </w:r>
      <w:r w:rsidRPr="000939E3">
        <w:rPr>
          <w:b/>
        </w:rPr>
        <w:t>z</w:t>
      </w:r>
      <w:r w:rsidR="00445104" w:rsidRPr="000939E3">
        <w:rPr>
          <w:b/>
        </w:rPr>
        <w:t xml:space="preserve">vyšovať počet zdravotných sestier približne </w:t>
      </w:r>
      <w:r w:rsidRPr="000939E3">
        <w:rPr>
          <w:b/>
        </w:rPr>
        <w:t>o</w:t>
      </w:r>
      <w:r w:rsidR="00E71902" w:rsidRPr="000939E3">
        <w:rPr>
          <w:b/>
        </w:rPr>
        <w:t> </w:t>
      </w:r>
      <w:r w:rsidR="00445104" w:rsidRPr="000939E3">
        <w:rPr>
          <w:b/>
        </w:rPr>
        <w:t>1</w:t>
      </w:r>
      <w:r w:rsidR="00E71902" w:rsidRPr="000939E3">
        <w:rPr>
          <w:b/>
        </w:rPr>
        <w:t>,5</w:t>
      </w:r>
      <w:r w:rsidR="00445104" w:rsidRPr="000939E3">
        <w:rPr>
          <w:b/>
        </w:rPr>
        <w:t xml:space="preserve"> % ročne</w:t>
      </w:r>
      <w:r w:rsidRPr="000939E3">
        <w:rPr>
          <w:b/>
        </w:rPr>
        <w:t xml:space="preserve"> (približne </w:t>
      </w:r>
      <w:r w:rsidR="00E71902" w:rsidRPr="000939E3">
        <w:rPr>
          <w:b/>
        </w:rPr>
        <w:t xml:space="preserve">320 </w:t>
      </w:r>
      <w:r w:rsidRPr="000939E3">
        <w:rPr>
          <w:b/>
        </w:rPr>
        <w:t>zdravotných sestier)</w:t>
      </w:r>
      <w:r w:rsidR="00445104" w:rsidRPr="000939E3">
        <w:rPr>
          <w:b/>
        </w:rPr>
        <w:t>, tak aby do roku 2027 dosiahli pri zohľadnení vekovej štruktúry obyvateľstva priemernú úroveň krajín EÚ. Opatrenie si vyžiada v</w:t>
      </w:r>
      <w:r w:rsidR="00E71902" w:rsidRPr="000939E3">
        <w:rPr>
          <w:b/>
        </w:rPr>
        <w:t xml:space="preserve"> prvom </w:t>
      </w:r>
      <w:r w:rsidR="00445104" w:rsidRPr="000939E3">
        <w:rPr>
          <w:b/>
        </w:rPr>
        <w:t xml:space="preserve">roku </w:t>
      </w:r>
      <w:r w:rsidRPr="000939E3">
        <w:rPr>
          <w:b/>
        </w:rPr>
        <w:t>z</w:t>
      </w:r>
      <w:r w:rsidR="00445104" w:rsidRPr="000939E3">
        <w:rPr>
          <w:b/>
        </w:rPr>
        <w:t xml:space="preserve">výšenie výdavkov </w:t>
      </w:r>
      <w:r w:rsidR="00C41398" w:rsidRPr="000939E3">
        <w:rPr>
          <w:b/>
        </w:rPr>
        <w:t>oproti základnému scenáru (Box 1</w:t>
      </w:r>
      <w:r w:rsidR="00445104" w:rsidRPr="000939E3">
        <w:rPr>
          <w:b/>
        </w:rPr>
        <w:t xml:space="preserve">) o približne </w:t>
      </w:r>
      <w:r w:rsidR="00E71902" w:rsidRPr="000939E3">
        <w:rPr>
          <w:b/>
        </w:rPr>
        <w:t xml:space="preserve">8 </w:t>
      </w:r>
      <w:r w:rsidR="00445104" w:rsidRPr="000939E3">
        <w:rPr>
          <w:b/>
        </w:rPr>
        <w:t xml:space="preserve">mil. eur. </w:t>
      </w:r>
    </w:p>
    <w:p w14:paraId="5CC38CA1" w14:textId="2C6F0C8D" w:rsidR="006314F8" w:rsidRPr="000939E3" w:rsidRDefault="006314F8" w:rsidP="006314F8">
      <w:pPr>
        <w:pStyle w:val="Odsekzoznamu"/>
        <w:tabs>
          <w:tab w:val="left" w:pos="284"/>
        </w:tabs>
        <w:spacing w:before="120"/>
        <w:ind w:left="0"/>
        <w:contextualSpacing w:val="0"/>
        <w:jc w:val="both"/>
      </w:pPr>
      <w:r w:rsidRPr="000939E3">
        <w:rPr>
          <w:b/>
          <w:bCs/>
        </w:rPr>
        <w:t xml:space="preserve">Platy zdravotných sestier dosahujú po </w:t>
      </w:r>
      <w:r w:rsidR="00BF4ABE" w:rsidRPr="000939E3">
        <w:rPr>
          <w:b/>
          <w:bCs/>
        </w:rPr>
        <w:t>z</w:t>
      </w:r>
      <w:r w:rsidRPr="000939E3">
        <w:rPr>
          <w:b/>
          <w:bCs/>
        </w:rPr>
        <w:t>výšení v roku 2019 takmer medzinárodný priemer.</w:t>
      </w:r>
      <w:r w:rsidRPr="000939E3">
        <w:t xml:space="preserve"> V roku 2015 zarábali zdravotné sestry 97 % priemeru v hospodárstve (priemer EÚ 110 %), </w:t>
      </w:r>
      <w:r w:rsidR="00BF4ABE" w:rsidRPr="000939E3">
        <w:t>z</w:t>
      </w:r>
      <w:r w:rsidRPr="000939E3">
        <w:t xml:space="preserve">výšením o približne </w:t>
      </w:r>
      <w:r w:rsidR="008C6BBB" w:rsidRPr="000939E3">
        <w:t xml:space="preserve">16 </w:t>
      </w:r>
      <w:r w:rsidRPr="000939E3">
        <w:t>% v roku 2019 sa takmer dorovnajú na medzinárodný priemer (107 %) (IZP, ÚHP</w:t>
      </w:r>
      <w:r w:rsidR="00140B22" w:rsidRPr="000939E3">
        <w:t>,</w:t>
      </w:r>
      <w:r w:rsidRPr="000939E3">
        <w:t xml:space="preserve"> 2018)</w:t>
      </w:r>
      <w:r w:rsidRPr="000939E3">
        <w:rPr>
          <w:b/>
          <w:bCs/>
        </w:rPr>
        <w:t xml:space="preserve">. </w:t>
      </w:r>
      <w:r w:rsidRPr="000939E3">
        <w:rPr>
          <w:bCs/>
        </w:rPr>
        <w:t>Zostávajúcou otázkou sú počty zdravotných sestier.</w:t>
      </w:r>
    </w:p>
    <w:p w14:paraId="558E7A45" w14:textId="3A2F5081" w:rsidR="00284F1D" w:rsidRPr="000939E3" w:rsidRDefault="006314F8" w:rsidP="00284F1D">
      <w:pPr>
        <w:pStyle w:val="Odsekzoznamu"/>
        <w:tabs>
          <w:tab w:val="left" w:pos="284"/>
        </w:tabs>
        <w:spacing w:before="120"/>
        <w:ind w:left="0"/>
        <w:contextualSpacing w:val="0"/>
        <w:jc w:val="both"/>
        <w:rPr>
          <w:b/>
          <w:bCs/>
        </w:rPr>
      </w:pPr>
      <w:r w:rsidRPr="000939E3">
        <w:rPr>
          <w:b/>
          <w:bCs/>
        </w:rPr>
        <w:t>Na Slovensku chýba minimálne 3,5-tisíc zdravotných sestier,</w:t>
      </w:r>
      <w:r w:rsidRPr="000939E3">
        <w:rPr>
          <w:bCs/>
        </w:rPr>
        <w:t xml:space="preserve"> po zohľadnení </w:t>
      </w:r>
      <w:r w:rsidRPr="000939E3">
        <w:t xml:space="preserve">demografického vývoja do roku 2030 to </w:t>
      </w:r>
      <w:r w:rsidR="00C26B82" w:rsidRPr="000939E3">
        <w:t xml:space="preserve">môže byť </w:t>
      </w:r>
      <w:r w:rsidRPr="000939E3">
        <w:t xml:space="preserve">až 6 400 (Kapitola </w:t>
      </w:r>
      <w:r w:rsidR="00232623" w:rsidRPr="000939E3">
        <w:t>2</w:t>
      </w:r>
      <w:r w:rsidRPr="000939E3">
        <w:t xml:space="preserve">.4), </w:t>
      </w:r>
      <w:r w:rsidRPr="000939E3">
        <w:rPr>
          <w:bCs/>
        </w:rPr>
        <w:t>ukázala analýza MZ SR založená na medzinárodnom porovnaní</w:t>
      </w:r>
      <w:r w:rsidRPr="000939E3">
        <w:t>. Počet slovenských sestier medzi rokmi 2000 a 2015 značne klesol, v krajinách EÚ bol trend opačný. Počet sestier ovp</w:t>
      </w:r>
      <w:r w:rsidR="004B45B2" w:rsidRPr="000939E3">
        <w:t xml:space="preserve">lyvňuje kvalitu starostlivosti </w:t>
      </w:r>
      <w:r w:rsidRPr="000939E3">
        <w:t>a udržateľnosť systému</w:t>
      </w:r>
      <w:r w:rsidR="00C26B82" w:rsidRPr="000939E3">
        <w:t xml:space="preserve"> </w:t>
      </w:r>
      <w:r w:rsidRPr="000939E3">
        <w:t xml:space="preserve">- v nemocniciach s vysokým počtom pacientov na sestru vzrastá pravdepodobnosť, že pacient zomrie </w:t>
      </w:r>
      <w:r w:rsidR="003E092A" w:rsidRPr="000939E3">
        <w:t>po</w:t>
      </w:r>
      <w:r w:rsidR="002B1D3D" w:rsidRPr="000939E3">
        <w:t> </w:t>
      </w:r>
      <w:r w:rsidRPr="000939E3">
        <w:t>operáci</w:t>
      </w:r>
      <w:r w:rsidR="003E092A" w:rsidRPr="000939E3">
        <w:t>i</w:t>
      </w:r>
      <w:r w:rsidRPr="000939E3">
        <w:t>, u sestier rastie nespokojnosť s prácou a viac z nich trpí syndrómom vyhorenia</w:t>
      </w:r>
      <w:r w:rsidR="00284F1D" w:rsidRPr="000939E3">
        <w:t xml:space="preserve"> (</w:t>
      </w:r>
      <w:r w:rsidR="002B61CB" w:rsidRPr="000939E3">
        <w:t>IZP, ÚHP</w:t>
      </w:r>
      <w:r w:rsidR="00C26B82" w:rsidRPr="000939E3">
        <w:t>,</w:t>
      </w:r>
      <w:r w:rsidR="002B61CB" w:rsidRPr="000939E3">
        <w:t xml:space="preserve"> 2018</w:t>
      </w:r>
      <w:r w:rsidR="00284F1D" w:rsidRPr="000939E3">
        <w:t>).</w:t>
      </w:r>
    </w:p>
    <w:p w14:paraId="0B60914B" w14:textId="67B42A93" w:rsidR="00430D07" w:rsidRPr="000939E3" w:rsidRDefault="00BF4ABE" w:rsidP="00430D07">
      <w:r w:rsidRPr="000939E3">
        <w:rPr>
          <w:b/>
        </w:rPr>
        <w:t xml:space="preserve">Zvýšenie </w:t>
      </w:r>
      <w:r w:rsidR="006314F8" w:rsidRPr="000939E3">
        <w:rPr>
          <w:b/>
        </w:rPr>
        <w:t xml:space="preserve">počtu zdravotných sestier </w:t>
      </w:r>
      <w:r w:rsidR="00CB24B9" w:rsidRPr="000939E3">
        <w:rPr>
          <w:b/>
        </w:rPr>
        <w:t>musí byť sprevádzané</w:t>
      </w:r>
      <w:r w:rsidR="007E1432" w:rsidRPr="000939E3">
        <w:rPr>
          <w:b/>
        </w:rPr>
        <w:t xml:space="preserve"> reformami systému. </w:t>
      </w:r>
      <w:r w:rsidR="00070D78" w:rsidRPr="000939E3">
        <w:t>D</w:t>
      </w:r>
      <w:r w:rsidR="007E1432" w:rsidRPr="000939E3">
        <w:t xml:space="preserve">efinovali </w:t>
      </w:r>
      <w:r w:rsidR="00070D78" w:rsidRPr="000939E3">
        <w:t xml:space="preserve">ich vládne materiály – </w:t>
      </w:r>
      <w:r w:rsidR="007E1432" w:rsidRPr="000939E3">
        <w:t>Národný program reforiem</w:t>
      </w:r>
      <w:r w:rsidR="00070D78" w:rsidRPr="000939E3">
        <w:t xml:space="preserve"> SR a </w:t>
      </w:r>
      <w:r w:rsidR="00144E91" w:rsidRPr="000939E3">
        <w:t>Revízi</w:t>
      </w:r>
      <w:r w:rsidR="00F3238B" w:rsidRPr="000939E3">
        <w:t>a</w:t>
      </w:r>
      <w:r w:rsidR="00144E91" w:rsidRPr="000939E3">
        <w:t xml:space="preserve"> výdavkov na zdravotníctvo II</w:t>
      </w:r>
      <w:r w:rsidR="008E043C">
        <w:t>.</w:t>
      </w:r>
      <w:r w:rsidR="00144E91" w:rsidRPr="000939E3">
        <w:t xml:space="preserve"> </w:t>
      </w:r>
      <w:r w:rsidR="00070D78" w:rsidRPr="000939E3">
        <w:t>(</w:t>
      </w:r>
      <w:r w:rsidR="00F3238B" w:rsidRPr="000939E3">
        <w:t xml:space="preserve">IZP, </w:t>
      </w:r>
      <w:r w:rsidR="008E043C" w:rsidRPr="000939E3">
        <w:t>ÚHP,</w:t>
      </w:r>
      <w:r w:rsidR="00070D78" w:rsidRPr="000939E3">
        <w:t>2019).</w:t>
      </w:r>
      <w:r w:rsidR="008E043C">
        <w:t xml:space="preserve"> </w:t>
      </w:r>
    </w:p>
    <w:p w14:paraId="6A35C246" w14:textId="768ED95E" w:rsidR="00445104" w:rsidRPr="000939E3" w:rsidRDefault="00BF4ABE" w:rsidP="00445104">
      <w:pPr>
        <w:pStyle w:val="Odsekzoznamu"/>
        <w:numPr>
          <w:ilvl w:val="0"/>
          <w:numId w:val="15"/>
        </w:numPr>
        <w:tabs>
          <w:tab w:val="left" w:pos="284"/>
        </w:tabs>
        <w:spacing w:beforeLines="120" w:before="288"/>
        <w:ind w:left="0" w:firstLine="0"/>
        <w:contextualSpacing w:val="0"/>
        <w:jc w:val="both"/>
        <w:rPr>
          <w:b/>
        </w:rPr>
      </w:pPr>
      <w:bookmarkStart w:id="16" w:name="Hodnota_3"/>
      <w:r w:rsidRPr="000939E3">
        <w:rPr>
          <w:b/>
        </w:rPr>
        <w:t xml:space="preserve">Opatrenie: </w:t>
      </w:r>
      <w:r w:rsidR="000C2A51" w:rsidRPr="000939E3">
        <w:rPr>
          <w:b/>
        </w:rPr>
        <w:t xml:space="preserve">Zvýšiť </w:t>
      </w:r>
      <w:r w:rsidR="00445104" w:rsidRPr="000939E3">
        <w:rPr>
          <w:b/>
        </w:rPr>
        <w:t>poč</w:t>
      </w:r>
      <w:r w:rsidR="000C2A51" w:rsidRPr="000939E3">
        <w:rPr>
          <w:b/>
        </w:rPr>
        <w:t>et</w:t>
      </w:r>
      <w:r w:rsidR="00445104" w:rsidRPr="000939E3">
        <w:rPr>
          <w:b/>
        </w:rPr>
        <w:t xml:space="preserve"> a kompenzáci</w:t>
      </w:r>
      <w:r w:rsidR="000C2A51" w:rsidRPr="000939E3">
        <w:rPr>
          <w:b/>
        </w:rPr>
        <w:t>e</w:t>
      </w:r>
      <w:r w:rsidR="00445104" w:rsidRPr="000939E3">
        <w:rPr>
          <w:b/>
        </w:rPr>
        <w:t xml:space="preserve"> sociálnych pracovníkov tak, aby dosiahli porovnateľnú úroveň ako v ČR</w:t>
      </w:r>
      <w:bookmarkEnd w:id="16"/>
      <w:r w:rsidR="00445104" w:rsidRPr="000939E3">
        <w:rPr>
          <w:b/>
        </w:rPr>
        <w:t>. Revízia navrhuje rast zamestnanosti v sociálnych službách o </w:t>
      </w:r>
      <w:r w:rsidR="00DE4161" w:rsidRPr="000939E3">
        <w:rPr>
          <w:b/>
        </w:rPr>
        <w:t>takmer 4</w:t>
      </w:r>
      <w:r w:rsidR="00445104" w:rsidRPr="000939E3">
        <w:rPr>
          <w:b/>
        </w:rPr>
        <w:t xml:space="preserve"> % ročne, rast miezd</w:t>
      </w:r>
      <w:r w:rsidR="002B1D3D" w:rsidRPr="000939E3">
        <w:rPr>
          <w:b/>
        </w:rPr>
        <w:t xml:space="preserve"> od </w:t>
      </w:r>
      <w:r w:rsidR="00C23B78" w:rsidRPr="000939E3">
        <w:rPr>
          <w:b/>
        </w:rPr>
        <w:t>roku 2021</w:t>
      </w:r>
      <w:r w:rsidR="00445104" w:rsidRPr="000939E3">
        <w:rPr>
          <w:b/>
        </w:rPr>
        <w:t> </w:t>
      </w:r>
      <w:r w:rsidR="00C23B78" w:rsidRPr="000939E3">
        <w:rPr>
          <w:b/>
        </w:rPr>
        <w:t xml:space="preserve">o </w:t>
      </w:r>
      <w:r w:rsidR="00445104" w:rsidRPr="000939E3">
        <w:rPr>
          <w:b/>
        </w:rPr>
        <w:t xml:space="preserve">8,5 % ročne. Opatrenie si vyžiada </w:t>
      </w:r>
      <w:r w:rsidRPr="000939E3">
        <w:rPr>
          <w:b/>
        </w:rPr>
        <w:t>z</w:t>
      </w:r>
      <w:r w:rsidR="00445104" w:rsidRPr="000939E3">
        <w:rPr>
          <w:b/>
        </w:rPr>
        <w:t>výšenie výdavkov oproti základnému scenáru o približne</w:t>
      </w:r>
      <w:r w:rsidR="00DE4161" w:rsidRPr="000939E3">
        <w:rPr>
          <w:b/>
        </w:rPr>
        <w:t xml:space="preserve"> 28 mil. eur v prvom roku</w:t>
      </w:r>
      <w:r w:rsidRPr="000939E3">
        <w:rPr>
          <w:b/>
        </w:rPr>
        <w:t>, v prípade dorovnania do roku 2027.</w:t>
      </w:r>
    </w:p>
    <w:p w14:paraId="2B6AE61A" w14:textId="4B9DFF58" w:rsidR="00445104" w:rsidRPr="000939E3" w:rsidRDefault="00445104" w:rsidP="00445104">
      <w:pPr>
        <w:pStyle w:val="Odsekzoznamu"/>
        <w:spacing w:before="120"/>
        <w:ind w:left="0"/>
        <w:contextualSpacing w:val="0"/>
        <w:jc w:val="both"/>
      </w:pPr>
      <w:r w:rsidRPr="000939E3">
        <w:rPr>
          <w:b/>
        </w:rPr>
        <w:t>Porovnanie zohľadňujúce vekovú štruktúru obyvateľstva naznačuje nižší počet pracovníkov v sociálnych službách na Slovensku</w:t>
      </w:r>
      <w:r w:rsidRPr="000939E3">
        <w:t>, napriek rozdielom v organizácii sociálnych služieb medzi SR a ČR. Tiež by mali rásť aj</w:t>
      </w:r>
      <w:r w:rsidR="00F55947" w:rsidRPr="000939E3">
        <w:t> </w:t>
      </w:r>
      <w:r w:rsidRPr="000939E3">
        <w:t>mzdy sociálnych pracovníkov, ktoré dosahovali iba 55 % priemernej mzdy</w:t>
      </w:r>
      <w:r w:rsidRPr="000939E3">
        <w:rPr>
          <w:rStyle w:val="Odkaznapoznmkupodiarou"/>
        </w:rPr>
        <w:footnoteReference w:id="4"/>
      </w:r>
      <w:r w:rsidRPr="000939E3">
        <w:t>, v ČR boli na 70 %. Pre dorovnanie úrovne miezd v ČR do roku 2027 musia mzdy sociálnych pracovníkov od roku 2021 rásť približne o 8,5 % ročne.</w:t>
      </w:r>
    </w:p>
    <w:p w14:paraId="34A28E62" w14:textId="6CA6F046" w:rsidR="00445104" w:rsidRPr="000939E3" w:rsidRDefault="006971E7" w:rsidP="00284F1D">
      <w:pPr>
        <w:pStyle w:val="Odsekzoznamu"/>
        <w:tabs>
          <w:tab w:val="left" w:pos="284"/>
        </w:tabs>
        <w:spacing w:before="120"/>
        <w:ind w:left="0"/>
        <w:contextualSpacing w:val="0"/>
        <w:jc w:val="both"/>
      </w:pPr>
      <w:r w:rsidRPr="000939E3">
        <w:rPr>
          <w:b/>
        </w:rPr>
        <w:t>Tempo rastu bude nevyhnutné periodicky prehodnocovať</w:t>
      </w:r>
      <w:r w:rsidRPr="000939E3">
        <w:t>, aj pre možný dodatočný dopyt vyvolaný starnutím populácie (</w:t>
      </w:r>
      <w:r w:rsidR="008E043C">
        <w:t>k</w:t>
      </w:r>
      <w:r w:rsidRPr="000939E3">
        <w:t xml:space="preserve">apitola 2.4). </w:t>
      </w:r>
      <w:r w:rsidR="00445104" w:rsidRPr="000939E3">
        <w:t>Nevyhnutnou súčasťou navrhovaných zmien by</w:t>
      </w:r>
      <w:r w:rsidR="002B1D3D" w:rsidRPr="000939E3">
        <w:t xml:space="preserve"> mali byť opatrenia zamerané na </w:t>
      </w:r>
      <w:r w:rsidR="00846933" w:rsidRPr="000939E3">
        <w:t xml:space="preserve">zlepšovanie </w:t>
      </w:r>
      <w:r w:rsidR="00445104" w:rsidRPr="000939E3">
        <w:t>kvality poskytovaných sociálnych služieb</w:t>
      </w:r>
      <w:r w:rsidR="00837521" w:rsidRPr="000939E3">
        <w:t xml:space="preserve"> a rozšírenie prístupu k nim</w:t>
      </w:r>
      <w:r w:rsidR="00445104" w:rsidRPr="000939E3">
        <w:t xml:space="preserve">. </w:t>
      </w:r>
      <w:r w:rsidR="00E349B5" w:rsidRPr="000939E3">
        <w:t>Na problémy ako s prístupom, tak</w:t>
      </w:r>
      <w:r w:rsidR="00144E91" w:rsidRPr="000939E3">
        <w:t xml:space="preserve"> aj</w:t>
      </w:r>
      <w:r w:rsidR="00E349B5" w:rsidRPr="000939E3">
        <w:t xml:space="preserve"> s kvalitou sociálnych služieb upozorňuje Slovensko aj hodnotenie Slovenska Európskou komisiou v roku 2019</w:t>
      </w:r>
      <w:r w:rsidR="00E349B5" w:rsidRPr="000939E3" w:rsidDel="005E753E">
        <w:t xml:space="preserve"> </w:t>
      </w:r>
      <w:r w:rsidR="00E349B5" w:rsidRPr="000939E3">
        <w:t>(E</w:t>
      </w:r>
      <w:r w:rsidR="00535B67" w:rsidRPr="000939E3">
        <w:t>C</w:t>
      </w:r>
      <w:r w:rsidR="00E349B5" w:rsidRPr="000939E3">
        <w:t>, 2019).</w:t>
      </w:r>
    </w:p>
    <w:bookmarkEnd w:id="15"/>
    <w:p w14:paraId="0FE27C64" w14:textId="00CE1F71" w:rsidR="008C0C46" w:rsidRPr="000939E3" w:rsidRDefault="00BF4ABE" w:rsidP="008C0C46">
      <w:pPr>
        <w:pStyle w:val="Odsekzoznamu"/>
        <w:numPr>
          <w:ilvl w:val="0"/>
          <w:numId w:val="15"/>
        </w:numPr>
        <w:tabs>
          <w:tab w:val="left" w:pos="284"/>
        </w:tabs>
        <w:spacing w:beforeLines="120" w:before="288"/>
        <w:ind w:left="0" w:firstLine="0"/>
        <w:contextualSpacing w:val="0"/>
        <w:jc w:val="both"/>
        <w:rPr>
          <w:b/>
        </w:rPr>
      </w:pPr>
      <w:r w:rsidRPr="000939E3">
        <w:rPr>
          <w:b/>
        </w:rPr>
        <w:t xml:space="preserve">Opatrenie: </w:t>
      </w:r>
      <w:r w:rsidR="00663031" w:rsidRPr="000939E3">
        <w:rPr>
          <w:b/>
        </w:rPr>
        <w:t>Zníž</w:t>
      </w:r>
      <w:r w:rsidR="00070D78" w:rsidRPr="000939E3">
        <w:rPr>
          <w:b/>
        </w:rPr>
        <w:t xml:space="preserve">iť </w:t>
      </w:r>
      <w:r w:rsidR="00663031" w:rsidRPr="000939E3">
        <w:rPr>
          <w:b/>
        </w:rPr>
        <w:t>poč</w:t>
      </w:r>
      <w:r w:rsidR="00070D78" w:rsidRPr="000939E3">
        <w:rPr>
          <w:b/>
        </w:rPr>
        <w:t>e</w:t>
      </w:r>
      <w:r w:rsidR="00663031" w:rsidRPr="000939E3">
        <w:rPr>
          <w:b/>
        </w:rPr>
        <w:t xml:space="preserve">t </w:t>
      </w:r>
      <w:r w:rsidR="00324579" w:rsidRPr="000939E3">
        <w:rPr>
          <w:b/>
        </w:rPr>
        <w:t xml:space="preserve">vysokoškolských </w:t>
      </w:r>
      <w:r w:rsidR="00663031" w:rsidRPr="000939E3">
        <w:rPr>
          <w:b/>
        </w:rPr>
        <w:t xml:space="preserve">učiteľov na </w:t>
      </w:r>
      <w:r w:rsidR="00324579" w:rsidRPr="000939E3">
        <w:rPr>
          <w:b/>
        </w:rPr>
        <w:t xml:space="preserve">študenta </w:t>
      </w:r>
      <w:r w:rsidR="00663031" w:rsidRPr="000939E3">
        <w:rPr>
          <w:b/>
        </w:rPr>
        <w:t xml:space="preserve">na úroveň ČR, súčasne so zvýšením platov </w:t>
      </w:r>
      <w:r w:rsidR="00324579" w:rsidRPr="000939E3">
        <w:rPr>
          <w:b/>
        </w:rPr>
        <w:t xml:space="preserve">vysokoškolských </w:t>
      </w:r>
      <w:r w:rsidR="00663031" w:rsidRPr="000939E3">
        <w:rPr>
          <w:b/>
        </w:rPr>
        <w:t xml:space="preserve">učiteľov na priemer EÚ do roku 2027. Revízia navrhuje pokles počtu </w:t>
      </w:r>
      <w:r w:rsidR="00324579" w:rsidRPr="000939E3">
        <w:rPr>
          <w:b/>
        </w:rPr>
        <w:t xml:space="preserve">vysokoškolských </w:t>
      </w:r>
      <w:r w:rsidR="00663031" w:rsidRPr="000939E3">
        <w:rPr>
          <w:b/>
        </w:rPr>
        <w:t xml:space="preserve">učiteľov na </w:t>
      </w:r>
      <w:r w:rsidR="00324579" w:rsidRPr="000939E3">
        <w:rPr>
          <w:b/>
        </w:rPr>
        <w:t xml:space="preserve">vysokých školách </w:t>
      </w:r>
      <w:r w:rsidR="00663031" w:rsidRPr="000939E3">
        <w:rPr>
          <w:b/>
        </w:rPr>
        <w:t>o približne 2</w:t>
      </w:r>
      <w:r w:rsidR="00E71902" w:rsidRPr="000939E3">
        <w:rPr>
          <w:b/>
        </w:rPr>
        <w:t>,5</w:t>
      </w:r>
      <w:r w:rsidR="00663031" w:rsidRPr="000939E3">
        <w:rPr>
          <w:b/>
        </w:rPr>
        <w:t> % ročne</w:t>
      </w:r>
      <w:r w:rsidR="00070D78" w:rsidRPr="000939E3">
        <w:rPr>
          <w:b/>
        </w:rPr>
        <w:t xml:space="preserve"> a zároveň</w:t>
      </w:r>
      <w:r w:rsidR="00663031" w:rsidRPr="000939E3">
        <w:rPr>
          <w:b/>
        </w:rPr>
        <w:t xml:space="preserve"> nárast </w:t>
      </w:r>
      <w:r w:rsidR="00445104" w:rsidRPr="000939E3">
        <w:rPr>
          <w:b/>
        </w:rPr>
        <w:t>kompenzácií</w:t>
      </w:r>
      <w:r w:rsidR="004B45B2" w:rsidRPr="000939E3">
        <w:rPr>
          <w:b/>
        </w:rPr>
        <w:t xml:space="preserve"> približne o </w:t>
      </w:r>
      <w:r w:rsidR="00663031" w:rsidRPr="000939E3">
        <w:rPr>
          <w:b/>
        </w:rPr>
        <w:t xml:space="preserve">8 % ročne. </w:t>
      </w:r>
    </w:p>
    <w:p w14:paraId="05F66005" w14:textId="0D66F2A3" w:rsidR="00663031" w:rsidRPr="000939E3" w:rsidRDefault="00663031" w:rsidP="008C0C46">
      <w:pPr>
        <w:pStyle w:val="Odsekzoznamu"/>
        <w:tabs>
          <w:tab w:val="left" w:pos="284"/>
        </w:tabs>
        <w:spacing w:beforeLines="120" w:before="288"/>
        <w:ind w:left="0"/>
        <w:contextualSpacing w:val="0"/>
        <w:jc w:val="both"/>
      </w:pPr>
      <w:r w:rsidRPr="000939E3">
        <w:rPr>
          <w:b/>
        </w:rPr>
        <w:t xml:space="preserve">Medzinárodné porovnanie ukazuje relatívne vysoký počet akademických zamestnancov na </w:t>
      </w:r>
      <w:r w:rsidR="00070D78" w:rsidRPr="000939E3">
        <w:rPr>
          <w:b/>
        </w:rPr>
        <w:t>vysokých školách</w:t>
      </w:r>
      <w:r w:rsidRPr="000939E3">
        <w:rPr>
          <w:b/>
        </w:rPr>
        <w:t xml:space="preserve"> vzhľadom </w:t>
      </w:r>
      <w:r w:rsidR="00070D78" w:rsidRPr="000939E3">
        <w:rPr>
          <w:b/>
        </w:rPr>
        <w:t>na počet</w:t>
      </w:r>
      <w:r w:rsidRPr="000939E3">
        <w:rPr>
          <w:b/>
        </w:rPr>
        <w:t xml:space="preserve"> študentov</w:t>
      </w:r>
      <w:r w:rsidR="00251E18" w:rsidRPr="000939E3">
        <w:rPr>
          <w:b/>
        </w:rPr>
        <w:t>.</w:t>
      </w:r>
      <w:r w:rsidRPr="000939E3">
        <w:rPr>
          <w:b/>
        </w:rPr>
        <w:t xml:space="preserve"> </w:t>
      </w:r>
      <w:r w:rsidRPr="000939E3">
        <w:t xml:space="preserve">Kým ešte v roku 2010 bol </w:t>
      </w:r>
      <w:r w:rsidR="00070D78" w:rsidRPr="000939E3">
        <w:t xml:space="preserve">pomer </w:t>
      </w:r>
      <w:r w:rsidRPr="000939E3">
        <w:t xml:space="preserve">iba mierne nižší ako priemer </w:t>
      </w:r>
      <w:r w:rsidR="00981438" w:rsidRPr="000939E3">
        <w:t>členských krajín OECD (14,9 </w:t>
      </w:r>
      <w:r w:rsidRPr="000939E3">
        <w:t xml:space="preserve">vs.15,5), v roku </w:t>
      </w:r>
      <w:r w:rsidR="00926225" w:rsidRPr="000939E3">
        <w:t xml:space="preserve">2017 </w:t>
      </w:r>
      <w:r w:rsidRPr="000939E3">
        <w:t xml:space="preserve">už klesol na 12 </w:t>
      </w:r>
      <w:r w:rsidR="00926225" w:rsidRPr="000939E3">
        <w:t xml:space="preserve">študentov </w:t>
      </w:r>
      <w:r w:rsidRPr="000939E3">
        <w:t xml:space="preserve">na učiteľa na Slovensku oproti </w:t>
      </w:r>
      <w:r w:rsidR="00926225" w:rsidRPr="000939E3">
        <w:t>16</w:t>
      </w:r>
      <w:r w:rsidRPr="000939E3">
        <w:t xml:space="preserve"> v krajinách OECD (</w:t>
      </w:r>
      <w:r w:rsidR="008E043C">
        <w:t>k</w:t>
      </w:r>
      <w:r w:rsidRPr="000939E3">
        <w:t xml:space="preserve">apitoly </w:t>
      </w:r>
      <w:r w:rsidR="001F63C9" w:rsidRPr="000939E3">
        <w:t>2</w:t>
      </w:r>
      <w:r w:rsidRPr="000939E3">
        <w:t>.3 a </w:t>
      </w:r>
      <w:r w:rsidR="00473C24" w:rsidRPr="000939E3">
        <w:t>5</w:t>
      </w:r>
      <w:r w:rsidRPr="000939E3">
        <w:t xml:space="preserve">.2). V roku 2018 </w:t>
      </w:r>
      <w:r w:rsidR="00070D78" w:rsidRPr="000939E3">
        <w:t xml:space="preserve">bolo </w:t>
      </w:r>
      <w:r w:rsidRPr="000939E3">
        <w:t>na verejných VŠ v</w:t>
      </w:r>
      <w:r w:rsidR="006A22F8" w:rsidRPr="000939E3">
        <w:t> </w:t>
      </w:r>
      <w:r w:rsidRPr="000939E3">
        <w:t>ČR</w:t>
      </w:r>
      <w:r w:rsidR="006A22F8" w:rsidRPr="000939E3">
        <w:t xml:space="preserve"> s podobným systémom vysokého školstva</w:t>
      </w:r>
      <w:r w:rsidR="00981438" w:rsidRPr="000939E3">
        <w:t xml:space="preserve"> pomer 14,9 </w:t>
      </w:r>
      <w:r w:rsidRPr="000939E3">
        <w:t>študenta na akademického pracovníka, podľa rovnakej metodiky je ich v SR 12,5.</w:t>
      </w:r>
    </w:p>
    <w:p w14:paraId="57CE6307" w14:textId="4A186537" w:rsidR="00663031" w:rsidRPr="000939E3" w:rsidRDefault="00663031" w:rsidP="00663031">
      <w:pPr>
        <w:pStyle w:val="Odsekzoznamu"/>
        <w:tabs>
          <w:tab w:val="left" w:pos="284"/>
        </w:tabs>
        <w:spacing w:before="120"/>
        <w:ind w:left="0"/>
        <w:contextualSpacing w:val="0"/>
        <w:jc w:val="both"/>
        <w:rPr>
          <w:b/>
        </w:rPr>
      </w:pPr>
      <w:r w:rsidRPr="000939E3">
        <w:rPr>
          <w:b/>
        </w:rPr>
        <w:lastRenderedPageBreak/>
        <w:t xml:space="preserve">Zároveň, mzdy </w:t>
      </w:r>
      <w:r w:rsidR="00324579" w:rsidRPr="000939E3">
        <w:rPr>
          <w:b/>
        </w:rPr>
        <w:t xml:space="preserve">vysokoškolských </w:t>
      </w:r>
      <w:r w:rsidRPr="000939E3">
        <w:rPr>
          <w:b/>
        </w:rPr>
        <w:t>učiteľov v medzinárodnom porovnaní zaostávajú za priemerom krajín EÚ</w:t>
      </w:r>
      <w:r w:rsidRPr="00E70518">
        <w:rPr>
          <w:b/>
        </w:rPr>
        <w:t xml:space="preserve">. </w:t>
      </w:r>
      <w:r w:rsidRPr="000939E3">
        <w:t xml:space="preserve">Slovenskí učitelia na </w:t>
      </w:r>
      <w:r w:rsidR="00324579" w:rsidRPr="000939E3">
        <w:t xml:space="preserve">vysokých školách </w:t>
      </w:r>
      <w:r w:rsidRPr="000939E3">
        <w:t xml:space="preserve">v roku 2014 zarábali približne 92 % mzdy </w:t>
      </w:r>
      <w:r w:rsidR="00584FD3" w:rsidRPr="000939E3">
        <w:t xml:space="preserve">vysokoškolsky </w:t>
      </w:r>
      <w:r w:rsidRPr="000939E3">
        <w:t xml:space="preserve">vzdelaných zamestnancov, </w:t>
      </w:r>
      <w:r w:rsidR="00981438" w:rsidRPr="000939E3">
        <w:t>priemer 14 </w:t>
      </w:r>
      <w:r w:rsidRPr="000939E3">
        <w:t xml:space="preserve">krajín EÚ s dostupnými údajmi bol </w:t>
      </w:r>
      <w:r w:rsidR="002820F7" w:rsidRPr="000939E3">
        <w:t xml:space="preserve">približne </w:t>
      </w:r>
      <w:r w:rsidRPr="000939E3">
        <w:t>116 %.</w:t>
      </w:r>
      <w:r w:rsidRPr="000939E3">
        <w:rPr>
          <w:rStyle w:val="Odkaznapoznmkupodiarou"/>
        </w:rPr>
        <w:footnoteReference w:id="5"/>
      </w:r>
      <w:r w:rsidR="004B45B2" w:rsidRPr="000939E3">
        <w:t xml:space="preserve"> </w:t>
      </w:r>
    </w:p>
    <w:p w14:paraId="36880C5B" w14:textId="6462BF4B" w:rsidR="00445104" w:rsidRPr="000939E3" w:rsidRDefault="00445104" w:rsidP="00445104">
      <w:r w:rsidRPr="000939E3">
        <w:rPr>
          <w:b/>
        </w:rPr>
        <w:t>Revízia navrhuje súbežné znižovanie počt</w:t>
      </w:r>
      <w:r w:rsidR="00070D78" w:rsidRPr="000939E3">
        <w:rPr>
          <w:b/>
        </w:rPr>
        <w:t>u</w:t>
      </w:r>
      <w:r w:rsidRPr="000939E3">
        <w:rPr>
          <w:b/>
        </w:rPr>
        <w:t xml:space="preserve"> vysokoškolských učiteľov na úroveň roka 2018 v ČR a</w:t>
      </w:r>
      <w:r w:rsidR="00981438" w:rsidRPr="000939E3">
        <w:rPr>
          <w:b/>
        </w:rPr>
        <w:t> </w:t>
      </w:r>
      <w:r w:rsidRPr="000939E3">
        <w:rPr>
          <w:b/>
        </w:rPr>
        <w:t>zvyšovanie ich platov na priemer EÚ do roku 2027</w:t>
      </w:r>
      <w:r w:rsidRPr="000939E3">
        <w:t xml:space="preserve">. Zníženie počtu </w:t>
      </w:r>
      <w:r w:rsidR="00070D78" w:rsidRPr="000939E3">
        <w:t xml:space="preserve">vysokoškolských </w:t>
      </w:r>
      <w:r w:rsidRPr="000939E3">
        <w:t>učiteľov tak</w:t>
      </w:r>
      <w:r w:rsidR="005E753E" w:rsidRPr="000939E3">
        <w:t>,</w:t>
      </w:r>
      <w:r w:rsidRPr="000939E3">
        <w:t xml:space="preserve"> aby v pomere k počtu študentov</w:t>
      </w:r>
      <w:r w:rsidR="004B45B2" w:rsidRPr="000939E3">
        <w:t xml:space="preserve"> dosiahli </w:t>
      </w:r>
      <w:r w:rsidR="009D6D28" w:rsidRPr="000939E3">
        <w:t xml:space="preserve">úroveň ČR </w:t>
      </w:r>
      <w:r w:rsidR="004B45B2" w:rsidRPr="000939E3">
        <w:t xml:space="preserve">, </w:t>
      </w:r>
      <w:r w:rsidRPr="000939E3">
        <w:t xml:space="preserve">by uvoľnilo približne </w:t>
      </w:r>
      <w:r w:rsidR="002B5471" w:rsidRPr="000939E3">
        <w:t xml:space="preserve">47 </w:t>
      </w:r>
      <w:r w:rsidRPr="000939E3">
        <w:t>mil. eur na rast miezd alebo iné priority. Požadované tempo poklesu zamestnanosti (približne 2,</w:t>
      </w:r>
      <w:r w:rsidR="005453A9" w:rsidRPr="000939E3">
        <w:t xml:space="preserve">5 </w:t>
      </w:r>
      <w:r w:rsidRPr="000939E3">
        <w:t xml:space="preserve">% ročne, okolo </w:t>
      </w:r>
      <w:r w:rsidR="00B26BF0" w:rsidRPr="000939E3">
        <w:t xml:space="preserve">240 </w:t>
      </w:r>
      <w:r w:rsidRPr="000939E3">
        <w:t>ľudí) nepresahuje mieru bežnej fluktuácie vrátane odchodov do dôchodku. O</w:t>
      </w:r>
      <w:r w:rsidR="004B45B2" w:rsidRPr="000939E3">
        <w:t xml:space="preserve">patrenie tak neplánuje náklady </w:t>
      </w:r>
      <w:r w:rsidRPr="000939E3">
        <w:t>na odstupné. Navrhovaný rast miezd dosahuje 8 % ročne</w:t>
      </w:r>
      <w:r w:rsidR="001377F4" w:rsidRPr="000939E3">
        <w:t xml:space="preserve">, výdavky na zvýšenie miezd nad rámec základného scenára by teda v </w:t>
      </w:r>
      <w:r w:rsidR="00B26BF0" w:rsidRPr="000939E3">
        <w:t xml:space="preserve">prvých </w:t>
      </w:r>
      <w:r w:rsidR="001377F4" w:rsidRPr="000939E3">
        <w:t xml:space="preserve">rokoch mali byť </w:t>
      </w:r>
      <w:r w:rsidR="00926225" w:rsidRPr="000939E3">
        <w:t xml:space="preserve">takmer </w:t>
      </w:r>
      <w:r w:rsidR="001377F4" w:rsidRPr="000939E3">
        <w:t xml:space="preserve">pokryté z prostriedkov ušetrených znížením počtu zamestnancov. </w:t>
      </w:r>
    </w:p>
    <w:p w14:paraId="7DC24EDC" w14:textId="2580ED1E" w:rsidR="00D82CC1" w:rsidRPr="000939E3" w:rsidRDefault="00D82CC1" w:rsidP="00D82CC1">
      <w:r w:rsidRPr="000939E3">
        <w:rPr>
          <w:b/>
          <w:bCs/>
        </w:rPr>
        <w:t>Zvyšovanie miezd vysokoškolských učiteľov musí byť sprevádzané opatreniami podporujúcimi rast kvality</w:t>
      </w:r>
      <w:r w:rsidRPr="000939E3">
        <w:t xml:space="preserve"> vzdelávania a vedy. </w:t>
      </w:r>
      <w:r w:rsidR="008E32B2" w:rsidRPr="000939E3">
        <w:t xml:space="preserve">Rovnako ako reformy regionálneho školstva, aj tieto sú pomenované </w:t>
      </w:r>
      <w:r w:rsidR="00070D78" w:rsidRPr="000939E3">
        <w:t xml:space="preserve">vo vládnych materiáloch </w:t>
      </w:r>
      <w:r w:rsidR="008E043C">
        <w:t xml:space="preserve">– </w:t>
      </w:r>
      <w:r w:rsidR="008E32B2" w:rsidRPr="000939E3">
        <w:t>v </w:t>
      </w:r>
      <w:r w:rsidR="00397ABF" w:rsidRPr="000939E3">
        <w:t>Revízii výdavkov na vzdelávanie</w:t>
      </w:r>
      <w:r w:rsidR="00846933" w:rsidRPr="000939E3">
        <w:t xml:space="preserve"> a každoročne aj v</w:t>
      </w:r>
      <w:r w:rsidR="00397ABF" w:rsidRPr="000939E3">
        <w:t xml:space="preserve"> </w:t>
      </w:r>
      <w:r w:rsidR="008E32B2" w:rsidRPr="000939E3">
        <w:t xml:space="preserve">Národnom programe reforiem </w:t>
      </w:r>
      <w:r w:rsidR="00070D78" w:rsidRPr="000939E3">
        <w:t>SR</w:t>
      </w:r>
      <w:r w:rsidR="00846933" w:rsidRPr="000939E3">
        <w:rPr>
          <w:iCs/>
        </w:rPr>
        <w:t>.</w:t>
      </w:r>
      <w:r w:rsidRPr="000939E3">
        <w:t xml:space="preserve"> </w:t>
      </w:r>
    </w:p>
    <w:p w14:paraId="150B41E6" w14:textId="3DC136D7" w:rsidR="008F042B" w:rsidRPr="000939E3" w:rsidRDefault="00070D78" w:rsidP="008F042B">
      <w:pPr>
        <w:pStyle w:val="Odsekzoznamu"/>
        <w:numPr>
          <w:ilvl w:val="0"/>
          <w:numId w:val="15"/>
        </w:numPr>
        <w:tabs>
          <w:tab w:val="left" w:pos="284"/>
        </w:tabs>
        <w:spacing w:before="120"/>
        <w:ind w:left="0" w:firstLine="0"/>
        <w:contextualSpacing w:val="0"/>
        <w:jc w:val="both"/>
      </w:pPr>
      <w:bookmarkStart w:id="17" w:name="Hodnota_6"/>
      <w:bookmarkStart w:id="18" w:name="Uspora_1"/>
      <w:r w:rsidRPr="000939E3">
        <w:rPr>
          <w:rFonts w:eastAsia="Times New Roman" w:cs="Times New Roman"/>
          <w:b/>
          <w:color w:val="000000"/>
          <w:lang w:eastAsia="sk-SK"/>
        </w:rPr>
        <w:t xml:space="preserve">Opatrenie: </w:t>
      </w:r>
      <w:r w:rsidR="004521CE" w:rsidRPr="000939E3">
        <w:rPr>
          <w:rFonts w:eastAsia="Times New Roman" w:cs="Times New Roman"/>
          <w:b/>
          <w:color w:val="000000"/>
          <w:lang w:eastAsia="sk-SK"/>
        </w:rPr>
        <w:t>Zvýš</w:t>
      </w:r>
      <w:r w:rsidRPr="000939E3">
        <w:rPr>
          <w:rFonts w:eastAsia="Times New Roman" w:cs="Times New Roman"/>
          <w:b/>
          <w:color w:val="000000"/>
          <w:lang w:eastAsia="sk-SK"/>
        </w:rPr>
        <w:t>iť</w:t>
      </w:r>
      <w:r w:rsidR="004521CE" w:rsidRPr="000939E3">
        <w:rPr>
          <w:rFonts w:eastAsia="Times New Roman" w:cs="Times New Roman"/>
          <w:b/>
          <w:color w:val="000000"/>
          <w:lang w:eastAsia="sk-SK"/>
        </w:rPr>
        <w:t xml:space="preserve"> kompenzáci</w:t>
      </w:r>
      <w:r w:rsidRPr="000939E3">
        <w:rPr>
          <w:rFonts w:eastAsia="Times New Roman" w:cs="Times New Roman"/>
          <w:b/>
          <w:color w:val="000000"/>
          <w:lang w:eastAsia="sk-SK"/>
        </w:rPr>
        <w:t>e</w:t>
      </w:r>
      <w:r w:rsidR="004521CE" w:rsidRPr="000939E3">
        <w:rPr>
          <w:rFonts w:eastAsia="Times New Roman" w:cs="Times New Roman"/>
          <w:b/>
          <w:color w:val="000000"/>
          <w:lang w:eastAsia="sk-SK"/>
        </w:rPr>
        <w:t xml:space="preserve"> vybraných vysokokvalifikovaných pozícií v štátnej správe</w:t>
      </w:r>
      <w:r w:rsidR="002B1D3D" w:rsidRPr="000939E3">
        <w:rPr>
          <w:rFonts w:eastAsia="Times New Roman" w:cs="Times New Roman"/>
          <w:b/>
          <w:color w:val="000000"/>
          <w:lang w:eastAsia="sk-SK"/>
        </w:rPr>
        <w:t xml:space="preserve"> spolu so </w:t>
      </w:r>
      <w:r w:rsidRPr="000939E3">
        <w:rPr>
          <w:rFonts w:eastAsia="Times New Roman" w:cs="Times New Roman"/>
          <w:b/>
          <w:color w:val="000000"/>
          <w:lang w:eastAsia="sk-SK"/>
        </w:rPr>
        <w:t>zvyšovaním zodpovednosti za výsledky</w:t>
      </w:r>
      <w:r w:rsidR="004521CE" w:rsidRPr="000939E3">
        <w:rPr>
          <w:b/>
        </w:rPr>
        <w:t>. Revízia predpokladá výdavky na opatrenie v</w:t>
      </w:r>
      <w:r w:rsidR="00926225" w:rsidRPr="000939E3">
        <w:rPr>
          <w:b/>
        </w:rPr>
        <w:t xml:space="preserve"> prvom </w:t>
      </w:r>
      <w:r w:rsidR="004521CE" w:rsidRPr="000939E3">
        <w:rPr>
          <w:b/>
        </w:rPr>
        <w:t xml:space="preserve">roku </w:t>
      </w:r>
      <w:r w:rsidR="002B1D3D" w:rsidRPr="000939E3">
        <w:rPr>
          <w:b/>
        </w:rPr>
        <w:t>vo </w:t>
      </w:r>
      <w:r w:rsidR="004521CE" w:rsidRPr="000939E3">
        <w:rPr>
          <w:b/>
        </w:rPr>
        <w:t xml:space="preserve">výške </w:t>
      </w:r>
      <w:r w:rsidR="005453A9" w:rsidRPr="000939E3">
        <w:rPr>
          <w:b/>
        </w:rPr>
        <w:t xml:space="preserve">21 </w:t>
      </w:r>
      <w:r w:rsidR="004521CE" w:rsidRPr="000939E3">
        <w:rPr>
          <w:b/>
        </w:rPr>
        <w:t>mil. eur</w:t>
      </w:r>
      <w:r w:rsidR="00926225" w:rsidRPr="000939E3">
        <w:rPr>
          <w:b/>
        </w:rPr>
        <w:t>, po úplnej implementácii 40 mil. eur</w:t>
      </w:r>
      <w:r w:rsidR="004521CE" w:rsidRPr="000939E3">
        <w:rPr>
          <w:b/>
        </w:rPr>
        <w:t>.</w:t>
      </w:r>
      <w:r w:rsidR="004521CE" w:rsidRPr="000939E3">
        <w:t xml:space="preserve"> </w:t>
      </w:r>
    </w:p>
    <w:p w14:paraId="6BEBD464" w14:textId="021448E2" w:rsidR="008F042B" w:rsidRPr="000939E3" w:rsidRDefault="008F042B" w:rsidP="008F042B">
      <w:pPr>
        <w:spacing w:after="160" w:line="259" w:lineRule="auto"/>
        <w:rPr>
          <w:rFonts w:eastAsiaTheme="majorEastAsia" w:cstheme="majorBidi"/>
          <w:szCs w:val="32"/>
        </w:rPr>
      </w:pPr>
      <w:r w:rsidRPr="000939E3">
        <w:rPr>
          <w:b/>
        </w:rPr>
        <w:t>Približne 7,5 tisíc</w:t>
      </w:r>
      <w:r w:rsidR="0058658D" w:rsidRPr="000939E3">
        <w:rPr>
          <w:b/>
        </w:rPr>
        <w:t xml:space="preserve"> úradníkov</w:t>
      </w:r>
      <w:r w:rsidRPr="000939E3">
        <w:rPr>
          <w:b/>
        </w:rPr>
        <w:t xml:space="preserve"> zarába výrazne menej ako </w:t>
      </w:r>
      <w:r w:rsidR="0058658D" w:rsidRPr="000939E3">
        <w:rPr>
          <w:b/>
        </w:rPr>
        <w:t xml:space="preserve">ich náprotivky </w:t>
      </w:r>
      <w:r w:rsidRPr="000939E3">
        <w:rPr>
          <w:b/>
        </w:rPr>
        <w:t>v súkromnom sektore.</w:t>
      </w:r>
      <w:r w:rsidRPr="000939E3">
        <w:t xml:space="preserve"> Jedná sa predovšetkým o riadiacich pracovníkov (manažérov), právnikov, analytikov či pracovníkov IT</w:t>
      </w:r>
      <w:r w:rsidR="00DB2BDE" w:rsidRPr="000939E3">
        <w:t>, ktorí sú v súkromnom sektore ohodnotení</w:t>
      </w:r>
      <w:r w:rsidR="00DB2BDE" w:rsidRPr="000939E3" w:rsidDel="00C96C25">
        <w:t xml:space="preserve"> </w:t>
      </w:r>
      <w:r w:rsidR="00883A9D" w:rsidRPr="000939E3">
        <w:t xml:space="preserve">vysoko nad </w:t>
      </w:r>
      <w:r w:rsidR="00DB2BDE" w:rsidRPr="000939E3">
        <w:t>rám</w:t>
      </w:r>
      <w:r w:rsidR="00883A9D" w:rsidRPr="000939E3">
        <w:t>e</w:t>
      </w:r>
      <w:r w:rsidR="00DB2BDE" w:rsidRPr="000939E3">
        <w:t xml:space="preserve">c štandardných platových tabuliek štátu. </w:t>
      </w:r>
      <w:r w:rsidRPr="000939E3">
        <w:t>Neschopnosť zaplatiť zamestnancov</w:t>
      </w:r>
      <w:r w:rsidR="00883A9D" w:rsidRPr="000939E3">
        <w:t xml:space="preserve"> </w:t>
      </w:r>
      <w:r w:rsidRPr="000939E3">
        <w:t>vedie v mnohých prípadoch buď k ich nižšej kvalite alebo k nutnosti obstarať niektoré služby dodávateľsky, často za</w:t>
      </w:r>
      <w:r w:rsidR="00DF7E17" w:rsidRPr="000939E3">
        <w:t> </w:t>
      </w:r>
      <w:r w:rsidR="00070D78" w:rsidRPr="000939E3">
        <w:t xml:space="preserve">výrazne </w:t>
      </w:r>
      <w:r w:rsidRPr="000939E3">
        <w:t xml:space="preserve">vyššie náklady </w:t>
      </w:r>
      <w:r w:rsidRPr="000939E3">
        <w:rPr>
          <w:rFonts w:eastAsiaTheme="majorEastAsia" w:cstheme="majorBidi"/>
          <w:szCs w:val="32"/>
        </w:rPr>
        <w:t xml:space="preserve">(Kapitola </w:t>
      </w:r>
      <w:r w:rsidR="009A073C" w:rsidRPr="000939E3">
        <w:rPr>
          <w:rFonts w:eastAsiaTheme="majorEastAsia" w:cstheme="majorBidi"/>
          <w:szCs w:val="32"/>
        </w:rPr>
        <w:t>3</w:t>
      </w:r>
      <w:r w:rsidRPr="000939E3">
        <w:rPr>
          <w:rFonts w:eastAsiaTheme="majorEastAsia" w:cstheme="majorBidi"/>
          <w:szCs w:val="32"/>
        </w:rPr>
        <w:t>.3).</w:t>
      </w:r>
      <w:r w:rsidRPr="000939E3">
        <w:t xml:space="preserve"> Mechanizmus </w:t>
      </w:r>
      <w:r w:rsidR="00883A9D" w:rsidRPr="000939E3">
        <w:t xml:space="preserve">umožňujúci vyplatenie platov mimo štandardných tabuliek – tzv. osobný </w:t>
      </w:r>
      <w:r w:rsidRPr="000939E3">
        <w:t>plat</w:t>
      </w:r>
      <w:r w:rsidR="00DB2BDE" w:rsidRPr="000939E3">
        <w:rPr>
          <w:rStyle w:val="Odkaznapoznmkupodiarou"/>
        </w:rPr>
        <w:footnoteReference w:id="6"/>
      </w:r>
      <w:r w:rsidR="00436741" w:rsidRPr="000939E3">
        <w:t xml:space="preserve"> – </w:t>
      </w:r>
      <w:r w:rsidRPr="000939E3">
        <w:t xml:space="preserve">je využívaný </w:t>
      </w:r>
      <w:r w:rsidR="00883A9D" w:rsidRPr="000939E3">
        <w:t>zriedkavo.</w:t>
      </w:r>
      <w:r w:rsidRPr="000939E3">
        <w:t xml:space="preserve"> </w:t>
      </w:r>
      <w:r w:rsidR="00883A9D" w:rsidRPr="000939E3">
        <w:t xml:space="preserve">Náklady na </w:t>
      </w:r>
      <w:r w:rsidR="00777D7D" w:rsidRPr="000939E3">
        <w:t xml:space="preserve">takýchto </w:t>
      </w:r>
      <w:r w:rsidR="00883A9D" w:rsidRPr="000939E3">
        <w:t xml:space="preserve">vysokokvalifikovaných, drahých </w:t>
      </w:r>
      <w:r w:rsidRPr="000939E3">
        <w:t xml:space="preserve">zamestnancov nie sú </w:t>
      </w:r>
      <w:r w:rsidR="00883A9D" w:rsidRPr="000939E3">
        <w:t xml:space="preserve">plánované </w:t>
      </w:r>
      <w:r w:rsidRPr="000939E3">
        <w:t>samostatne.</w:t>
      </w:r>
    </w:p>
    <w:tbl>
      <w:tblPr>
        <w:tblW w:w="5000" w:type="pct"/>
        <w:tblLayout w:type="fixed"/>
        <w:tblCellMar>
          <w:left w:w="70" w:type="dxa"/>
          <w:right w:w="70" w:type="dxa"/>
        </w:tblCellMar>
        <w:tblLook w:val="04A0" w:firstRow="1" w:lastRow="0" w:firstColumn="1" w:lastColumn="0" w:noHBand="0" w:noVBand="1"/>
      </w:tblPr>
      <w:tblGrid>
        <w:gridCol w:w="568"/>
        <w:gridCol w:w="2976"/>
        <w:gridCol w:w="1136"/>
        <w:gridCol w:w="709"/>
        <w:gridCol w:w="140"/>
        <w:gridCol w:w="992"/>
        <w:gridCol w:w="1277"/>
        <w:gridCol w:w="1274"/>
      </w:tblGrid>
      <w:tr w:rsidR="00642B24" w:rsidRPr="000939E3" w14:paraId="3700555A" w14:textId="77777777" w:rsidTr="00024EC3">
        <w:trPr>
          <w:trHeight w:val="269"/>
        </w:trPr>
        <w:tc>
          <w:tcPr>
            <w:tcW w:w="5000" w:type="pct"/>
            <w:gridSpan w:val="8"/>
            <w:tcBorders>
              <w:top w:val="nil"/>
              <w:left w:val="nil"/>
              <w:bottom w:val="single" w:sz="4" w:space="0" w:color="auto"/>
              <w:right w:val="nil"/>
            </w:tcBorders>
            <w:shd w:val="clear" w:color="auto" w:fill="auto"/>
            <w:noWrap/>
            <w:vAlign w:val="bottom"/>
          </w:tcPr>
          <w:p w14:paraId="559E5A70" w14:textId="6012F7CF" w:rsidR="00642B24" w:rsidRPr="000939E3" w:rsidRDefault="00642B24" w:rsidP="00232623">
            <w:pPr>
              <w:spacing w:after="0" w:line="240" w:lineRule="auto"/>
              <w:jc w:val="left"/>
              <w:rPr>
                <w:rFonts w:eastAsia="Times New Roman" w:cs="Times New Roman"/>
                <w:b/>
                <w:sz w:val="20"/>
                <w:szCs w:val="20"/>
                <w:lang w:eastAsia="sk-SK"/>
              </w:rPr>
            </w:pPr>
            <w:r w:rsidRPr="000939E3">
              <w:rPr>
                <w:rFonts w:eastAsia="Times New Roman" w:cs="Times New Roman"/>
                <w:b/>
                <w:sz w:val="20"/>
                <w:szCs w:val="20"/>
                <w:lang w:eastAsia="sk-SK"/>
              </w:rPr>
              <w:t>Odhad dorovnania miezd pracovníkov v</w:t>
            </w:r>
            <w:r w:rsidR="00DF7E17" w:rsidRPr="000939E3">
              <w:rPr>
                <w:rFonts w:eastAsia="Times New Roman" w:cs="Times New Roman"/>
                <w:b/>
                <w:sz w:val="20"/>
                <w:szCs w:val="20"/>
                <w:lang w:eastAsia="sk-SK"/>
              </w:rPr>
              <w:t>o</w:t>
            </w:r>
            <w:r w:rsidRPr="000939E3">
              <w:rPr>
                <w:rFonts w:eastAsia="Times New Roman" w:cs="Times New Roman"/>
                <w:b/>
                <w:sz w:val="20"/>
                <w:szCs w:val="20"/>
                <w:lang w:eastAsia="sk-SK"/>
              </w:rPr>
              <w:t> </w:t>
            </w:r>
            <w:r w:rsidR="00DF7E17" w:rsidRPr="000939E3">
              <w:rPr>
                <w:rFonts w:eastAsia="Times New Roman" w:cs="Times New Roman"/>
                <w:b/>
                <w:sz w:val="20"/>
                <w:szCs w:val="20"/>
                <w:lang w:eastAsia="sk-SK"/>
              </w:rPr>
              <w:t>vysokokvalifikovaných</w:t>
            </w:r>
            <w:r w:rsidRPr="000939E3">
              <w:rPr>
                <w:rFonts w:eastAsia="Times New Roman" w:cs="Times New Roman"/>
                <w:b/>
                <w:sz w:val="20"/>
                <w:szCs w:val="20"/>
                <w:lang w:eastAsia="sk-SK"/>
              </w:rPr>
              <w:t xml:space="preserve"> povolaniach </w:t>
            </w:r>
          </w:p>
        </w:tc>
      </w:tr>
      <w:tr w:rsidR="00642B24" w:rsidRPr="000939E3" w14:paraId="133C1382" w14:textId="77777777" w:rsidTr="002B1D3D">
        <w:trPr>
          <w:trHeight w:val="269"/>
        </w:trPr>
        <w:tc>
          <w:tcPr>
            <w:tcW w:w="1953" w:type="pct"/>
            <w:gridSpan w:val="2"/>
            <w:tcBorders>
              <w:top w:val="nil"/>
              <w:left w:val="nil"/>
              <w:bottom w:val="single" w:sz="4" w:space="0" w:color="auto"/>
              <w:right w:val="nil"/>
            </w:tcBorders>
            <w:shd w:val="clear" w:color="auto" w:fill="auto"/>
            <w:noWrap/>
            <w:vAlign w:val="bottom"/>
            <w:hideMark/>
          </w:tcPr>
          <w:p w14:paraId="22D72F4B" w14:textId="77777777" w:rsidR="00642B24" w:rsidRPr="000939E3" w:rsidRDefault="00642B24" w:rsidP="00024EC3">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 </w:t>
            </w:r>
          </w:p>
        </w:tc>
        <w:tc>
          <w:tcPr>
            <w:tcW w:w="626" w:type="pct"/>
            <w:tcBorders>
              <w:top w:val="nil"/>
              <w:left w:val="nil"/>
              <w:bottom w:val="single" w:sz="4" w:space="0" w:color="auto"/>
              <w:right w:val="nil"/>
            </w:tcBorders>
            <w:shd w:val="clear" w:color="auto" w:fill="auto"/>
            <w:noWrap/>
            <w:vAlign w:val="center"/>
          </w:tcPr>
          <w:p w14:paraId="343E22AB" w14:textId="77777777" w:rsidR="00642B24" w:rsidRPr="000939E3" w:rsidRDefault="00642B24" w:rsidP="00024EC3">
            <w:pPr>
              <w:spacing w:after="0" w:line="240" w:lineRule="auto"/>
              <w:jc w:val="center"/>
              <w:rPr>
                <w:rFonts w:eastAsia="Times New Roman" w:cs="Times New Roman"/>
                <w:b/>
                <w:sz w:val="20"/>
                <w:szCs w:val="20"/>
                <w:lang w:eastAsia="sk-SK"/>
              </w:rPr>
            </w:pPr>
            <w:r w:rsidRPr="000939E3">
              <w:rPr>
                <w:rFonts w:eastAsia="Times New Roman" w:cs="Times New Roman"/>
                <w:b/>
                <w:sz w:val="20"/>
                <w:szCs w:val="20"/>
                <w:lang w:eastAsia="sk-SK"/>
              </w:rPr>
              <w:t>súkromný sektor mzda 2020*</w:t>
            </w:r>
          </w:p>
        </w:tc>
        <w:tc>
          <w:tcPr>
            <w:tcW w:w="468" w:type="pct"/>
            <w:gridSpan w:val="2"/>
            <w:tcBorders>
              <w:top w:val="nil"/>
              <w:left w:val="nil"/>
              <w:bottom w:val="single" w:sz="4" w:space="0" w:color="auto"/>
              <w:right w:val="nil"/>
            </w:tcBorders>
            <w:shd w:val="clear" w:color="auto" w:fill="auto"/>
            <w:noWrap/>
            <w:vAlign w:val="center"/>
          </w:tcPr>
          <w:p w14:paraId="4EC4CC77" w14:textId="77777777" w:rsidR="00642B24" w:rsidRPr="000939E3" w:rsidRDefault="00642B24" w:rsidP="00024EC3">
            <w:pPr>
              <w:spacing w:after="0" w:line="240" w:lineRule="auto"/>
              <w:jc w:val="center"/>
              <w:rPr>
                <w:rFonts w:eastAsia="Times New Roman" w:cs="Times New Roman"/>
                <w:b/>
                <w:sz w:val="20"/>
                <w:szCs w:val="20"/>
                <w:lang w:eastAsia="sk-SK"/>
              </w:rPr>
            </w:pPr>
            <w:r w:rsidRPr="000939E3">
              <w:rPr>
                <w:rFonts w:eastAsia="Times New Roman" w:cs="Times New Roman"/>
                <w:b/>
                <w:sz w:val="20"/>
                <w:szCs w:val="20"/>
                <w:lang w:eastAsia="sk-SK"/>
              </w:rPr>
              <w:t xml:space="preserve">štát </w:t>
            </w:r>
            <w:r w:rsidRPr="000939E3">
              <w:rPr>
                <w:rFonts w:eastAsia="Times New Roman" w:cs="Times New Roman"/>
                <w:b/>
                <w:sz w:val="20"/>
                <w:szCs w:val="20"/>
                <w:lang w:eastAsia="sk-SK"/>
              </w:rPr>
              <w:br/>
              <w:t>mzda 2020*</w:t>
            </w:r>
          </w:p>
        </w:tc>
        <w:tc>
          <w:tcPr>
            <w:tcW w:w="547" w:type="pct"/>
            <w:tcBorders>
              <w:top w:val="nil"/>
              <w:left w:val="nil"/>
              <w:bottom w:val="single" w:sz="4" w:space="0" w:color="auto"/>
              <w:right w:val="nil"/>
            </w:tcBorders>
            <w:shd w:val="clear" w:color="auto" w:fill="auto"/>
            <w:noWrap/>
            <w:vAlign w:val="center"/>
          </w:tcPr>
          <w:p w14:paraId="6EE4E2F8" w14:textId="77777777" w:rsidR="00642B24" w:rsidRPr="000939E3" w:rsidRDefault="00642B24" w:rsidP="00024EC3">
            <w:pPr>
              <w:spacing w:after="0" w:line="240" w:lineRule="auto"/>
              <w:jc w:val="center"/>
              <w:rPr>
                <w:rFonts w:eastAsia="Times New Roman" w:cs="Times New Roman"/>
                <w:b/>
                <w:sz w:val="20"/>
                <w:szCs w:val="20"/>
                <w:lang w:eastAsia="sk-SK"/>
              </w:rPr>
            </w:pPr>
            <w:r w:rsidRPr="000939E3">
              <w:rPr>
                <w:rFonts w:eastAsia="Times New Roman" w:cs="Times New Roman"/>
                <w:b/>
                <w:sz w:val="20"/>
                <w:szCs w:val="20"/>
                <w:lang w:eastAsia="sk-SK"/>
              </w:rPr>
              <w:t>mesačný príspevok 2020**</w:t>
            </w:r>
          </w:p>
        </w:tc>
        <w:tc>
          <w:tcPr>
            <w:tcW w:w="704" w:type="pct"/>
            <w:tcBorders>
              <w:top w:val="nil"/>
              <w:left w:val="nil"/>
              <w:bottom w:val="single" w:sz="4" w:space="0" w:color="auto"/>
              <w:right w:val="nil"/>
            </w:tcBorders>
            <w:shd w:val="clear" w:color="auto" w:fill="auto"/>
            <w:noWrap/>
            <w:vAlign w:val="center"/>
          </w:tcPr>
          <w:p w14:paraId="5DE439F4" w14:textId="5A60D62C" w:rsidR="00642B24" w:rsidRPr="000939E3" w:rsidRDefault="002B1D3D" w:rsidP="00024EC3">
            <w:pPr>
              <w:spacing w:after="0" w:line="240" w:lineRule="auto"/>
              <w:jc w:val="center"/>
              <w:rPr>
                <w:rFonts w:eastAsia="Times New Roman" w:cs="Times New Roman"/>
                <w:b/>
                <w:sz w:val="20"/>
                <w:szCs w:val="20"/>
                <w:lang w:eastAsia="sk-SK"/>
              </w:rPr>
            </w:pPr>
            <w:r w:rsidRPr="000939E3">
              <w:rPr>
                <w:rFonts w:eastAsia="Times New Roman" w:cs="Times New Roman"/>
                <w:b/>
                <w:sz w:val="20"/>
                <w:szCs w:val="20"/>
                <w:lang w:eastAsia="sk-SK"/>
              </w:rPr>
              <w:t>počet verejných zamestnancov</w:t>
            </w:r>
          </w:p>
        </w:tc>
        <w:tc>
          <w:tcPr>
            <w:tcW w:w="702" w:type="pct"/>
            <w:tcBorders>
              <w:top w:val="nil"/>
              <w:left w:val="nil"/>
              <w:bottom w:val="single" w:sz="4" w:space="0" w:color="auto"/>
              <w:right w:val="nil"/>
            </w:tcBorders>
            <w:shd w:val="clear" w:color="auto" w:fill="auto"/>
            <w:noWrap/>
            <w:vAlign w:val="center"/>
            <w:hideMark/>
          </w:tcPr>
          <w:p w14:paraId="17903B35" w14:textId="77777777" w:rsidR="00642B24" w:rsidRPr="000939E3" w:rsidRDefault="00642B24" w:rsidP="00024EC3">
            <w:pPr>
              <w:spacing w:after="0" w:line="240" w:lineRule="auto"/>
              <w:jc w:val="center"/>
              <w:rPr>
                <w:rFonts w:eastAsia="Times New Roman" w:cs="Times New Roman"/>
                <w:b/>
                <w:sz w:val="20"/>
                <w:szCs w:val="20"/>
                <w:lang w:eastAsia="sk-SK"/>
              </w:rPr>
            </w:pPr>
            <w:r w:rsidRPr="000939E3">
              <w:rPr>
                <w:rFonts w:eastAsia="Times New Roman" w:cs="Times New Roman"/>
                <w:b/>
                <w:sz w:val="20"/>
                <w:szCs w:val="20"/>
                <w:lang w:eastAsia="sk-SK"/>
              </w:rPr>
              <w:t xml:space="preserve">Ročný vplyv </w:t>
            </w:r>
            <w:r w:rsidRPr="000939E3">
              <w:rPr>
                <w:rFonts w:eastAsia="Times New Roman" w:cs="Times New Roman"/>
                <w:b/>
                <w:sz w:val="20"/>
                <w:szCs w:val="20"/>
                <w:lang w:eastAsia="sk-SK"/>
              </w:rPr>
              <w:br/>
              <w:t>2020**</w:t>
            </w:r>
            <w:r w:rsidRPr="000939E3">
              <w:rPr>
                <w:rFonts w:eastAsia="Times New Roman" w:cs="Times New Roman"/>
                <w:b/>
                <w:sz w:val="20"/>
                <w:szCs w:val="20"/>
                <w:lang w:eastAsia="sk-SK"/>
              </w:rPr>
              <w:br/>
              <w:t xml:space="preserve">(v mil. eur) </w:t>
            </w:r>
          </w:p>
        </w:tc>
      </w:tr>
      <w:tr w:rsidR="00642B24" w:rsidRPr="000939E3" w14:paraId="5BC9A839" w14:textId="77777777" w:rsidTr="002B1D3D">
        <w:trPr>
          <w:trHeight w:val="269"/>
        </w:trPr>
        <w:tc>
          <w:tcPr>
            <w:tcW w:w="1953" w:type="pct"/>
            <w:gridSpan w:val="2"/>
            <w:tcBorders>
              <w:top w:val="nil"/>
              <w:left w:val="nil"/>
              <w:bottom w:val="nil"/>
              <w:right w:val="nil"/>
            </w:tcBorders>
            <w:shd w:val="clear" w:color="auto" w:fill="auto"/>
            <w:noWrap/>
            <w:vAlign w:val="bottom"/>
            <w:hideMark/>
          </w:tcPr>
          <w:p w14:paraId="02C51EFF" w14:textId="77777777" w:rsidR="00642B24" w:rsidRPr="000939E3" w:rsidRDefault="00642B24" w:rsidP="00024EC3">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Riadiaci pracovníci</w:t>
            </w:r>
          </w:p>
        </w:tc>
        <w:tc>
          <w:tcPr>
            <w:tcW w:w="626" w:type="pct"/>
            <w:tcBorders>
              <w:top w:val="nil"/>
              <w:left w:val="nil"/>
              <w:bottom w:val="nil"/>
              <w:right w:val="nil"/>
            </w:tcBorders>
            <w:shd w:val="clear" w:color="auto" w:fill="auto"/>
            <w:noWrap/>
            <w:vAlign w:val="bottom"/>
          </w:tcPr>
          <w:p w14:paraId="5F42DC06"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3 557</w:t>
            </w:r>
          </w:p>
        </w:tc>
        <w:tc>
          <w:tcPr>
            <w:tcW w:w="468" w:type="pct"/>
            <w:gridSpan w:val="2"/>
            <w:tcBorders>
              <w:top w:val="nil"/>
              <w:left w:val="nil"/>
              <w:bottom w:val="nil"/>
              <w:right w:val="nil"/>
            </w:tcBorders>
            <w:shd w:val="clear" w:color="auto" w:fill="auto"/>
            <w:noWrap/>
            <w:vAlign w:val="bottom"/>
          </w:tcPr>
          <w:p w14:paraId="22FFC5A6"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2 590</w:t>
            </w:r>
          </w:p>
        </w:tc>
        <w:tc>
          <w:tcPr>
            <w:tcW w:w="547" w:type="pct"/>
            <w:tcBorders>
              <w:top w:val="nil"/>
              <w:left w:val="nil"/>
              <w:bottom w:val="nil"/>
              <w:right w:val="nil"/>
            </w:tcBorders>
            <w:shd w:val="clear" w:color="auto" w:fill="auto"/>
            <w:noWrap/>
            <w:vAlign w:val="bottom"/>
          </w:tcPr>
          <w:p w14:paraId="494E3843"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611</w:t>
            </w:r>
          </w:p>
        </w:tc>
        <w:tc>
          <w:tcPr>
            <w:tcW w:w="704" w:type="pct"/>
            <w:tcBorders>
              <w:top w:val="nil"/>
              <w:left w:val="nil"/>
              <w:bottom w:val="nil"/>
              <w:right w:val="nil"/>
            </w:tcBorders>
            <w:shd w:val="clear" w:color="auto" w:fill="auto"/>
            <w:noWrap/>
            <w:vAlign w:val="bottom"/>
          </w:tcPr>
          <w:p w14:paraId="58D13CB4"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1 321</w:t>
            </w:r>
          </w:p>
        </w:tc>
        <w:tc>
          <w:tcPr>
            <w:tcW w:w="702" w:type="pct"/>
            <w:tcBorders>
              <w:top w:val="nil"/>
              <w:left w:val="nil"/>
              <w:bottom w:val="nil"/>
              <w:right w:val="nil"/>
            </w:tcBorders>
            <w:shd w:val="clear" w:color="auto" w:fill="auto"/>
            <w:noWrap/>
            <w:vAlign w:val="bottom"/>
            <w:hideMark/>
          </w:tcPr>
          <w:p w14:paraId="6E12A17A"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13,1</w:t>
            </w:r>
          </w:p>
        </w:tc>
      </w:tr>
      <w:tr w:rsidR="00642B24" w:rsidRPr="000939E3" w14:paraId="3CCCEEAB" w14:textId="77777777" w:rsidTr="002B1D3D">
        <w:trPr>
          <w:trHeight w:val="269"/>
        </w:trPr>
        <w:tc>
          <w:tcPr>
            <w:tcW w:w="1953" w:type="pct"/>
            <w:gridSpan w:val="2"/>
            <w:tcBorders>
              <w:top w:val="nil"/>
              <w:left w:val="nil"/>
              <w:bottom w:val="nil"/>
              <w:right w:val="nil"/>
            </w:tcBorders>
            <w:shd w:val="clear" w:color="auto" w:fill="auto"/>
            <w:noWrap/>
            <w:vAlign w:val="bottom"/>
            <w:hideMark/>
          </w:tcPr>
          <w:p w14:paraId="624789EB" w14:textId="77777777" w:rsidR="00642B24" w:rsidRPr="000939E3" w:rsidRDefault="00642B24" w:rsidP="00024EC3">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Právnici</w:t>
            </w:r>
          </w:p>
        </w:tc>
        <w:tc>
          <w:tcPr>
            <w:tcW w:w="626" w:type="pct"/>
            <w:tcBorders>
              <w:top w:val="nil"/>
              <w:left w:val="nil"/>
              <w:bottom w:val="nil"/>
              <w:right w:val="nil"/>
            </w:tcBorders>
            <w:shd w:val="clear" w:color="auto" w:fill="auto"/>
            <w:noWrap/>
            <w:vAlign w:val="bottom"/>
          </w:tcPr>
          <w:p w14:paraId="6D82D5D5"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2 393</w:t>
            </w:r>
          </w:p>
        </w:tc>
        <w:tc>
          <w:tcPr>
            <w:tcW w:w="468" w:type="pct"/>
            <w:gridSpan w:val="2"/>
            <w:tcBorders>
              <w:top w:val="nil"/>
              <w:left w:val="nil"/>
              <w:bottom w:val="nil"/>
              <w:right w:val="nil"/>
            </w:tcBorders>
            <w:shd w:val="clear" w:color="auto" w:fill="auto"/>
            <w:noWrap/>
            <w:vAlign w:val="bottom"/>
          </w:tcPr>
          <w:p w14:paraId="4F5247EF"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1 742</w:t>
            </w:r>
          </w:p>
        </w:tc>
        <w:tc>
          <w:tcPr>
            <w:tcW w:w="547" w:type="pct"/>
            <w:tcBorders>
              <w:top w:val="nil"/>
              <w:left w:val="nil"/>
              <w:bottom w:val="nil"/>
              <w:right w:val="nil"/>
            </w:tcBorders>
            <w:shd w:val="clear" w:color="auto" w:fill="auto"/>
            <w:noWrap/>
            <w:vAlign w:val="bottom"/>
          </w:tcPr>
          <w:p w14:paraId="229E89E5"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412</w:t>
            </w:r>
          </w:p>
        </w:tc>
        <w:tc>
          <w:tcPr>
            <w:tcW w:w="704" w:type="pct"/>
            <w:tcBorders>
              <w:top w:val="nil"/>
              <w:left w:val="nil"/>
              <w:bottom w:val="nil"/>
              <w:right w:val="nil"/>
            </w:tcBorders>
            <w:shd w:val="clear" w:color="auto" w:fill="auto"/>
            <w:noWrap/>
            <w:vAlign w:val="bottom"/>
          </w:tcPr>
          <w:p w14:paraId="371CE983"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746</w:t>
            </w:r>
          </w:p>
        </w:tc>
        <w:tc>
          <w:tcPr>
            <w:tcW w:w="702" w:type="pct"/>
            <w:tcBorders>
              <w:top w:val="nil"/>
              <w:left w:val="nil"/>
              <w:bottom w:val="nil"/>
              <w:right w:val="nil"/>
            </w:tcBorders>
            <w:shd w:val="clear" w:color="auto" w:fill="auto"/>
            <w:noWrap/>
            <w:vAlign w:val="bottom"/>
            <w:hideMark/>
          </w:tcPr>
          <w:p w14:paraId="6B371FD4"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5,0</w:t>
            </w:r>
          </w:p>
        </w:tc>
      </w:tr>
      <w:tr w:rsidR="00642B24" w:rsidRPr="000939E3" w14:paraId="2A934B88" w14:textId="77777777" w:rsidTr="002B1D3D">
        <w:trPr>
          <w:trHeight w:val="269"/>
        </w:trPr>
        <w:tc>
          <w:tcPr>
            <w:tcW w:w="1953" w:type="pct"/>
            <w:gridSpan w:val="2"/>
            <w:tcBorders>
              <w:top w:val="nil"/>
              <w:left w:val="nil"/>
              <w:bottom w:val="nil"/>
              <w:right w:val="nil"/>
            </w:tcBorders>
            <w:shd w:val="clear" w:color="auto" w:fill="auto"/>
            <w:noWrap/>
            <w:vAlign w:val="bottom"/>
            <w:hideMark/>
          </w:tcPr>
          <w:p w14:paraId="1CECEA45" w14:textId="77777777" w:rsidR="00642B24" w:rsidRPr="000939E3" w:rsidRDefault="00642B24" w:rsidP="00024EC3">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IT</w:t>
            </w:r>
          </w:p>
        </w:tc>
        <w:tc>
          <w:tcPr>
            <w:tcW w:w="626" w:type="pct"/>
            <w:tcBorders>
              <w:top w:val="nil"/>
              <w:left w:val="nil"/>
              <w:bottom w:val="nil"/>
              <w:right w:val="nil"/>
            </w:tcBorders>
            <w:shd w:val="clear" w:color="auto" w:fill="auto"/>
            <w:noWrap/>
            <w:vAlign w:val="bottom"/>
          </w:tcPr>
          <w:p w14:paraId="47E40BDE"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2 832</w:t>
            </w:r>
          </w:p>
        </w:tc>
        <w:tc>
          <w:tcPr>
            <w:tcW w:w="468" w:type="pct"/>
            <w:gridSpan w:val="2"/>
            <w:tcBorders>
              <w:top w:val="nil"/>
              <w:left w:val="nil"/>
              <w:bottom w:val="nil"/>
              <w:right w:val="nil"/>
            </w:tcBorders>
            <w:shd w:val="clear" w:color="auto" w:fill="auto"/>
            <w:noWrap/>
            <w:vAlign w:val="bottom"/>
          </w:tcPr>
          <w:p w14:paraId="12A82356"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1 711</w:t>
            </w:r>
          </w:p>
        </w:tc>
        <w:tc>
          <w:tcPr>
            <w:tcW w:w="547" w:type="pct"/>
            <w:tcBorders>
              <w:top w:val="nil"/>
              <w:left w:val="nil"/>
              <w:bottom w:val="nil"/>
              <w:right w:val="nil"/>
            </w:tcBorders>
            <w:shd w:val="clear" w:color="auto" w:fill="auto"/>
            <w:noWrap/>
            <w:vAlign w:val="bottom"/>
          </w:tcPr>
          <w:p w14:paraId="57604BFE"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838</w:t>
            </w:r>
          </w:p>
        </w:tc>
        <w:tc>
          <w:tcPr>
            <w:tcW w:w="704" w:type="pct"/>
            <w:tcBorders>
              <w:top w:val="nil"/>
              <w:left w:val="nil"/>
              <w:bottom w:val="nil"/>
              <w:right w:val="nil"/>
            </w:tcBorders>
            <w:shd w:val="clear" w:color="auto" w:fill="auto"/>
            <w:noWrap/>
            <w:vAlign w:val="bottom"/>
          </w:tcPr>
          <w:p w14:paraId="2450407E"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604</w:t>
            </w:r>
          </w:p>
        </w:tc>
        <w:tc>
          <w:tcPr>
            <w:tcW w:w="702" w:type="pct"/>
            <w:tcBorders>
              <w:top w:val="nil"/>
              <w:left w:val="nil"/>
              <w:bottom w:val="nil"/>
              <w:right w:val="nil"/>
            </w:tcBorders>
            <w:shd w:val="clear" w:color="auto" w:fill="auto"/>
            <w:noWrap/>
            <w:vAlign w:val="bottom"/>
            <w:hideMark/>
          </w:tcPr>
          <w:p w14:paraId="35C6E6DC"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8,2</w:t>
            </w:r>
          </w:p>
        </w:tc>
      </w:tr>
      <w:tr w:rsidR="00642B24" w:rsidRPr="000939E3" w14:paraId="4B2CAB88" w14:textId="77777777" w:rsidTr="002B1D3D">
        <w:trPr>
          <w:trHeight w:val="269"/>
        </w:trPr>
        <w:tc>
          <w:tcPr>
            <w:tcW w:w="1953" w:type="pct"/>
            <w:gridSpan w:val="2"/>
            <w:tcBorders>
              <w:top w:val="nil"/>
              <w:left w:val="nil"/>
              <w:bottom w:val="nil"/>
              <w:right w:val="nil"/>
            </w:tcBorders>
            <w:shd w:val="clear" w:color="auto" w:fill="auto"/>
            <w:noWrap/>
            <w:vAlign w:val="bottom"/>
            <w:hideMark/>
          </w:tcPr>
          <w:p w14:paraId="6FC5706D" w14:textId="77777777" w:rsidR="00642B24" w:rsidRPr="000939E3" w:rsidRDefault="00642B24" w:rsidP="00024EC3">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Technické povolania</w:t>
            </w:r>
          </w:p>
        </w:tc>
        <w:tc>
          <w:tcPr>
            <w:tcW w:w="626" w:type="pct"/>
            <w:tcBorders>
              <w:top w:val="nil"/>
              <w:left w:val="nil"/>
              <w:bottom w:val="nil"/>
              <w:right w:val="nil"/>
            </w:tcBorders>
            <w:shd w:val="clear" w:color="auto" w:fill="auto"/>
            <w:noWrap/>
            <w:vAlign w:val="bottom"/>
          </w:tcPr>
          <w:p w14:paraId="04770581"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2 187</w:t>
            </w:r>
          </w:p>
        </w:tc>
        <w:tc>
          <w:tcPr>
            <w:tcW w:w="468" w:type="pct"/>
            <w:gridSpan w:val="2"/>
            <w:tcBorders>
              <w:top w:val="nil"/>
              <w:left w:val="nil"/>
              <w:bottom w:val="nil"/>
              <w:right w:val="nil"/>
            </w:tcBorders>
            <w:shd w:val="clear" w:color="auto" w:fill="auto"/>
            <w:noWrap/>
            <w:vAlign w:val="bottom"/>
          </w:tcPr>
          <w:p w14:paraId="651ADBBC"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1 703</w:t>
            </w:r>
          </w:p>
        </w:tc>
        <w:tc>
          <w:tcPr>
            <w:tcW w:w="547" w:type="pct"/>
            <w:tcBorders>
              <w:top w:val="nil"/>
              <w:left w:val="nil"/>
              <w:bottom w:val="nil"/>
              <w:right w:val="nil"/>
            </w:tcBorders>
            <w:shd w:val="clear" w:color="auto" w:fill="auto"/>
            <w:noWrap/>
            <w:vAlign w:val="bottom"/>
          </w:tcPr>
          <w:p w14:paraId="526CAC23"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265</w:t>
            </w:r>
          </w:p>
        </w:tc>
        <w:tc>
          <w:tcPr>
            <w:tcW w:w="704" w:type="pct"/>
            <w:tcBorders>
              <w:top w:val="nil"/>
              <w:left w:val="nil"/>
              <w:bottom w:val="nil"/>
              <w:right w:val="nil"/>
            </w:tcBorders>
            <w:shd w:val="clear" w:color="auto" w:fill="auto"/>
            <w:noWrap/>
            <w:vAlign w:val="bottom"/>
          </w:tcPr>
          <w:p w14:paraId="2E14A9AF"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1 520</w:t>
            </w:r>
          </w:p>
        </w:tc>
        <w:tc>
          <w:tcPr>
            <w:tcW w:w="702" w:type="pct"/>
            <w:tcBorders>
              <w:top w:val="nil"/>
              <w:left w:val="nil"/>
              <w:bottom w:val="nil"/>
              <w:right w:val="nil"/>
            </w:tcBorders>
            <w:shd w:val="clear" w:color="auto" w:fill="auto"/>
            <w:noWrap/>
            <w:vAlign w:val="bottom"/>
            <w:hideMark/>
          </w:tcPr>
          <w:p w14:paraId="69BE78C9"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6,5</w:t>
            </w:r>
          </w:p>
        </w:tc>
      </w:tr>
      <w:tr w:rsidR="00642B24" w:rsidRPr="000939E3" w14:paraId="51186C14" w14:textId="77777777" w:rsidTr="002B1D3D">
        <w:trPr>
          <w:trHeight w:val="269"/>
        </w:trPr>
        <w:tc>
          <w:tcPr>
            <w:tcW w:w="1953" w:type="pct"/>
            <w:gridSpan w:val="2"/>
            <w:tcBorders>
              <w:top w:val="nil"/>
              <w:left w:val="nil"/>
              <w:bottom w:val="nil"/>
              <w:right w:val="nil"/>
            </w:tcBorders>
            <w:shd w:val="clear" w:color="auto" w:fill="auto"/>
            <w:noWrap/>
            <w:vAlign w:val="bottom"/>
            <w:hideMark/>
          </w:tcPr>
          <w:p w14:paraId="0BBD6B8F" w14:textId="27ACAA24" w:rsidR="00642B24" w:rsidRPr="000939E3" w:rsidRDefault="00AA6D78" w:rsidP="00024EC3">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Iné</w:t>
            </w:r>
          </w:p>
        </w:tc>
        <w:tc>
          <w:tcPr>
            <w:tcW w:w="626" w:type="pct"/>
            <w:tcBorders>
              <w:top w:val="nil"/>
              <w:left w:val="nil"/>
              <w:bottom w:val="nil"/>
              <w:right w:val="nil"/>
            </w:tcBorders>
            <w:shd w:val="clear" w:color="auto" w:fill="auto"/>
            <w:noWrap/>
            <w:vAlign w:val="bottom"/>
          </w:tcPr>
          <w:p w14:paraId="7CD3F6AE"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2 321</w:t>
            </w:r>
          </w:p>
        </w:tc>
        <w:tc>
          <w:tcPr>
            <w:tcW w:w="468" w:type="pct"/>
            <w:gridSpan w:val="2"/>
            <w:tcBorders>
              <w:top w:val="nil"/>
              <w:left w:val="nil"/>
              <w:bottom w:val="nil"/>
              <w:right w:val="nil"/>
            </w:tcBorders>
            <w:shd w:val="clear" w:color="auto" w:fill="auto"/>
            <w:noWrap/>
            <w:vAlign w:val="bottom"/>
          </w:tcPr>
          <w:p w14:paraId="6AAB7814"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1 958</w:t>
            </w:r>
          </w:p>
        </w:tc>
        <w:tc>
          <w:tcPr>
            <w:tcW w:w="547" w:type="pct"/>
            <w:tcBorders>
              <w:top w:val="nil"/>
              <w:left w:val="nil"/>
              <w:bottom w:val="nil"/>
              <w:right w:val="nil"/>
            </w:tcBorders>
            <w:shd w:val="clear" w:color="auto" w:fill="auto"/>
            <w:noWrap/>
            <w:vAlign w:val="bottom"/>
          </w:tcPr>
          <w:p w14:paraId="4F2A95AB"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131</w:t>
            </w:r>
          </w:p>
        </w:tc>
        <w:tc>
          <w:tcPr>
            <w:tcW w:w="704" w:type="pct"/>
            <w:tcBorders>
              <w:top w:val="nil"/>
              <w:left w:val="nil"/>
              <w:bottom w:val="nil"/>
              <w:right w:val="nil"/>
            </w:tcBorders>
            <w:shd w:val="clear" w:color="auto" w:fill="auto"/>
            <w:noWrap/>
            <w:vAlign w:val="bottom"/>
          </w:tcPr>
          <w:p w14:paraId="2FBCAB5F"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3 340</w:t>
            </w:r>
          </w:p>
        </w:tc>
        <w:tc>
          <w:tcPr>
            <w:tcW w:w="702" w:type="pct"/>
            <w:tcBorders>
              <w:top w:val="nil"/>
              <w:left w:val="nil"/>
              <w:bottom w:val="nil"/>
              <w:right w:val="nil"/>
            </w:tcBorders>
            <w:shd w:val="clear" w:color="auto" w:fill="auto"/>
            <w:noWrap/>
            <w:vAlign w:val="bottom"/>
            <w:hideMark/>
          </w:tcPr>
          <w:p w14:paraId="740724B7" w14:textId="77777777" w:rsidR="00642B24" w:rsidRPr="000939E3" w:rsidRDefault="00642B24" w:rsidP="00024EC3">
            <w:pPr>
              <w:spacing w:after="0" w:line="240" w:lineRule="auto"/>
              <w:jc w:val="right"/>
              <w:rPr>
                <w:rFonts w:eastAsia="Times New Roman" w:cs="Times New Roman"/>
                <w:sz w:val="20"/>
                <w:szCs w:val="20"/>
                <w:lang w:eastAsia="sk-SK"/>
              </w:rPr>
            </w:pPr>
            <w:r w:rsidRPr="000939E3">
              <w:rPr>
                <w:sz w:val="20"/>
                <w:szCs w:val="20"/>
              </w:rPr>
              <w:t>7,1</w:t>
            </w:r>
          </w:p>
        </w:tc>
      </w:tr>
      <w:tr w:rsidR="00AA6D78" w:rsidRPr="000939E3" w14:paraId="4D51FAE8" w14:textId="77777777" w:rsidTr="002B1D3D">
        <w:trPr>
          <w:trHeight w:val="269"/>
        </w:trPr>
        <w:tc>
          <w:tcPr>
            <w:tcW w:w="313" w:type="pct"/>
            <w:vMerge w:val="restart"/>
            <w:tcBorders>
              <w:top w:val="nil"/>
              <w:left w:val="nil"/>
              <w:right w:val="nil"/>
            </w:tcBorders>
            <w:shd w:val="clear" w:color="auto" w:fill="auto"/>
            <w:noWrap/>
            <w:textDirection w:val="btLr"/>
            <w:vAlign w:val="center"/>
            <w:hideMark/>
          </w:tcPr>
          <w:p w14:paraId="595D297C" w14:textId="72210553" w:rsidR="00AA6D78" w:rsidRPr="000939E3" w:rsidRDefault="00AA6D78" w:rsidP="00AA6D78">
            <w:pPr>
              <w:spacing w:after="0" w:line="240" w:lineRule="auto"/>
              <w:ind w:left="113" w:right="113"/>
              <w:jc w:val="center"/>
              <w:rPr>
                <w:rFonts w:eastAsia="Times New Roman" w:cs="Times New Roman"/>
                <w:sz w:val="20"/>
                <w:szCs w:val="20"/>
                <w:lang w:eastAsia="sk-SK"/>
              </w:rPr>
            </w:pPr>
            <w:r w:rsidRPr="000939E3">
              <w:rPr>
                <w:rFonts w:eastAsia="Times New Roman" w:cs="Times New Roman"/>
                <w:sz w:val="20"/>
                <w:szCs w:val="20"/>
                <w:lang w:eastAsia="sk-SK"/>
              </w:rPr>
              <w:t>z toho</w:t>
            </w:r>
          </w:p>
        </w:tc>
        <w:tc>
          <w:tcPr>
            <w:tcW w:w="1640" w:type="pct"/>
            <w:tcBorders>
              <w:top w:val="nil"/>
              <w:left w:val="nil"/>
              <w:bottom w:val="nil"/>
              <w:right w:val="nil"/>
            </w:tcBorders>
            <w:shd w:val="clear" w:color="auto" w:fill="auto"/>
            <w:vAlign w:val="bottom"/>
          </w:tcPr>
          <w:p w14:paraId="30F70ED0" w14:textId="5F3CC7F6" w:rsidR="00AA6D78" w:rsidRPr="000939E3" w:rsidRDefault="00C26AB4" w:rsidP="00AA6D78">
            <w:pPr>
              <w:spacing w:after="0" w:line="240" w:lineRule="auto"/>
              <w:jc w:val="left"/>
              <w:rPr>
                <w:rFonts w:eastAsia="Times New Roman" w:cs="Times New Roman"/>
                <w:i/>
                <w:sz w:val="20"/>
                <w:szCs w:val="20"/>
                <w:lang w:eastAsia="sk-SK"/>
              </w:rPr>
            </w:pPr>
            <w:r w:rsidRPr="000939E3">
              <w:rPr>
                <w:rFonts w:eastAsia="Times New Roman" w:cs="Times New Roman"/>
                <w:i/>
                <w:sz w:val="20"/>
                <w:szCs w:val="20"/>
                <w:lang w:eastAsia="sk-SK"/>
              </w:rPr>
              <w:t>Projektoví špecialisti/manažéri, špecialisti vnútornej kontroly a podobní</w:t>
            </w:r>
          </w:p>
        </w:tc>
        <w:tc>
          <w:tcPr>
            <w:tcW w:w="626" w:type="pct"/>
            <w:tcBorders>
              <w:top w:val="nil"/>
              <w:left w:val="nil"/>
              <w:bottom w:val="nil"/>
              <w:right w:val="nil"/>
            </w:tcBorders>
            <w:shd w:val="clear" w:color="auto" w:fill="auto"/>
            <w:noWrap/>
            <w:vAlign w:val="center"/>
          </w:tcPr>
          <w:p w14:paraId="11000959" w14:textId="77777777" w:rsidR="00AA6D78" w:rsidRPr="000939E3" w:rsidRDefault="00AA6D78" w:rsidP="00E64313">
            <w:pPr>
              <w:spacing w:after="0" w:line="240" w:lineRule="auto"/>
              <w:jc w:val="right"/>
              <w:rPr>
                <w:rFonts w:eastAsia="Times New Roman" w:cs="Times New Roman"/>
                <w:i/>
                <w:sz w:val="20"/>
                <w:szCs w:val="20"/>
                <w:lang w:eastAsia="sk-SK"/>
              </w:rPr>
            </w:pPr>
            <w:r w:rsidRPr="000939E3">
              <w:rPr>
                <w:i/>
                <w:sz w:val="20"/>
                <w:szCs w:val="20"/>
              </w:rPr>
              <w:t>2 400</w:t>
            </w:r>
          </w:p>
        </w:tc>
        <w:tc>
          <w:tcPr>
            <w:tcW w:w="468" w:type="pct"/>
            <w:gridSpan w:val="2"/>
            <w:tcBorders>
              <w:top w:val="nil"/>
              <w:left w:val="nil"/>
              <w:bottom w:val="nil"/>
              <w:right w:val="nil"/>
            </w:tcBorders>
            <w:shd w:val="clear" w:color="auto" w:fill="auto"/>
            <w:noWrap/>
            <w:vAlign w:val="center"/>
          </w:tcPr>
          <w:p w14:paraId="49734F42" w14:textId="77777777" w:rsidR="00AA6D78" w:rsidRPr="000939E3" w:rsidRDefault="00AA6D78" w:rsidP="00E64313">
            <w:pPr>
              <w:spacing w:after="0" w:line="240" w:lineRule="auto"/>
              <w:jc w:val="right"/>
              <w:rPr>
                <w:rFonts w:eastAsia="Times New Roman" w:cs="Times New Roman"/>
                <w:i/>
                <w:sz w:val="20"/>
                <w:szCs w:val="20"/>
                <w:lang w:eastAsia="sk-SK"/>
              </w:rPr>
            </w:pPr>
            <w:r w:rsidRPr="000939E3">
              <w:rPr>
                <w:i/>
                <w:sz w:val="20"/>
                <w:szCs w:val="20"/>
              </w:rPr>
              <w:t>1 911</w:t>
            </w:r>
          </w:p>
        </w:tc>
        <w:tc>
          <w:tcPr>
            <w:tcW w:w="547" w:type="pct"/>
            <w:tcBorders>
              <w:top w:val="nil"/>
              <w:left w:val="nil"/>
              <w:bottom w:val="nil"/>
              <w:right w:val="nil"/>
            </w:tcBorders>
            <w:shd w:val="clear" w:color="auto" w:fill="auto"/>
            <w:noWrap/>
            <w:vAlign w:val="center"/>
          </w:tcPr>
          <w:p w14:paraId="67B46C18" w14:textId="77777777" w:rsidR="00AA6D78" w:rsidRPr="000939E3" w:rsidRDefault="00AA6D78" w:rsidP="00E64313">
            <w:pPr>
              <w:spacing w:after="0" w:line="240" w:lineRule="auto"/>
              <w:jc w:val="right"/>
              <w:rPr>
                <w:rFonts w:eastAsia="Times New Roman" w:cs="Times New Roman"/>
                <w:i/>
                <w:sz w:val="20"/>
                <w:szCs w:val="20"/>
                <w:lang w:eastAsia="sk-SK"/>
              </w:rPr>
            </w:pPr>
            <w:r w:rsidRPr="000939E3">
              <w:rPr>
                <w:i/>
                <w:sz w:val="20"/>
                <w:szCs w:val="20"/>
              </w:rPr>
              <w:t>249</w:t>
            </w:r>
          </w:p>
        </w:tc>
        <w:tc>
          <w:tcPr>
            <w:tcW w:w="704" w:type="pct"/>
            <w:tcBorders>
              <w:top w:val="nil"/>
              <w:left w:val="nil"/>
              <w:bottom w:val="nil"/>
              <w:right w:val="nil"/>
            </w:tcBorders>
            <w:shd w:val="clear" w:color="auto" w:fill="auto"/>
            <w:noWrap/>
            <w:vAlign w:val="center"/>
          </w:tcPr>
          <w:p w14:paraId="0FA3BBC0" w14:textId="77777777" w:rsidR="00AA6D78" w:rsidRPr="000939E3" w:rsidRDefault="00AA6D78" w:rsidP="00E64313">
            <w:pPr>
              <w:spacing w:after="0" w:line="240" w:lineRule="auto"/>
              <w:jc w:val="right"/>
              <w:rPr>
                <w:rFonts w:eastAsia="Times New Roman" w:cs="Times New Roman"/>
                <w:i/>
                <w:sz w:val="20"/>
                <w:szCs w:val="20"/>
                <w:lang w:eastAsia="sk-SK"/>
              </w:rPr>
            </w:pPr>
            <w:r w:rsidRPr="000939E3">
              <w:rPr>
                <w:rFonts w:eastAsia="Times New Roman" w:cs="Times New Roman"/>
                <w:i/>
                <w:sz w:val="20"/>
                <w:szCs w:val="20"/>
                <w:lang w:eastAsia="sk-SK"/>
              </w:rPr>
              <w:t>1 328</w:t>
            </w:r>
          </w:p>
        </w:tc>
        <w:tc>
          <w:tcPr>
            <w:tcW w:w="702" w:type="pct"/>
            <w:tcBorders>
              <w:top w:val="nil"/>
              <w:left w:val="nil"/>
              <w:bottom w:val="nil"/>
              <w:right w:val="nil"/>
            </w:tcBorders>
            <w:shd w:val="clear" w:color="auto" w:fill="auto"/>
            <w:noWrap/>
            <w:vAlign w:val="center"/>
            <w:hideMark/>
          </w:tcPr>
          <w:p w14:paraId="17665EDD" w14:textId="77777777" w:rsidR="00AA6D78" w:rsidRPr="000939E3" w:rsidRDefault="00AA6D78" w:rsidP="00E64313">
            <w:pPr>
              <w:spacing w:after="0" w:line="240" w:lineRule="auto"/>
              <w:jc w:val="right"/>
              <w:rPr>
                <w:rFonts w:eastAsia="Times New Roman" w:cs="Times New Roman"/>
                <w:i/>
                <w:sz w:val="20"/>
                <w:szCs w:val="20"/>
                <w:lang w:eastAsia="sk-SK"/>
              </w:rPr>
            </w:pPr>
            <w:r w:rsidRPr="000939E3">
              <w:rPr>
                <w:i/>
                <w:sz w:val="20"/>
                <w:szCs w:val="20"/>
              </w:rPr>
              <w:t>5,4</w:t>
            </w:r>
          </w:p>
        </w:tc>
      </w:tr>
      <w:tr w:rsidR="00AA6D78" w:rsidRPr="000939E3" w14:paraId="6A310C3F" w14:textId="77777777" w:rsidTr="002B1D3D">
        <w:trPr>
          <w:trHeight w:val="269"/>
        </w:trPr>
        <w:tc>
          <w:tcPr>
            <w:tcW w:w="313" w:type="pct"/>
            <w:vMerge/>
            <w:tcBorders>
              <w:left w:val="nil"/>
              <w:bottom w:val="single" w:sz="4" w:space="0" w:color="auto"/>
              <w:right w:val="nil"/>
            </w:tcBorders>
            <w:shd w:val="clear" w:color="auto" w:fill="auto"/>
            <w:noWrap/>
            <w:vAlign w:val="bottom"/>
            <w:hideMark/>
          </w:tcPr>
          <w:p w14:paraId="043A14CB" w14:textId="358C3AF8" w:rsidR="00AA6D78" w:rsidRPr="000939E3" w:rsidRDefault="00AA6D78" w:rsidP="00024EC3">
            <w:pPr>
              <w:spacing w:after="0" w:line="240" w:lineRule="auto"/>
              <w:ind w:firstLineChars="200" w:firstLine="400"/>
              <w:jc w:val="left"/>
              <w:rPr>
                <w:rFonts w:eastAsia="Times New Roman" w:cs="Times New Roman"/>
                <w:i/>
                <w:sz w:val="20"/>
                <w:szCs w:val="20"/>
                <w:lang w:eastAsia="sk-SK"/>
              </w:rPr>
            </w:pPr>
          </w:p>
        </w:tc>
        <w:tc>
          <w:tcPr>
            <w:tcW w:w="1640" w:type="pct"/>
            <w:tcBorders>
              <w:top w:val="nil"/>
              <w:left w:val="nil"/>
              <w:bottom w:val="single" w:sz="4" w:space="0" w:color="auto"/>
              <w:right w:val="nil"/>
            </w:tcBorders>
            <w:shd w:val="clear" w:color="auto" w:fill="auto"/>
            <w:vAlign w:val="bottom"/>
          </w:tcPr>
          <w:p w14:paraId="5D138014" w14:textId="5FBF1D6D" w:rsidR="00AA6D78" w:rsidRPr="000939E3" w:rsidRDefault="00AA6D78" w:rsidP="00AA6D78">
            <w:pPr>
              <w:spacing w:after="0" w:line="240" w:lineRule="auto"/>
              <w:jc w:val="left"/>
              <w:rPr>
                <w:rFonts w:eastAsia="Times New Roman" w:cs="Times New Roman"/>
                <w:i/>
                <w:sz w:val="20"/>
                <w:szCs w:val="20"/>
                <w:lang w:eastAsia="sk-SK"/>
              </w:rPr>
            </w:pPr>
            <w:r w:rsidRPr="000939E3">
              <w:rPr>
                <w:rFonts w:eastAsia="Times New Roman" w:cs="Times New Roman"/>
                <w:i/>
                <w:sz w:val="20"/>
                <w:szCs w:val="20"/>
                <w:lang w:eastAsia="sk-SK"/>
              </w:rPr>
              <w:t>Špecialisti v oblasti stratégie a rozvoja</w:t>
            </w:r>
          </w:p>
        </w:tc>
        <w:tc>
          <w:tcPr>
            <w:tcW w:w="626" w:type="pct"/>
            <w:tcBorders>
              <w:top w:val="nil"/>
              <w:left w:val="nil"/>
              <w:bottom w:val="single" w:sz="4" w:space="0" w:color="auto"/>
              <w:right w:val="nil"/>
            </w:tcBorders>
            <w:shd w:val="clear" w:color="auto" w:fill="auto"/>
            <w:noWrap/>
            <w:vAlign w:val="bottom"/>
          </w:tcPr>
          <w:p w14:paraId="50256B63" w14:textId="77777777" w:rsidR="00AA6D78" w:rsidRPr="000939E3" w:rsidRDefault="00AA6D78" w:rsidP="00024EC3">
            <w:pPr>
              <w:spacing w:after="0" w:line="240" w:lineRule="auto"/>
              <w:jc w:val="right"/>
              <w:rPr>
                <w:rFonts w:eastAsia="Times New Roman" w:cs="Times New Roman"/>
                <w:i/>
                <w:sz w:val="20"/>
                <w:szCs w:val="20"/>
                <w:lang w:eastAsia="sk-SK"/>
              </w:rPr>
            </w:pPr>
            <w:r w:rsidRPr="000939E3">
              <w:rPr>
                <w:i/>
                <w:sz w:val="20"/>
                <w:szCs w:val="20"/>
              </w:rPr>
              <w:t>2 378</w:t>
            </w:r>
          </w:p>
        </w:tc>
        <w:tc>
          <w:tcPr>
            <w:tcW w:w="468" w:type="pct"/>
            <w:gridSpan w:val="2"/>
            <w:tcBorders>
              <w:top w:val="nil"/>
              <w:left w:val="nil"/>
              <w:bottom w:val="single" w:sz="4" w:space="0" w:color="auto"/>
              <w:right w:val="nil"/>
            </w:tcBorders>
            <w:shd w:val="clear" w:color="auto" w:fill="auto"/>
            <w:noWrap/>
            <w:vAlign w:val="bottom"/>
          </w:tcPr>
          <w:p w14:paraId="469592ED" w14:textId="77777777" w:rsidR="00AA6D78" w:rsidRPr="000939E3" w:rsidRDefault="00AA6D78" w:rsidP="00024EC3">
            <w:pPr>
              <w:spacing w:after="0" w:line="240" w:lineRule="auto"/>
              <w:jc w:val="right"/>
              <w:rPr>
                <w:rFonts w:eastAsia="Times New Roman" w:cs="Times New Roman"/>
                <w:i/>
                <w:sz w:val="20"/>
                <w:szCs w:val="20"/>
                <w:lang w:eastAsia="sk-SK"/>
              </w:rPr>
            </w:pPr>
            <w:r w:rsidRPr="000939E3">
              <w:rPr>
                <w:i/>
                <w:sz w:val="20"/>
                <w:szCs w:val="20"/>
              </w:rPr>
              <w:t>2 102</w:t>
            </w:r>
          </w:p>
        </w:tc>
        <w:tc>
          <w:tcPr>
            <w:tcW w:w="547" w:type="pct"/>
            <w:tcBorders>
              <w:top w:val="nil"/>
              <w:left w:val="nil"/>
              <w:bottom w:val="single" w:sz="4" w:space="0" w:color="auto"/>
              <w:right w:val="nil"/>
            </w:tcBorders>
            <w:shd w:val="clear" w:color="auto" w:fill="auto"/>
            <w:noWrap/>
            <w:vAlign w:val="bottom"/>
          </w:tcPr>
          <w:p w14:paraId="73325F64" w14:textId="77777777" w:rsidR="00AA6D78" w:rsidRPr="000939E3" w:rsidRDefault="00AA6D78" w:rsidP="00024EC3">
            <w:pPr>
              <w:spacing w:after="0" w:line="240" w:lineRule="auto"/>
              <w:jc w:val="right"/>
              <w:rPr>
                <w:rFonts w:eastAsia="Times New Roman" w:cs="Times New Roman"/>
                <w:i/>
                <w:sz w:val="20"/>
                <w:szCs w:val="20"/>
                <w:lang w:eastAsia="sk-SK"/>
              </w:rPr>
            </w:pPr>
            <w:r w:rsidRPr="000939E3">
              <w:rPr>
                <w:i/>
                <w:sz w:val="20"/>
                <w:szCs w:val="20"/>
              </w:rPr>
              <w:t>38</w:t>
            </w:r>
          </w:p>
        </w:tc>
        <w:tc>
          <w:tcPr>
            <w:tcW w:w="704" w:type="pct"/>
            <w:tcBorders>
              <w:top w:val="nil"/>
              <w:left w:val="nil"/>
              <w:bottom w:val="single" w:sz="4" w:space="0" w:color="auto"/>
              <w:right w:val="nil"/>
            </w:tcBorders>
            <w:shd w:val="clear" w:color="auto" w:fill="auto"/>
            <w:noWrap/>
            <w:vAlign w:val="bottom"/>
          </w:tcPr>
          <w:p w14:paraId="6E82829A" w14:textId="77777777" w:rsidR="00AA6D78" w:rsidRPr="000939E3" w:rsidRDefault="00AA6D78" w:rsidP="00024EC3">
            <w:pPr>
              <w:spacing w:after="0" w:line="240" w:lineRule="auto"/>
              <w:jc w:val="right"/>
              <w:rPr>
                <w:rFonts w:eastAsia="Times New Roman" w:cs="Times New Roman"/>
                <w:i/>
                <w:sz w:val="20"/>
                <w:szCs w:val="20"/>
                <w:lang w:eastAsia="sk-SK"/>
              </w:rPr>
            </w:pPr>
            <w:r w:rsidRPr="000939E3">
              <w:rPr>
                <w:rFonts w:eastAsia="Times New Roman" w:cs="Times New Roman"/>
                <w:i/>
                <w:sz w:val="20"/>
                <w:szCs w:val="20"/>
                <w:lang w:eastAsia="sk-SK"/>
              </w:rPr>
              <w:t>1 528</w:t>
            </w:r>
          </w:p>
        </w:tc>
        <w:tc>
          <w:tcPr>
            <w:tcW w:w="702" w:type="pct"/>
            <w:tcBorders>
              <w:top w:val="nil"/>
              <w:left w:val="nil"/>
              <w:bottom w:val="single" w:sz="4" w:space="0" w:color="auto"/>
              <w:right w:val="nil"/>
            </w:tcBorders>
            <w:shd w:val="clear" w:color="auto" w:fill="auto"/>
            <w:noWrap/>
            <w:vAlign w:val="bottom"/>
            <w:hideMark/>
          </w:tcPr>
          <w:p w14:paraId="1FD930C7" w14:textId="77777777" w:rsidR="00AA6D78" w:rsidRPr="000939E3" w:rsidRDefault="00AA6D78" w:rsidP="00024EC3">
            <w:pPr>
              <w:spacing w:after="0" w:line="240" w:lineRule="auto"/>
              <w:jc w:val="right"/>
              <w:rPr>
                <w:rFonts w:eastAsia="Times New Roman" w:cs="Times New Roman"/>
                <w:i/>
                <w:sz w:val="20"/>
                <w:szCs w:val="20"/>
                <w:lang w:eastAsia="sk-SK"/>
              </w:rPr>
            </w:pPr>
            <w:r w:rsidRPr="000939E3">
              <w:rPr>
                <w:i/>
                <w:sz w:val="20"/>
                <w:szCs w:val="20"/>
              </w:rPr>
              <w:t>0,9</w:t>
            </w:r>
          </w:p>
        </w:tc>
      </w:tr>
      <w:tr w:rsidR="00642B24" w:rsidRPr="000939E3" w14:paraId="184B9E05" w14:textId="77777777" w:rsidTr="002B1D3D">
        <w:trPr>
          <w:trHeight w:val="269"/>
        </w:trPr>
        <w:tc>
          <w:tcPr>
            <w:tcW w:w="1953" w:type="pct"/>
            <w:gridSpan w:val="2"/>
            <w:tcBorders>
              <w:top w:val="nil"/>
              <w:left w:val="nil"/>
              <w:bottom w:val="single" w:sz="4" w:space="0" w:color="auto"/>
              <w:right w:val="nil"/>
            </w:tcBorders>
            <w:shd w:val="clear" w:color="auto" w:fill="auto"/>
            <w:noWrap/>
            <w:vAlign w:val="bottom"/>
            <w:hideMark/>
          </w:tcPr>
          <w:p w14:paraId="76AFB170" w14:textId="77777777" w:rsidR="00642B24" w:rsidRPr="000939E3" w:rsidRDefault="00642B24" w:rsidP="00024EC3">
            <w:pPr>
              <w:spacing w:after="0" w:line="240" w:lineRule="auto"/>
              <w:jc w:val="left"/>
              <w:rPr>
                <w:rFonts w:eastAsia="Times New Roman" w:cs="Times New Roman"/>
                <w:b/>
                <w:sz w:val="20"/>
                <w:szCs w:val="20"/>
                <w:lang w:eastAsia="sk-SK"/>
              </w:rPr>
            </w:pPr>
            <w:r w:rsidRPr="000939E3">
              <w:rPr>
                <w:rFonts w:eastAsia="Times New Roman" w:cs="Times New Roman"/>
                <w:b/>
                <w:sz w:val="20"/>
                <w:szCs w:val="20"/>
                <w:lang w:eastAsia="sk-SK"/>
              </w:rPr>
              <w:t>Spolu</w:t>
            </w:r>
          </w:p>
        </w:tc>
        <w:tc>
          <w:tcPr>
            <w:tcW w:w="626" w:type="pct"/>
            <w:tcBorders>
              <w:top w:val="nil"/>
              <w:left w:val="nil"/>
              <w:bottom w:val="single" w:sz="4" w:space="0" w:color="auto"/>
              <w:right w:val="nil"/>
            </w:tcBorders>
            <w:shd w:val="clear" w:color="auto" w:fill="auto"/>
            <w:noWrap/>
            <w:vAlign w:val="bottom"/>
            <w:hideMark/>
          </w:tcPr>
          <w:p w14:paraId="4D370CC0" w14:textId="1EC7C929" w:rsidR="00642B24" w:rsidRPr="000939E3" w:rsidRDefault="00642B24" w:rsidP="00024EC3">
            <w:pPr>
              <w:spacing w:after="0" w:line="240" w:lineRule="auto"/>
              <w:jc w:val="center"/>
              <w:rPr>
                <w:rFonts w:eastAsia="Times New Roman" w:cs="Times New Roman"/>
                <w:b/>
                <w:sz w:val="20"/>
                <w:szCs w:val="20"/>
                <w:lang w:eastAsia="sk-SK"/>
              </w:rPr>
            </w:pPr>
          </w:p>
        </w:tc>
        <w:tc>
          <w:tcPr>
            <w:tcW w:w="468" w:type="pct"/>
            <w:gridSpan w:val="2"/>
            <w:tcBorders>
              <w:top w:val="nil"/>
              <w:left w:val="nil"/>
              <w:bottom w:val="single" w:sz="4" w:space="0" w:color="auto"/>
              <w:right w:val="nil"/>
            </w:tcBorders>
            <w:shd w:val="clear" w:color="auto" w:fill="auto"/>
            <w:noWrap/>
            <w:vAlign w:val="bottom"/>
          </w:tcPr>
          <w:p w14:paraId="53F0ED5A" w14:textId="77777777" w:rsidR="00642B24" w:rsidRPr="000939E3" w:rsidRDefault="00642B24" w:rsidP="00024EC3">
            <w:pPr>
              <w:spacing w:after="0" w:line="240" w:lineRule="auto"/>
              <w:jc w:val="right"/>
              <w:rPr>
                <w:rFonts w:eastAsia="Times New Roman" w:cs="Times New Roman"/>
                <w:b/>
                <w:sz w:val="20"/>
                <w:szCs w:val="20"/>
                <w:lang w:eastAsia="sk-SK"/>
              </w:rPr>
            </w:pPr>
          </w:p>
        </w:tc>
        <w:tc>
          <w:tcPr>
            <w:tcW w:w="547" w:type="pct"/>
            <w:tcBorders>
              <w:top w:val="nil"/>
              <w:left w:val="nil"/>
              <w:bottom w:val="single" w:sz="4" w:space="0" w:color="auto"/>
              <w:right w:val="nil"/>
            </w:tcBorders>
            <w:shd w:val="clear" w:color="auto" w:fill="auto"/>
            <w:noWrap/>
            <w:vAlign w:val="bottom"/>
          </w:tcPr>
          <w:p w14:paraId="5CCE7A19" w14:textId="77777777" w:rsidR="00642B24" w:rsidRPr="000939E3" w:rsidRDefault="00642B24" w:rsidP="00024EC3">
            <w:pPr>
              <w:spacing w:after="0" w:line="240" w:lineRule="auto"/>
              <w:jc w:val="left"/>
              <w:rPr>
                <w:rFonts w:eastAsia="Times New Roman" w:cs="Times New Roman"/>
                <w:b/>
                <w:sz w:val="20"/>
                <w:szCs w:val="20"/>
                <w:lang w:eastAsia="sk-SK"/>
              </w:rPr>
            </w:pPr>
          </w:p>
        </w:tc>
        <w:tc>
          <w:tcPr>
            <w:tcW w:w="704" w:type="pct"/>
            <w:tcBorders>
              <w:top w:val="nil"/>
              <w:left w:val="nil"/>
              <w:bottom w:val="single" w:sz="4" w:space="0" w:color="auto"/>
              <w:right w:val="nil"/>
            </w:tcBorders>
            <w:shd w:val="clear" w:color="auto" w:fill="auto"/>
            <w:noWrap/>
            <w:vAlign w:val="bottom"/>
            <w:hideMark/>
          </w:tcPr>
          <w:p w14:paraId="782EFA34" w14:textId="150819A8" w:rsidR="00642B24" w:rsidRPr="000939E3" w:rsidRDefault="00E21636" w:rsidP="005E753E">
            <w:pPr>
              <w:spacing w:after="0" w:line="240" w:lineRule="auto"/>
              <w:jc w:val="right"/>
              <w:rPr>
                <w:rFonts w:eastAsia="Times New Roman" w:cs="Times New Roman"/>
                <w:b/>
                <w:sz w:val="20"/>
                <w:szCs w:val="20"/>
                <w:lang w:eastAsia="sk-SK"/>
              </w:rPr>
            </w:pPr>
            <w:r w:rsidRPr="000939E3">
              <w:rPr>
                <w:rFonts w:eastAsia="Times New Roman" w:cs="Times New Roman"/>
                <w:b/>
                <w:sz w:val="20"/>
                <w:szCs w:val="20"/>
                <w:lang w:eastAsia="sk-SK"/>
              </w:rPr>
              <w:t>7 531</w:t>
            </w:r>
          </w:p>
        </w:tc>
        <w:tc>
          <w:tcPr>
            <w:tcW w:w="702" w:type="pct"/>
            <w:tcBorders>
              <w:top w:val="nil"/>
              <w:left w:val="nil"/>
              <w:bottom w:val="single" w:sz="4" w:space="0" w:color="auto"/>
              <w:right w:val="nil"/>
            </w:tcBorders>
            <w:shd w:val="clear" w:color="auto" w:fill="auto"/>
            <w:noWrap/>
            <w:vAlign w:val="bottom"/>
            <w:hideMark/>
          </w:tcPr>
          <w:p w14:paraId="3D419706" w14:textId="77777777" w:rsidR="00642B24" w:rsidRPr="000939E3" w:rsidRDefault="00642B24" w:rsidP="00024EC3">
            <w:pPr>
              <w:spacing w:after="0" w:line="240" w:lineRule="auto"/>
              <w:jc w:val="right"/>
              <w:rPr>
                <w:rFonts w:eastAsia="Times New Roman" w:cs="Times New Roman"/>
                <w:b/>
                <w:sz w:val="20"/>
                <w:szCs w:val="20"/>
                <w:lang w:eastAsia="sk-SK"/>
              </w:rPr>
            </w:pPr>
            <w:r w:rsidRPr="000939E3">
              <w:rPr>
                <w:rFonts w:eastAsia="Times New Roman" w:cs="Times New Roman"/>
                <w:b/>
                <w:sz w:val="20"/>
                <w:szCs w:val="20"/>
                <w:lang w:eastAsia="sk-SK"/>
              </w:rPr>
              <w:t>39,9</w:t>
            </w:r>
          </w:p>
        </w:tc>
      </w:tr>
      <w:tr w:rsidR="00642B24" w:rsidRPr="000939E3" w14:paraId="45AE878A" w14:textId="77777777" w:rsidTr="00024EC3">
        <w:trPr>
          <w:trHeight w:val="269"/>
        </w:trPr>
        <w:tc>
          <w:tcPr>
            <w:tcW w:w="2970" w:type="pct"/>
            <w:gridSpan w:val="4"/>
            <w:tcBorders>
              <w:top w:val="single" w:sz="4" w:space="0" w:color="auto"/>
              <w:left w:val="nil"/>
              <w:bottom w:val="nil"/>
              <w:right w:val="nil"/>
            </w:tcBorders>
            <w:shd w:val="clear" w:color="auto" w:fill="auto"/>
            <w:noWrap/>
          </w:tcPr>
          <w:p w14:paraId="27F9DB51" w14:textId="77777777" w:rsidR="00642B24" w:rsidRPr="008E043C" w:rsidRDefault="00642B24" w:rsidP="00024EC3">
            <w:pPr>
              <w:spacing w:after="0" w:line="240" w:lineRule="auto"/>
              <w:jc w:val="left"/>
              <w:rPr>
                <w:rFonts w:eastAsia="Times New Roman" w:cs="Times New Roman"/>
                <w:i/>
                <w:sz w:val="18"/>
                <w:szCs w:val="20"/>
                <w:lang w:eastAsia="sk-SK"/>
              </w:rPr>
            </w:pPr>
            <w:r w:rsidRPr="008E043C">
              <w:rPr>
                <w:rFonts w:eastAsia="Times New Roman" w:cs="Times New Roman"/>
                <w:i/>
                <w:sz w:val="18"/>
                <w:szCs w:val="20"/>
                <w:lang w:eastAsia="sk-SK"/>
              </w:rPr>
              <w:t>* odhad na základe mzdových dát roka 2017 a odhadovaného rastu miezd</w:t>
            </w:r>
          </w:p>
          <w:p w14:paraId="375F806D" w14:textId="77777777" w:rsidR="00642B24" w:rsidRPr="008E043C" w:rsidRDefault="00642B24" w:rsidP="00024EC3">
            <w:pPr>
              <w:spacing w:after="0" w:line="240" w:lineRule="auto"/>
              <w:jc w:val="left"/>
              <w:rPr>
                <w:rFonts w:eastAsia="Times New Roman" w:cs="Times New Roman"/>
                <w:i/>
                <w:sz w:val="18"/>
                <w:szCs w:val="20"/>
                <w:lang w:eastAsia="sk-SK"/>
              </w:rPr>
            </w:pPr>
            <w:r w:rsidRPr="008E043C">
              <w:rPr>
                <w:rFonts w:eastAsia="Times New Roman" w:cs="Times New Roman"/>
                <w:i/>
                <w:sz w:val="18"/>
                <w:szCs w:val="20"/>
                <w:lang w:eastAsia="sk-SK"/>
              </w:rPr>
              <w:t>** dorovnanie mesačných miezd na úroveň 90 % mzdy v súkromnom sektore</w:t>
            </w:r>
          </w:p>
        </w:tc>
        <w:tc>
          <w:tcPr>
            <w:tcW w:w="2030" w:type="pct"/>
            <w:gridSpan w:val="4"/>
            <w:tcBorders>
              <w:top w:val="single" w:sz="4" w:space="0" w:color="auto"/>
              <w:left w:val="nil"/>
              <w:bottom w:val="nil"/>
              <w:right w:val="nil"/>
            </w:tcBorders>
            <w:shd w:val="clear" w:color="auto" w:fill="auto"/>
          </w:tcPr>
          <w:p w14:paraId="65CEB2CE" w14:textId="77777777" w:rsidR="00642B24" w:rsidRPr="008E043C" w:rsidRDefault="00642B24" w:rsidP="00024EC3">
            <w:pPr>
              <w:spacing w:after="0" w:line="240" w:lineRule="auto"/>
              <w:jc w:val="right"/>
              <w:rPr>
                <w:rFonts w:eastAsia="Times New Roman" w:cs="Times New Roman"/>
                <w:i/>
                <w:sz w:val="18"/>
                <w:szCs w:val="20"/>
                <w:lang w:eastAsia="sk-SK"/>
              </w:rPr>
            </w:pPr>
            <w:r w:rsidRPr="008E043C">
              <w:rPr>
                <w:rFonts w:eastAsia="Times New Roman" w:cs="Times New Roman"/>
                <w:i/>
                <w:sz w:val="18"/>
                <w:szCs w:val="20"/>
                <w:lang w:eastAsia="sk-SK"/>
              </w:rPr>
              <w:t>Zdroj: prepočty ÚHP z ISCP, Platy 1-02</w:t>
            </w:r>
          </w:p>
        </w:tc>
      </w:tr>
    </w:tbl>
    <w:p w14:paraId="40E0FCF5" w14:textId="73696720" w:rsidR="008F042B" w:rsidRPr="000939E3" w:rsidRDefault="004521CE" w:rsidP="000939E3">
      <w:pPr>
        <w:spacing w:before="120"/>
      </w:pPr>
      <w:r w:rsidRPr="000939E3">
        <w:rPr>
          <w:b/>
        </w:rPr>
        <w:t xml:space="preserve">Revízia navrhuje </w:t>
      </w:r>
      <w:r w:rsidR="00070D78" w:rsidRPr="000939E3">
        <w:rPr>
          <w:b/>
        </w:rPr>
        <w:t xml:space="preserve">postupne </w:t>
      </w:r>
      <w:r w:rsidRPr="000939E3">
        <w:rPr>
          <w:b/>
        </w:rPr>
        <w:t xml:space="preserve">zvýšiť mzdy v profesiách, v ktorých </w:t>
      </w:r>
      <w:r w:rsidR="00E11832" w:rsidRPr="000939E3">
        <w:rPr>
          <w:b/>
        </w:rPr>
        <w:t xml:space="preserve">štát </w:t>
      </w:r>
      <w:r w:rsidRPr="000939E3">
        <w:rPr>
          <w:b/>
        </w:rPr>
        <w:t>výrazne zaostáva za súkromným sektorom</w:t>
      </w:r>
      <w:r w:rsidR="00883A9D" w:rsidRPr="000939E3">
        <w:rPr>
          <w:b/>
        </w:rPr>
        <w:t xml:space="preserve"> za</w:t>
      </w:r>
      <w:r w:rsidR="0008408A" w:rsidRPr="000939E3">
        <w:rPr>
          <w:b/>
        </w:rPr>
        <w:t> </w:t>
      </w:r>
      <w:r w:rsidR="00883A9D" w:rsidRPr="000939E3">
        <w:rPr>
          <w:b/>
        </w:rPr>
        <w:t xml:space="preserve">súčasného posilnenia </w:t>
      </w:r>
      <w:r w:rsidR="002A665C" w:rsidRPr="000939E3">
        <w:rPr>
          <w:b/>
        </w:rPr>
        <w:t xml:space="preserve">systému </w:t>
      </w:r>
      <w:r w:rsidR="00883A9D" w:rsidRPr="000939E3">
        <w:rPr>
          <w:b/>
        </w:rPr>
        <w:t xml:space="preserve">kontroly </w:t>
      </w:r>
      <w:r w:rsidR="002A665C" w:rsidRPr="000939E3">
        <w:rPr>
          <w:b/>
        </w:rPr>
        <w:t>osobných platov</w:t>
      </w:r>
      <w:r w:rsidRPr="000939E3">
        <w:rPr>
          <w:b/>
        </w:rPr>
        <w:t xml:space="preserve">. </w:t>
      </w:r>
      <w:r w:rsidR="00C4057B" w:rsidRPr="000939E3">
        <w:t xml:space="preserve">Súčasťou opatrenia musí byť aj vypracovanie metodiky na využívanie, schvaľovanie aj pravidelné prehodnocovanie osobných platov. </w:t>
      </w:r>
      <w:r w:rsidR="008F042B" w:rsidRPr="000939E3">
        <w:rPr>
          <w:rFonts w:eastAsiaTheme="majorEastAsia" w:cstheme="majorBidi"/>
          <w:szCs w:val="32"/>
        </w:rPr>
        <w:t xml:space="preserve">V niektorých prípadoch by mohlo byť efektívne </w:t>
      </w:r>
      <w:r w:rsidR="00DF7E17" w:rsidRPr="000939E3">
        <w:rPr>
          <w:rFonts w:eastAsiaTheme="majorEastAsia" w:cstheme="majorBidi"/>
          <w:szCs w:val="32"/>
        </w:rPr>
        <w:t xml:space="preserve">vysokokvalifikovaných </w:t>
      </w:r>
      <w:r w:rsidR="008F042B" w:rsidRPr="000939E3">
        <w:rPr>
          <w:rFonts w:eastAsiaTheme="majorEastAsia" w:cstheme="majorBidi"/>
          <w:szCs w:val="32"/>
        </w:rPr>
        <w:t xml:space="preserve">a špecializovaných pracovníkov zdieľať medzi úradmi (kapitola </w:t>
      </w:r>
      <w:r w:rsidR="009A073C" w:rsidRPr="000939E3">
        <w:rPr>
          <w:rFonts w:eastAsiaTheme="majorEastAsia" w:cstheme="majorBidi"/>
          <w:szCs w:val="32"/>
        </w:rPr>
        <w:t>5</w:t>
      </w:r>
      <w:r w:rsidR="008F042B" w:rsidRPr="000939E3">
        <w:rPr>
          <w:rFonts w:eastAsiaTheme="majorEastAsia" w:cstheme="majorBidi"/>
          <w:szCs w:val="32"/>
        </w:rPr>
        <w:t xml:space="preserve">.1). </w:t>
      </w:r>
      <w:r w:rsidR="008F042B" w:rsidRPr="000939E3">
        <w:t>Dorovnanie miezd výrazne zaostávajúcich profesií na úroveň 10 % pod</w:t>
      </w:r>
      <w:r w:rsidR="00DF7E17" w:rsidRPr="000939E3">
        <w:t> </w:t>
      </w:r>
      <w:r w:rsidR="008F042B" w:rsidRPr="000939E3">
        <w:t xml:space="preserve">súkromným sektorom </w:t>
      </w:r>
      <w:r w:rsidR="008F042B" w:rsidRPr="000939E3">
        <w:lastRenderedPageBreak/>
        <w:t>odhaduje revízia výdavkov na 40 mil. eur ročne.</w:t>
      </w:r>
      <w:r w:rsidRPr="000939E3">
        <w:t xml:space="preserve"> Vzhľadom na komplexnosť opatrenia bude nábeh</w:t>
      </w:r>
      <w:r w:rsidR="00E70518">
        <w:t xml:space="preserve"> </w:t>
      </w:r>
      <w:r w:rsidRPr="000939E3">
        <w:t>postupný, v prvom roku by mal</w:t>
      </w:r>
      <w:r w:rsidR="00B14E0D" w:rsidRPr="000939E3">
        <w:t>i výdavky</w:t>
      </w:r>
      <w:r w:rsidRPr="000939E3">
        <w:t xml:space="preserve"> dosiahnuť približne polovicu</w:t>
      </w:r>
      <w:r w:rsidR="00B14E0D" w:rsidRPr="000939E3">
        <w:t xml:space="preserve"> odhadovanej sumy</w:t>
      </w:r>
      <w:r w:rsidRPr="000939E3">
        <w:t xml:space="preserve">. </w:t>
      </w:r>
      <w:bookmarkEnd w:id="17"/>
      <w:bookmarkEnd w:id="18"/>
    </w:p>
    <w:p w14:paraId="4B9B8F7B" w14:textId="5053FB6A" w:rsidR="0097185B" w:rsidRPr="000939E3" w:rsidRDefault="0097185B" w:rsidP="008F042B">
      <w:pPr>
        <w:pStyle w:val="Nadpis2"/>
      </w:pPr>
      <w:bookmarkStart w:id="19" w:name="_Toc34050690"/>
      <w:r w:rsidRPr="000939E3">
        <w:t>Úspora</w:t>
      </w:r>
      <w:bookmarkEnd w:id="19"/>
      <w:r w:rsidRPr="000939E3">
        <w:t xml:space="preserve"> </w:t>
      </w:r>
    </w:p>
    <w:p w14:paraId="7F645CB7" w14:textId="2F05B410" w:rsidR="001C3366" w:rsidRPr="000939E3" w:rsidRDefault="001C3366" w:rsidP="001C3366">
      <w:pPr>
        <w:rPr>
          <w:b/>
        </w:rPr>
      </w:pPr>
      <w:r w:rsidRPr="000939E3">
        <w:rPr>
          <w:b/>
        </w:rPr>
        <w:t xml:space="preserve">Revízia výdavkov identifikovala úsporné opatrenia </w:t>
      </w:r>
      <w:r w:rsidR="00E55A9E" w:rsidRPr="000939E3">
        <w:rPr>
          <w:b/>
        </w:rPr>
        <w:t>za</w:t>
      </w:r>
      <w:r w:rsidRPr="000939E3">
        <w:rPr>
          <w:b/>
        </w:rPr>
        <w:t xml:space="preserve"> </w:t>
      </w:r>
      <w:r w:rsidR="00D2631A" w:rsidRPr="000939E3">
        <w:rPr>
          <w:b/>
        </w:rPr>
        <w:t>765</w:t>
      </w:r>
      <w:r w:rsidR="00926225" w:rsidRPr="000939E3">
        <w:rPr>
          <w:b/>
        </w:rPr>
        <w:t xml:space="preserve"> </w:t>
      </w:r>
      <w:r w:rsidRPr="000939E3">
        <w:rPr>
          <w:b/>
        </w:rPr>
        <w:t>mil.</w:t>
      </w:r>
      <w:r w:rsidR="0070560E" w:rsidRPr="000939E3">
        <w:rPr>
          <w:b/>
        </w:rPr>
        <w:t xml:space="preserve"> eur, </w:t>
      </w:r>
      <w:r w:rsidRPr="000939E3">
        <w:rPr>
          <w:b/>
        </w:rPr>
        <w:t>ktoré vytvoria finančn</w:t>
      </w:r>
      <w:r w:rsidR="00E55A9E" w:rsidRPr="000939E3">
        <w:rPr>
          <w:b/>
        </w:rPr>
        <w:t>ý</w:t>
      </w:r>
      <w:r w:rsidRPr="000939E3">
        <w:rPr>
          <w:b/>
        </w:rPr>
        <w:t xml:space="preserve"> priestor</w:t>
      </w:r>
      <w:r w:rsidR="002B1D3D" w:rsidRPr="000939E3">
        <w:rPr>
          <w:b/>
        </w:rPr>
        <w:t xml:space="preserve"> na </w:t>
      </w:r>
      <w:r w:rsidR="00E55A9E" w:rsidRPr="000939E3">
        <w:rPr>
          <w:b/>
        </w:rPr>
        <w:t>hodnotové opatrenia</w:t>
      </w:r>
      <w:r w:rsidRPr="000939E3">
        <w:rPr>
          <w:b/>
        </w:rPr>
        <w:t xml:space="preserve"> a prispejú </w:t>
      </w:r>
      <w:r w:rsidR="00E55A9E" w:rsidRPr="000939E3">
        <w:rPr>
          <w:b/>
        </w:rPr>
        <w:t xml:space="preserve">tak </w:t>
      </w:r>
      <w:r w:rsidRPr="000939E3">
        <w:rPr>
          <w:b/>
        </w:rPr>
        <w:t>k lepšiemu využitiu súčasných zdrojov. Priestor na lepšie odmeňovanie identifikuje revízia výdavkov v prvom rade hľadaním neefektívnosti v rámci verejnej správy a vynucovaním už deklarovaných úspor</w:t>
      </w:r>
      <w:r w:rsidR="00125619" w:rsidRPr="000939E3">
        <w:rPr>
          <w:b/>
        </w:rPr>
        <w:t>,</w:t>
      </w:r>
      <w:r w:rsidRPr="000939E3">
        <w:rPr>
          <w:b/>
        </w:rPr>
        <w:t xml:space="preserve"> napríklad v prípade IT projektov. Časť z úspor je pritom dosiahnuteľná pomerne rýchlo.</w:t>
      </w:r>
    </w:p>
    <w:p w14:paraId="039B9C64" w14:textId="3B1FF5E1" w:rsidR="002742E2" w:rsidRPr="000939E3" w:rsidRDefault="004556FF" w:rsidP="00777BBA">
      <w:pPr>
        <w:tabs>
          <w:tab w:val="left" w:pos="284"/>
        </w:tabs>
      </w:pPr>
      <w:r w:rsidRPr="000939E3">
        <w:rPr>
          <w:b/>
        </w:rPr>
        <w:t xml:space="preserve">1. </w:t>
      </w:r>
      <w:r w:rsidR="00E55A9E" w:rsidRPr="000939E3">
        <w:rPr>
          <w:b/>
        </w:rPr>
        <w:t xml:space="preserve">Opatrenie: </w:t>
      </w:r>
      <w:r w:rsidR="002742E2" w:rsidRPr="000939E3">
        <w:rPr>
          <w:b/>
        </w:rPr>
        <w:t xml:space="preserve">Ako kľúčové opatrenie revízia </w:t>
      </w:r>
      <w:r w:rsidR="00E55A9E" w:rsidRPr="000939E3">
        <w:rPr>
          <w:b/>
        </w:rPr>
        <w:t xml:space="preserve">navrhuje </w:t>
      </w:r>
      <w:r w:rsidR="002742E2" w:rsidRPr="000939E3">
        <w:rPr>
          <w:b/>
        </w:rPr>
        <w:t>10</w:t>
      </w:r>
      <w:r w:rsidR="00562F65" w:rsidRPr="000939E3">
        <w:rPr>
          <w:b/>
        </w:rPr>
        <w:t xml:space="preserve"> </w:t>
      </w:r>
      <w:r w:rsidR="002742E2" w:rsidRPr="000939E3">
        <w:rPr>
          <w:b/>
        </w:rPr>
        <w:t xml:space="preserve">% zníženie počtov zamestnancov v ústrednej štátnej správe. Nástrojom na dosiahnutie cieľa sú optimalizačné audity vykonávané internými kapacitami štátu. Výsledky existujúcich auditov vo vybraných inštitúciách </w:t>
      </w:r>
      <w:r w:rsidR="00AB0110" w:rsidRPr="000939E3">
        <w:rPr>
          <w:b/>
        </w:rPr>
        <w:t xml:space="preserve">identifikovali </w:t>
      </w:r>
      <w:r w:rsidR="002742E2" w:rsidRPr="000939E3">
        <w:rPr>
          <w:b/>
        </w:rPr>
        <w:t>potenciál znížiť počty zamestnancov o</w:t>
      </w:r>
      <w:r w:rsidR="0008408A" w:rsidRPr="000939E3">
        <w:rPr>
          <w:b/>
        </w:rPr>
        <w:t> </w:t>
      </w:r>
      <w:r w:rsidR="002742E2" w:rsidRPr="000939E3">
        <w:rPr>
          <w:b/>
        </w:rPr>
        <w:t>20</w:t>
      </w:r>
      <w:r w:rsidR="0008408A" w:rsidRPr="000939E3">
        <w:rPr>
          <w:b/>
        </w:rPr>
        <w:t> </w:t>
      </w:r>
      <w:r w:rsidR="002742E2" w:rsidRPr="000939E3">
        <w:rPr>
          <w:b/>
        </w:rPr>
        <w:t xml:space="preserve">% a zarobiť si na produktívnejšie investície v ľudských zdrojoch. Kvantifikácia </w:t>
      </w:r>
      <w:r w:rsidR="00AB0110" w:rsidRPr="000939E3">
        <w:rPr>
          <w:b/>
        </w:rPr>
        <w:t xml:space="preserve">by </w:t>
      </w:r>
      <w:r w:rsidR="002742E2" w:rsidRPr="000939E3">
        <w:rPr>
          <w:b/>
        </w:rPr>
        <w:t xml:space="preserve">sa </w:t>
      </w:r>
      <w:r w:rsidR="00AB0110" w:rsidRPr="000939E3">
        <w:rPr>
          <w:b/>
        </w:rPr>
        <w:t xml:space="preserve">mala spresniť </w:t>
      </w:r>
      <w:r w:rsidR="002742E2" w:rsidRPr="000939E3">
        <w:rPr>
          <w:b/>
        </w:rPr>
        <w:t>po uskutočnení auditov</w:t>
      </w:r>
      <w:r w:rsidR="00F93816" w:rsidRPr="000939E3">
        <w:rPr>
          <w:b/>
        </w:rPr>
        <w:t>.</w:t>
      </w:r>
    </w:p>
    <w:p w14:paraId="6D8650A4" w14:textId="1A9FD753" w:rsidR="00C80AC8" w:rsidRPr="000939E3" w:rsidRDefault="00E55A9E" w:rsidP="00A474D0">
      <w:pPr>
        <w:rPr>
          <w:b/>
        </w:rPr>
      </w:pPr>
      <w:r w:rsidRPr="000939E3">
        <w:rPr>
          <w:b/>
        </w:rPr>
        <w:t>Revízia odporúča a</w:t>
      </w:r>
      <w:r w:rsidR="002742E2" w:rsidRPr="000939E3">
        <w:rPr>
          <w:b/>
        </w:rPr>
        <w:t>udit</w:t>
      </w:r>
      <w:r w:rsidRPr="000939E3">
        <w:rPr>
          <w:b/>
        </w:rPr>
        <w:t>y</w:t>
      </w:r>
      <w:r w:rsidR="002742E2" w:rsidRPr="000939E3">
        <w:rPr>
          <w:b/>
        </w:rPr>
        <w:t xml:space="preserve"> </w:t>
      </w:r>
      <w:r w:rsidRPr="000939E3">
        <w:rPr>
          <w:b/>
        </w:rPr>
        <w:t xml:space="preserve">na </w:t>
      </w:r>
      <w:r w:rsidR="002742E2" w:rsidRPr="000939E3">
        <w:rPr>
          <w:b/>
        </w:rPr>
        <w:t>všetk</w:t>
      </w:r>
      <w:r w:rsidRPr="000939E3">
        <w:rPr>
          <w:b/>
        </w:rPr>
        <w:t>ých</w:t>
      </w:r>
      <w:r w:rsidR="002742E2" w:rsidRPr="000939E3">
        <w:rPr>
          <w:b/>
        </w:rPr>
        <w:t xml:space="preserve"> ministerstvá</w:t>
      </w:r>
      <w:r w:rsidRPr="000939E3">
        <w:rPr>
          <w:b/>
        </w:rPr>
        <w:t>ch</w:t>
      </w:r>
      <w:r w:rsidR="002742E2" w:rsidRPr="000939E3">
        <w:rPr>
          <w:b/>
        </w:rPr>
        <w:t xml:space="preserve"> a orgán</w:t>
      </w:r>
      <w:r w:rsidRPr="000939E3">
        <w:rPr>
          <w:b/>
        </w:rPr>
        <w:t>och</w:t>
      </w:r>
      <w:r w:rsidR="002742E2" w:rsidRPr="000939E3">
        <w:rPr>
          <w:b/>
        </w:rPr>
        <w:t xml:space="preserve"> ústrednej štátnej správy (potenciál </w:t>
      </w:r>
      <w:r w:rsidR="006B1E54" w:rsidRPr="000939E3">
        <w:rPr>
          <w:b/>
        </w:rPr>
        <w:t xml:space="preserve">úspory </w:t>
      </w:r>
      <w:r w:rsidR="00CD5D77" w:rsidRPr="000939E3">
        <w:rPr>
          <w:b/>
        </w:rPr>
        <w:br/>
      </w:r>
      <w:r w:rsidR="003109BC" w:rsidRPr="000939E3">
        <w:rPr>
          <w:b/>
        </w:rPr>
        <w:t>1</w:t>
      </w:r>
      <w:r w:rsidR="00AF421B" w:rsidRPr="000939E3">
        <w:rPr>
          <w:b/>
        </w:rPr>
        <w:t>47</w:t>
      </w:r>
      <w:r w:rsidR="003109BC" w:rsidRPr="000939E3">
        <w:rPr>
          <w:b/>
        </w:rPr>
        <w:t xml:space="preserve"> </w:t>
      </w:r>
      <w:r w:rsidR="002742E2" w:rsidRPr="000939E3">
        <w:rPr>
          <w:b/>
        </w:rPr>
        <w:t>mil. eur)</w:t>
      </w:r>
      <w:r w:rsidR="002742E2" w:rsidRPr="000939E3">
        <w:rPr>
          <w:rStyle w:val="Odkaznapoznmkupodiarou"/>
        </w:rPr>
        <w:footnoteReference w:id="7"/>
      </w:r>
      <w:r w:rsidR="002742E2" w:rsidRPr="000939E3">
        <w:rPr>
          <w:b/>
        </w:rPr>
        <w:t xml:space="preserve"> a</w:t>
      </w:r>
      <w:r w:rsidR="006B1E54" w:rsidRPr="000939E3">
        <w:rPr>
          <w:b/>
        </w:rPr>
        <w:t xml:space="preserve"> v </w:t>
      </w:r>
      <w:r w:rsidR="002742E2" w:rsidRPr="000939E3">
        <w:rPr>
          <w:b/>
        </w:rPr>
        <w:t>kľúčov</w:t>
      </w:r>
      <w:r w:rsidRPr="000939E3">
        <w:rPr>
          <w:b/>
        </w:rPr>
        <w:t>ých</w:t>
      </w:r>
      <w:r w:rsidR="002742E2" w:rsidRPr="000939E3">
        <w:rPr>
          <w:b/>
        </w:rPr>
        <w:t xml:space="preserve"> štátn</w:t>
      </w:r>
      <w:r w:rsidRPr="000939E3">
        <w:rPr>
          <w:b/>
        </w:rPr>
        <w:t>ych</w:t>
      </w:r>
      <w:r w:rsidR="002742E2" w:rsidRPr="000939E3">
        <w:rPr>
          <w:b/>
        </w:rPr>
        <w:t xml:space="preserve"> podnik</w:t>
      </w:r>
      <w:r w:rsidRPr="000939E3">
        <w:rPr>
          <w:b/>
        </w:rPr>
        <w:t>och</w:t>
      </w:r>
      <w:r w:rsidR="002742E2" w:rsidRPr="000939E3">
        <w:rPr>
          <w:b/>
        </w:rPr>
        <w:t>.</w:t>
      </w:r>
      <w:r w:rsidR="002742E2" w:rsidRPr="000939E3">
        <w:t xml:space="preserve"> </w:t>
      </w:r>
      <w:r w:rsidR="00C93C9A" w:rsidRPr="000939E3">
        <w:t>Optimalizačné audity sa zamerajú na rozsah</w:t>
      </w:r>
      <w:r w:rsidR="003658B0" w:rsidRPr="000939E3">
        <w:t xml:space="preserve">, organizáciu a nákladovú efektívnosť </w:t>
      </w:r>
      <w:r w:rsidR="00C93C9A" w:rsidRPr="000939E3">
        <w:t xml:space="preserve">vykonávaných činností. Podľa potreby sa budú venovať </w:t>
      </w:r>
      <w:r w:rsidR="003658B0" w:rsidRPr="000939E3">
        <w:t xml:space="preserve">napríklad </w:t>
      </w:r>
      <w:r w:rsidR="00C93C9A" w:rsidRPr="000939E3">
        <w:t>optimalizácii procesov</w:t>
      </w:r>
      <w:r w:rsidR="006B1E54" w:rsidRPr="000939E3">
        <w:t xml:space="preserve"> či</w:t>
      </w:r>
      <w:r w:rsidR="00C93C9A" w:rsidRPr="000939E3">
        <w:t xml:space="preserve"> kontrole nákladov vrátane analýz dohôd o práci vykonávaných mimo pracovného pomeru</w:t>
      </w:r>
      <w:r w:rsidR="003658B0" w:rsidRPr="000939E3">
        <w:t>.</w:t>
      </w:r>
      <w:r w:rsidR="00C93C9A" w:rsidRPr="000939E3">
        <w:t xml:space="preserve"> </w:t>
      </w:r>
      <w:r w:rsidR="002742E2" w:rsidRPr="000939E3">
        <w:t>Audity vykonané internými kapacitami poskytnú konkrétne a udržateľné opatrenia namiesto plošných a neudržateľných znižovaní výdavkov z minulosti. Celkový cieľ 10</w:t>
      </w:r>
      <w:r w:rsidR="004556FF" w:rsidRPr="000939E3">
        <w:t xml:space="preserve"> </w:t>
      </w:r>
      <w:r w:rsidR="002742E2" w:rsidRPr="000939E3">
        <w:t>% úspory je nižší ako potenciál už vykonaných auditov</w:t>
      </w:r>
      <w:r w:rsidR="00E11832" w:rsidRPr="000939E3">
        <w:t>,</w:t>
      </w:r>
      <w:r w:rsidR="007869A1" w:rsidRPr="000939E3">
        <w:t> ktoré identifikovali</w:t>
      </w:r>
      <w:r w:rsidR="002742E2" w:rsidRPr="000939E3">
        <w:t> úspory výdavkov na kompenzácie</w:t>
      </w:r>
      <w:r w:rsidR="00E11832" w:rsidRPr="000939E3">
        <w:t xml:space="preserve"> na úrovni 20 %</w:t>
      </w:r>
      <w:r w:rsidR="002742E2" w:rsidRPr="000939E3">
        <w:t xml:space="preserve">. </w:t>
      </w:r>
      <w:r w:rsidR="002407F4" w:rsidRPr="000939E3">
        <w:t>Príkladmi sú analýza podporných a prierezových činností ministerstiev (</w:t>
      </w:r>
      <w:r w:rsidR="008E043C">
        <w:t>k</w:t>
      </w:r>
      <w:r w:rsidR="002407F4" w:rsidRPr="000939E3">
        <w:t xml:space="preserve">apitola 5.1), výsledky auditov vykonaných </w:t>
      </w:r>
      <w:r w:rsidR="002407F4" w:rsidRPr="000939E3">
        <w:rPr>
          <w:bCs/>
        </w:rPr>
        <w:t>v Slovenskom vodohospodárskom podniku (v spolupráci s BCG) a </w:t>
      </w:r>
      <w:r w:rsidR="000F079A" w:rsidRPr="000939E3">
        <w:rPr>
          <w:bCs/>
        </w:rPr>
        <w:t>ďalších</w:t>
      </w:r>
      <w:r w:rsidR="002407F4" w:rsidRPr="000939E3">
        <w:rPr>
          <w:bCs/>
        </w:rPr>
        <w:t xml:space="preserve"> štátnych podnikoch, </w:t>
      </w:r>
      <w:r w:rsidR="00397AA7" w:rsidRPr="000939E3">
        <w:rPr>
          <w:bCs/>
        </w:rPr>
        <w:t xml:space="preserve">optimalizačný projekt Úradu vlády SR (2019), </w:t>
      </w:r>
      <w:r w:rsidR="002742E2" w:rsidRPr="000939E3">
        <w:rPr>
          <w:bCs/>
        </w:rPr>
        <w:t xml:space="preserve">ale aj </w:t>
      </w:r>
      <w:r w:rsidR="002742E2" w:rsidRPr="000939E3">
        <w:t>staršie audity ministerstiev financií (2004), obrany (2005), kultúry (2009). Úspory na</w:t>
      </w:r>
      <w:r w:rsidR="00F50015" w:rsidRPr="000939E3">
        <w:t> </w:t>
      </w:r>
      <w:r w:rsidR="002742E2" w:rsidRPr="000939E3">
        <w:t>mzdových výdavkoch sa nemôžu prejaviť na zvýšených výdavkoch na externé služby</w:t>
      </w:r>
      <w:r w:rsidR="00323D03" w:rsidRPr="000939E3">
        <w:t xml:space="preserve"> vrátane dohôd o práci vykonávaných mimo pracovného pomeru</w:t>
      </w:r>
      <w:r w:rsidR="002742E2" w:rsidRPr="000939E3">
        <w:t>, ktoré budú monitorované.</w:t>
      </w:r>
      <w:r w:rsidR="00A474D0" w:rsidRPr="000939E3" w:rsidDel="00A474D0">
        <w:t xml:space="preserve"> </w:t>
      </w:r>
    </w:p>
    <w:p w14:paraId="03DB3337" w14:textId="34258E49" w:rsidR="0097185B" w:rsidRPr="000939E3" w:rsidRDefault="0097185B" w:rsidP="00093832">
      <w:pPr>
        <w:rPr>
          <w:b/>
        </w:rPr>
      </w:pPr>
      <w:bookmarkStart w:id="20" w:name="Uspora_2"/>
      <w:r w:rsidRPr="000939E3">
        <w:rPr>
          <w:b/>
        </w:rPr>
        <w:t>1.</w:t>
      </w:r>
      <w:r w:rsidR="00BE7840" w:rsidRPr="000939E3">
        <w:rPr>
          <w:b/>
        </w:rPr>
        <w:t>1.</w:t>
      </w:r>
      <w:r w:rsidRPr="000939E3">
        <w:rPr>
          <w:b/>
        </w:rPr>
        <w:t xml:space="preserve"> Optimaliz</w:t>
      </w:r>
      <w:r w:rsidR="000C2A51" w:rsidRPr="000939E3">
        <w:rPr>
          <w:b/>
        </w:rPr>
        <w:t>ovať</w:t>
      </w:r>
      <w:r w:rsidRPr="000939E3">
        <w:rPr>
          <w:b/>
        </w:rPr>
        <w:t xml:space="preserve"> podporn</w:t>
      </w:r>
      <w:r w:rsidR="000C2A51" w:rsidRPr="000939E3">
        <w:rPr>
          <w:b/>
        </w:rPr>
        <w:t>é</w:t>
      </w:r>
      <w:r w:rsidRPr="000939E3">
        <w:rPr>
          <w:b/>
        </w:rPr>
        <w:t xml:space="preserve"> a prierezov</w:t>
      </w:r>
      <w:r w:rsidR="000C2A51" w:rsidRPr="000939E3">
        <w:rPr>
          <w:b/>
        </w:rPr>
        <w:t>é</w:t>
      </w:r>
      <w:r w:rsidRPr="000939E3">
        <w:rPr>
          <w:b/>
        </w:rPr>
        <w:t xml:space="preserve"> činností </w:t>
      </w:r>
      <w:r w:rsidR="001A4808" w:rsidRPr="000939E3">
        <w:rPr>
          <w:b/>
        </w:rPr>
        <w:t>na ministerstvách a v pridružených organizáciách</w:t>
      </w:r>
      <w:r w:rsidRPr="000939E3">
        <w:t xml:space="preserve">. </w:t>
      </w:r>
    </w:p>
    <w:bookmarkEnd w:id="20"/>
    <w:p w14:paraId="584EC2DB" w14:textId="587AC166" w:rsidR="008A5973" w:rsidRPr="000939E3" w:rsidRDefault="008A5973" w:rsidP="008A5973">
      <w:pPr>
        <w:tabs>
          <w:tab w:val="left" w:pos="284"/>
        </w:tabs>
        <w:spacing w:before="120" w:after="200"/>
      </w:pPr>
      <w:r w:rsidRPr="000939E3">
        <w:t>Ústredné orgány štátnej správy a ich príspevkové a rozpočtové organizácie</w:t>
      </w:r>
      <w:r w:rsidR="00891BA0" w:rsidRPr="000939E3">
        <w:rPr>
          <w:rStyle w:val="Odkaznapoznmkupodiarou"/>
        </w:rPr>
        <w:footnoteReference w:id="8"/>
      </w:r>
      <w:r w:rsidR="00891BA0" w:rsidRPr="000939E3">
        <w:t xml:space="preserve"> </w:t>
      </w:r>
      <w:r w:rsidRPr="000939E3">
        <w:t>vynakladajú ročne na podporné a prierezové činnosti (napríklad personalistiku, IT, účtovníctvo atď.) takmer 150 mil. eur (interné aj externé náklady</w:t>
      </w:r>
      <w:r w:rsidR="00F15101" w:rsidRPr="000939E3">
        <w:t xml:space="preserve"> vrátane dohôd o práci vykonávaných mimo pracovného pomeru</w:t>
      </w:r>
      <w:r w:rsidRPr="000939E3">
        <w:t>), pracuje v nich každý piaty zamestnanec</w:t>
      </w:r>
      <w:r w:rsidRPr="000939E3">
        <w:rPr>
          <w:vertAlign w:val="superscript"/>
        </w:rPr>
        <w:footnoteReference w:id="9"/>
      </w:r>
      <w:r w:rsidRPr="000939E3">
        <w:t>. Robia tak s rozdielnou nákladovou efektívnosťou, aj po zohľadnení veľkosti organizácií (</w:t>
      </w:r>
      <w:r w:rsidR="00262D31">
        <w:t>k</w:t>
      </w:r>
      <w:r w:rsidRPr="000939E3">
        <w:t>apitola 5.1).</w:t>
      </w:r>
    </w:p>
    <w:p w14:paraId="6096234C" w14:textId="77777777" w:rsidR="008A5973" w:rsidRPr="000939E3" w:rsidRDefault="008A5973" w:rsidP="008A5973">
      <w:pPr>
        <w:tabs>
          <w:tab w:val="left" w:pos="284"/>
        </w:tabs>
        <w:spacing w:before="120" w:after="200"/>
      </w:pPr>
      <w:r w:rsidRPr="000939E3">
        <w:t>Vysoká variabilita výdavkov na podporné a prierezové činnosti a ich podobnosť naprieč organizáciami poukazujú na potenciál optimalizácie nákladov na zabezpečenie týchto služieb. Identifikované boli tri opatrenia:</w:t>
      </w:r>
    </w:p>
    <w:p w14:paraId="7AD50F58" w14:textId="2C82AFD5" w:rsidR="008A5973" w:rsidRPr="000939E3" w:rsidRDefault="008A5973" w:rsidP="008A5973">
      <w:pPr>
        <w:spacing w:before="160"/>
      </w:pPr>
      <w:r w:rsidRPr="000939E3">
        <w:rPr>
          <w:b/>
        </w:rPr>
        <w:t xml:space="preserve">a) Optimalizácia podporných a prierezových činností v rámci súčasného organizačného nastavenia. </w:t>
      </w:r>
      <w:r w:rsidRPr="000939E3">
        <w:rPr>
          <w:b/>
        </w:rPr>
        <w:br/>
      </w:r>
      <w:r w:rsidRPr="000939E3">
        <w:t xml:space="preserve">V rámci organizácií sledovaných analýzou (11 ministerstiev a Úrad vlády spolu s ich príspevkovými a rozpočtovými organizáciami) by optimalizácia v oblastiach identifikovaných ako nákladovo </w:t>
      </w:r>
      <w:r w:rsidR="00E11832" w:rsidRPr="000939E3">
        <w:t xml:space="preserve">neefektívne </w:t>
      </w:r>
      <w:r w:rsidRPr="000939E3">
        <w:t xml:space="preserve">v porovnaní s ostatnými úradmi priniesla úsporu vo výške </w:t>
      </w:r>
      <w:r w:rsidR="00096F6A" w:rsidRPr="000939E3">
        <w:t>1</w:t>
      </w:r>
      <w:r w:rsidR="00D2631A" w:rsidRPr="000939E3">
        <w:t>8</w:t>
      </w:r>
      <w:r w:rsidR="00096F6A" w:rsidRPr="000939E3">
        <w:t xml:space="preserve"> </w:t>
      </w:r>
      <w:r w:rsidRPr="000939E3">
        <w:t>-</w:t>
      </w:r>
      <w:r w:rsidR="002820F7" w:rsidRPr="000939E3">
        <w:t xml:space="preserve"> </w:t>
      </w:r>
      <w:r w:rsidR="00096F6A" w:rsidRPr="000939E3">
        <w:t>2</w:t>
      </w:r>
      <w:r w:rsidR="00D2631A" w:rsidRPr="000939E3">
        <w:t>8</w:t>
      </w:r>
      <w:r w:rsidR="00096F6A" w:rsidRPr="000939E3">
        <w:t xml:space="preserve"> </w:t>
      </w:r>
      <w:r w:rsidRPr="000939E3">
        <w:t xml:space="preserve">mil. eur. Výška potenciálnej úspory sa líši v závislosti od zvolenej ambície (dosiahnutie nákladovej efektívnosti druhej najlepšej alebo mediánovej organizácie v skupine). Dodatočnú úsporu </w:t>
      </w:r>
      <w:r w:rsidRPr="000939E3">
        <w:lastRenderedPageBreak/>
        <w:t xml:space="preserve">vo výške </w:t>
      </w:r>
      <w:r w:rsidR="00D2631A" w:rsidRPr="000939E3">
        <w:t>1</w:t>
      </w:r>
      <w:r w:rsidR="00CC0845" w:rsidRPr="000939E3">
        <w:t>1</w:t>
      </w:r>
      <w:r w:rsidR="00D2631A" w:rsidRPr="000939E3">
        <w:t xml:space="preserve"> </w:t>
      </w:r>
      <w:r w:rsidRPr="000939E3">
        <w:t xml:space="preserve">– </w:t>
      </w:r>
      <w:r w:rsidR="00D2631A" w:rsidRPr="000939E3">
        <w:t xml:space="preserve">13 </w:t>
      </w:r>
      <w:r w:rsidRPr="000939E3">
        <w:t>mil. eur by priniesla optimalizácia podporných činností ostatných ústredných orgánov štátnej správy.</w:t>
      </w:r>
    </w:p>
    <w:p w14:paraId="5ABAA305" w14:textId="2CA041BE" w:rsidR="008A5973" w:rsidRPr="000939E3" w:rsidRDefault="008A5973" w:rsidP="008A5973">
      <w:r w:rsidRPr="000939E3">
        <w:rPr>
          <w:b/>
        </w:rPr>
        <w:t>b)</w:t>
      </w:r>
      <w:r w:rsidRPr="000939E3">
        <w:t xml:space="preserve"> </w:t>
      </w:r>
      <w:r w:rsidRPr="000939E3">
        <w:rPr>
          <w:b/>
        </w:rPr>
        <w:t xml:space="preserve">Centralizácia podporných a prierezových činností do rezortných servisných centier </w:t>
      </w:r>
      <w:r w:rsidRPr="000939E3">
        <w:t>má podľa odhadov zo zahraničia</w:t>
      </w:r>
      <w:r w:rsidRPr="000939E3">
        <w:rPr>
          <w:vertAlign w:val="superscript"/>
        </w:rPr>
        <w:footnoteReference w:id="10"/>
      </w:r>
      <w:r w:rsidRPr="000939E3">
        <w:t xml:space="preserve"> potenciál znížiť náklady o 15</w:t>
      </w:r>
      <w:r w:rsidR="002820F7" w:rsidRPr="000939E3">
        <w:t xml:space="preserve"> </w:t>
      </w:r>
      <w:r w:rsidRPr="000939E3">
        <w:t>-</w:t>
      </w:r>
      <w:r w:rsidR="002820F7" w:rsidRPr="000939E3">
        <w:t xml:space="preserve"> </w:t>
      </w:r>
      <w:r w:rsidRPr="000939E3">
        <w:t>20 % voči stavu pred optimalizáciou. V prípade rezortnej centralizácie činností ľudských zdrojov, financovania, práva, verejného obstarávania, vnútornej správy a IT (činnosti s predpokladom na centralizáciu</w:t>
      </w:r>
      <w:r w:rsidRPr="000939E3">
        <w:rPr>
          <w:vertAlign w:val="superscript"/>
        </w:rPr>
        <w:footnoteReference w:id="11"/>
      </w:r>
      <w:r w:rsidRPr="000939E3">
        <w:t xml:space="preserve">) by úspora v ústredných orgánoch štátnej správy a ich podriadených organizáciách predstavovala </w:t>
      </w:r>
      <w:r w:rsidR="00D2631A" w:rsidRPr="000939E3">
        <w:t xml:space="preserve">32 </w:t>
      </w:r>
      <w:r w:rsidRPr="000939E3">
        <w:t>mil. eur</w:t>
      </w:r>
      <w:r w:rsidR="00F50015" w:rsidRPr="000939E3">
        <w:t xml:space="preserve">. </w:t>
      </w:r>
      <w:r w:rsidRPr="000939E3">
        <w:t xml:space="preserve">Súčasťou tohto potenciálu je úspora už dosiahnutá v prvej fáze. </w:t>
      </w:r>
    </w:p>
    <w:p w14:paraId="3AC1FA32" w14:textId="1B06D4D1" w:rsidR="00692920" w:rsidRPr="000939E3" w:rsidRDefault="008A5973" w:rsidP="009036B1">
      <w:pPr>
        <w:rPr>
          <w:b/>
        </w:rPr>
      </w:pPr>
      <w:r w:rsidRPr="000939E3">
        <w:rPr>
          <w:b/>
        </w:rPr>
        <w:t>c) Vytvorenie spoločných centier podporných a prierezových činností v rámci štátu</w:t>
      </w:r>
      <w:r w:rsidRPr="000939E3">
        <w:t xml:space="preserve"> by podľa skúseností zo zahraničia</w:t>
      </w:r>
      <w:r w:rsidRPr="000939E3">
        <w:rPr>
          <w:vertAlign w:val="superscript"/>
        </w:rPr>
        <w:footnoteReference w:id="12"/>
      </w:r>
      <w:r w:rsidRPr="000939E3">
        <w:t xml:space="preserve"> umožnilo ušetriť až tretinu nákladov na činnosti s predpokladom na centralizáciu (</w:t>
      </w:r>
      <w:r w:rsidR="005453A9" w:rsidRPr="000939E3">
        <w:t>44</w:t>
      </w:r>
      <w:r w:rsidR="002564F3" w:rsidRPr="000939E3">
        <w:t xml:space="preserve"> </w:t>
      </w:r>
      <w:r w:rsidRPr="000939E3">
        <w:t>mil. eur</w:t>
      </w:r>
      <w:r w:rsidR="002564F3" w:rsidRPr="000939E3">
        <w:t xml:space="preserve"> v roku 2020</w:t>
      </w:r>
      <w:r w:rsidRPr="000939E3">
        <w:t>). V prípade štátnej a rezortnej centralizácie sa taktiež dá očakávať zvýšenie efektivity a kvality poskytovaných služieb. Pilotným projektom by mohla byť postupná centralizácia podporných a prierezových činností ministerstiev s najvyššími relatívnymi nákladmi na ministerstvo financií</w:t>
      </w:r>
      <w:r w:rsidRPr="000939E3">
        <w:rPr>
          <w:rStyle w:val="Odkaznapoznmkupodiarou"/>
        </w:rPr>
        <w:footnoteReference w:id="13"/>
      </w:r>
      <w:r w:rsidRPr="000939E3">
        <w:t xml:space="preserve"> s následným zapojením ďalších ministerstiev. </w:t>
      </w:r>
      <w:r w:rsidR="00D93589" w:rsidRPr="000939E3">
        <w:t>Jedným zo základných predpokladov pre úspech rezortnej a štátnej centralizácie je štandardizácia procesov a zjednotenie informačných systémov. Na Slovensku by túto úlohu mohol zohrať projekt reformy podpornej a ekonomickej agendy štátu MF S</w:t>
      </w:r>
      <w:r w:rsidR="008F769D" w:rsidRPr="000939E3">
        <w:t>R – C</w:t>
      </w:r>
      <w:r w:rsidR="00D93589" w:rsidRPr="000939E3">
        <w:t xml:space="preserve">entrálny ekonomický systém. Jeho cieľom je zjednotenie činností ministerstiev a podriadených organizácií najmä v ekonomickej agende. </w:t>
      </w:r>
      <w:bookmarkStart w:id="21" w:name="Uspora_10"/>
      <w:bookmarkStart w:id="22" w:name="Uspora_3"/>
    </w:p>
    <w:p w14:paraId="2BE64212" w14:textId="52A13EB2" w:rsidR="00BE7840" w:rsidRPr="000939E3" w:rsidRDefault="00BE7840" w:rsidP="00BE7840">
      <w:pPr>
        <w:pStyle w:val="Odsekzoznamu"/>
        <w:tabs>
          <w:tab w:val="left" w:pos="284"/>
        </w:tabs>
        <w:spacing w:before="120"/>
        <w:ind w:left="0"/>
        <w:contextualSpacing w:val="0"/>
        <w:jc w:val="both"/>
        <w:rPr>
          <w:b/>
        </w:rPr>
      </w:pPr>
      <w:r w:rsidRPr="000939E3">
        <w:rPr>
          <w:b/>
        </w:rPr>
        <w:t>1.2. Monitorova</w:t>
      </w:r>
      <w:r w:rsidR="000C2A51" w:rsidRPr="000939E3">
        <w:rPr>
          <w:b/>
        </w:rPr>
        <w:t>ť</w:t>
      </w:r>
      <w:r w:rsidRPr="000939E3">
        <w:rPr>
          <w:b/>
        </w:rPr>
        <w:t xml:space="preserve"> a vynucova</w:t>
      </w:r>
      <w:r w:rsidR="000C2A51" w:rsidRPr="000939E3">
        <w:rPr>
          <w:b/>
        </w:rPr>
        <w:t>ť</w:t>
      </w:r>
      <w:r w:rsidRPr="000939E3">
        <w:rPr>
          <w:b/>
        </w:rPr>
        <w:t xml:space="preserve"> deklarovan</w:t>
      </w:r>
      <w:r w:rsidR="000C2A51" w:rsidRPr="000939E3">
        <w:rPr>
          <w:b/>
        </w:rPr>
        <w:t>é</w:t>
      </w:r>
      <w:r w:rsidRPr="000939E3">
        <w:rPr>
          <w:b/>
        </w:rPr>
        <w:t xml:space="preserve"> úspor</w:t>
      </w:r>
      <w:r w:rsidR="000C2A51" w:rsidRPr="000939E3">
        <w:rPr>
          <w:b/>
        </w:rPr>
        <w:t>y</w:t>
      </w:r>
      <w:r w:rsidRPr="000939E3">
        <w:rPr>
          <w:b/>
        </w:rPr>
        <w:t xml:space="preserve"> z IT projektov. Opatrenie má v </w:t>
      </w:r>
      <w:r w:rsidR="004B45B2" w:rsidRPr="000939E3">
        <w:rPr>
          <w:b/>
        </w:rPr>
        <w:t xml:space="preserve">roku </w:t>
      </w:r>
      <w:r w:rsidR="00ED42F5" w:rsidRPr="000939E3">
        <w:rPr>
          <w:b/>
        </w:rPr>
        <w:t xml:space="preserve">2029 </w:t>
      </w:r>
      <w:r w:rsidR="004B45B2" w:rsidRPr="000939E3">
        <w:rPr>
          <w:b/>
        </w:rPr>
        <w:t xml:space="preserve">potenciál usporiť </w:t>
      </w:r>
      <w:r w:rsidR="00ED42F5" w:rsidRPr="000939E3">
        <w:rPr>
          <w:b/>
        </w:rPr>
        <w:t>10</w:t>
      </w:r>
      <w:r w:rsidR="00D2631A" w:rsidRPr="000939E3">
        <w:rPr>
          <w:b/>
        </w:rPr>
        <w:t>4</w:t>
      </w:r>
      <w:r w:rsidR="00ED42F5" w:rsidRPr="000939E3">
        <w:rPr>
          <w:b/>
        </w:rPr>
        <w:t xml:space="preserve"> </w:t>
      </w:r>
      <w:r w:rsidRPr="000939E3">
        <w:rPr>
          <w:b/>
        </w:rPr>
        <w:t>mil. eur na mzdových nákladoch</w:t>
      </w:r>
      <w:r w:rsidR="004B45B2" w:rsidRPr="000939E3">
        <w:rPr>
          <w:b/>
        </w:rPr>
        <w:t xml:space="preserve"> (</w:t>
      </w:r>
      <w:r w:rsidR="001153B5" w:rsidRPr="000939E3">
        <w:rPr>
          <w:b/>
        </w:rPr>
        <w:t xml:space="preserve">takmer </w:t>
      </w:r>
      <w:r w:rsidR="00ED42F5" w:rsidRPr="000939E3">
        <w:rPr>
          <w:b/>
        </w:rPr>
        <w:t xml:space="preserve">5 </w:t>
      </w:r>
      <w:r w:rsidR="00A11E69" w:rsidRPr="000939E3">
        <w:rPr>
          <w:b/>
        </w:rPr>
        <w:t xml:space="preserve">tisíc </w:t>
      </w:r>
      <w:r w:rsidR="004B45B2" w:rsidRPr="000939E3">
        <w:rPr>
          <w:b/>
        </w:rPr>
        <w:t>prepočítaných úväzkov)</w:t>
      </w:r>
      <w:r w:rsidR="001153B5" w:rsidRPr="000939E3">
        <w:rPr>
          <w:b/>
        </w:rPr>
        <w:t>.</w:t>
      </w:r>
      <w:r w:rsidR="001153B5" w:rsidRPr="000939E3" w:rsidDel="001153B5">
        <w:rPr>
          <w:b/>
        </w:rPr>
        <w:t xml:space="preserve"> </w:t>
      </w:r>
      <w:r w:rsidR="006F1764" w:rsidRPr="000939E3">
        <w:t xml:space="preserve">Opatrenie sa môže čiastočne prekrývať s opatrením 1.1 – Optimalizácia podporných a prierezových činností </w:t>
      </w:r>
      <w:r w:rsidR="00CF399C">
        <w:t>na ministerstvách a </w:t>
      </w:r>
      <w:r w:rsidR="00EE697B" w:rsidRPr="000939E3">
        <w:t>v podriadených organizáciách</w:t>
      </w:r>
      <w:r w:rsidR="005558B0" w:rsidRPr="000939E3">
        <w:t xml:space="preserve">, zároveň zahŕňa </w:t>
      </w:r>
      <w:r w:rsidR="006D42CD" w:rsidRPr="000939E3">
        <w:t xml:space="preserve">aj úspory v </w:t>
      </w:r>
      <w:r w:rsidR="005558B0" w:rsidRPr="000939E3">
        <w:t>in</w:t>
      </w:r>
      <w:r w:rsidR="006D42CD" w:rsidRPr="000939E3">
        <w:t>ých</w:t>
      </w:r>
      <w:r w:rsidR="005558B0" w:rsidRPr="000939E3">
        <w:t xml:space="preserve"> org</w:t>
      </w:r>
      <w:r w:rsidR="006D42CD" w:rsidRPr="000939E3">
        <w:t>anizáciách</w:t>
      </w:r>
      <w:r w:rsidR="005558B0" w:rsidRPr="000939E3">
        <w:t xml:space="preserve"> ako </w:t>
      </w:r>
      <w:r w:rsidR="001E0815" w:rsidRPr="000939E3">
        <w:t>o</w:t>
      </w:r>
      <w:r w:rsidR="005558B0" w:rsidRPr="000939E3">
        <w:t xml:space="preserve">patrenie 1. </w:t>
      </w:r>
    </w:p>
    <w:p w14:paraId="4DC06AC2" w14:textId="77777777" w:rsidR="002B0793" w:rsidRPr="000939E3" w:rsidRDefault="00BE7840" w:rsidP="00E90E4A">
      <w:pPr>
        <w:pStyle w:val="Odsekzoznamu"/>
        <w:tabs>
          <w:tab w:val="left" w:pos="284"/>
        </w:tabs>
        <w:spacing w:before="120"/>
        <w:ind w:left="0"/>
        <w:contextualSpacing w:val="0"/>
        <w:jc w:val="both"/>
      </w:pPr>
      <w:r w:rsidRPr="000939E3">
        <w:rPr>
          <w:b/>
        </w:rPr>
        <w:t xml:space="preserve">Predkladatelia IT projektov financovaných z Operačného programu Integrovaná infraštruktúra (OP II) sa zaviazali priniesť úsporu mzdových nákladov. </w:t>
      </w:r>
      <w:r w:rsidRPr="000939E3">
        <w:t xml:space="preserve">Deklarované úspory na ľudských zdrojoch z predošlého programového obdobia (Operačný program Informatizácia spoločnosti) nie je možné vierohodne odpočtovať a pravdepodobne sa nezrealizovali. </w:t>
      </w:r>
    </w:p>
    <w:p w14:paraId="3B818554" w14:textId="7F87FF7B" w:rsidR="00BE7840" w:rsidRPr="000939E3" w:rsidRDefault="00BE7840" w:rsidP="00E90E4A">
      <w:pPr>
        <w:pStyle w:val="Odsekzoznamu"/>
        <w:tabs>
          <w:tab w:val="left" w:pos="284"/>
        </w:tabs>
        <w:spacing w:before="120"/>
        <w:ind w:left="0"/>
        <w:contextualSpacing w:val="0"/>
        <w:jc w:val="both"/>
      </w:pPr>
      <w:r w:rsidRPr="000939E3">
        <w:rPr>
          <w:b/>
        </w:rPr>
        <w:t>Deklarované úspory projektov OP</w:t>
      </w:r>
      <w:r w:rsidR="00C33E68" w:rsidRPr="000939E3">
        <w:rPr>
          <w:b/>
        </w:rPr>
        <w:t xml:space="preserve"> </w:t>
      </w:r>
      <w:r w:rsidRPr="000939E3">
        <w:rPr>
          <w:b/>
        </w:rPr>
        <w:t xml:space="preserve">II </w:t>
      </w:r>
      <w:r w:rsidR="00104705" w:rsidRPr="000939E3">
        <w:rPr>
          <w:b/>
        </w:rPr>
        <w:t xml:space="preserve">musia byť </w:t>
      </w:r>
      <w:r w:rsidRPr="000939E3">
        <w:rPr>
          <w:b/>
        </w:rPr>
        <w:t>monitorované a vynucované v rámci zostavovania rozpočtu verejnej správy, v záväzných ukazovateľ</w:t>
      </w:r>
      <w:r w:rsidR="0008408A" w:rsidRPr="000939E3">
        <w:rPr>
          <w:b/>
        </w:rPr>
        <w:t>och zamestnanosti a výdavkov na </w:t>
      </w:r>
      <w:r w:rsidRPr="000939E3">
        <w:rPr>
          <w:b/>
        </w:rPr>
        <w:t xml:space="preserve">mzdy. </w:t>
      </w:r>
      <w:r w:rsidRPr="000939E3">
        <w:t xml:space="preserve">Okrem úspor vyplývajúcich z absolútnej redukcie </w:t>
      </w:r>
      <w:r w:rsidR="00C578E9" w:rsidRPr="000939E3">
        <w:t xml:space="preserve">počtu </w:t>
      </w:r>
      <w:r w:rsidRPr="000939E3">
        <w:t xml:space="preserve">pracovníkov prinesú projekty dodatočné úspory </w:t>
      </w:r>
      <w:r w:rsidR="002B0793" w:rsidRPr="000939E3">
        <w:t>s</w:t>
      </w:r>
      <w:r w:rsidRPr="000939E3">
        <w:t> </w:t>
      </w:r>
      <w:r w:rsidR="009E105E" w:rsidRPr="000939E3">
        <w:t>potenciál</w:t>
      </w:r>
      <w:r w:rsidR="002B0793" w:rsidRPr="000939E3">
        <w:t>om</w:t>
      </w:r>
      <w:r w:rsidRPr="000939E3">
        <w:t xml:space="preserve"> </w:t>
      </w:r>
      <w:r w:rsidR="002C3533" w:rsidRPr="000939E3">
        <w:t xml:space="preserve">550 </w:t>
      </w:r>
      <w:r w:rsidRPr="000939E3">
        <w:t>úväzkov (</w:t>
      </w:r>
      <w:r w:rsidR="002C3533" w:rsidRPr="000939E3">
        <w:t xml:space="preserve">11 </w:t>
      </w:r>
      <w:r w:rsidR="00CF399C">
        <w:t>mil. </w:t>
      </w:r>
      <w:r w:rsidRPr="000939E3">
        <w:t xml:space="preserve">eur ročne) znížením nákladov na ešte len plánované činnosti. </w:t>
      </w:r>
    </w:p>
    <w:p w14:paraId="36D67FAB" w14:textId="3BEC14CA" w:rsidR="00B771BA" w:rsidRPr="000939E3" w:rsidRDefault="00BE7840" w:rsidP="00B771BA">
      <w:pPr>
        <w:rPr>
          <w:rFonts w:ascii="Calibri" w:hAnsi="Calibri"/>
        </w:rPr>
      </w:pPr>
      <w:r w:rsidRPr="000939E3">
        <w:rPr>
          <w:b/>
        </w:rPr>
        <w:t>Najvýraznejšiu úsporu majú priniesť projekty MV SR</w:t>
      </w:r>
      <w:r w:rsidRPr="000939E3">
        <w:t xml:space="preserve"> </w:t>
      </w:r>
      <w:r w:rsidRPr="000939E3">
        <w:rPr>
          <w:i/>
        </w:rPr>
        <w:t>Centrálne komponenty správneho konania vo verejnej správe</w:t>
      </w:r>
      <w:r w:rsidRPr="000939E3">
        <w:t xml:space="preserve"> (úspora 461 zamestnancov) a </w:t>
      </w:r>
      <w:r w:rsidRPr="000939E3">
        <w:rPr>
          <w:i/>
        </w:rPr>
        <w:t>Digitálne pracovné prostredie zamestnanca MV SR</w:t>
      </w:r>
      <w:r w:rsidR="009E105E" w:rsidRPr="000939E3">
        <w:t xml:space="preserve"> (workdesk) (úspora 291 </w:t>
      </w:r>
      <w:r w:rsidRPr="000939E3">
        <w:t>zamestnancov). Ich cieľom je elektronizácia spisov správneho konania, čím sa odbúrava časovo náročná fyzická prác</w:t>
      </w:r>
      <w:r w:rsidR="002820F7" w:rsidRPr="000939E3">
        <w:t>a</w:t>
      </w:r>
      <w:r w:rsidRPr="000939E3">
        <w:t xml:space="preserve"> so spisom a jeho archiváciou, a zjednotenie viacerých systémov do jedného. Tým sa eliminuje potreba duplicitného zadávania vstupov a práce s viacerými obrazovkami naraz. Úsporu vyše 500 zamestnancov (úradníkov aj strážnikov) prinesie aj </w:t>
      </w:r>
      <w:r w:rsidRPr="000939E3">
        <w:rPr>
          <w:i/>
        </w:rPr>
        <w:t>Optimalizácia procesov riadenia a prevádzky Zboru väzenskej a justičnej stráže</w:t>
      </w:r>
      <w:r w:rsidRPr="000939E3">
        <w:t>, ktorý elektronizuje životné situácie odsúdených</w:t>
      </w:r>
      <w:r w:rsidR="00E11832" w:rsidRPr="000939E3">
        <w:t>,</w:t>
      </w:r>
      <w:r w:rsidRPr="000939E3">
        <w:t xml:space="preserve"> čím odbúrava administratívnu prácu zamestnancov s ich vybavením (napr. podávanie žiadostí ohľadom nakladania s finančnými prostriedka</w:t>
      </w:r>
      <w:r w:rsidR="00A61EDB" w:rsidRPr="000939E3">
        <w:t xml:space="preserve">mi obvineného alebo odsúdeného). </w:t>
      </w:r>
      <w:r w:rsidR="00B771BA" w:rsidRPr="000939E3">
        <w:t xml:space="preserve">Ďalšiu významnú úsporu (507 zamestnancov) má priniesť projekt MS SR - </w:t>
      </w:r>
      <w:r w:rsidR="00B771BA" w:rsidRPr="000939E3">
        <w:rPr>
          <w:i/>
        </w:rPr>
        <w:t xml:space="preserve">Centralizovaný systém </w:t>
      </w:r>
      <w:r w:rsidR="00B771BA" w:rsidRPr="000939E3">
        <w:rPr>
          <w:i/>
        </w:rPr>
        <w:lastRenderedPageBreak/>
        <w:t>súdneho riadenia</w:t>
      </w:r>
      <w:r w:rsidR="00B771BA" w:rsidRPr="000939E3">
        <w:t xml:space="preserve"> pri spracovaní súdnych výkazov a evidovaní súdnych rozhodnutí najmä vďaka automatizácii a vydávaniu rozhodnutí v štruktúrovanej podobe.</w:t>
      </w:r>
      <w:r w:rsidR="00D97C52" w:rsidRPr="000939E3">
        <w:t xml:space="preserve"> </w:t>
      </w:r>
    </w:p>
    <w:p w14:paraId="1E1D9BD5" w14:textId="69374447" w:rsidR="00ED42F5" w:rsidRPr="000939E3" w:rsidRDefault="00BE7840" w:rsidP="000939E3">
      <w:pPr>
        <w:rPr>
          <w:b/>
          <w:iCs/>
          <w:sz w:val="28"/>
        </w:rPr>
      </w:pPr>
      <w:r w:rsidRPr="000939E3">
        <w:rPr>
          <w:b/>
        </w:rPr>
        <w:t>Prezentovaná úspora zahŕňa len úsporu nákladov na ľudské zdroje. Ďalšie prínosy IT projektov môžu byť realizované napríklad znížením prevádzkových nákladov, úsporou času občanov alebo dosiahnutím kvalitatívnych prínosov,</w:t>
      </w:r>
      <w:r w:rsidRPr="000939E3">
        <w:t xml:space="preserve"> ktoré nie je možné dôveryhodne vyjadriť ako úsporu času a nákladov (nižšie spoločenské škody, zvýšenie spokojnosti s poskytovanými službami). Dosiahnutie vyššie popísaných prínosov si môže vyžadovať krátkodobé zvýšenie mzdových nákladov, ak je potrebné naplniť informačný systém údajmi.</w:t>
      </w:r>
      <w:r w:rsidR="00A61EDB" w:rsidRPr="000939E3">
        <w:t xml:space="preserve"> Kompletný zoznam zahrnutých projektov obsahuje </w:t>
      </w:r>
      <w:r w:rsidR="0047746E" w:rsidRPr="000939E3">
        <w:fldChar w:fldCharType="begin"/>
      </w:r>
      <w:r w:rsidR="0047746E" w:rsidRPr="000939E3">
        <w:instrText xml:space="preserve"> REF _Ref12001437 \h  \* MERGEFORMAT </w:instrText>
      </w:r>
      <w:r w:rsidR="0047746E" w:rsidRPr="000939E3">
        <w:fldChar w:fldCharType="separate"/>
      </w:r>
      <w:r w:rsidR="00BF69CA" w:rsidRPr="00BF69CA">
        <w:t xml:space="preserve">Príloha </w:t>
      </w:r>
      <w:r w:rsidR="00BF69CA" w:rsidRPr="00BF69CA">
        <w:rPr>
          <w:noProof/>
        </w:rPr>
        <w:t>2</w:t>
      </w:r>
      <w:r w:rsidR="0047746E" w:rsidRPr="000939E3">
        <w:fldChar w:fldCharType="end"/>
      </w:r>
      <w:r w:rsidR="0047746E" w:rsidRPr="000939E3">
        <w:t>.</w:t>
      </w:r>
    </w:p>
    <w:tbl>
      <w:tblPr>
        <w:tblW w:w="9072" w:type="dxa"/>
        <w:tblLayout w:type="fixed"/>
        <w:tblLook w:val="04A0" w:firstRow="1" w:lastRow="0" w:firstColumn="1" w:lastColumn="0" w:noHBand="0" w:noVBand="1"/>
      </w:tblPr>
      <w:tblGrid>
        <w:gridCol w:w="1134"/>
        <w:gridCol w:w="2977"/>
        <w:gridCol w:w="851"/>
        <w:gridCol w:w="850"/>
        <w:gridCol w:w="851"/>
        <w:gridCol w:w="850"/>
        <w:gridCol w:w="709"/>
        <w:gridCol w:w="850"/>
      </w:tblGrid>
      <w:tr w:rsidR="00991673" w:rsidRPr="000939E3" w14:paraId="0F1E133A" w14:textId="77777777" w:rsidTr="000939E3">
        <w:trPr>
          <w:trHeight w:val="222"/>
          <w:tblHeader/>
        </w:trPr>
        <w:tc>
          <w:tcPr>
            <w:tcW w:w="9072" w:type="dxa"/>
            <w:gridSpan w:val="8"/>
            <w:tcBorders>
              <w:left w:val="nil"/>
              <w:bottom w:val="single" w:sz="4" w:space="0" w:color="000000"/>
            </w:tcBorders>
            <w:shd w:val="clear" w:color="auto" w:fill="auto"/>
          </w:tcPr>
          <w:p w14:paraId="4E1ECFFE" w14:textId="2DEA741A" w:rsidR="00991673" w:rsidRPr="000939E3" w:rsidRDefault="00991673" w:rsidP="00C84FCD">
            <w:pPr>
              <w:spacing w:after="0" w:line="240" w:lineRule="auto"/>
              <w:jc w:val="left"/>
              <w:rPr>
                <w:rFonts w:eastAsia="Times New Roman" w:cs="Times New Roman"/>
                <w:b/>
                <w:color w:val="000000"/>
                <w:sz w:val="20"/>
                <w:szCs w:val="20"/>
              </w:rPr>
            </w:pPr>
            <w:r w:rsidRPr="000939E3">
              <w:rPr>
                <w:rFonts w:eastAsia="Times New Roman" w:cs="Times New Roman"/>
                <w:b/>
                <w:iCs/>
                <w:color w:val="000000"/>
                <w:sz w:val="20"/>
                <w:szCs w:val="20"/>
                <w:lang w:eastAsia="sk-SK"/>
              </w:rPr>
              <w:t>Očakávané úspory z IT projektov OPII (oproti 2018, mil. eur a FTE)</w:t>
            </w:r>
          </w:p>
        </w:tc>
      </w:tr>
      <w:tr w:rsidR="004B0D75" w:rsidRPr="000939E3" w14:paraId="5C847C6F" w14:textId="77777777" w:rsidTr="001D63C0">
        <w:trPr>
          <w:trHeight w:val="416"/>
          <w:tblHeader/>
        </w:trPr>
        <w:tc>
          <w:tcPr>
            <w:tcW w:w="1134" w:type="dxa"/>
            <w:vMerge w:val="restart"/>
            <w:tcBorders>
              <w:top w:val="single" w:sz="4" w:space="0" w:color="auto"/>
              <w:left w:val="single" w:sz="4" w:space="0" w:color="auto"/>
              <w:right w:val="nil"/>
            </w:tcBorders>
            <w:shd w:val="clear" w:color="auto" w:fill="auto"/>
            <w:vAlign w:val="center"/>
            <w:hideMark/>
          </w:tcPr>
          <w:p w14:paraId="206E6B90" w14:textId="57E72397" w:rsidR="004B0D75" w:rsidRPr="000939E3" w:rsidRDefault="004B0D75" w:rsidP="00ED42F5">
            <w:pPr>
              <w:spacing w:after="0" w:line="240" w:lineRule="auto"/>
              <w:jc w:val="left"/>
              <w:rPr>
                <w:rFonts w:eastAsia="Times New Roman" w:cs="Times New Roman"/>
                <w:b/>
                <w:bCs/>
                <w:color w:val="000000"/>
                <w:sz w:val="16"/>
                <w:szCs w:val="20"/>
              </w:rPr>
            </w:pPr>
            <w:r w:rsidRPr="000939E3">
              <w:rPr>
                <w:rFonts w:eastAsia="Times New Roman" w:cs="Times New Roman"/>
                <w:b/>
                <w:bCs/>
                <w:color w:val="000000"/>
                <w:sz w:val="16"/>
                <w:szCs w:val="20"/>
              </w:rPr>
              <w:t>Predkladateľ (kapitola)</w:t>
            </w:r>
          </w:p>
        </w:tc>
        <w:tc>
          <w:tcPr>
            <w:tcW w:w="2977" w:type="dxa"/>
            <w:vMerge w:val="restart"/>
            <w:tcBorders>
              <w:top w:val="single" w:sz="4" w:space="0" w:color="auto"/>
              <w:left w:val="nil"/>
              <w:right w:val="nil"/>
            </w:tcBorders>
            <w:vAlign w:val="center"/>
          </w:tcPr>
          <w:p w14:paraId="3180EB95" w14:textId="419D1057" w:rsidR="004B0D75" w:rsidRPr="000939E3" w:rsidRDefault="004B0D75" w:rsidP="004B0D75">
            <w:pPr>
              <w:spacing w:after="0" w:line="240" w:lineRule="auto"/>
              <w:jc w:val="left"/>
              <w:rPr>
                <w:rFonts w:eastAsia="Times New Roman" w:cs="Times New Roman"/>
                <w:b/>
                <w:bCs/>
                <w:color w:val="000000"/>
                <w:sz w:val="16"/>
                <w:szCs w:val="20"/>
              </w:rPr>
            </w:pPr>
            <w:r w:rsidRPr="000939E3">
              <w:rPr>
                <w:rFonts w:eastAsia="Times New Roman" w:cs="Times New Roman"/>
                <w:b/>
                <w:bCs/>
                <w:color w:val="000000"/>
                <w:sz w:val="16"/>
                <w:szCs w:val="20"/>
              </w:rPr>
              <w:t>Projekt</w:t>
            </w:r>
          </w:p>
        </w:tc>
        <w:tc>
          <w:tcPr>
            <w:tcW w:w="851" w:type="dxa"/>
            <w:vMerge w:val="restart"/>
            <w:tcBorders>
              <w:top w:val="single" w:sz="4" w:space="0" w:color="auto"/>
              <w:left w:val="nil"/>
              <w:right w:val="nil"/>
            </w:tcBorders>
            <w:shd w:val="clear" w:color="auto" w:fill="auto"/>
            <w:vAlign w:val="center"/>
            <w:hideMark/>
          </w:tcPr>
          <w:p w14:paraId="47212451" w14:textId="50746EAB" w:rsidR="004B0D75" w:rsidRPr="000939E3" w:rsidRDefault="004B0D75" w:rsidP="00ED42F5">
            <w:pPr>
              <w:spacing w:after="0" w:line="240" w:lineRule="auto"/>
              <w:jc w:val="left"/>
              <w:rPr>
                <w:rFonts w:eastAsia="Times New Roman" w:cs="Times New Roman"/>
                <w:b/>
                <w:bCs/>
                <w:color w:val="000000"/>
                <w:sz w:val="16"/>
                <w:szCs w:val="20"/>
              </w:rPr>
            </w:pPr>
            <w:r w:rsidRPr="000939E3">
              <w:rPr>
                <w:rFonts w:eastAsia="Times New Roman" w:cs="Times New Roman"/>
                <w:b/>
                <w:bCs/>
                <w:color w:val="000000"/>
                <w:sz w:val="16"/>
                <w:szCs w:val="20"/>
              </w:rPr>
              <w:t>prvý rok úspory</w:t>
            </w:r>
          </w:p>
        </w:tc>
        <w:tc>
          <w:tcPr>
            <w:tcW w:w="850" w:type="dxa"/>
            <w:vMerge w:val="restart"/>
            <w:tcBorders>
              <w:top w:val="single" w:sz="4" w:space="0" w:color="auto"/>
              <w:left w:val="nil"/>
              <w:right w:val="nil"/>
            </w:tcBorders>
            <w:shd w:val="clear" w:color="auto" w:fill="auto"/>
            <w:vAlign w:val="center"/>
            <w:hideMark/>
          </w:tcPr>
          <w:p w14:paraId="5D7B0952" w14:textId="2AEFE217" w:rsidR="004B0D75" w:rsidRPr="000939E3" w:rsidRDefault="004B0D75" w:rsidP="001D63C0">
            <w:pPr>
              <w:spacing w:after="0" w:line="240" w:lineRule="auto"/>
              <w:jc w:val="left"/>
              <w:rPr>
                <w:rFonts w:eastAsia="Times New Roman" w:cs="Times New Roman"/>
                <w:b/>
                <w:color w:val="000000"/>
                <w:sz w:val="16"/>
                <w:szCs w:val="20"/>
              </w:rPr>
            </w:pPr>
            <w:r w:rsidRPr="000939E3">
              <w:rPr>
                <w:rFonts w:eastAsia="Times New Roman" w:cs="Times New Roman"/>
                <w:b/>
                <w:color w:val="000000"/>
                <w:sz w:val="16"/>
                <w:szCs w:val="20"/>
              </w:rPr>
              <w:t> Druh úspory </w:t>
            </w:r>
          </w:p>
        </w:tc>
        <w:tc>
          <w:tcPr>
            <w:tcW w:w="1701"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54217D15" w14:textId="77777777" w:rsidR="004B0D75" w:rsidRPr="000939E3" w:rsidRDefault="004B0D75" w:rsidP="001D63C0">
            <w:pPr>
              <w:spacing w:after="0" w:line="240" w:lineRule="auto"/>
              <w:jc w:val="center"/>
              <w:rPr>
                <w:rFonts w:eastAsia="Times New Roman" w:cs="Times New Roman"/>
                <w:b/>
                <w:color w:val="000000"/>
                <w:sz w:val="16"/>
                <w:szCs w:val="20"/>
              </w:rPr>
            </w:pPr>
            <w:r w:rsidRPr="000939E3">
              <w:rPr>
                <w:rFonts w:eastAsia="Times New Roman" w:cs="Times New Roman"/>
                <w:b/>
                <w:color w:val="000000"/>
                <w:sz w:val="16"/>
                <w:szCs w:val="20"/>
              </w:rPr>
              <w:t>úspora prvý rok</w:t>
            </w:r>
          </w:p>
        </w:tc>
        <w:tc>
          <w:tcPr>
            <w:tcW w:w="1559" w:type="dxa"/>
            <w:gridSpan w:val="2"/>
            <w:tcBorders>
              <w:top w:val="single" w:sz="4" w:space="0" w:color="auto"/>
              <w:left w:val="nil"/>
              <w:bottom w:val="nil"/>
              <w:right w:val="single" w:sz="4" w:space="0" w:color="000000"/>
            </w:tcBorders>
            <w:shd w:val="clear" w:color="auto" w:fill="auto"/>
            <w:noWrap/>
            <w:vAlign w:val="center"/>
            <w:hideMark/>
          </w:tcPr>
          <w:p w14:paraId="23C876DB" w14:textId="77777777" w:rsidR="004B0D75" w:rsidRPr="000939E3" w:rsidRDefault="004B0D75" w:rsidP="001D63C0">
            <w:pPr>
              <w:spacing w:after="0" w:line="240" w:lineRule="auto"/>
              <w:jc w:val="center"/>
              <w:rPr>
                <w:rFonts w:eastAsia="Times New Roman" w:cs="Times New Roman"/>
                <w:b/>
                <w:color w:val="000000"/>
                <w:sz w:val="16"/>
                <w:szCs w:val="20"/>
              </w:rPr>
            </w:pPr>
            <w:r w:rsidRPr="000939E3">
              <w:rPr>
                <w:rFonts w:eastAsia="Times New Roman" w:cs="Times New Roman"/>
                <w:b/>
                <w:color w:val="000000"/>
                <w:sz w:val="16"/>
                <w:szCs w:val="20"/>
              </w:rPr>
              <w:t>potenciál</w:t>
            </w:r>
          </w:p>
        </w:tc>
      </w:tr>
      <w:tr w:rsidR="005D4340" w:rsidRPr="000939E3" w14:paraId="0DE0FCD9" w14:textId="77777777" w:rsidTr="001D63C0">
        <w:trPr>
          <w:trHeight w:val="416"/>
          <w:tblHeader/>
        </w:trPr>
        <w:tc>
          <w:tcPr>
            <w:tcW w:w="1134" w:type="dxa"/>
            <w:vMerge/>
            <w:tcBorders>
              <w:left w:val="single" w:sz="4" w:space="0" w:color="auto"/>
              <w:bottom w:val="single" w:sz="4" w:space="0" w:color="000000"/>
              <w:right w:val="nil"/>
            </w:tcBorders>
            <w:vAlign w:val="center"/>
            <w:hideMark/>
          </w:tcPr>
          <w:p w14:paraId="61A69619" w14:textId="0393CB33" w:rsidR="004B0D75" w:rsidRPr="000939E3" w:rsidRDefault="004B0D75" w:rsidP="00ED42F5">
            <w:pPr>
              <w:spacing w:after="0" w:line="240" w:lineRule="auto"/>
              <w:jc w:val="left"/>
              <w:rPr>
                <w:rFonts w:eastAsia="Times New Roman" w:cs="Times New Roman"/>
                <w:b/>
                <w:bCs/>
                <w:color w:val="000000"/>
                <w:sz w:val="16"/>
                <w:szCs w:val="20"/>
              </w:rPr>
            </w:pPr>
          </w:p>
        </w:tc>
        <w:tc>
          <w:tcPr>
            <w:tcW w:w="2977" w:type="dxa"/>
            <w:vMerge/>
            <w:tcBorders>
              <w:left w:val="nil"/>
              <w:bottom w:val="single" w:sz="4" w:space="0" w:color="000000"/>
              <w:right w:val="nil"/>
            </w:tcBorders>
            <w:vAlign w:val="center"/>
          </w:tcPr>
          <w:p w14:paraId="0DC9B584" w14:textId="0A38D702" w:rsidR="004B0D75" w:rsidRPr="000939E3" w:rsidRDefault="004B0D75" w:rsidP="004B0D75">
            <w:pPr>
              <w:spacing w:after="0" w:line="240" w:lineRule="auto"/>
              <w:jc w:val="left"/>
              <w:rPr>
                <w:rFonts w:eastAsia="Times New Roman" w:cs="Times New Roman"/>
                <w:b/>
                <w:bCs/>
                <w:color w:val="000000"/>
                <w:sz w:val="16"/>
                <w:szCs w:val="20"/>
              </w:rPr>
            </w:pPr>
          </w:p>
        </w:tc>
        <w:tc>
          <w:tcPr>
            <w:tcW w:w="851" w:type="dxa"/>
            <w:vMerge/>
            <w:tcBorders>
              <w:left w:val="nil"/>
              <w:bottom w:val="single" w:sz="4" w:space="0" w:color="000000"/>
              <w:right w:val="nil"/>
            </w:tcBorders>
            <w:vAlign w:val="center"/>
            <w:hideMark/>
          </w:tcPr>
          <w:p w14:paraId="4ED92CE0" w14:textId="53ED44C7" w:rsidR="004B0D75" w:rsidRPr="000939E3" w:rsidRDefault="004B0D75" w:rsidP="00ED42F5">
            <w:pPr>
              <w:spacing w:after="0" w:line="240" w:lineRule="auto"/>
              <w:jc w:val="left"/>
              <w:rPr>
                <w:rFonts w:eastAsia="Times New Roman" w:cs="Times New Roman"/>
                <w:b/>
                <w:bCs/>
                <w:color w:val="000000"/>
                <w:sz w:val="16"/>
                <w:szCs w:val="20"/>
              </w:rPr>
            </w:pPr>
          </w:p>
        </w:tc>
        <w:tc>
          <w:tcPr>
            <w:tcW w:w="850" w:type="dxa"/>
            <w:vMerge/>
            <w:tcBorders>
              <w:left w:val="nil"/>
              <w:bottom w:val="single" w:sz="4" w:space="0" w:color="000000"/>
              <w:right w:val="nil"/>
            </w:tcBorders>
            <w:vAlign w:val="center"/>
            <w:hideMark/>
          </w:tcPr>
          <w:p w14:paraId="7C9B6783" w14:textId="42079947" w:rsidR="004B0D75" w:rsidRPr="000939E3" w:rsidRDefault="004B0D75" w:rsidP="00ED42F5">
            <w:pPr>
              <w:spacing w:after="0" w:line="240" w:lineRule="auto"/>
              <w:jc w:val="left"/>
              <w:rPr>
                <w:rFonts w:eastAsia="Times New Roman" w:cs="Times New Roman"/>
                <w:b/>
                <w:color w:val="000000"/>
                <w:sz w:val="16"/>
                <w:szCs w:val="20"/>
              </w:rPr>
            </w:pPr>
          </w:p>
        </w:tc>
        <w:tc>
          <w:tcPr>
            <w:tcW w:w="851" w:type="dxa"/>
            <w:tcBorders>
              <w:top w:val="nil"/>
              <w:left w:val="single" w:sz="4" w:space="0" w:color="auto"/>
              <w:bottom w:val="single" w:sz="4" w:space="0" w:color="auto"/>
              <w:right w:val="nil"/>
            </w:tcBorders>
            <w:shd w:val="clear" w:color="auto" w:fill="auto"/>
            <w:vAlign w:val="center"/>
            <w:hideMark/>
          </w:tcPr>
          <w:p w14:paraId="70DEFA22" w14:textId="77777777" w:rsidR="004B0D75" w:rsidRPr="000939E3" w:rsidRDefault="004B0D75" w:rsidP="001D63C0">
            <w:pPr>
              <w:spacing w:after="0" w:line="240" w:lineRule="auto"/>
              <w:jc w:val="center"/>
              <w:rPr>
                <w:rFonts w:eastAsia="Times New Roman" w:cs="Times New Roman"/>
                <w:b/>
                <w:color w:val="000000"/>
                <w:sz w:val="16"/>
                <w:szCs w:val="20"/>
              </w:rPr>
            </w:pPr>
            <w:r w:rsidRPr="000939E3">
              <w:rPr>
                <w:rFonts w:eastAsia="Times New Roman" w:cs="Times New Roman"/>
                <w:b/>
                <w:color w:val="000000"/>
                <w:sz w:val="16"/>
                <w:szCs w:val="20"/>
              </w:rPr>
              <w:t>úspora (FTE)</w:t>
            </w:r>
          </w:p>
        </w:tc>
        <w:tc>
          <w:tcPr>
            <w:tcW w:w="850" w:type="dxa"/>
            <w:tcBorders>
              <w:top w:val="nil"/>
              <w:left w:val="nil"/>
              <w:bottom w:val="single" w:sz="4" w:space="0" w:color="auto"/>
              <w:right w:val="single" w:sz="4" w:space="0" w:color="auto"/>
            </w:tcBorders>
            <w:shd w:val="clear" w:color="auto" w:fill="auto"/>
            <w:vAlign w:val="center"/>
            <w:hideMark/>
          </w:tcPr>
          <w:p w14:paraId="352ED9C5" w14:textId="77777777" w:rsidR="004B0D75" w:rsidRPr="000939E3" w:rsidRDefault="004B0D75" w:rsidP="001D63C0">
            <w:pPr>
              <w:spacing w:after="0" w:line="240" w:lineRule="auto"/>
              <w:jc w:val="center"/>
              <w:rPr>
                <w:rFonts w:eastAsia="Times New Roman" w:cs="Times New Roman"/>
                <w:b/>
                <w:color w:val="000000"/>
                <w:sz w:val="16"/>
                <w:szCs w:val="20"/>
              </w:rPr>
            </w:pPr>
            <w:r w:rsidRPr="000939E3">
              <w:rPr>
                <w:rFonts w:eastAsia="Times New Roman" w:cs="Times New Roman"/>
                <w:b/>
                <w:color w:val="000000"/>
                <w:sz w:val="16"/>
                <w:szCs w:val="20"/>
              </w:rPr>
              <w:t>úspora (mil. eur)</w:t>
            </w:r>
          </w:p>
        </w:tc>
        <w:tc>
          <w:tcPr>
            <w:tcW w:w="709" w:type="dxa"/>
            <w:tcBorders>
              <w:top w:val="nil"/>
              <w:left w:val="nil"/>
              <w:bottom w:val="single" w:sz="4" w:space="0" w:color="auto"/>
              <w:right w:val="nil"/>
            </w:tcBorders>
            <w:shd w:val="clear" w:color="auto" w:fill="auto"/>
            <w:vAlign w:val="center"/>
            <w:hideMark/>
          </w:tcPr>
          <w:p w14:paraId="6165384D" w14:textId="77777777" w:rsidR="004B0D75" w:rsidRPr="000939E3" w:rsidRDefault="004B0D75" w:rsidP="001D63C0">
            <w:pPr>
              <w:spacing w:after="0" w:line="240" w:lineRule="auto"/>
              <w:jc w:val="center"/>
              <w:rPr>
                <w:rFonts w:eastAsia="Times New Roman" w:cs="Times New Roman"/>
                <w:b/>
                <w:color w:val="000000"/>
                <w:sz w:val="16"/>
                <w:szCs w:val="20"/>
              </w:rPr>
            </w:pPr>
            <w:r w:rsidRPr="000939E3">
              <w:rPr>
                <w:rFonts w:eastAsia="Times New Roman" w:cs="Times New Roman"/>
                <w:b/>
                <w:color w:val="000000"/>
                <w:sz w:val="16"/>
                <w:szCs w:val="20"/>
              </w:rPr>
              <w:t>úspora (FTE)</w:t>
            </w:r>
          </w:p>
        </w:tc>
        <w:tc>
          <w:tcPr>
            <w:tcW w:w="850" w:type="dxa"/>
            <w:tcBorders>
              <w:top w:val="nil"/>
              <w:left w:val="nil"/>
              <w:bottom w:val="single" w:sz="4" w:space="0" w:color="auto"/>
              <w:right w:val="single" w:sz="4" w:space="0" w:color="auto"/>
            </w:tcBorders>
            <w:shd w:val="clear" w:color="auto" w:fill="auto"/>
            <w:vAlign w:val="center"/>
            <w:hideMark/>
          </w:tcPr>
          <w:p w14:paraId="032DC4BB" w14:textId="77777777" w:rsidR="004B0D75" w:rsidRPr="000939E3" w:rsidRDefault="004B0D75" w:rsidP="001D63C0">
            <w:pPr>
              <w:spacing w:after="0" w:line="240" w:lineRule="auto"/>
              <w:jc w:val="center"/>
              <w:rPr>
                <w:rFonts w:eastAsia="Times New Roman" w:cs="Times New Roman"/>
                <w:b/>
                <w:color w:val="000000"/>
                <w:sz w:val="16"/>
                <w:szCs w:val="20"/>
              </w:rPr>
            </w:pPr>
            <w:r w:rsidRPr="000939E3">
              <w:rPr>
                <w:rFonts w:eastAsia="Times New Roman" w:cs="Times New Roman"/>
                <w:b/>
                <w:color w:val="000000"/>
                <w:sz w:val="16"/>
                <w:szCs w:val="20"/>
              </w:rPr>
              <w:t>úspora (mil. eur)</w:t>
            </w:r>
          </w:p>
        </w:tc>
      </w:tr>
      <w:tr w:rsidR="005D4340" w:rsidRPr="000939E3" w14:paraId="65F5053A"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0B50CC2E" w14:textId="579C10B6"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MF SR</w:t>
            </w:r>
          </w:p>
        </w:tc>
        <w:tc>
          <w:tcPr>
            <w:tcW w:w="2977" w:type="dxa"/>
            <w:tcBorders>
              <w:top w:val="nil"/>
              <w:left w:val="nil"/>
              <w:bottom w:val="nil"/>
              <w:right w:val="nil"/>
            </w:tcBorders>
            <w:shd w:val="clear" w:color="000000" w:fill="DEEAF6"/>
            <w:vAlign w:val="center"/>
          </w:tcPr>
          <w:p w14:paraId="0F6BADD0" w14:textId="1F064A5A"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Centrálny ekonomický systém</w:t>
            </w:r>
            <w:r w:rsidR="005E0C5A" w:rsidRPr="000939E3">
              <w:rPr>
                <w:bCs/>
                <w:color w:val="000000"/>
                <w:sz w:val="16"/>
                <w:szCs w:val="16"/>
              </w:rPr>
              <w:t>*</w:t>
            </w:r>
          </w:p>
        </w:tc>
        <w:tc>
          <w:tcPr>
            <w:tcW w:w="851" w:type="dxa"/>
            <w:tcBorders>
              <w:top w:val="nil"/>
              <w:left w:val="nil"/>
              <w:bottom w:val="nil"/>
              <w:right w:val="nil"/>
            </w:tcBorders>
            <w:shd w:val="clear" w:color="000000" w:fill="DEEAF6"/>
            <w:noWrap/>
            <w:vAlign w:val="center"/>
          </w:tcPr>
          <w:p w14:paraId="35B5C5CC" w14:textId="615ADD48"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2023</w:t>
            </w:r>
          </w:p>
        </w:tc>
        <w:tc>
          <w:tcPr>
            <w:tcW w:w="850" w:type="dxa"/>
            <w:tcBorders>
              <w:top w:val="nil"/>
              <w:left w:val="nil"/>
              <w:bottom w:val="nil"/>
              <w:right w:val="nil"/>
            </w:tcBorders>
            <w:shd w:val="clear" w:color="000000" w:fill="DEEAF6"/>
            <w:noWrap/>
            <w:vAlign w:val="center"/>
          </w:tcPr>
          <w:p w14:paraId="1971E8B8" w14:textId="75E8098A"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41F9AADE" w14:textId="61C2F30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62</w:t>
            </w:r>
          </w:p>
        </w:tc>
        <w:tc>
          <w:tcPr>
            <w:tcW w:w="850" w:type="dxa"/>
            <w:tcBorders>
              <w:top w:val="nil"/>
              <w:left w:val="nil"/>
              <w:bottom w:val="nil"/>
              <w:right w:val="single" w:sz="4" w:space="0" w:color="auto"/>
            </w:tcBorders>
            <w:shd w:val="clear" w:color="000000" w:fill="DEEAF6"/>
            <w:noWrap/>
            <w:vAlign w:val="center"/>
          </w:tcPr>
          <w:p w14:paraId="221CE031" w14:textId="0EF27C8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1,2</w:t>
            </w:r>
          </w:p>
        </w:tc>
        <w:tc>
          <w:tcPr>
            <w:tcW w:w="709" w:type="dxa"/>
            <w:tcBorders>
              <w:top w:val="nil"/>
              <w:left w:val="nil"/>
              <w:bottom w:val="nil"/>
              <w:right w:val="nil"/>
            </w:tcBorders>
            <w:shd w:val="clear" w:color="000000" w:fill="DEEAF6"/>
            <w:noWrap/>
            <w:vAlign w:val="center"/>
          </w:tcPr>
          <w:p w14:paraId="48D16D99" w14:textId="079F51B6"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1 032</w:t>
            </w:r>
          </w:p>
        </w:tc>
        <w:tc>
          <w:tcPr>
            <w:tcW w:w="850" w:type="dxa"/>
            <w:tcBorders>
              <w:top w:val="nil"/>
              <w:left w:val="nil"/>
              <w:bottom w:val="nil"/>
              <w:right w:val="single" w:sz="4" w:space="0" w:color="auto"/>
            </w:tcBorders>
            <w:shd w:val="clear" w:color="000000" w:fill="DEEAF6"/>
            <w:noWrap/>
            <w:vAlign w:val="center"/>
          </w:tcPr>
          <w:p w14:paraId="25667075" w14:textId="060E555D"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19,6</w:t>
            </w:r>
          </w:p>
        </w:tc>
      </w:tr>
      <w:tr w:rsidR="005D4340" w:rsidRPr="000939E3" w14:paraId="35BC7726"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03D68247"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28E67A1E"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5750891A" w14:textId="30F7AE4C"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47A883D6" w14:textId="6EED84A2"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26D676F8" w14:textId="29062F5E"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0C9ED3DA" w14:textId="6D53EE0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c>
          <w:tcPr>
            <w:tcW w:w="709" w:type="dxa"/>
            <w:tcBorders>
              <w:top w:val="nil"/>
              <w:left w:val="nil"/>
              <w:bottom w:val="nil"/>
              <w:right w:val="nil"/>
            </w:tcBorders>
            <w:shd w:val="clear" w:color="auto" w:fill="auto"/>
            <w:noWrap/>
            <w:vAlign w:val="center"/>
          </w:tcPr>
          <w:p w14:paraId="4431F7CF" w14:textId="47DE99C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4BFCA115" w14:textId="41BEDD4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1,7</w:t>
            </w:r>
          </w:p>
        </w:tc>
      </w:tr>
      <w:tr w:rsidR="005D4340" w:rsidRPr="000939E3" w14:paraId="4E8E903F"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1A33C273" w14:textId="523BF982"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MF SR</w:t>
            </w:r>
          </w:p>
        </w:tc>
        <w:tc>
          <w:tcPr>
            <w:tcW w:w="2977" w:type="dxa"/>
            <w:tcBorders>
              <w:top w:val="nil"/>
              <w:left w:val="nil"/>
              <w:bottom w:val="nil"/>
              <w:right w:val="nil"/>
            </w:tcBorders>
            <w:shd w:val="clear" w:color="000000" w:fill="DEEAF6"/>
            <w:vAlign w:val="center"/>
          </w:tcPr>
          <w:p w14:paraId="4E48E96F" w14:textId="4F5F0FFF"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IS elektronickej fakturácie</w:t>
            </w:r>
            <w:r w:rsidR="005E0C5A" w:rsidRPr="000939E3">
              <w:rPr>
                <w:bCs/>
                <w:color w:val="000000"/>
                <w:sz w:val="16"/>
                <w:szCs w:val="16"/>
              </w:rPr>
              <w:t>*</w:t>
            </w:r>
          </w:p>
        </w:tc>
        <w:tc>
          <w:tcPr>
            <w:tcW w:w="851" w:type="dxa"/>
            <w:tcBorders>
              <w:top w:val="nil"/>
              <w:left w:val="nil"/>
              <w:bottom w:val="nil"/>
              <w:right w:val="nil"/>
            </w:tcBorders>
            <w:shd w:val="clear" w:color="000000" w:fill="DEEAF6"/>
            <w:noWrap/>
            <w:vAlign w:val="center"/>
          </w:tcPr>
          <w:p w14:paraId="4EB780DB" w14:textId="6209F7D4"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2024</w:t>
            </w:r>
          </w:p>
        </w:tc>
        <w:tc>
          <w:tcPr>
            <w:tcW w:w="850" w:type="dxa"/>
            <w:tcBorders>
              <w:top w:val="nil"/>
              <w:left w:val="nil"/>
              <w:bottom w:val="nil"/>
              <w:right w:val="nil"/>
            </w:tcBorders>
            <w:shd w:val="clear" w:color="000000" w:fill="DEEAF6"/>
            <w:noWrap/>
            <w:vAlign w:val="center"/>
          </w:tcPr>
          <w:p w14:paraId="70D72B8B" w14:textId="33756672"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09AE7979" w14:textId="39E7E28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78</w:t>
            </w:r>
          </w:p>
        </w:tc>
        <w:tc>
          <w:tcPr>
            <w:tcW w:w="850" w:type="dxa"/>
            <w:tcBorders>
              <w:top w:val="nil"/>
              <w:left w:val="nil"/>
              <w:bottom w:val="nil"/>
              <w:right w:val="single" w:sz="4" w:space="0" w:color="auto"/>
            </w:tcBorders>
            <w:shd w:val="clear" w:color="000000" w:fill="DEEAF6"/>
            <w:noWrap/>
            <w:vAlign w:val="center"/>
          </w:tcPr>
          <w:p w14:paraId="0576C1BF" w14:textId="0FE9467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1,5</w:t>
            </w:r>
          </w:p>
        </w:tc>
        <w:tc>
          <w:tcPr>
            <w:tcW w:w="709" w:type="dxa"/>
            <w:tcBorders>
              <w:top w:val="nil"/>
              <w:left w:val="nil"/>
              <w:bottom w:val="nil"/>
              <w:right w:val="nil"/>
            </w:tcBorders>
            <w:shd w:val="clear" w:color="000000" w:fill="DEEAF6"/>
            <w:noWrap/>
            <w:vAlign w:val="center"/>
          </w:tcPr>
          <w:p w14:paraId="37F36500" w14:textId="0340B6F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78</w:t>
            </w:r>
          </w:p>
        </w:tc>
        <w:tc>
          <w:tcPr>
            <w:tcW w:w="850" w:type="dxa"/>
            <w:tcBorders>
              <w:top w:val="nil"/>
              <w:left w:val="nil"/>
              <w:bottom w:val="nil"/>
              <w:right w:val="single" w:sz="4" w:space="0" w:color="auto"/>
            </w:tcBorders>
            <w:shd w:val="clear" w:color="000000" w:fill="DEEAF6"/>
            <w:noWrap/>
            <w:vAlign w:val="center"/>
          </w:tcPr>
          <w:p w14:paraId="0F7675B6" w14:textId="64B71D7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1,5</w:t>
            </w:r>
          </w:p>
        </w:tc>
      </w:tr>
      <w:tr w:rsidR="005D4340" w:rsidRPr="000939E3" w14:paraId="0313F37C"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4E40A584"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7AB6B46C"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211A909F" w14:textId="5E3036E4"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132AEB2C" w14:textId="5FF2E109"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708CAE6E" w14:textId="03AFEF9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600C9BAF" w14:textId="0F8714C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-0,5</w:t>
            </w:r>
          </w:p>
        </w:tc>
        <w:tc>
          <w:tcPr>
            <w:tcW w:w="709" w:type="dxa"/>
            <w:tcBorders>
              <w:top w:val="nil"/>
              <w:left w:val="nil"/>
              <w:bottom w:val="nil"/>
              <w:right w:val="nil"/>
            </w:tcBorders>
            <w:shd w:val="clear" w:color="auto" w:fill="auto"/>
            <w:noWrap/>
            <w:vAlign w:val="center"/>
          </w:tcPr>
          <w:p w14:paraId="5EBD6DCD" w14:textId="4C33D9A0"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242A3A86" w14:textId="7C309AB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3910C56A"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2F70967E" w14:textId="6FACB5F9"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MF SR</w:t>
            </w:r>
          </w:p>
        </w:tc>
        <w:tc>
          <w:tcPr>
            <w:tcW w:w="2977" w:type="dxa"/>
            <w:tcBorders>
              <w:top w:val="nil"/>
              <w:left w:val="nil"/>
              <w:bottom w:val="nil"/>
              <w:right w:val="nil"/>
            </w:tcBorders>
            <w:shd w:val="clear" w:color="000000" w:fill="DEEAF6"/>
            <w:vAlign w:val="center"/>
          </w:tcPr>
          <w:p w14:paraId="51178C4C" w14:textId="76814DE4"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Vybudovanie nosnej infraštruktúry bezpečného informačno</w:t>
            </w:r>
            <w:r w:rsidR="00884329" w:rsidRPr="000939E3">
              <w:rPr>
                <w:bCs/>
                <w:color w:val="000000"/>
                <w:sz w:val="16"/>
                <w:szCs w:val="16"/>
              </w:rPr>
              <w:t>-</w:t>
            </w:r>
            <w:r w:rsidRPr="000939E3">
              <w:rPr>
                <w:bCs/>
                <w:color w:val="000000"/>
                <w:sz w:val="16"/>
                <w:szCs w:val="16"/>
              </w:rPr>
              <w:t>komunikačného systému FS SR</w:t>
            </w:r>
          </w:p>
        </w:tc>
        <w:tc>
          <w:tcPr>
            <w:tcW w:w="851" w:type="dxa"/>
            <w:tcBorders>
              <w:top w:val="nil"/>
              <w:left w:val="nil"/>
              <w:bottom w:val="nil"/>
              <w:right w:val="nil"/>
            </w:tcBorders>
            <w:shd w:val="clear" w:color="000000" w:fill="DEEAF6"/>
            <w:noWrap/>
            <w:vAlign w:val="center"/>
          </w:tcPr>
          <w:p w14:paraId="0D4A2D54" w14:textId="2C12F9FA"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2023</w:t>
            </w:r>
          </w:p>
        </w:tc>
        <w:tc>
          <w:tcPr>
            <w:tcW w:w="850" w:type="dxa"/>
            <w:tcBorders>
              <w:top w:val="nil"/>
              <w:left w:val="nil"/>
              <w:bottom w:val="nil"/>
              <w:right w:val="nil"/>
            </w:tcBorders>
            <w:shd w:val="clear" w:color="000000" w:fill="DEEAF6"/>
            <w:noWrap/>
            <w:vAlign w:val="center"/>
          </w:tcPr>
          <w:p w14:paraId="71B9B9EB" w14:textId="6F0CA91C"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7D1E545E" w14:textId="53C0875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21</w:t>
            </w:r>
          </w:p>
        </w:tc>
        <w:tc>
          <w:tcPr>
            <w:tcW w:w="850" w:type="dxa"/>
            <w:tcBorders>
              <w:top w:val="nil"/>
              <w:left w:val="nil"/>
              <w:bottom w:val="nil"/>
              <w:right w:val="single" w:sz="4" w:space="0" w:color="auto"/>
            </w:tcBorders>
            <w:shd w:val="clear" w:color="000000" w:fill="DEEAF6"/>
            <w:noWrap/>
            <w:vAlign w:val="center"/>
          </w:tcPr>
          <w:p w14:paraId="0F979EDA" w14:textId="1C14EB4D"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0,5</w:t>
            </w:r>
          </w:p>
        </w:tc>
        <w:tc>
          <w:tcPr>
            <w:tcW w:w="709" w:type="dxa"/>
            <w:tcBorders>
              <w:top w:val="nil"/>
              <w:left w:val="nil"/>
              <w:bottom w:val="nil"/>
              <w:right w:val="nil"/>
            </w:tcBorders>
            <w:shd w:val="clear" w:color="000000" w:fill="DEEAF6"/>
            <w:noWrap/>
            <w:vAlign w:val="center"/>
          </w:tcPr>
          <w:p w14:paraId="46B5B8AF" w14:textId="6993A284"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21</w:t>
            </w:r>
          </w:p>
        </w:tc>
        <w:tc>
          <w:tcPr>
            <w:tcW w:w="850" w:type="dxa"/>
            <w:tcBorders>
              <w:top w:val="nil"/>
              <w:left w:val="nil"/>
              <w:bottom w:val="nil"/>
              <w:right w:val="single" w:sz="4" w:space="0" w:color="auto"/>
            </w:tcBorders>
            <w:shd w:val="clear" w:color="000000" w:fill="DEEAF6"/>
            <w:noWrap/>
            <w:vAlign w:val="center"/>
          </w:tcPr>
          <w:p w14:paraId="447AE0D9" w14:textId="5FCE8EF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0,5</w:t>
            </w:r>
          </w:p>
        </w:tc>
      </w:tr>
      <w:tr w:rsidR="005D4340" w:rsidRPr="000939E3" w14:paraId="20E89867"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53725284"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0EEFB5A6"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63D47814" w14:textId="0F6E20DF"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690F8735" w14:textId="124FCB50"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13C2E455" w14:textId="1A378246"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36BE4FD2" w14:textId="5E8D727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-4,2</w:t>
            </w:r>
          </w:p>
        </w:tc>
        <w:tc>
          <w:tcPr>
            <w:tcW w:w="709" w:type="dxa"/>
            <w:tcBorders>
              <w:top w:val="nil"/>
              <w:left w:val="nil"/>
              <w:bottom w:val="nil"/>
              <w:right w:val="nil"/>
            </w:tcBorders>
            <w:shd w:val="clear" w:color="auto" w:fill="auto"/>
            <w:noWrap/>
            <w:vAlign w:val="center"/>
          </w:tcPr>
          <w:p w14:paraId="3E08F4F2" w14:textId="736D6AE3"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78A9B097" w14:textId="47AA8BFD"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38894BF8"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162B7186" w14:textId="74C936C2"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MH SR</w:t>
            </w:r>
          </w:p>
        </w:tc>
        <w:tc>
          <w:tcPr>
            <w:tcW w:w="2977" w:type="dxa"/>
            <w:tcBorders>
              <w:top w:val="nil"/>
              <w:left w:val="nil"/>
              <w:bottom w:val="nil"/>
              <w:right w:val="nil"/>
            </w:tcBorders>
            <w:shd w:val="clear" w:color="000000" w:fill="DEEAF6"/>
            <w:vAlign w:val="center"/>
          </w:tcPr>
          <w:p w14:paraId="4B8196EB" w14:textId="6646A61D"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IT platforma lepšej regulácie podľa stratégie RIA 2020</w:t>
            </w:r>
          </w:p>
        </w:tc>
        <w:tc>
          <w:tcPr>
            <w:tcW w:w="851" w:type="dxa"/>
            <w:tcBorders>
              <w:top w:val="nil"/>
              <w:left w:val="nil"/>
              <w:bottom w:val="nil"/>
              <w:right w:val="nil"/>
            </w:tcBorders>
            <w:shd w:val="clear" w:color="000000" w:fill="DEEAF6"/>
            <w:noWrap/>
            <w:vAlign w:val="center"/>
          </w:tcPr>
          <w:p w14:paraId="1BAEEDCF" w14:textId="3F5F8745"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2021</w:t>
            </w:r>
          </w:p>
        </w:tc>
        <w:tc>
          <w:tcPr>
            <w:tcW w:w="850" w:type="dxa"/>
            <w:tcBorders>
              <w:top w:val="nil"/>
              <w:left w:val="nil"/>
              <w:bottom w:val="nil"/>
              <w:right w:val="nil"/>
            </w:tcBorders>
            <w:shd w:val="clear" w:color="000000" w:fill="DEEAF6"/>
            <w:noWrap/>
            <w:vAlign w:val="center"/>
          </w:tcPr>
          <w:p w14:paraId="20E5E6A8" w14:textId="4ED528A6"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2ECE874F" w14:textId="62854630"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w:t>
            </w:r>
          </w:p>
        </w:tc>
        <w:tc>
          <w:tcPr>
            <w:tcW w:w="850" w:type="dxa"/>
            <w:tcBorders>
              <w:top w:val="nil"/>
              <w:left w:val="nil"/>
              <w:bottom w:val="nil"/>
              <w:right w:val="single" w:sz="4" w:space="0" w:color="auto"/>
            </w:tcBorders>
            <w:shd w:val="clear" w:color="000000" w:fill="DEEAF6"/>
            <w:noWrap/>
            <w:vAlign w:val="center"/>
          </w:tcPr>
          <w:p w14:paraId="4429B817" w14:textId="2DE2902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c>
          <w:tcPr>
            <w:tcW w:w="709" w:type="dxa"/>
            <w:tcBorders>
              <w:top w:val="nil"/>
              <w:left w:val="nil"/>
              <w:bottom w:val="nil"/>
              <w:right w:val="nil"/>
            </w:tcBorders>
            <w:shd w:val="clear" w:color="000000" w:fill="DEEAF6"/>
            <w:noWrap/>
            <w:vAlign w:val="center"/>
          </w:tcPr>
          <w:p w14:paraId="0F8834C2" w14:textId="67C0230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10</w:t>
            </w:r>
          </w:p>
        </w:tc>
        <w:tc>
          <w:tcPr>
            <w:tcW w:w="850" w:type="dxa"/>
            <w:tcBorders>
              <w:top w:val="nil"/>
              <w:left w:val="nil"/>
              <w:bottom w:val="nil"/>
              <w:right w:val="single" w:sz="4" w:space="0" w:color="auto"/>
            </w:tcBorders>
            <w:shd w:val="clear" w:color="000000" w:fill="DEEAF6"/>
            <w:noWrap/>
            <w:vAlign w:val="center"/>
          </w:tcPr>
          <w:p w14:paraId="775CA740" w14:textId="510C594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0,2</w:t>
            </w:r>
          </w:p>
        </w:tc>
      </w:tr>
      <w:tr w:rsidR="005D4340" w:rsidRPr="000939E3" w14:paraId="1EF8C98D"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06343D8B"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7FAFD834"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1D29A5CF" w14:textId="4587A41D"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61CAC566" w14:textId="61C99FD4"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3B03B3AB" w14:textId="0F057A36"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18108A41" w14:textId="602E1633"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c>
          <w:tcPr>
            <w:tcW w:w="709" w:type="dxa"/>
            <w:tcBorders>
              <w:top w:val="nil"/>
              <w:left w:val="nil"/>
              <w:bottom w:val="nil"/>
              <w:right w:val="nil"/>
            </w:tcBorders>
            <w:shd w:val="clear" w:color="auto" w:fill="auto"/>
            <w:noWrap/>
            <w:vAlign w:val="center"/>
          </w:tcPr>
          <w:p w14:paraId="4D949F01" w14:textId="63167F4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59A4B677" w14:textId="711E0EC6"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0,1</w:t>
            </w:r>
          </w:p>
        </w:tc>
      </w:tr>
      <w:tr w:rsidR="005D4340" w:rsidRPr="000939E3" w14:paraId="5C5F939D"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4958E34A" w14:textId="2929BA6B"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MK SR</w:t>
            </w:r>
          </w:p>
        </w:tc>
        <w:tc>
          <w:tcPr>
            <w:tcW w:w="2977" w:type="dxa"/>
            <w:tcBorders>
              <w:top w:val="nil"/>
              <w:left w:val="nil"/>
              <w:bottom w:val="nil"/>
              <w:right w:val="nil"/>
            </w:tcBorders>
            <w:shd w:val="clear" w:color="000000" w:fill="DEEAF6"/>
            <w:vAlign w:val="center"/>
          </w:tcPr>
          <w:p w14:paraId="4362A03A" w14:textId="40E15158"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Pamiatkový informačný systém (PAMIS)</w:t>
            </w:r>
          </w:p>
        </w:tc>
        <w:tc>
          <w:tcPr>
            <w:tcW w:w="851" w:type="dxa"/>
            <w:tcBorders>
              <w:top w:val="nil"/>
              <w:left w:val="nil"/>
              <w:bottom w:val="nil"/>
              <w:right w:val="nil"/>
            </w:tcBorders>
            <w:shd w:val="clear" w:color="000000" w:fill="DEEAF6"/>
            <w:noWrap/>
            <w:vAlign w:val="center"/>
          </w:tcPr>
          <w:p w14:paraId="72146925" w14:textId="1EFA78D5"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2024</w:t>
            </w:r>
          </w:p>
        </w:tc>
        <w:tc>
          <w:tcPr>
            <w:tcW w:w="850" w:type="dxa"/>
            <w:tcBorders>
              <w:top w:val="nil"/>
              <w:left w:val="nil"/>
              <w:bottom w:val="nil"/>
              <w:right w:val="nil"/>
            </w:tcBorders>
            <w:shd w:val="clear" w:color="000000" w:fill="DEEAF6"/>
            <w:noWrap/>
            <w:vAlign w:val="center"/>
          </w:tcPr>
          <w:p w14:paraId="1412936D" w14:textId="09FA5162"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27AE6E21" w14:textId="6310D37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5</w:t>
            </w:r>
          </w:p>
        </w:tc>
        <w:tc>
          <w:tcPr>
            <w:tcW w:w="850" w:type="dxa"/>
            <w:tcBorders>
              <w:top w:val="nil"/>
              <w:left w:val="nil"/>
              <w:bottom w:val="nil"/>
              <w:right w:val="single" w:sz="4" w:space="0" w:color="auto"/>
            </w:tcBorders>
            <w:shd w:val="clear" w:color="000000" w:fill="DEEAF6"/>
            <w:noWrap/>
            <w:vAlign w:val="center"/>
          </w:tcPr>
          <w:p w14:paraId="69C39DEF" w14:textId="178CBB1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0,1</w:t>
            </w:r>
          </w:p>
        </w:tc>
        <w:tc>
          <w:tcPr>
            <w:tcW w:w="709" w:type="dxa"/>
            <w:tcBorders>
              <w:top w:val="nil"/>
              <w:left w:val="nil"/>
              <w:bottom w:val="nil"/>
              <w:right w:val="nil"/>
            </w:tcBorders>
            <w:shd w:val="clear" w:color="000000" w:fill="DEEAF6"/>
            <w:noWrap/>
            <w:vAlign w:val="center"/>
          </w:tcPr>
          <w:p w14:paraId="108ED1A3" w14:textId="0CF34DA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24</w:t>
            </w:r>
          </w:p>
        </w:tc>
        <w:tc>
          <w:tcPr>
            <w:tcW w:w="850" w:type="dxa"/>
            <w:tcBorders>
              <w:top w:val="nil"/>
              <w:left w:val="nil"/>
              <w:bottom w:val="nil"/>
              <w:right w:val="single" w:sz="4" w:space="0" w:color="auto"/>
            </w:tcBorders>
            <w:shd w:val="clear" w:color="000000" w:fill="DEEAF6"/>
            <w:noWrap/>
            <w:vAlign w:val="center"/>
          </w:tcPr>
          <w:p w14:paraId="520D1EB3" w14:textId="6CF7051D"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0,5</w:t>
            </w:r>
          </w:p>
        </w:tc>
      </w:tr>
      <w:tr w:rsidR="005D4340" w:rsidRPr="000939E3" w14:paraId="0EE06C06"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59AEDF07"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3D2E1CE5"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24AEE616" w14:textId="39A9ABBC"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64BDABF6" w14:textId="5B8C16A1"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5B7AF1A1" w14:textId="284D0A50"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16949198" w14:textId="2E91612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-1,0</w:t>
            </w:r>
          </w:p>
        </w:tc>
        <w:tc>
          <w:tcPr>
            <w:tcW w:w="709" w:type="dxa"/>
            <w:tcBorders>
              <w:top w:val="nil"/>
              <w:left w:val="nil"/>
              <w:bottom w:val="nil"/>
              <w:right w:val="nil"/>
            </w:tcBorders>
            <w:shd w:val="clear" w:color="auto" w:fill="auto"/>
            <w:noWrap/>
            <w:vAlign w:val="center"/>
          </w:tcPr>
          <w:p w14:paraId="5CA24178" w14:textId="1A48D09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57B67CD9" w14:textId="7676E5E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438322F5"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529CD7D4" w14:textId="4A5EBFD6"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MPSVaR</w:t>
            </w:r>
          </w:p>
        </w:tc>
        <w:tc>
          <w:tcPr>
            <w:tcW w:w="2977" w:type="dxa"/>
            <w:tcBorders>
              <w:top w:val="nil"/>
              <w:left w:val="nil"/>
              <w:bottom w:val="nil"/>
              <w:right w:val="nil"/>
            </w:tcBorders>
            <w:shd w:val="clear" w:color="000000" w:fill="DEEAF6"/>
            <w:vAlign w:val="center"/>
          </w:tcPr>
          <w:p w14:paraId="72560C61" w14:textId="2FF24464"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Elektronizácia služieb Národného inšpektorátu práce (inšpektori a úradníci)</w:t>
            </w:r>
          </w:p>
        </w:tc>
        <w:tc>
          <w:tcPr>
            <w:tcW w:w="851" w:type="dxa"/>
            <w:tcBorders>
              <w:top w:val="nil"/>
              <w:left w:val="nil"/>
              <w:bottom w:val="nil"/>
              <w:right w:val="nil"/>
            </w:tcBorders>
            <w:shd w:val="clear" w:color="000000" w:fill="DEEAF6"/>
            <w:noWrap/>
            <w:vAlign w:val="center"/>
          </w:tcPr>
          <w:p w14:paraId="6610BBF3" w14:textId="7C368D63"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2023</w:t>
            </w:r>
          </w:p>
        </w:tc>
        <w:tc>
          <w:tcPr>
            <w:tcW w:w="850" w:type="dxa"/>
            <w:tcBorders>
              <w:top w:val="nil"/>
              <w:left w:val="nil"/>
              <w:bottom w:val="nil"/>
              <w:right w:val="nil"/>
            </w:tcBorders>
            <w:shd w:val="clear" w:color="000000" w:fill="DEEAF6"/>
            <w:noWrap/>
            <w:vAlign w:val="center"/>
          </w:tcPr>
          <w:p w14:paraId="2B07549C" w14:textId="53DAFFBB"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5345BDC3" w14:textId="13919103"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25</w:t>
            </w:r>
          </w:p>
        </w:tc>
        <w:tc>
          <w:tcPr>
            <w:tcW w:w="850" w:type="dxa"/>
            <w:tcBorders>
              <w:top w:val="nil"/>
              <w:left w:val="nil"/>
              <w:bottom w:val="nil"/>
              <w:right w:val="single" w:sz="4" w:space="0" w:color="auto"/>
            </w:tcBorders>
            <w:shd w:val="clear" w:color="000000" w:fill="DEEAF6"/>
            <w:noWrap/>
            <w:vAlign w:val="center"/>
          </w:tcPr>
          <w:p w14:paraId="358DBA8E" w14:textId="5274DF0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0,5</w:t>
            </w:r>
          </w:p>
        </w:tc>
        <w:tc>
          <w:tcPr>
            <w:tcW w:w="709" w:type="dxa"/>
            <w:tcBorders>
              <w:top w:val="nil"/>
              <w:left w:val="nil"/>
              <w:bottom w:val="nil"/>
              <w:right w:val="nil"/>
            </w:tcBorders>
            <w:shd w:val="clear" w:color="000000" w:fill="DEEAF6"/>
            <w:noWrap/>
            <w:vAlign w:val="center"/>
          </w:tcPr>
          <w:p w14:paraId="193AB5D3" w14:textId="689CFF8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25</w:t>
            </w:r>
          </w:p>
        </w:tc>
        <w:tc>
          <w:tcPr>
            <w:tcW w:w="850" w:type="dxa"/>
            <w:tcBorders>
              <w:top w:val="nil"/>
              <w:left w:val="nil"/>
              <w:bottom w:val="nil"/>
              <w:right w:val="single" w:sz="4" w:space="0" w:color="auto"/>
            </w:tcBorders>
            <w:shd w:val="clear" w:color="000000" w:fill="DEEAF6"/>
            <w:noWrap/>
            <w:vAlign w:val="center"/>
          </w:tcPr>
          <w:p w14:paraId="7C5E2A21" w14:textId="6A04FFFE"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0,5</w:t>
            </w:r>
          </w:p>
        </w:tc>
      </w:tr>
      <w:tr w:rsidR="005D4340" w:rsidRPr="000939E3" w14:paraId="19D2C712"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18E0EB4C"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48B52AD5"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07AF715E" w14:textId="6A25D6FA"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709CE3CF" w14:textId="5CDD9474"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4DDC7309" w14:textId="3B95168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1D35FD68" w14:textId="618E4AED"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-0,4</w:t>
            </w:r>
          </w:p>
        </w:tc>
        <w:tc>
          <w:tcPr>
            <w:tcW w:w="709" w:type="dxa"/>
            <w:tcBorders>
              <w:top w:val="nil"/>
              <w:left w:val="nil"/>
              <w:bottom w:val="nil"/>
              <w:right w:val="nil"/>
            </w:tcBorders>
            <w:shd w:val="clear" w:color="auto" w:fill="auto"/>
            <w:noWrap/>
            <w:vAlign w:val="center"/>
          </w:tcPr>
          <w:p w14:paraId="3B475027" w14:textId="2ADD590A"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39DACC0C" w14:textId="08ADA08A"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5FC3475B"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462BC7CB" w14:textId="07F481B0"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MS SR</w:t>
            </w:r>
          </w:p>
        </w:tc>
        <w:tc>
          <w:tcPr>
            <w:tcW w:w="2977" w:type="dxa"/>
            <w:tcBorders>
              <w:top w:val="nil"/>
              <w:left w:val="nil"/>
              <w:bottom w:val="nil"/>
              <w:right w:val="nil"/>
            </w:tcBorders>
            <w:shd w:val="clear" w:color="000000" w:fill="DEEAF6"/>
            <w:vAlign w:val="center"/>
          </w:tcPr>
          <w:p w14:paraId="4C525B74" w14:textId="4A1FEF37"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Obchodný register SR</w:t>
            </w:r>
          </w:p>
        </w:tc>
        <w:tc>
          <w:tcPr>
            <w:tcW w:w="851" w:type="dxa"/>
            <w:tcBorders>
              <w:top w:val="nil"/>
              <w:left w:val="nil"/>
              <w:bottom w:val="nil"/>
              <w:right w:val="nil"/>
            </w:tcBorders>
            <w:shd w:val="clear" w:color="000000" w:fill="DEEAF6"/>
            <w:noWrap/>
            <w:vAlign w:val="center"/>
          </w:tcPr>
          <w:p w14:paraId="189C90D0" w14:textId="4628E640"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2021</w:t>
            </w:r>
          </w:p>
        </w:tc>
        <w:tc>
          <w:tcPr>
            <w:tcW w:w="850" w:type="dxa"/>
            <w:tcBorders>
              <w:top w:val="nil"/>
              <w:left w:val="nil"/>
              <w:bottom w:val="nil"/>
              <w:right w:val="nil"/>
            </w:tcBorders>
            <w:shd w:val="clear" w:color="000000" w:fill="DEEAF6"/>
            <w:noWrap/>
            <w:vAlign w:val="center"/>
          </w:tcPr>
          <w:p w14:paraId="496C3BC7" w14:textId="2A15F3DA"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583E0E51" w14:textId="2738BA6E"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16</w:t>
            </w:r>
          </w:p>
        </w:tc>
        <w:tc>
          <w:tcPr>
            <w:tcW w:w="850" w:type="dxa"/>
            <w:tcBorders>
              <w:top w:val="nil"/>
              <w:left w:val="nil"/>
              <w:bottom w:val="nil"/>
              <w:right w:val="single" w:sz="4" w:space="0" w:color="auto"/>
            </w:tcBorders>
            <w:shd w:val="clear" w:color="000000" w:fill="DEEAF6"/>
            <w:noWrap/>
            <w:vAlign w:val="center"/>
          </w:tcPr>
          <w:p w14:paraId="5FB82F23" w14:textId="4654C55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0,3</w:t>
            </w:r>
          </w:p>
        </w:tc>
        <w:tc>
          <w:tcPr>
            <w:tcW w:w="709" w:type="dxa"/>
            <w:tcBorders>
              <w:top w:val="nil"/>
              <w:left w:val="nil"/>
              <w:bottom w:val="nil"/>
              <w:right w:val="nil"/>
            </w:tcBorders>
            <w:shd w:val="clear" w:color="000000" w:fill="DEEAF6"/>
            <w:noWrap/>
            <w:vAlign w:val="center"/>
          </w:tcPr>
          <w:p w14:paraId="37F53944" w14:textId="3D2330A3"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51</w:t>
            </w:r>
          </w:p>
        </w:tc>
        <w:tc>
          <w:tcPr>
            <w:tcW w:w="850" w:type="dxa"/>
            <w:tcBorders>
              <w:top w:val="nil"/>
              <w:left w:val="nil"/>
              <w:bottom w:val="nil"/>
              <w:right w:val="single" w:sz="4" w:space="0" w:color="auto"/>
            </w:tcBorders>
            <w:shd w:val="clear" w:color="000000" w:fill="DEEAF6"/>
            <w:noWrap/>
            <w:vAlign w:val="center"/>
          </w:tcPr>
          <w:p w14:paraId="55A2C097" w14:textId="0A0DA02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0,8</w:t>
            </w:r>
          </w:p>
        </w:tc>
      </w:tr>
      <w:tr w:rsidR="005D4340" w:rsidRPr="000939E3" w14:paraId="6C8E9233"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61955A7A"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12E7986A"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39BCF428" w14:textId="0E8B5925"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20EF6359" w14:textId="47C4CD55"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1AC30562" w14:textId="64060A5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46B22EFB" w14:textId="56C6E0D3"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c>
          <w:tcPr>
            <w:tcW w:w="709" w:type="dxa"/>
            <w:tcBorders>
              <w:top w:val="nil"/>
              <w:left w:val="nil"/>
              <w:bottom w:val="nil"/>
              <w:right w:val="nil"/>
            </w:tcBorders>
            <w:shd w:val="clear" w:color="auto" w:fill="auto"/>
            <w:noWrap/>
            <w:vAlign w:val="center"/>
          </w:tcPr>
          <w:p w14:paraId="3CC13DBB" w14:textId="26ABF43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5C6A1403" w14:textId="2DC4BB9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0,2</w:t>
            </w:r>
          </w:p>
        </w:tc>
      </w:tr>
      <w:tr w:rsidR="005D4340" w:rsidRPr="000939E3" w14:paraId="593C6B8F"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348BA9EF" w14:textId="6F5D9959"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MS SR</w:t>
            </w:r>
          </w:p>
        </w:tc>
        <w:tc>
          <w:tcPr>
            <w:tcW w:w="2977" w:type="dxa"/>
            <w:tcBorders>
              <w:top w:val="nil"/>
              <w:left w:val="nil"/>
              <w:bottom w:val="nil"/>
              <w:right w:val="nil"/>
            </w:tcBorders>
            <w:shd w:val="clear" w:color="000000" w:fill="DEEAF6"/>
            <w:vAlign w:val="center"/>
          </w:tcPr>
          <w:p w14:paraId="71B200D3" w14:textId="74D0D115"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Optimalizácia procesov riadenia a prevádzky Zboru väzenskej a justičnej stráže (úradníci aj strážnici)</w:t>
            </w:r>
          </w:p>
        </w:tc>
        <w:tc>
          <w:tcPr>
            <w:tcW w:w="851" w:type="dxa"/>
            <w:tcBorders>
              <w:top w:val="nil"/>
              <w:left w:val="nil"/>
              <w:bottom w:val="nil"/>
              <w:right w:val="nil"/>
            </w:tcBorders>
            <w:shd w:val="clear" w:color="000000" w:fill="DEEAF6"/>
            <w:noWrap/>
            <w:vAlign w:val="center"/>
          </w:tcPr>
          <w:p w14:paraId="6D0315F4" w14:textId="09F2063F"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2024</w:t>
            </w:r>
          </w:p>
        </w:tc>
        <w:tc>
          <w:tcPr>
            <w:tcW w:w="850" w:type="dxa"/>
            <w:tcBorders>
              <w:top w:val="nil"/>
              <w:left w:val="nil"/>
              <w:bottom w:val="nil"/>
              <w:right w:val="nil"/>
            </w:tcBorders>
            <w:shd w:val="clear" w:color="000000" w:fill="DEEAF6"/>
            <w:noWrap/>
            <w:vAlign w:val="center"/>
          </w:tcPr>
          <w:p w14:paraId="2A6E3391" w14:textId="24E65CDB"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60BD1A50" w14:textId="3484F95A"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520</w:t>
            </w:r>
          </w:p>
        </w:tc>
        <w:tc>
          <w:tcPr>
            <w:tcW w:w="850" w:type="dxa"/>
            <w:tcBorders>
              <w:top w:val="nil"/>
              <w:left w:val="nil"/>
              <w:bottom w:val="nil"/>
              <w:right w:val="single" w:sz="4" w:space="0" w:color="auto"/>
            </w:tcBorders>
            <w:shd w:val="clear" w:color="000000" w:fill="DEEAF6"/>
            <w:noWrap/>
            <w:vAlign w:val="center"/>
          </w:tcPr>
          <w:p w14:paraId="51A76AB2" w14:textId="6C5EC99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9,9</w:t>
            </w:r>
          </w:p>
        </w:tc>
        <w:tc>
          <w:tcPr>
            <w:tcW w:w="709" w:type="dxa"/>
            <w:tcBorders>
              <w:top w:val="nil"/>
              <w:left w:val="nil"/>
              <w:bottom w:val="nil"/>
              <w:right w:val="nil"/>
            </w:tcBorders>
            <w:shd w:val="clear" w:color="000000" w:fill="DEEAF6"/>
            <w:noWrap/>
            <w:vAlign w:val="center"/>
          </w:tcPr>
          <w:p w14:paraId="1EB4FD44" w14:textId="0B685BC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520</w:t>
            </w:r>
          </w:p>
        </w:tc>
        <w:tc>
          <w:tcPr>
            <w:tcW w:w="850" w:type="dxa"/>
            <w:tcBorders>
              <w:top w:val="nil"/>
              <w:left w:val="nil"/>
              <w:bottom w:val="nil"/>
              <w:right w:val="single" w:sz="4" w:space="0" w:color="auto"/>
            </w:tcBorders>
            <w:shd w:val="clear" w:color="000000" w:fill="DEEAF6"/>
            <w:noWrap/>
            <w:vAlign w:val="center"/>
          </w:tcPr>
          <w:p w14:paraId="2064E1F0" w14:textId="3D96BF4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9,9</w:t>
            </w:r>
          </w:p>
        </w:tc>
      </w:tr>
      <w:tr w:rsidR="005D4340" w:rsidRPr="000939E3" w14:paraId="5FDE56BB"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7DF72FB4"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447A18B1"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0EEDF5AB" w14:textId="54D6835B"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59F65C8A" w14:textId="5B351801"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5B48F58B" w14:textId="1EE6B8F4"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1900C66A" w14:textId="14523346"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-1,8</w:t>
            </w:r>
          </w:p>
        </w:tc>
        <w:tc>
          <w:tcPr>
            <w:tcW w:w="709" w:type="dxa"/>
            <w:tcBorders>
              <w:top w:val="nil"/>
              <w:left w:val="nil"/>
              <w:bottom w:val="nil"/>
              <w:right w:val="nil"/>
            </w:tcBorders>
            <w:shd w:val="clear" w:color="auto" w:fill="auto"/>
            <w:noWrap/>
            <w:vAlign w:val="center"/>
          </w:tcPr>
          <w:p w14:paraId="4DC8A015" w14:textId="3085B49C"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24B21BB9" w14:textId="146E96A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17CD8851"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6FB22B8F" w14:textId="719606D7"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MS SR</w:t>
            </w:r>
          </w:p>
        </w:tc>
        <w:tc>
          <w:tcPr>
            <w:tcW w:w="2977" w:type="dxa"/>
            <w:tcBorders>
              <w:top w:val="nil"/>
              <w:left w:val="nil"/>
              <w:bottom w:val="nil"/>
              <w:right w:val="nil"/>
            </w:tcBorders>
            <w:shd w:val="clear" w:color="000000" w:fill="DEEAF6"/>
            <w:vAlign w:val="center"/>
          </w:tcPr>
          <w:p w14:paraId="22937377" w14:textId="23914A36"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Centralizovaný systém súdneho riadenia – CSSR</w:t>
            </w:r>
          </w:p>
        </w:tc>
        <w:tc>
          <w:tcPr>
            <w:tcW w:w="851" w:type="dxa"/>
            <w:tcBorders>
              <w:top w:val="nil"/>
              <w:left w:val="nil"/>
              <w:bottom w:val="nil"/>
              <w:right w:val="nil"/>
            </w:tcBorders>
            <w:shd w:val="clear" w:color="000000" w:fill="DEEAF6"/>
            <w:noWrap/>
            <w:vAlign w:val="center"/>
          </w:tcPr>
          <w:p w14:paraId="213DEECF" w14:textId="17D8C6DF"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2024</w:t>
            </w:r>
          </w:p>
        </w:tc>
        <w:tc>
          <w:tcPr>
            <w:tcW w:w="850" w:type="dxa"/>
            <w:tcBorders>
              <w:top w:val="nil"/>
              <w:left w:val="nil"/>
              <w:bottom w:val="nil"/>
              <w:right w:val="nil"/>
            </w:tcBorders>
            <w:shd w:val="clear" w:color="000000" w:fill="DEEAF6"/>
            <w:noWrap/>
            <w:vAlign w:val="center"/>
          </w:tcPr>
          <w:p w14:paraId="5FFF375D" w14:textId="725216E6"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5CFBE584" w14:textId="5245771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348</w:t>
            </w:r>
          </w:p>
        </w:tc>
        <w:tc>
          <w:tcPr>
            <w:tcW w:w="850" w:type="dxa"/>
            <w:tcBorders>
              <w:top w:val="nil"/>
              <w:left w:val="nil"/>
              <w:bottom w:val="nil"/>
              <w:right w:val="single" w:sz="4" w:space="0" w:color="auto"/>
            </w:tcBorders>
            <w:shd w:val="clear" w:color="000000" w:fill="DEEAF6"/>
            <w:noWrap/>
            <w:vAlign w:val="center"/>
          </w:tcPr>
          <w:p w14:paraId="46A0E706" w14:textId="4DF722E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7,5</w:t>
            </w:r>
          </w:p>
        </w:tc>
        <w:tc>
          <w:tcPr>
            <w:tcW w:w="709" w:type="dxa"/>
            <w:tcBorders>
              <w:top w:val="nil"/>
              <w:left w:val="nil"/>
              <w:bottom w:val="nil"/>
              <w:right w:val="nil"/>
            </w:tcBorders>
            <w:shd w:val="clear" w:color="000000" w:fill="DEEAF6"/>
            <w:noWrap/>
            <w:vAlign w:val="center"/>
          </w:tcPr>
          <w:p w14:paraId="25CBA480" w14:textId="1D028E1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507</w:t>
            </w:r>
          </w:p>
        </w:tc>
        <w:tc>
          <w:tcPr>
            <w:tcW w:w="850" w:type="dxa"/>
            <w:tcBorders>
              <w:top w:val="nil"/>
              <w:left w:val="nil"/>
              <w:bottom w:val="nil"/>
              <w:right w:val="single" w:sz="4" w:space="0" w:color="auto"/>
            </w:tcBorders>
            <w:shd w:val="clear" w:color="000000" w:fill="DEEAF6"/>
            <w:noWrap/>
            <w:vAlign w:val="center"/>
          </w:tcPr>
          <w:p w14:paraId="10729BBE" w14:textId="061225E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10,9</w:t>
            </w:r>
          </w:p>
        </w:tc>
      </w:tr>
      <w:tr w:rsidR="005D4340" w:rsidRPr="000939E3" w14:paraId="7C06EF5A"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42F3390F"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4DF5EF16"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07E0BFAE" w14:textId="0DC15C13"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542637C6" w14:textId="0145F4EE"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59367E4B" w14:textId="73D1FD4A"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1A97FB82" w14:textId="59EEEDE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c>
          <w:tcPr>
            <w:tcW w:w="709" w:type="dxa"/>
            <w:tcBorders>
              <w:top w:val="nil"/>
              <w:left w:val="nil"/>
              <w:bottom w:val="nil"/>
              <w:right w:val="nil"/>
            </w:tcBorders>
            <w:shd w:val="clear" w:color="auto" w:fill="auto"/>
            <w:noWrap/>
            <w:vAlign w:val="center"/>
          </w:tcPr>
          <w:p w14:paraId="53987228" w14:textId="3E28A8A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1A6050C2" w14:textId="38DA04CD"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3B59F439"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31193779" w14:textId="1EF6FDEC"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MŠVVaŠ SR</w:t>
            </w:r>
          </w:p>
        </w:tc>
        <w:tc>
          <w:tcPr>
            <w:tcW w:w="2977" w:type="dxa"/>
            <w:tcBorders>
              <w:top w:val="nil"/>
              <w:left w:val="nil"/>
              <w:bottom w:val="nil"/>
              <w:right w:val="nil"/>
            </w:tcBorders>
            <w:shd w:val="clear" w:color="000000" w:fill="DEEAF6"/>
            <w:vAlign w:val="center"/>
          </w:tcPr>
          <w:p w14:paraId="6F97E397" w14:textId="04780B39"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Elektronizácia služieb regionálneho a vysokého školstva SR</w:t>
            </w:r>
          </w:p>
        </w:tc>
        <w:tc>
          <w:tcPr>
            <w:tcW w:w="851" w:type="dxa"/>
            <w:tcBorders>
              <w:top w:val="nil"/>
              <w:left w:val="nil"/>
              <w:bottom w:val="nil"/>
              <w:right w:val="nil"/>
            </w:tcBorders>
            <w:shd w:val="clear" w:color="000000" w:fill="DEEAF6"/>
            <w:noWrap/>
            <w:vAlign w:val="center"/>
          </w:tcPr>
          <w:p w14:paraId="2F71E677" w14:textId="0C533DEF"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2022</w:t>
            </w:r>
          </w:p>
        </w:tc>
        <w:tc>
          <w:tcPr>
            <w:tcW w:w="850" w:type="dxa"/>
            <w:tcBorders>
              <w:top w:val="nil"/>
              <w:left w:val="nil"/>
              <w:bottom w:val="nil"/>
              <w:right w:val="nil"/>
            </w:tcBorders>
            <w:shd w:val="clear" w:color="000000" w:fill="DEEAF6"/>
            <w:noWrap/>
            <w:vAlign w:val="center"/>
          </w:tcPr>
          <w:p w14:paraId="3FA31DF9" w14:textId="707BC473"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6FC1C2E1" w14:textId="572C6CA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386</w:t>
            </w:r>
          </w:p>
        </w:tc>
        <w:tc>
          <w:tcPr>
            <w:tcW w:w="850" w:type="dxa"/>
            <w:tcBorders>
              <w:top w:val="nil"/>
              <w:left w:val="nil"/>
              <w:bottom w:val="nil"/>
              <w:right w:val="single" w:sz="4" w:space="0" w:color="auto"/>
            </w:tcBorders>
            <w:shd w:val="clear" w:color="000000" w:fill="DEEAF6"/>
            <w:noWrap/>
            <w:vAlign w:val="center"/>
          </w:tcPr>
          <w:p w14:paraId="775E2161" w14:textId="5E52479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7,3</w:t>
            </w:r>
          </w:p>
        </w:tc>
        <w:tc>
          <w:tcPr>
            <w:tcW w:w="709" w:type="dxa"/>
            <w:tcBorders>
              <w:top w:val="nil"/>
              <w:left w:val="nil"/>
              <w:bottom w:val="nil"/>
              <w:right w:val="nil"/>
            </w:tcBorders>
            <w:shd w:val="clear" w:color="000000" w:fill="DEEAF6"/>
            <w:noWrap/>
            <w:vAlign w:val="center"/>
          </w:tcPr>
          <w:p w14:paraId="713378F3" w14:textId="159274A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386</w:t>
            </w:r>
          </w:p>
        </w:tc>
        <w:tc>
          <w:tcPr>
            <w:tcW w:w="850" w:type="dxa"/>
            <w:tcBorders>
              <w:top w:val="nil"/>
              <w:left w:val="nil"/>
              <w:bottom w:val="nil"/>
              <w:right w:val="single" w:sz="4" w:space="0" w:color="auto"/>
            </w:tcBorders>
            <w:shd w:val="clear" w:color="000000" w:fill="DEEAF6"/>
            <w:noWrap/>
            <w:vAlign w:val="center"/>
          </w:tcPr>
          <w:p w14:paraId="5EB40613" w14:textId="2E91247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7,3</w:t>
            </w:r>
          </w:p>
        </w:tc>
      </w:tr>
      <w:tr w:rsidR="005D4340" w:rsidRPr="000939E3" w14:paraId="7998CF59"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04FB0913"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5BCDAB14"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2D97D3A1" w14:textId="3103046E"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349E8408" w14:textId="11310396"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403BF7C1" w14:textId="20634BDD"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579C8094" w14:textId="1C6223D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-0,7</w:t>
            </w:r>
          </w:p>
        </w:tc>
        <w:tc>
          <w:tcPr>
            <w:tcW w:w="709" w:type="dxa"/>
            <w:tcBorders>
              <w:top w:val="nil"/>
              <w:left w:val="nil"/>
              <w:bottom w:val="nil"/>
              <w:right w:val="nil"/>
            </w:tcBorders>
            <w:shd w:val="clear" w:color="auto" w:fill="auto"/>
            <w:noWrap/>
            <w:vAlign w:val="center"/>
          </w:tcPr>
          <w:p w14:paraId="29FD82F6" w14:textId="7C06D98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7D95DEFF" w14:textId="2DD4271A"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1E7B2C04"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76578D21" w14:textId="3EECCB1D"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MV SR</w:t>
            </w:r>
          </w:p>
        </w:tc>
        <w:tc>
          <w:tcPr>
            <w:tcW w:w="2977" w:type="dxa"/>
            <w:tcBorders>
              <w:top w:val="nil"/>
              <w:left w:val="nil"/>
              <w:bottom w:val="nil"/>
              <w:right w:val="nil"/>
            </w:tcBorders>
            <w:shd w:val="clear" w:color="000000" w:fill="DEEAF6"/>
            <w:vAlign w:val="center"/>
          </w:tcPr>
          <w:p w14:paraId="4C91C0A9" w14:textId="1D38F9FE"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Centrálne komponenty správneho konania vo verejnej správe</w:t>
            </w:r>
          </w:p>
        </w:tc>
        <w:tc>
          <w:tcPr>
            <w:tcW w:w="851" w:type="dxa"/>
            <w:tcBorders>
              <w:top w:val="nil"/>
              <w:left w:val="nil"/>
              <w:bottom w:val="nil"/>
              <w:right w:val="nil"/>
            </w:tcBorders>
            <w:shd w:val="clear" w:color="000000" w:fill="DEEAF6"/>
            <w:noWrap/>
            <w:vAlign w:val="center"/>
          </w:tcPr>
          <w:p w14:paraId="17CE1850" w14:textId="2DDB52AD"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2023</w:t>
            </w:r>
          </w:p>
        </w:tc>
        <w:tc>
          <w:tcPr>
            <w:tcW w:w="850" w:type="dxa"/>
            <w:tcBorders>
              <w:top w:val="nil"/>
              <w:left w:val="nil"/>
              <w:bottom w:val="nil"/>
              <w:right w:val="nil"/>
            </w:tcBorders>
            <w:shd w:val="clear" w:color="000000" w:fill="DEEAF6"/>
            <w:noWrap/>
            <w:vAlign w:val="center"/>
          </w:tcPr>
          <w:p w14:paraId="58876923" w14:textId="51FF82AD"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5DD946C5" w14:textId="5244F9C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461</w:t>
            </w:r>
          </w:p>
        </w:tc>
        <w:tc>
          <w:tcPr>
            <w:tcW w:w="850" w:type="dxa"/>
            <w:tcBorders>
              <w:top w:val="nil"/>
              <w:left w:val="nil"/>
              <w:bottom w:val="nil"/>
              <w:right w:val="single" w:sz="4" w:space="0" w:color="auto"/>
            </w:tcBorders>
            <w:shd w:val="clear" w:color="000000" w:fill="DEEAF6"/>
            <w:noWrap/>
            <w:vAlign w:val="center"/>
          </w:tcPr>
          <w:p w14:paraId="737CD259" w14:textId="3B2FBD8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11,2</w:t>
            </w:r>
          </w:p>
        </w:tc>
        <w:tc>
          <w:tcPr>
            <w:tcW w:w="709" w:type="dxa"/>
            <w:tcBorders>
              <w:top w:val="nil"/>
              <w:left w:val="nil"/>
              <w:bottom w:val="nil"/>
              <w:right w:val="nil"/>
            </w:tcBorders>
            <w:shd w:val="clear" w:color="000000" w:fill="DEEAF6"/>
            <w:noWrap/>
            <w:vAlign w:val="center"/>
          </w:tcPr>
          <w:p w14:paraId="169E97EC" w14:textId="3185F91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461</w:t>
            </w:r>
          </w:p>
        </w:tc>
        <w:tc>
          <w:tcPr>
            <w:tcW w:w="850" w:type="dxa"/>
            <w:tcBorders>
              <w:top w:val="nil"/>
              <w:left w:val="nil"/>
              <w:bottom w:val="nil"/>
              <w:right w:val="single" w:sz="4" w:space="0" w:color="auto"/>
            </w:tcBorders>
            <w:shd w:val="clear" w:color="000000" w:fill="DEEAF6"/>
            <w:noWrap/>
            <w:vAlign w:val="center"/>
          </w:tcPr>
          <w:p w14:paraId="5D36E850" w14:textId="7BB2EC6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11,2</w:t>
            </w:r>
          </w:p>
        </w:tc>
      </w:tr>
      <w:tr w:rsidR="005D4340" w:rsidRPr="000939E3" w14:paraId="5A5C3265"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76545EF4"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1A117CA5"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1DCBBE1D" w14:textId="0E98E18C"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2C492199" w14:textId="1A234871"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0C9AB3DE" w14:textId="569ECCA0"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25F2F17D" w14:textId="251CEB1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-2,2</w:t>
            </w:r>
          </w:p>
        </w:tc>
        <w:tc>
          <w:tcPr>
            <w:tcW w:w="709" w:type="dxa"/>
            <w:tcBorders>
              <w:top w:val="nil"/>
              <w:left w:val="nil"/>
              <w:bottom w:val="nil"/>
              <w:right w:val="nil"/>
            </w:tcBorders>
            <w:shd w:val="clear" w:color="auto" w:fill="auto"/>
            <w:noWrap/>
            <w:vAlign w:val="center"/>
          </w:tcPr>
          <w:p w14:paraId="742717D5" w14:textId="6173D0C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1ACA34E7" w14:textId="331E6DEA"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0BAEA909"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1E063A8A" w14:textId="316B863F"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MV SR</w:t>
            </w:r>
          </w:p>
        </w:tc>
        <w:tc>
          <w:tcPr>
            <w:tcW w:w="2977" w:type="dxa"/>
            <w:tcBorders>
              <w:top w:val="nil"/>
              <w:left w:val="nil"/>
              <w:bottom w:val="nil"/>
              <w:right w:val="nil"/>
            </w:tcBorders>
            <w:shd w:val="clear" w:color="000000" w:fill="DEEAF6"/>
            <w:vAlign w:val="center"/>
          </w:tcPr>
          <w:p w14:paraId="6E73DE23" w14:textId="0509E95F"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Digitálne pracovné prostredie zamestnanca MV SR (workdesk)</w:t>
            </w:r>
          </w:p>
        </w:tc>
        <w:tc>
          <w:tcPr>
            <w:tcW w:w="851" w:type="dxa"/>
            <w:tcBorders>
              <w:top w:val="nil"/>
              <w:left w:val="nil"/>
              <w:bottom w:val="nil"/>
              <w:right w:val="nil"/>
            </w:tcBorders>
            <w:shd w:val="clear" w:color="000000" w:fill="DEEAF6"/>
            <w:noWrap/>
            <w:vAlign w:val="center"/>
          </w:tcPr>
          <w:p w14:paraId="70007E8C" w14:textId="684A83C0"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2024</w:t>
            </w:r>
          </w:p>
        </w:tc>
        <w:tc>
          <w:tcPr>
            <w:tcW w:w="850" w:type="dxa"/>
            <w:tcBorders>
              <w:top w:val="nil"/>
              <w:left w:val="nil"/>
              <w:bottom w:val="nil"/>
              <w:right w:val="nil"/>
            </w:tcBorders>
            <w:shd w:val="clear" w:color="000000" w:fill="DEEAF6"/>
            <w:noWrap/>
            <w:vAlign w:val="center"/>
          </w:tcPr>
          <w:p w14:paraId="5E03A676" w14:textId="0DAD5D55"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4D15E265" w14:textId="4EE22DAA"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291</w:t>
            </w:r>
          </w:p>
        </w:tc>
        <w:tc>
          <w:tcPr>
            <w:tcW w:w="850" w:type="dxa"/>
            <w:tcBorders>
              <w:top w:val="nil"/>
              <w:left w:val="nil"/>
              <w:bottom w:val="nil"/>
              <w:right w:val="single" w:sz="4" w:space="0" w:color="auto"/>
            </w:tcBorders>
            <w:shd w:val="clear" w:color="000000" w:fill="DEEAF6"/>
            <w:noWrap/>
            <w:vAlign w:val="center"/>
          </w:tcPr>
          <w:p w14:paraId="5B9B1B40" w14:textId="55FEBDE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7,1</w:t>
            </w:r>
          </w:p>
        </w:tc>
        <w:tc>
          <w:tcPr>
            <w:tcW w:w="709" w:type="dxa"/>
            <w:tcBorders>
              <w:top w:val="nil"/>
              <w:left w:val="nil"/>
              <w:bottom w:val="nil"/>
              <w:right w:val="nil"/>
            </w:tcBorders>
            <w:shd w:val="clear" w:color="000000" w:fill="DEEAF6"/>
            <w:noWrap/>
            <w:vAlign w:val="center"/>
          </w:tcPr>
          <w:p w14:paraId="687148EE" w14:textId="28C83D6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291</w:t>
            </w:r>
          </w:p>
        </w:tc>
        <w:tc>
          <w:tcPr>
            <w:tcW w:w="850" w:type="dxa"/>
            <w:tcBorders>
              <w:top w:val="nil"/>
              <w:left w:val="nil"/>
              <w:bottom w:val="nil"/>
              <w:right w:val="single" w:sz="4" w:space="0" w:color="auto"/>
            </w:tcBorders>
            <w:shd w:val="clear" w:color="000000" w:fill="DEEAF6"/>
            <w:noWrap/>
            <w:vAlign w:val="center"/>
          </w:tcPr>
          <w:p w14:paraId="5D07B4C4" w14:textId="24E792B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7,1</w:t>
            </w:r>
          </w:p>
        </w:tc>
      </w:tr>
      <w:tr w:rsidR="005D4340" w:rsidRPr="000939E3" w14:paraId="468BC046"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46976BFA"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0B9EE03A"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3A162804" w14:textId="6E1DE31E"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7F0A0541" w14:textId="62F5816D"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3E788CB8" w14:textId="7F731CD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31BB3D4B" w14:textId="7E267A0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-1,5</w:t>
            </w:r>
          </w:p>
        </w:tc>
        <w:tc>
          <w:tcPr>
            <w:tcW w:w="709" w:type="dxa"/>
            <w:tcBorders>
              <w:top w:val="nil"/>
              <w:left w:val="nil"/>
              <w:bottom w:val="nil"/>
              <w:right w:val="nil"/>
            </w:tcBorders>
            <w:shd w:val="clear" w:color="auto" w:fill="auto"/>
            <w:noWrap/>
            <w:vAlign w:val="center"/>
          </w:tcPr>
          <w:p w14:paraId="772B46E7" w14:textId="252496F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524BF1E5" w14:textId="07BF762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62494232"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7A5C0E59" w14:textId="57240DB5"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MV SR</w:t>
            </w:r>
          </w:p>
        </w:tc>
        <w:tc>
          <w:tcPr>
            <w:tcW w:w="2977" w:type="dxa"/>
            <w:tcBorders>
              <w:top w:val="nil"/>
              <w:left w:val="nil"/>
              <w:bottom w:val="nil"/>
              <w:right w:val="nil"/>
            </w:tcBorders>
            <w:shd w:val="clear" w:color="000000" w:fill="DEEAF6"/>
            <w:vAlign w:val="center"/>
          </w:tcPr>
          <w:p w14:paraId="286D1116" w14:textId="1D2EAF4C"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Register zbraní a streliva</w:t>
            </w:r>
          </w:p>
        </w:tc>
        <w:tc>
          <w:tcPr>
            <w:tcW w:w="851" w:type="dxa"/>
            <w:tcBorders>
              <w:top w:val="nil"/>
              <w:left w:val="nil"/>
              <w:bottom w:val="nil"/>
              <w:right w:val="nil"/>
            </w:tcBorders>
            <w:shd w:val="clear" w:color="000000" w:fill="DEEAF6"/>
            <w:noWrap/>
            <w:vAlign w:val="center"/>
          </w:tcPr>
          <w:p w14:paraId="389F7321" w14:textId="2307C895"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2023</w:t>
            </w:r>
          </w:p>
        </w:tc>
        <w:tc>
          <w:tcPr>
            <w:tcW w:w="850" w:type="dxa"/>
            <w:tcBorders>
              <w:top w:val="nil"/>
              <w:left w:val="nil"/>
              <w:bottom w:val="nil"/>
              <w:right w:val="nil"/>
            </w:tcBorders>
            <w:shd w:val="clear" w:color="000000" w:fill="DEEAF6"/>
            <w:noWrap/>
            <w:vAlign w:val="center"/>
          </w:tcPr>
          <w:p w14:paraId="58108A22" w14:textId="7CA6CB06"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0D902FB1" w14:textId="25C7AFA6"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50</w:t>
            </w:r>
          </w:p>
        </w:tc>
        <w:tc>
          <w:tcPr>
            <w:tcW w:w="850" w:type="dxa"/>
            <w:tcBorders>
              <w:top w:val="nil"/>
              <w:left w:val="nil"/>
              <w:bottom w:val="nil"/>
              <w:right w:val="single" w:sz="4" w:space="0" w:color="auto"/>
            </w:tcBorders>
            <w:shd w:val="clear" w:color="000000" w:fill="DEEAF6"/>
            <w:noWrap/>
            <w:vAlign w:val="center"/>
          </w:tcPr>
          <w:p w14:paraId="6F825E02" w14:textId="78AA408D"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1,0</w:t>
            </w:r>
          </w:p>
        </w:tc>
        <w:tc>
          <w:tcPr>
            <w:tcW w:w="709" w:type="dxa"/>
            <w:tcBorders>
              <w:top w:val="nil"/>
              <w:left w:val="nil"/>
              <w:bottom w:val="nil"/>
              <w:right w:val="nil"/>
            </w:tcBorders>
            <w:shd w:val="clear" w:color="000000" w:fill="DEEAF6"/>
            <w:noWrap/>
            <w:vAlign w:val="center"/>
          </w:tcPr>
          <w:p w14:paraId="775D6238" w14:textId="367B6BD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50</w:t>
            </w:r>
          </w:p>
        </w:tc>
        <w:tc>
          <w:tcPr>
            <w:tcW w:w="850" w:type="dxa"/>
            <w:tcBorders>
              <w:top w:val="nil"/>
              <w:left w:val="nil"/>
              <w:bottom w:val="nil"/>
              <w:right w:val="single" w:sz="4" w:space="0" w:color="auto"/>
            </w:tcBorders>
            <w:shd w:val="clear" w:color="000000" w:fill="DEEAF6"/>
            <w:noWrap/>
            <w:vAlign w:val="center"/>
          </w:tcPr>
          <w:p w14:paraId="548DE2F9" w14:textId="37E4F27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1,0</w:t>
            </w:r>
          </w:p>
        </w:tc>
      </w:tr>
      <w:tr w:rsidR="005D4340" w:rsidRPr="000939E3" w14:paraId="49974FD9"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2F7D6CE7"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46365861"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79C7B39B" w14:textId="7B3548CA"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7D422B67" w14:textId="6535C2FF"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6E881669" w14:textId="5A86AAB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75D0AE0E" w14:textId="7B4F446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-0,3</w:t>
            </w:r>
          </w:p>
        </w:tc>
        <w:tc>
          <w:tcPr>
            <w:tcW w:w="709" w:type="dxa"/>
            <w:tcBorders>
              <w:top w:val="nil"/>
              <w:left w:val="nil"/>
              <w:bottom w:val="nil"/>
              <w:right w:val="nil"/>
            </w:tcBorders>
            <w:shd w:val="clear" w:color="auto" w:fill="auto"/>
            <w:noWrap/>
            <w:vAlign w:val="center"/>
          </w:tcPr>
          <w:p w14:paraId="61B24F49" w14:textId="2AFF35A6"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10989BA2" w14:textId="1BB9F740"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546D7B11"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4CDF01F0" w14:textId="484F12D7"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MV SR</w:t>
            </w:r>
          </w:p>
        </w:tc>
        <w:tc>
          <w:tcPr>
            <w:tcW w:w="2977" w:type="dxa"/>
            <w:tcBorders>
              <w:top w:val="nil"/>
              <w:left w:val="nil"/>
              <w:bottom w:val="nil"/>
              <w:right w:val="nil"/>
            </w:tcBorders>
            <w:shd w:val="clear" w:color="000000" w:fill="DEEAF6"/>
            <w:vAlign w:val="center"/>
          </w:tcPr>
          <w:p w14:paraId="6E8B4696" w14:textId="1C928B9D"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Riadenie procesov a dát pre OÚ, PZ a HaZZ</w:t>
            </w:r>
          </w:p>
        </w:tc>
        <w:tc>
          <w:tcPr>
            <w:tcW w:w="851" w:type="dxa"/>
            <w:tcBorders>
              <w:top w:val="nil"/>
              <w:left w:val="nil"/>
              <w:bottom w:val="nil"/>
              <w:right w:val="nil"/>
            </w:tcBorders>
            <w:shd w:val="clear" w:color="000000" w:fill="DEEAF6"/>
            <w:noWrap/>
            <w:vAlign w:val="center"/>
          </w:tcPr>
          <w:p w14:paraId="225A2051" w14:textId="3D02C0C8"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2024</w:t>
            </w:r>
          </w:p>
        </w:tc>
        <w:tc>
          <w:tcPr>
            <w:tcW w:w="850" w:type="dxa"/>
            <w:tcBorders>
              <w:top w:val="nil"/>
              <w:left w:val="nil"/>
              <w:bottom w:val="nil"/>
              <w:right w:val="nil"/>
            </w:tcBorders>
            <w:shd w:val="clear" w:color="000000" w:fill="DEEAF6"/>
            <w:noWrap/>
            <w:vAlign w:val="center"/>
          </w:tcPr>
          <w:p w14:paraId="76968BE1" w14:textId="2DAA7BB8"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08812962" w14:textId="00590B2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52</w:t>
            </w:r>
          </w:p>
        </w:tc>
        <w:tc>
          <w:tcPr>
            <w:tcW w:w="850" w:type="dxa"/>
            <w:tcBorders>
              <w:top w:val="nil"/>
              <w:left w:val="nil"/>
              <w:bottom w:val="nil"/>
              <w:right w:val="single" w:sz="4" w:space="0" w:color="auto"/>
            </w:tcBorders>
            <w:shd w:val="clear" w:color="000000" w:fill="DEEAF6"/>
            <w:noWrap/>
            <w:vAlign w:val="center"/>
          </w:tcPr>
          <w:p w14:paraId="5E1D44C7" w14:textId="730C96D3"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5,2</w:t>
            </w:r>
          </w:p>
        </w:tc>
        <w:tc>
          <w:tcPr>
            <w:tcW w:w="709" w:type="dxa"/>
            <w:tcBorders>
              <w:top w:val="nil"/>
              <w:left w:val="nil"/>
              <w:bottom w:val="nil"/>
              <w:right w:val="nil"/>
            </w:tcBorders>
            <w:shd w:val="clear" w:color="000000" w:fill="DEEAF6"/>
            <w:noWrap/>
            <w:vAlign w:val="center"/>
          </w:tcPr>
          <w:p w14:paraId="23E47EA1" w14:textId="4503127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52</w:t>
            </w:r>
          </w:p>
        </w:tc>
        <w:tc>
          <w:tcPr>
            <w:tcW w:w="850" w:type="dxa"/>
            <w:tcBorders>
              <w:top w:val="nil"/>
              <w:left w:val="nil"/>
              <w:bottom w:val="nil"/>
              <w:right w:val="single" w:sz="4" w:space="0" w:color="auto"/>
            </w:tcBorders>
            <w:shd w:val="clear" w:color="000000" w:fill="DEEAF6"/>
            <w:noWrap/>
            <w:vAlign w:val="center"/>
          </w:tcPr>
          <w:p w14:paraId="0FDAB564" w14:textId="21E74F9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5,2</w:t>
            </w:r>
          </w:p>
        </w:tc>
      </w:tr>
      <w:tr w:rsidR="005D4340" w:rsidRPr="000939E3" w14:paraId="7FA7EA52"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07172ECB"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12CD0AD0"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1F6ADFA4" w14:textId="701FE625"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62124B67" w14:textId="41E54C31"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72E38A6D" w14:textId="14A8C2B4"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1E4279E6" w14:textId="2942312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-1,6</w:t>
            </w:r>
          </w:p>
        </w:tc>
        <w:tc>
          <w:tcPr>
            <w:tcW w:w="709" w:type="dxa"/>
            <w:tcBorders>
              <w:top w:val="nil"/>
              <w:left w:val="nil"/>
              <w:bottom w:val="nil"/>
              <w:right w:val="nil"/>
            </w:tcBorders>
            <w:shd w:val="clear" w:color="auto" w:fill="auto"/>
            <w:noWrap/>
            <w:vAlign w:val="center"/>
          </w:tcPr>
          <w:p w14:paraId="774B4198" w14:textId="6B63B29A"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1D206AA4" w14:textId="6AC7A23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43D441C4"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67D53656" w14:textId="07A659DE"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MV SR</w:t>
            </w:r>
          </w:p>
        </w:tc>
        <w:tc>
          <w:tcPr>
            <w:tcW w:w="2977" w:type="dxa"/>
            <w:tcBorders>
              <w:top w:val="nil"/>
              <w:left w:val="nil"/>
              <w:bottom w:val="nil"/>
              <w:right w:val="nil"/>
            </w:tcBorders>
            <w:shd w:val="clear" w:color="000000" w:fill="DEEAF6"/>
            <w:vAlign w:val="center"/>
          </w:tcPr>
          <w:p w14:paraId="157479F2" w14:textId="13D25D50"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Živnostenský register</w:t>
            </w:r>
          </w:p>
        </w:tc>
        <w:tc>
          <w:tcPr>
            <w:tcW w:w="851" w:type="dxa"/>
            <w:tcBorders>
              <w:top w:val="nil"/>
              <w:left w:val="nil"/>
              <w:bottom w:val="nil"/>
              <w:right w:val="nil"/>
            </w:tcBorders>
            <w:shd w:val="clear" w:color="000000" w:fill="DEEAF6"/>
            <w:noWrap/>
            <w:vAlign w:val="center"/>
          </w:tcPr>
          <w:p w14:paraId="79926678" w14:textId="08527A5E"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2023</w:t>
            </w:r>
          </w:p>
        </w:tc>
        <w:tc>
          <w:tcPr>
            <w:tcW w:w="850" w:type="dxa"/>
            <w:tcBorders>
              <w:top w:val="nil"/>
              <w:left w:val="nil"/>
              <w:bottom w:val="nil"/>
              <w:right w:val="nil"/>
            </w:tcBorders>
            <w:shd w:val="clear" w:color="000000" w:fill="DEEAF6"/>
            <w:noWrap/>
            <w:vAlign w:val="center"/>
          </w:tcPr>
          <w:p w14:paraId="0071F2A6" w14:textId="5F2D1361"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2E7670E5" w14:textId="5F4D690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38</w:t>
            </w:r>
          </w:p>
        </w:tc>
        <w:tc>
          <w:tcPr>
            <w:tcW w:w="850" w:type="dxa"/>
            <w:tcBorders>
              <w:top w:val="nil"/>
              <w:left w:val="nil"/>
              <w:bottom w:val="nil"/>
              <w:right w:val="single" w:sz="4" w:space="0" w:color="auto"/>
            </w:tcBorders>
            <w:shd w:val="clear" w:color="000000" w:fill="DEEAF6"/>
            <w:noWrap/>
            <w:vAlign w:val="center"/>
          </w:tcPr>
          <w:p w14:paraId="10D5C994" w14:textId="37C2DD8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0,8</w:t>
            </w:r>
          </w:p>
        </w:tc>
        <w:tc>
          <w:tcPr>
            <w:tcW w:w="709" w:type="dxa"/>
            <w:tcBorders>
              <w:top w:val="nil"/>
              <w:left w:val="nil"/>
              <w:bottom w:val="nil"/>
              <w:right w:val="nil"/>
            </w:tcBorders>
            <w:shd w:val="clear" w:color="000000" w:fill="DEEAF6"/>
            <w:noWrap/>
            <w:vAlign w:val="center"/>
          </w:tcPr>
          <w:p w14:paraId="74A2DD36" w14:textId="49B94F6C"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38</w:t>
            </w:r>
          </w:p>
        </w:tc>
        <w:tc>
          <w:tcPr>
            <w:tcW w:w="850" w:type="dxa"/>
            <w:tcBorders>
              <w:top w:val="nil"/>
              <w:left w:val="nil"/>
              <w:bottom w:val="nil"/>
              <w:right w:val="single" w:sz="4" w:space="0" w:color="auto"/>
            </w:tcBorders>
            <w:shd w:val="clear" w:color="000000" w:fill="DEEAF6"/>
            <w:noWrap/>
            <w:vAlign w:val="center"/>
          </w:tcPr>
          <w:p w14:paraId="270D49C8" w14:textId="6528B1B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0,8</w:t>
            </w:r>
          </w:p>
        </w:tc>
      </w:tr>
      <w:tr w:rsidR="005D4340" w:rsidRPr="000939E3" w14:paraId="7353A1EC"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40EBDA50"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611D5E8B"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33230E4C" w14:textId="30770591"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62E84E47" w14:textId="6537486B"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050FDD60" w14:textId="14E229E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4CAC6EB6" w14:textId="436D83FD"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c>
          <w:tcPr>
            <w:tcW w:w="709" w:type="dxa"/>
            <w:tcBorders>
              <w:top w:val="nil"/>
              <w:left w:val="nil"/>
              <w:bottom w:val="nil"/>
              <w:right w:val="nil"/>
            </w:tcBorders>
            <w:shd w:val="clear" w:color="auto" w:fill="auto"/>
            <w:noWrap/>
            <w:vAlign w:val="center"/>
          </w:tcPr>
          <w:p w14:paraId="0E2016DC" w14:textId="5B6D664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0019A821" w14:textId="0EF9F58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166E23D2"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6A77D3D1" w14:textId="264C40CA"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MZ SR</w:t>
            </w:r>
          </w:p>
        </w:tc>
        <w:tc>
          <w:tcPr>
            <w:tcW w:w="2977" w:type="dxa"/>
            <w:tcBorders>
              <w:top w:val="nil"/>
              <w:left w:val="nil"/>
              <w:bottom w:val="nil"/>
              <w:right w:val="nil"/>
            </w:tcBorders>
            <w:shd w:val="clear" w:color="000000" w:fill="DEEAF6"/>
            <w:vAlign w:val="center"/>
          </w:tcPr>
          <w:p w14:paraId="0BC33DB0" w14:textId="565E4093"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Analytický nástroj pre podporu ekonomickej regulácie zo strany MZ SR</w:t>
            </w:r>
          </w:p>
        </w:tc>
        <w:tc>
          <w:tcPr>
            <w:tcW w:w="851" w:type="dxa"/>
            <w:tcBorders>
              <w:top w:val="nil"/>
              <w:left w:val="nil"/>
              <w:bottom w:val="nil"/>
              <w:right w:val="nil"/>
            </w:tcBorders>
            <w:shd w:val="clear" w:color="000000" w:fill="DEEAF6"/>
            <w:noWrap/>
            <w:vAlign w:val="center"/>
          </w:tcPr>
          <w:p w14:paraId="1205F4EF" w14:textId="78E03445"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2024</w:t>
            </w:r>
          </w:p>
        </w:tc>
        <w:tc>
          <w:tcPr>
            <w:tcW w:w="850" w:type="dxa"/>
            <w:tcBorders>
              <w:top w:val="nil"/>
              <w:left w:val="nil"/>
              <w:bottom w:val="nil"/>
              <w:right w:val="nil"/>
            </w:tcBorders>
            <w:shd w:val="clear" w:color="000000" w:fill="DEEAF6"/>
            <w:noWrap/>
            <w:vAlign w:val="center"/>
          </w:tcPr>
          <w:p w14:paraId="09923FE8" w14:textId="4C423859"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4AAA5AE8" w14:textId="23787CC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6</w:t>
            </w:r>
          </w:p>
        </w:tc>
        <w:tc>
          <w:tcPr>
            <w:tcW w:w="850" w:type="dxa"/>
            <w:tcBorders>
              <w:top w:val="nil"/>
              <w:left w:val="nil"/>
              <w:bottom w:val="nil"/>
              <w:right w:val="single" w:sz="4" w:space="0" w:color="auto"/>
            </w:tcBorders>
            <w:shd w:val="clear" w:color="000000" w:fill="DEEAF6"/>
            <w:noWrap/>
            <w:vAlign w:val="center"/>
          </w:tcPr>
          <w:p w14:paraId="046E55E5" w14:textId="6057E550"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0,1</w:t>
            </w:r>
          </w:p>
        </w:tc>
        <w:tc>
          <w:tcPr>
            <w:tcW w:w="709" w:type="dxa"/>
            <w:tcBorders>
              <w:top w:val="nil"/>
              <w:left w:val="nil"/>
              <w:bottom w:val="nil"/>
              <w:right w:val="nil"/>
            </w:tcBorders>
            <w:shd w:val="clear" w:color="000000" w:fill="DEEAF6"/>
            <w:noWrap/>
            <w:vAlign w:val="center"/>
          </w:tcPr>
          <w:p w14:paraId="17E1DCFA" w14:textId="2705140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6</w:t>
            </w:r>
          </w:p>
        </w:tc>
        <w:tc>
          <w:tcPr>
            <w:tcW w:w="850" w:type="dxa"/>
            <w:tcBorders>
              <w:top w:val="nil"/>
              <w:left w:val="nil"/>
              <w:bottom w:val="nil"/>
              <w:right w:val="single" w:sz="4" w:space="0" w:color="auto"/>
            </w:tcBorders>
            <w:shd w:val="clear" w:color="000000" w:fill="DEEAF6"/>
            <w:noWrap/>
            <w:vAlign w:val="center"/>
          </w:tcPr>
          <w:p w14:paraId="4EE731CB" w14:textId="08DEA5A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0,1</w:t>
            </w:r>
          </w:p>
        </w:tc>
      </w:tr>
      <w:tr w:rsidR="005D4340" w:rsidRPr="000939E3" w14:paraId="6C8F7A42"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1A60F86C"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273E0E26"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15270581" w14:textId="5C223452"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150AD72B" w14:textId="60854E88"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5BED5407" w14:textId="75229BF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3ABD6E5B" w14:textId="4BC5FD1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-0,1</w:t>
            </w:r>
          </w:p>
        </w:tc>
        <w:tc>
          <w:tcPr>
            <w:tcW w:w="709" w:type="dxa"/>
            <w:tcBorders>
              <w:top w:val="nil"/>
              <w:left w:val="nil"/>
              <w:bottom w:val="nil"/>
              <w:right w:val="nil"/>
            </w:tcBorders>
            <w:shd w:val="clear" w:color="auto" w:fill="auto"/>
            <w:noWrap/>
            <w:vAlign w:val="center"/>
          </w:tcPr>
          <w:p w14:paraId="103F5C6C" w14:textId="058A40C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69C95A06" w14:textId="23E3F6B3"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731D6F7A"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57522D43" w14:textId="7B7BF3C9"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MZ SR</w:t>
            </w:r>
          </w:p>
        </w:tc>
        <w:tc>
          <w:tcPr>
            <w:tcW w:w="2977" w:type="dxa"/>
            <w:tcBorders>
              <w:top w:val="nil"/>
              <w:left w:val="nil"/>
              <w:bottom w:val="nil"/>
              <w:right w:val="nil"/>
            </w:tcBorders>
            <w:shd w:val="clear" w:color="000000" w:fill="DEEAF6"/>
            <w:vAlign w:val="center"/>
          </w:tcPr>
          <w:p w14:paraId="413763C6" w14:textId="5D446027"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Integrovaný systém úradov verejného zdravotníctva</w:t>
            </w:r>
          </w:p>
        </w:tc>
        <w:tc>
          <w:tcPr>
            <w:tcW w:w="851" w:type="dxa"/>
            <w:tcBorders>
              <w:top w:val="nil"/>
              <w:left w:val="nil"/>
              <w:bottom w:val="nil"/>
              <w:right w:val="nil"/>
            </w:tcBorders>
            <w:shd w:val="clear" w:color="000000" w:fill="DEEAF6"/>
            <w:noWrap/>
            <w:vAlign w:val="center"/>
          </w:tcPr>
          <w:p w14:paraId="069F43C7" w14:textId="23299502"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2022</w:t>
            </w:r>
          </w:p>
        </w:tc>
        <w:tc>
          <w:tcPr>
            <w:tcW w:w="850" w:type="dxa"/>
            <w:tcBorders>
              <w:top w:val="nil"/>
              <w:left w:val="nil"/>
              <w:bottom w:val="nil"/>
              <w:right w:val="nil"/>
            </w:tcBorders>
            <w:shd w:val="clear" w:color="000000" w:fill="DEEAF6"/>
            <w:noWrap/>
            <w:vAlign w:val="center"/>
          </w:tcPr>
          <w:p w14:paraId="26F7D401" w14:textId="0D46233B"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0C8CF25F" w14:textId="56C2361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318</w:t>
            </w:r>
          </w:p>
        </w:tc>
        <w:tc>
          <w:tcPr>
            <w:tcW w:w="850" w:type="dxa"/>
            <w:tcBorders>
              <w:top w:val="nil"/>
              <w:left w:val="nil"/>
              <w:bottom w:val="nil"/>
              <w:right w:val="single" w:sz="4" w:space="0" w:color="auto"/>
            </w:tcBorders>
            <w:shd w:val="clear" w:color="000000" w:fill="DEEAF6"/>
            <w:noWrap/>
            <w:vAlign w:val="center"/>
          </w:tcPr>
          <w:p w14:paraId="163AEF58" w14:textId="73A12DB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7,0</w:t>
            </w:r>
          </w:p>
        </w:tc>
        <w:tc>
          <w:tcPr>
            <w:tcW w:w="709" w:type="dxa"/>
            <w:tcBorders>
              <w:top w:val="nil"/>
              <w:left w:val="nil"/>
              <w:bottom w:val="nil"/>
              <w:right w:val="nil"/>
            </w:tcBorders>
            <w:shd w:val="clear" w:color="000000" w:fill="DEEAF6"/>
            <w:noWrap/>
            <w:vAlign w:val="center"/>
          </w:tcPr>
          <w:p w14:paraId="6DFCCBB9" w14:textId="0964F71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318</w:t>
            </w:r>
          </w:p>
        </w:tc>
        <w:tc>
          <w:tcPr>
            <w:tcW w:w="850" w:type="dxa"/>
            <w:tcBorders>
              <w:top w:val="nil"/>
              <w:left w:val="nil"/>
              <w:bottom w:val="nil"/>
              <w:right w:val="single" w:sz="4" w:space="0" w:color="auto"/>
            </w:tcBorders>
            <w:shd w:val="clear" w:color="000000" w:fill="DEEAF6"/>
            <w:noWrap/>
            <w:vAlign w:val="center"/>
          </w:tcPr>
          <w:p w14:paraId="1620605C" w14:textId="01680D3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7,0</w:t>
            </w:r>
          </w:p>
        </w:tc>
      </w:tr>
      <w:tr w:rsidR="005D4340" w:rsidRPr="000939E3" w14:paraId="50025F3E"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4B4A9527"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3C53813E"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0748E07F" w14:textId="04FB6B64"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11D92E1F" w14:textId="0FCED07E"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53CB27C3" w14:textId="0C213464"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33C14F23" w14:textId="70E38B4C"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-0,7</w:t>
            </w:r>
          </w:p>
        </w:tc>
        <w:tc>
          <w:tcPr>
            <w:tcW w:w="709" w:type="dxa"/>
            <w:tcBorders>
              <w:top w:val="nil"/>
              <w:left w:val="nil"/>
              <w:bottom w:val="nil"/>
              <w:right w:val="nil"/>
            </w:tcBorders>
            <w:shd w:val="clear" w:color="auto" w:fill="auto"/>
            <w:noWrap/>
            <w:vAlign w:val="center"/>
          </w:tcPr>
          <w:p w14:paraId="1A05CFC1" w14:textId="6463D62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6BFFD103" w14:textId="651CBD23"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45D6B759" w14:textId="77777777" w:rsidTr="001D63C0">
        <w:trPr>
          <w:trHeight w:val="222"/>
        </w:trPr>
        <w:tc>
          <w:tcPr>
            <w:tcW w:w="1134" w:type="dxa"/>
            <w:tcBorders>
              <w:top w:val="nil"/>
              <w:left w:val="single" w:sz="4" w:space="0" w:color="auto"/>
              <w:right w:val="nil"/>
            </w:tcBorders>
            <w:shd w:val="clear" w:color="000000" w:fill="DEEAF6"/>
            <w:noWrap/>
            <w:vAlign w:val="center"/>
          </w:tcPr>
          <w:p w14:paraId="060CB0CF" w14:textId="1A90CF6B"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MZ SR</w:t>
            </w:r>
          </w:p>
        </w:tc>
        <w:tc>
          <w:tcPr>
            <w:tcW w:w="2977" w:type="dxa"/>
            <w:tcBorders>
              <w:top w:val="nil"/>
              <w:left w:val="nil"/>
              <w:right w:val="nil"/>
            </w:tcBorders>
            <w:shd w:val="clear" w:color="000000" w:fill="DEEAF6"/>
            <w:vAlign w:val="center"/>
          </w:tcPr>
          <w:p w14:paraId="7DC6E467" w14:textId="4071FE55"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Implementácia a integrácia podporného informačného systému (IS ÚRPO)</w:t>
            </w:r>
          </w:p>
        </w:tc>
        <w:tc>
          <w:tcPr>
            <w:tcW w:w="851" w:type="dxa"/>
            <w:tcBorders>
              <w:top w:val="nil"/>
              <w:left w:val="nil"/>
              <w:right w:val="nil"/>
            </w:tcBorders>
            <w:shd w:val="clear" w:color="000000" w:fill="DEEAF6"/>
            <w:noWrap/>
            <w:vAlign w:val="center"/>
          </w:tcPr>
          <w:p w14:paraId="2FE79C2A" w14:textId="7036E123"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2023</w:t>
            </w:r>
          </w:p>
        </w:tc>
        <w:tc>
          <w:tcPr>
            <w:tcW w:w="850" w:type="dxa"/>
            <w:tcBorders>
              <w:top w:val="nil"/>
              <w:left w:val="nil"/>
              <w:right w:val="nil"/>
            </w:tcBorders>
            <w:shd w:val="clear" w:color="000000" w:fill="DEEAF6"/>
            <w:noWrap/>
            <w:vAlign w:val="center"/>
          </w:tcPr>
          <w:p w14:paraId="635EBC1D" w14:textId="0467E8E4"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right w:val="nil"/>
            </w:tcBorders>
            <w:shd w:val="clear" w:color="000000" w:fill="DEEAF6"/>
            <w:noWrap/>
            <w:vAlign w:val="center"/>
          </w:tcPr>
          <w:p w14:paraId="4463A1F7" w14:textId="215E18F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100</w:t>
            </w:r>
          </w:p>
        </w:tc>
        <w:tc>
          <w:tcPr>
            <w:tcW w:w="850" w:type="dxa"/>
            <w:tcBorders>
              <w:top w:val="nil"/>
              <w:left w:val="nil"/>
              <w:right w:val="single" w:sz="4" w:space="0" w:color="auto"/>
            </w:tcBorders>
            <w:shd w:val="clear" w:color="000000" w:fill="DEEAF6"/>
            <w:noWrap/>
            <w:vAlign w:val="center"/>
          </w:tcPr>
          <w:p w14:paraId="3D495D1E" w14:textId="31F0A70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2,2</w:t>
            </w:r>
          </w:p>
        </w:tc>
        <w:tc>
          <w:tcPr>
            <w:tcW w:w="709" w:type="dxa"/>
            <w:tcBorders>
              <w:top w:val="nil"/>
              <w:left w:val="nil"/>
              <w:right w:val="nil"/>
            </w:tcBorders>
            <w:shd w:val="clear" w:color="000000" w:fill="DEEAF6"/>
            <w:noWrap/>
            <w:vAlign w:val="center"/>
          </w:tcPr>
          <w:p w14:paraId="42862050" w14:textId="78449593"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100</w:t>
            </w:r>
          </w:p>
        </w:tc>
        <w:tc>
          <w:tcPr>
            <w:tcW w:w="850" w:type="dxa"/>
            <w:tcBorders>
              <w:top w:val="nil"/>
              <w:left w:val="nil"/>
              <w:right w:val="single" w:sz="4" w:space="0" w:color="auto"/>
            </w:tcBorders>
            <w:shd w:val="clear" w:color="000000" w:fill="DEEAF6"/>
            <w:noWrap/>
            <w:vAlign w:val="center"/>
          </w:tcPr>
          <w:p w14:paraId="2E9283CA" w14:textId="7A2B270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2,2</w:t>
            </w:r>
          </w:p>
        </w:tc>
      </w:tr>
      <w:tr w:rsidR="005D4340" w:rsidRPr="000939E3" w14:paraId="66E5583F" w14:textId="77777777" w:rsidTr="001D63C0">
        <w:trPr>
          <w:trHeight w:val="222"/>
        </w:trPr>
        <w:tc>
          <w:tcPr>
            <w:tcW w:w="1134" w:type="dxa"/>
            <w:tcBorders>
              <w:top w:val="nil"/>
              <w:left w:val="single" w:sz="4" w:space="0" w:color="auto"/>
              <w:bottom w:val="single" w:sz="4" w:space="0" w:color="auto"/>
              <w:right w:val="nil"/>
            </w:tcBorders>
            <w:shd w:val="clear" w:color="auto" w:fill="auto"/>
            <w:noWrap/>
            <w:vAlign w:val="center"/>
          </w:tcPr>
          <w:p w14:paraId="59449870"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single" w:sz="4" w:space="0" w:color="auto"/>
              <w:right w:val="nil"/>
            </w:tcBorders>
            <w:vAlign w:val="center"/>
          </w:tcPr>
          <w:p w14:paraId="6008812A"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single" w:sz="4" w:space="0" w:color="auto"/>
              <w:right w:val="nil"/>
            </w:tcBorders>
            <w:shd w:val="clear" w:color="auto" w:fill="auto"/>
            <w:noWrap/>
            <w:vAlign w:val="center"/>
          </w:tcPr>
          <w:p w14:paraId="3798E8FD" w14:textId="523540EC"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single" w:sz="4" w:space="0" w:color="auto"/>
              <w:right w:val="nil"/>
            </w:tcBorders>
            <w:shd w:val="clear" w:color="auto" w:fill="auto"/>
            <w:noWrap/>
            <w:vAlign w:val="center"/>
          </w:tcPr>
          <w:p w14:paraId="002F05C2" w14:textId="648536D8"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single" w:sz="4" w:space="0" w:color="auto"/>
              <w:right w:val="nil"/>
            </w:tcBorders>
            <w:shd w:val="clear" w:color="auto" w:fill="auto"/>
            <w:noWrap/>
            <w:vAlign w:val="center"/>
          </w:tcPr>
          <w:p w14:paraId="26FCA0C5" w14:textId="6595EDA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tcPr>
          <w:p w14:paraId="44B06F5F" w14:textId="43CC3E0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0,2</w:t>
            </w:r>
          </w:p>
        </w:tc>
        <w:tc>
          <w:tcPr>
            <w:tcW w:w="709" w:type="dxa"/>
            <w:tcBorders>
              <w:top w:val="nil"/>
              <w:left w:val="nil"/>
              <w:bottom w:val="single" w:sz="4" w:space="0" w:color="auto"/>
              <w:right w:val="nil"/>
            </w:tcBorders>
            <w:shd w:val="clear" w:color="auto" w:fill="auto"/>
            <w:noWrap/>
            <w:vAlign w:val="center"/>
          </w:tcPr>
          <w:p w14:paraId="3FAD7484" w14:textId="0D7431C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tcPr>
          <w:p w14:paraId="7C5BC018" w14:textId="3DA6E26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0,2</w:t>
            </w:r>
          </w:p>
        </w:tc>
      </w:tr>
      <w:tr w:rsidR="005D4340" w:rsidRPr="000939E3" w14:paraId="603BD640" w14:textId="77777777" w:rsidTr="001D63C0">
        <w:trPr>
          <w:cantSplit/>
          <w:trHeight w:val="222"/>
        </w:trPr>
        <w:tc>
          <w:tcPr>
            <w:tcW w:w="1134" w:type="dxa"/>
            <w:tcBorders>
              <w:top w:val="single" w:sz="4" w:space="0" w:color="auto"/>
              <w:left w:val="single" w:sz="4" w:space="0" w:color="auto"/>
              <w:right w:val="nil"/>
            </w:tcBorders>
            <w:shd w:val="clear" w:color="000000" w:fill="DEEAF6"/>
            <w:noWrap/>
            <w:vAlign w:val="center"/>
          </w:tcPr>
          <w:p w14:paraId="077748B9" w14:textId="46488952" w:rsidR="00B771BA" w:rsidRPr="001D63C0" w:rsidRDefault="00B771BA" w:rsidP="00B771BA">
            <w:pPr>
              <w:spacing w:after="0" w:line="240" w:lineRule="auto"/>
              <w:jc w:val="left"/>
              <w:rPr>
                <w:bCs/>
                <w:color w:val="000000"/>
                <w:sz w:val="16"/>
                <w:szCs w:val="16"/>
              </w:rPr>
            </w:pPr>
            <w:r w:rsidRPr="000939E3">
              <w:rPr>
                <w:bCs/>
                <w:color w:val="000000"/>
                <w:sz w:val="16"/>
                <w:szCs w:val="16"/>
              </w:rPr>
              <w:lastRenderedPageBreak/>
              <w:t>MŽP SR</w:t>
            </w:r>
          </w:p>
        </w:tc>
        <w:tc>
          <w:tcPr>
            <w:tcW w:w="2977" w:type="dxa"/>
            <w:tcBorders>
              <w:top w:val="single" w:sz="4" w:space="0" w:color="auto"/>
              <w:left w:val="nil"/>
              <w:right w:val="nil"/>
            </w:tcBorders>
            <w:shd w:val="clear" w:color="000000" w:fill="DEEAF6"/>
            <w:vAlign w:val="center"/>
          </w:tcPr>
          <w:p w14:paraId="35A3E84C" w14:textId="53D9E094" w:rsidR="00B771BA" w:rsidRPr="001D63C0" w:rsidRDefault="00B771BA" w:rsidP="00B771BA">
            <w:pPr>
              <w:spacing w:after="0" w:line="240" w:lineRule="auto"/>
              <w:jc w:val="left"/>
              <w:rPr>
                <w:bCs/>
                <w:color w:val="000000"/>
                <w:sz w:val="16"/>
                <w:szCs w:val="16"/>
              </w:rPr>
            </w:pPr>
            <w:r w:rsidRPr="000939E3">
              <w:rPr>
                <w:bCs/>
                <w:color w:val="000000"/>
                <w:sz w:val="16"/>
                <w:szCs w:val="16"/>
              </w:rPr>
              <w:t>Jednotný prístup k priestorovým údajom a</w:t>
            </w:r>
            <w:r w:rsidR="005E0C5A" w:rsidRPr="000939E3">
              <w:rPr>
                <w:bCs/>
                <w:color w:val="000000"/>
                <w:sz w:val="16"/>
                <w:szCs w:val="16"/>
              </w:rPr>
              <w:t> </w:t>
            </w:r>
            <w:r w:rsidRPr="000939E3">
              <w:rPr>
                <w:bCs/>
                <w:color w:val="000000"/>
                <w:sz w:val="16"/>
                <w:szCs w:val="16"/>
              </w:rPr>
              <w:t>službám</w:t>
            </w:r>
            <w:r w:rsidR="005E0C5A" w:rsidRPr="000939E3">
              <w:rPr>
                <w:bCs/>
                <w:color w:val="000000"/>
                <w:sz w:val="16"/>
                <w:szCs w:val="16"/>
              </w:rPr>
              <w:t>*</w:t>
            </w:r>
          </w:p>
        </w:tc>
        <w:tc>
          <w:tcPr>
            <w:tcW w:w="851" w:type="dxa"/>
            <w:tcBorders>
              <w:top w:val="single" w:sz="4" w:space="0" w:color="auto"/>
              <w:left w:val="nil"/>
              <w:right w:val="nil"/>
            </w:tcBorders>
            <w:shd w:val="clear" w:color="000000" w:fill="DEEAF6"/>
            <w:noWrap/>
            <w:vAlign w:val="center"/>
          </w:tcPr>
          <w:p w14:paraId="062DA0E6" w14:textId="21EA5627" w:rsidR="00B771BA" w:rsidRPr="001D63C0" w:rsidRDefault="00B771BA" w:rsidP="00B771BA">
            <w:pPr>
              <w:spacing w:after="0" w:line="240" w:lineRule="auto"/>
              <w:jc w:val="left"/>
              <w:rPr>
                <w:bCs/>
                <w:color w:val="000000"/>
                <w:sz w:val="16"/>
                <w:szCs w:val="16"/>
              </w:rPr>
            </w:pPr>
            <w:r w:rsidRPr="000939E3">
              <w:rPr>
                <w:bCs/>
                <w:color w:val="000000"/>
                <w:sz w:val="16"/>
                <w:szCs w:val="16"/>
              </w:rPr>
              <w:t>2023</w:t>
            </w:r>
          </w:p>
        </w:tc>
        <w:tc>
          <w:tcPr>
            <w:tcW w:w="850" w:type="dxa"/>
            <w:tcBorders>
              <w:top w:val="single" w:sz="4" w:space="0" w:color="auto"/>
              <w:left w:val="nil"/>
              <w:right w:val="nil"/>
            </w:tcBorders>
            <w:shd w:val="clear" w:color="000000" w:fill="DEEAF6"/>
            <w:noWrap/>
            <w:vAlign w:val="center"/>
          </w:tcPr>
          <w:p w14:paraId="1F825A2B" w14:textId="35F7E2E5" w:rsidR="00B771BA" w:rsidRPr="001D63C0" w:rsidRDefault="00B771BA" w:rsidP="00B771BA">
            <w:pPr>
              <w:spacing w:after="0" w:line="240" w:lineRule="auto"/>
              <w:jc w:val="left"/>
              <w:rPr>
                <w:bCs/>
                <w:color w:val="000000"/>
                <w:sz w:val="16"/>
                <w:szCs w:val="16"/>
              </w:rPr>
            </w:pPr>
            <w:r w:rsidRPr="001D63C0">
              <w:rPr>
                <w:bCs/>
                <w:color w:val="000000"/>
                <w:sz w:val="16"/>
                <w:szCs w:val="16"/>
              </w:rPr>
              <w:t>ľudia</w:t>
            </w:r>
          </w:p>
        </w:tc>
        <w:tc>
          <w:tcPr>
            <w:tcW w:w="851" w:type="dxa"/>
            <w:tcBorders>
              <w:top w:val="single" w:sz="4" w:space="0" w:color="auto"/>
              <w:left w:val="single" w:sz="4" w:space="0" w:color="auto"/>
              <w:right w:val="nil"/>
            </w:tcBorders>
            <w:shd w:val="clear" w:color="000000" w:fill="DEEAF6"/>
            <w:noWrap/>
            <w:vAlign w:val="center"/>
          </w:tcPr>
          <w:p w14:paraId="66C9E974" w14:textId="01C84509" w:rsidR="00B771BA" w:rsidRPr="001D63C0" w:rsidRDefault="00B771BA" w:rsidP="00B771BA">
            <w:pPr>
              <w:spacing w:after="0" w:line="240" w:lineRule="auto"/>
              <w:jc w:val="right"/>
              <w:rPr>
                <w:bCs/>
                <w:color w:val="000000"/>
                <w:sz w:val="16"/>
                <w:szCs w:val="16"/>
              </w:rPr>
            </w:pPr>
            <w:r w:rsidRPr="001D63C0">
              <w:rPr>
                <w:bCs/>
                <w:color w:val="000000"/>
                <w:sz w:val="16"/>
                <w:szCs w:val="16"/>
              </w:rPr>
              <w:t>29</w:t>
            </w:r>
          </w:p>
        </w:tc>
        <w:tc>
          <w:tcPr>
            <w:tcW w:w="850" w:type="dxa"/>
            <w:tcBorders>
              <w:top w:val="single" w:sz="4" w:space="0" w:color="auto"/>
              <w:left w:val="nil"/>
              <w:right w:val="single" w:sz="4" w:space="0" w:color="auto"/>
            </w:tcBorders>
            <w:shd w:val="clear" w:color="000000" w:fill="DEEAF6"/>
            <w:noWrap/>
            <w:vAlign w:val="center"/>
          </w:tcPr>
          <w:p w14:paraId="6B0DEC11" w14:textId="7B0D1593" w:rsidR="00B771BA" w:rsidRPr="001D63C0" w:rsidRDefault="00B771BA" w:rsidP="00B771BA">
            <w:pPr>
              <w:spacing w:after="0" w:line="240" w:lineRule="auto"/>
              <w:jc w:val="right"/>
              <w:rPr>
                <w:bCs/>
                <w:color w:val="000000"/>
                <w:sz w:val="16"/>
                <w:szCs w:val="16"/>
              </w:rPr>
            </w:pPr>
            <w:r w:rsidRPr="001D63C0">
              <w:rPr>
                <w:bCs/>
                <w:color w:val="000000"/>
                <w:sz w:val="16"/>
                <w:szCs w:val="16"/>
              </w:rPr>
              <w:t>0,6</w:t>
            </w:r>
          </w:p>
        </w:tc>
        <w:tc>
          <w:tcPr>
            <w:tcW w:w="709" w:type="dxa"/>
            <w:tcBorders>
              <w:top w:val="single" w:sz="4" w:space="0" w:color="auto"/>
              <w:left w:val="nil"/>
              <w:right w:val="nil"/>
            </w:tcBorders>
            <w:shd w:val="clear" w:color="000000" w:fill="DEEAF6"/>
            <w:noWrap/>
            <w:vAlign w:val="center"/>
          </w:tcPr>
          <w:p w14:paraId="10263BB8" w14:textId="4001A828" w:rsidR="00B771BA" w:rsidRPr="001D63C0" w:rsidRDefault="00B771BA" w:rsidP="00B771BA">
            <w:pPr>
              <w:spacing w:after="0" w:line="240" w:lineRule="auto"/>
              <w:jc w:val="right"/>
              <w:rPr>
                <w:bCs/>
                <w:color w:val="000000"/>
                <w:sz w:val="16"/>
                <w:szCs w:val="16"/>
              </w:rPr>
            </w:pPr>
            <w:r w:rsidRPr="001D63C0">
              <w:rPr>
                <w:bCs/>
                <w:color w:val="000000"/>
                <w:sz w:val="16"/>
                <w:szCs w:val="16"/>
              </w:rPr>
              <w:t>103</w:t>
            </w:r>
          </w:p>
        </w:tc>
        <w:tc>
          <w:tcPr>
            <w:tcW w:w="850" w:type="dxa"/>
            <w:tcBorders>
              <w:top w:val="single" w:sz="4" w:space="0" w:color="auto"/>
              <w:left w:val="nil"/>
              <w:right w:val="single" w:sz="4" w:space="0" w:color="auto"/>
            </w:tcBorders>
            <w:shd w:val="clear" w:color="000000" w:fill="DEEAF6"/>
            <w:noWrap/>
            <w:vAlign w:val="center"/>
          </w:tcPr>
          <w:p w14:paraId="25CDB8EB" w14:textId="1A9CEBC3" w:rsidR="00B771BA" w:rsidRPr="001D63C0" w:rsidRDefault="00B771BA" w:rsidP="00B771BA">
            <w:pPr>
              <w:spacing w:after="0" w:line="240" w:lineRule="auto"/>
              <w:jc w:val="right"/>
              <w:rPr>
                <w:bCs/>
                <w:color w:val="000000"/>
                <w:sz w:val="16"/>
                <w:szCs w:val="16"/>
              </w:rPr>
            </w:pPr>
            <w:r w:rsidRPr="001D63C0">
              <w:rPr>
                <w:bCs/>
                <w:color w:val="000000"/>
                <w:sz w:val="16"/>
                <w:szCs w:val="16"/>
              </w:rPr>
              <w:t>2,3</w:t>
            </w:r>
          </w:p>
        </w:tc>
      </w:tr>
      <w:tr w:rsidR="005D4340" w:rsidRPr="000939E3" w14:paraId="48E5E0F8" w14:textId="77777777" w:rsidTr="001D63C0">
        <w:trPr>
          <w:cantSplit/>
          <w:trHeight w:val="222"/>
        </w:trPr>
        <w:tc>
          <w:tcPr>
            <w:tcW w:w="1134" w:type="dxa"/>
            <w:tcBorders>
              <w:left w:val="single" w:sz="4" w:space="0" w:color="auto"/>
              <w:bottom w:val="nil"/>
              <w:right w:val="nil"/>
            </w:tcBorders>
            <w:shd w:val="clear" w:color="auto" w:fill="auto"/>
            <w:noWrap/>
            <w:vAlign w:val="center"/>
          </w:tcPr>
          <w:p w14:paraId="72974F01"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left w:val="nil"/>
              <w:bottom w:val="nil"/>
              <w:right w:val="nil"/>
            </w:tcBorders>
            <w:vAlign w:val="center"/>
          </w:tcPr>
          <w:p w14:paraId="43A5C1F1"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left w:val="nil"/>
              <w:bottom w:val="nil"/>
              <w:right w:val="nil"/>
            </w:tcBorders>
            <w:shd w:val="clear" w:color="auto" w:fill="auto"/>
            <w:noWrap/>
            <w:vAlign w:val="center"/>
          </w:tcPr>
          <w:p w14:paraId="31BEDFF0" w14:textId="6C13836C" w:rsidR="00B771BA" w:rsidRPr="000939E3" w:rsidRDefault="00B771BA" w:rsidP="00B771BA">
            <w:pPr>
              <w:spacing w:after="0" w:line="240" w:lineRule="auto"/>
              <w:jc w:val="left"/>
              <w:rPr>
                <w:rFonts w:eastAsia="Times New Roman" w:cs="Times New Roman"/>
                <w:sz w:val="16"/>
                <w:szCs w:val="16"/>
              </w:rPr>
            </w:pPr>
          </w:p>
        </w:tc>
        <w:tc>
          <w:tcPr>
            <w:tcW w:w="850" w:type="dxa"/>
            <w:tcBorders>
              <w:left w:val="nil"/>
              <w:bottom w:val="nil"/>
              <w:right w:val="nil"/>
            </w:tcBorders>
            <w:shd w:val="clear" w:color="auto" w:fill="auto"/>
            <w:noWrap/>
            <w:vAlign w:val="center"/>
          </w:tcPr>
          <w:p w14:paraId="02A1B65C" w14:textId="110D5A87"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left w:val="single" w:sz="4" w:space="0" w:color="auto"/>
              <w:bottom w:val="nil"/>
              <w:right w:val="nil"/>
            </w:tcBorders>
            <w:shd w:val="clear" w:color="auto" w:fill="auto"/>
            <w:noWrap/>
            <w:vAlign w:val="center"/>
          </w:tcPr>
          <w:p w14:paraId="10DD956E" w14:textId="4856B9D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left w:val="nil"/>
              <w:bottom w:val="nil"/>
              <w:right w:val="single" w:sz="4" w:space="0" w:color="auto"/>
            </w:tcBorders>
            <w:shd w:val="clear" w:color="auto" w:fill="auto"/>
            <w:noWrap/>
            <w:vAlign w:val="center"/>
          </w:tcPr>
          <w:p w14:paraId="1FBA64AC" w14:textId="4224744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c>
          <w:tcPr>
            <w:tcW w:w="709" w:type="dxa"/>
            <w:tcBorders>
              <w:left w:val="nil"/>
              <w:bottom w:val="nil"/>
              <w:right w:val="nil"/>
            </w:tcBorders>
            <w:shd w:val="clear" w:color="auto" w:fill="auto"/>
            <w:noWrap/>
            <w:vAlign w:val="center"/>
          </w:tcPr>
          <w:p w14:paraId="4CB4DE72" w14:textId="0B8D955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left w:val="nil"/>
              <w:bottom w:val="nil"/>
              <w:right w:val="single" w:sz="4" w:space="0" w:color="auto"/>
            </w:tcBorders>
            <w:shd w:val="clear" w:color="auto" w:fill="auto"/>
            <w:noWrap/>
            <w:vAlign w:val="center"/>
          </w:tcPr>
          <w:p w14:paraId="51C68B96" w14:textId="51A72AB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53BE72D3"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35F45E04" w14:textId="151F3901"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SP</w:t>
            </w:r>
          </w:p>
        </w:tc>
        <w:tc>
          <w:tcPr>
            <w:tcW w:w="2977" w:type="dxa"/>
            <w:tcBorders>
              <w:top w:val="nil"/>
              <w:left w:val="nil"/>
              <w:bottom w:val="nil"/>
              <w:right w:val="nil"/>
            </w:tcBorders>
            <w:shd w:val="clear" w:color="000000" w:fill="DEEAF6"/>
            <w:vAlign w:val="center"/>
          </w:tcPr>
          <w:p w14:paraId="3B90193E" w14:textId="69DA9282"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 xml:space="preserve">Modernizácia dávkových agend Sociálnej poisťovne </w:t>
            </w:r>
          </w:p>
        </w:tc>
        <w:tc>
          <w:tcPr>
            <w:tcW w:w="851" w:type="dxa"/>
            <w:tcBorders>
              <w:top w:val="nil"/>
              <w:left w:val="nil"/>
              <w:bottom w:val="nil"/>
              <w:right w:val="nil"/>
            </w:tcBorders>
            <w:shd w:val="clear" w:color="000000" w:fill="DEEAF6"/>
            <w:noWrap/>
            <w:vAlign w:val="center"/>
          </w:tcPr>
          <w:p w14:paraId="7AC783B6" w14:textId="01337972"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2022</w:t>
            </w:r>
          </w:p>
        </w:tc>
        <w:tc>
          <w:tcPr>
            <w:tcW w:w="850" w:type="dxa"/>
            <w:tcBorders>
              <w:top w:val="nil"/>
              <w:left w:val="nil"/>
              <w:bottom w:val="nil"/>
              <w:right w:val="nil"/>
            </w:tcBorders>
            <w:shd w:val="clear" w:color="000000" w:fill="DEEAF6"/>
            <w:noWrap/>
            <w:vAlign w:val="center"/>
          </w:tcPr>
          <w:p w14:paraId="5314C92A" w14:textId="2EC6B354"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5F762766" w14:textId="17DA57BD"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18</w:t>
            </w:r>
          </w:p>
        </w:tc>
        <w:tc>
          <w:tcPr>
            <w:tcW w:w="850" w:type="dxa"/>
            <w:tcBorders>
              <w:top w:val="nil"/>
              <w:left w:val="nil"/>
              <w:bottom w:val="nil"/>
              <w:right w:val="single" w:sz="4" w:space="0" w:color="auto"/>
            </w:tcBorders>
            <w:shd w:val="clear" w:color="000000" w:fill="DEEAF6"/>
            <w:noWrap/>
            <w:vAlign w:val="center"/>
          </w:tcPr>
          <w:p w14:paraId="52D25769" w14:textId="2E64B1C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0,4</w:t>
            </w:r>
          </w:p>
        </w:tc>
        <w:tc>
          <w:tcPr>
            <w:tcW w:w="709" w:type="dxa"/>
            <w:tcBorders>
              <w:top w:val="nil"/>
              <w:left w:val="nil"/>
              <w:bottom w:val="nil"/>
              <w:right w:val="nil"/>
            </w:tcBorders>
            <w:shd w:val="clear" w:color="000000" w:fill="DEEAF6"/>
            <w:noWrap/>
            <w:vAlign w:val="center"/>
          </w:tcPr>
          <w:p w14:paraId="6A702B70" w14:textId="6806209C"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90</w:t>
            </w:r>
          </w:p>
        </w:tc>
        <w:tc>
          <w:tcPr>
            <w:tcW w:w="850" w:type="dxa"/>
            <w:tcBorders>
              <w:top w:val="nil"/>
              <w:left w:val="nil"/>
              <w:bottom w:val="nil"/>
              <w:right w:val="single" w:sz="4" w:space="0" w:color="auto"/>
            </w:tcBorders>
            <w:shd w:val="clear" w:color="000000" w:fill="DEEAF6"/>
            <w:noWrap/>
            <w:vAlign w:val="center"/>
          </w:tcPr>
          <w:p w14:paraId="6C3F4EC9" w14:textId="4E1DF10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1,9</w:t>
            </w:r>
          </w:p>
        </w:tc>
      </w:tr>
      <w:tr w:rsidR="005D4340" w:rsidRPr="000939E3" w14:paraId="399F6009"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4C47E198"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091C3634"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7CA64EFE" w14:textId="22253984"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1331711E" w14:textId="6DB46E5C"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6ACD55B3" w14:textId="3DFAB0F0"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625DB102" w14:textId="5562C83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c>
          <w:tcPr>
            <w:tcW w:w="709" w:type="dxa"/>
            <w:tcBorders>
              <w:top w:val="nil"/>
              <w:left w:val="nil"/>
              <w:bottom w:val="nil"/>
              <w:right w:val="nil"/>
            </w:tcBorders>
            <w:shd w:val="clear" w:color="auto" w:fill="auto"/>
            <w:noWrap/>
            <w:vAlign w:val="center"/>
          </w:tcPr>
          <w:p w14:paraId="3F5C72AB" w14:textId="49A7EECD"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58A7D4E6" w14:textId="4A80FBE0"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2,9</w:t>
            </w:r>
          </w:p>
        </w:tc>
      </w:tr>
      <w:tr w:rsidR="005D4340" w:rsidRPr="000939E3" w14:paraId="09F1283D"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32340300" w14:textId="514B8C34"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ŠU SR</w:t>
            </w:r>
          </w:p>
        </w:tc>
        <w:tc>
          <w:tcPr>
            <w:tcW w:w="2977" w:type="dxa"/>
            <w:tcBorders>
              <w:top w:val="nil"/>
              <w:left w:val="nil"/>
              <w:bottom w:val="nil"/>
              <w:right w:val="nil"/>
            </w:tcBorders>
            <w:shd w:val="clear" w:color="000000" w:fill="DEEAF6"/>
            <w:vAlign w:val="center"/>
          </w:tcPr>
          <w:p w14:paraId="3FF7A2D3" w14:textId="5A4E79D6"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Jednotný informačný systém štatistických údajov</w:t>
            </w:r>
          </w:p>
        </w:tc>
        <w:tc>
          <w:tcPr>
            <w:tcW w:w="851" w:type="dxa"/>
            <w:tcBorders>
              <w:top w:val="nil"/>
              <w:left w:val="nil"/>
              <w:bottom w:val="nil"/>
              <w:right w:val="nil"/>
            </w:tcBorders>
            <w:shd w:val="clear" w:color="000000" w:fill="DEEAF6"/>
            <w:noWrap/>
            <w:vAlign w:val="center"/>
          </w:tcPr>
          <w:p w14:paraId="1063E6A7" w14:textId="0FA4E382"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2023</w:t>
            </w:r>
          </w:p>
        </w:tc>
        <w:tc>
          <w:tcPr>
            <w:tcW w:w="850" w:type="dxa"/>
            <w:tcBorders>
              <w:top w:val="nil"/>
              <w:left w:val="nil"/>
              <w:bottom w:val="nil"/>
              <w:right w:val="nil"/>
            </w:tcBorders>
            <w:shd w:val="clear" w:color="000000" w:fill="DEEAF6"/>
            <w:noWrap/>
            <w:vAlign w:val="center"/>
          </w:tcPr>
          <w:p w14:paraId="63944B5D" w14:textId="43B8A0C2"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4B1C1F8D" w14:textId="1CFC049A"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102</w:t>
            </w:r>
          </w:p>
        </w:tc>
        <w:tc>
          <w:tcPr>
            <w:tcW w:w="850" w:type="dxa"/>
            <w:tcBorders>
              <w:top w:val="nil"/>
              <w:left w:val="nil"/>
              <w:bottom w:val="nil"/>
              <w:right w:val="single" w:sz="4" w:space="0" w:color="auto"/>
            </w:tcBorders>
            <w:shd w:val="clear" w:color="000000" w:fill="DEEAF6"/>
            <w:noWrap/>
            <w:vAlign w:val="center"/>
          </w:tcPr>
          <w:p w14:paraId="10F34C3A" w14:textId="0B493E6C"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2,1</w:t>
            </w:r>
          </w:p>
        </w:tc>
        <w:tc>
          <w:tcPr>
            <w:tcW w:w="709" w:type="dxa"/>
            <w:tcBorders>
              <w:top w:val="nil"/>
              <w:left w:val="nil"/>
              <w:bottom w:val="nil"/>
              <w:right w:val="nil"/>
            </w:tcBorders>
            <w:shd w:val="clear" w:color="000000" w:fill="DEEAF6"/>
            <w:noWrap/>
            <w:vAlign w:val="center"/>
          </w:tcPr>
          <w:p w14:paraId="60C0050A" w14:textId="13EC6ABC"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102</w:t>
            </w:r>
          </w:p>
        </w:tc>
        <w:tc>
          <w:tcPr>
            <w:tcW w:w="850" w:type="dxa"/>
            <w:tcBorders>
              <w:top w:val="nil"/>
              <w:left w:val="nil"/>
              <w:bottom w:val="nil"/>
              <w:right w:val="single" w:sz="4" w:space="0" w:color="auto"/>
            </w:tcBorders>
            <w:shd w:val="clear" w:color="000000" w:fill="DEEAF6"/>
            <w:noWrap/>
            <w:vAlign w:val="center"/>
          </w:tcPr>
          <w:p w14:paraId="418E44C6" w14:textId="6FC77C4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2,1</w:t>
            </w:r>
          </w:p>
        </w:tc>
      </w:tr>
      <w:tr w:rsidR="005D4340" w:rsidRPr="000939E3" w14:paraId="631144A0"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03A16A81"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7AF4E1E9"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627F8F22" w14:textId="1A2E3D5D"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52A2F500" w14:textId="52F84CD2"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509DDF2F" w14:textId="1AA7ECA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5387F447" w14:textId="372DBC3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-0,4</w:t>
            </w:r>
          </w:p>
        </w:tc>
        <w:tc>
          <w:tcPr>
            <w:tcW w:w="709" w:type="dxa"/>
            <w:tcBorders>
              <w:top w:val="nil"/>
              <w:left w:val="nil"/>
              <w:bottom w:val="nil"/>
              <w:right w:val="nil"/>
            </w:tcBorders>
            <w:shd w:val="clear" w:color="auto" w:fill="auto"/>
            <w:noWrap/>
            <w:vAlign w:val="center"/>
          </w:tcPr>
          <w:p w14:paraId="21B31858" w14:textId="709B9BF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6EB9A58F" w14:textId="1CBB663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414876BD"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28829AB3" w14:textId="5C4C2B42"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ÚPREKAPS</w:t>
            </w:r>
          </w:p>
        </w:tc>
        <w:tc>
          <w:tcPr>
            <w:tcW w:w="2977" w:type="dxa"/>
            <w:tcBorders>
              <w:top w:val="nil"/>
              <w:left w:val="nil"/>
              <w:bottom w:val="nil"/>
              <w:right w:val="nil"/>
            </w:tcBorders>
            <w:shd w:val="clear" w:color="000000" w:fill="DEEAF6"/>
            <w:vAlign w:val="center"/>
          </w:tcPr>
          <w:p w14:paraId="4D50EEF5" w14:textId="71246B6D"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Projekt rozvoja IS pre elektronické služby RÚ</w:t>
            </w:r>
          </w:p>
        </w:tc>
        <w:tc>
          <w:tcPr>
            <w:tcW w:w="851" w:type="dxa"/>
            <w:tcBorders>
              <w:top w:val="nil"/>
              <w:left w:val="nil"/>
              <w:bottom w:val="nil"/>
              <w:right w:val="nil"/>
            </w:tcBorders>
            <w:shd w:val="clear" w:color="000000" w:fill="DEEAF6"/>
            <w:noWrap/>
            <w:vAlign w:val="center"/>
          </w:tcPr>
          <w:p w14:paraId="35758012" w14:textId="1D3A1662"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2023</w:t>
            </w:r>
          </w:p>
        </w:tc>
        <w:tc>
          <w:tcPr>
            <w:tcW w:w="850" w:type="dxa"/>
            <w:tcBorders>
              <w:top w:val="nil"/>
              <w:left w:val="nil"/>
              <w:bottom w:val="nil"/>
              <w:right w:val="nil"/>
            </w:tcBorders>
            <w:shd w:val="clear" w:color="000000" w:fill="DEEAF6"/>
            <w:noWrap/>
            <w:vAlign w:val="center"/>
          </w:tcPr>
          <w:p w14:paraId="77BF1178" w14:textId="587962B9"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780E2E1D" w14:textId="43CD4B1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50</w:t>
            </w:r>
          </w:p>
        </w:tc>
        <w:tc>
          <w:tcPr>
            <w:tcW w:w="850" w:type="dxa"/>
            <w:tcBorders>
              <w:top w:val="nil"/>
              <w:left w:val="nil"/>
              <w:bottom w:val="nil"/>
              <w:right w:val="single" w:sz="4" w:space="0" w:color="auto"/>
            </w:tcBorders>
            <w:shd w:val="clear" w:color="000000" w:fill="DEEAF6"/>
            <w:noWrap/>
            <w:vAlign w:val="center"/>
          </w:tcPr>
          <w:p w14:paraId="530C02C0" w14:textId="35C6A32C"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1,0</w:t>
            </w:r>
          </w:p>
        </w:tc>
        <w:tc>
          <w:tcPr>
            <w:tcW w:w="709" w:type="dxa"/>
            <w:tcBorders>
              <w:top w:val="nil"/>
              <w:left w:val="nil"/>
              <w:bottom w:val="nil"/>
              <w:right w:val="nil"/>
            </w:tcBorders>
            <w:shd w:val="clear" w:color="000000" w:fill="DEEAF6"/>
            <w:noWrap/>
            <w:vAlign w:val="center"/>
          </w:tcPr>
          <w:p w14:paraId="0ED24F1A" w14:textId="206EA574"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50</w:t>
            </w:r>
          </w:p>
        </w:tc>
        <w:tc>
          <w:tcPr>
            <w:tcW w:w="850" w:type="dxa"/>
            <w:tcBorders>
              <w:top w:val="nil"/>
              <w:left w:val="nil"/>
              <w:bottom w:val="nil"/>
              <w:right w:val="single" w:sz="4" w:space="0" w:color="auto"/>
            </w:tcBorders>
            <w:shd w:val="clear" w:color="000000" w:fill="DEEAF6"/>
            <w:noWrap/>
            <w:vAlign w:val="center"/>
          </w:tcPr>
          <w:p w14:paraId="353159A2" w14:textId="4FCE1E2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1,0</w:t>
            </w:r>
          </w:p>
        </w:tc>
      </w:tr>
      <w:tr w:rsidR="005D4340" w:rsidRPr="000939E3" w14:paraId="4E87B1E9"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1400172A"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5C1791ED"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62856C50" w14:textId="34EBFB61"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339932E6" w14:textId="31674477"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1742625F" w14:textId="61BA469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68C48E8E" w14:textId="42332C5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-0,2</w:t>
            </w:r>
          </w:p>
        </w:tc>
        <w:tc>
          <w:tcPr>
            <w:tcW w:w="709" w:type="dxa"/>
            <w:tcBorders>
              <w:top w:val="nil"/>
              <w:left w:val="nil"/>
              <w:bottom w:val="nil"/>
              <w:right w:val="nil"/>
            </w:tcBorders>
            <w:shd w:val="clear" w:color="auto" w:fill="auto"/>
            <w:noWrap/>
            <w:vAlign w:val="center"/>
          </w:tcPr>
          <w:p w14:paraId="579DD8B1" w14:textId="4039718E"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5D8EE8D9" w14:textId="76C62DE6"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3C04DECA"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46C112C2" w14:textId="2BDBBE2D"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ÚPVII</w:t>
            </w:r>
          </w:p>
        </w:tc>
        <w:tc>
          <w:tcPr>
            <w:tcW w:w="2977" w:type="dxa"/>
            <w:tcBorders>
              <w:top w:val="nil"/>
              <w:left w:val="nil"/>
              <w:bottom w:val="nil"/>
              <w:right w:val="nil"/>
            </w:tcBorders>
            <w:shd w:val="clear" w:color="000000" w:fill="DEEAF6"/>
            <w:vAlign w:val="center"/>
          </w:tcPr>
          <w:p w14:paraId="0F8E2ECD" w14:textId="281B944C"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Komplexný informačný systém riadenia výkonnosti a podpory</w:t>
            </w:r>
          </w:p>
        </w:tc>
        <w:tc>
          <w:tcPr>
            <w:tcW w:w="851" w:type="dxa"/>
            <w:tcBorders>
              <w:top w:val="nil"/>
              <w:left w:val="nil"/>
              <w:bottom w:val="nil"/>
              <w:right w:val="nil"/>
            </w:tcBorders>
            <w:shd w:val="clear" w:color="000000" w:fill="DEEAF6"/>
            <w:noWrap/>
            <w:vAlign w:val="center"/>
          </w:tcPr>
          <w:p w14:paraId="77F97184" w14:textId="4514FA2E"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2022</w:t>
            </w:r>
          </w:p>
        </w:tc>
        <w:tc>
          <w:tcPr>
            <w:tcW w:w="850" w:type="dxa"/>
            <w:tcBorders>
              <w:top w:val="nil"/>
              <w:left w:val="nil"/>
              <w:bottom w:val="nil"/>
              <w:right w:val="nil"/>
            </w:tcBorders>
            <w:shd w:val="clear" w:color="000000" w:fill="DEEAF6"/>
            <w:noWrap/>
            <w:vAlign w:val="center"/>
          </w:tcPr>
          <w:p w14:paraId="3784DB60" w14:textId="50CE96FE"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7EE0C69E" w14:textId="208377C6"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3</w:t>
            </w:r>
          </w:p>
        </w:tc>
        <w:tc>
          <w:tcPr>
            <w:tcW w:w="850" w:type="dxa"/>
            <w:tcBorders>
              <w:top w:val="nil"/>
              <w:left w:val="nil"/>
              <w:bottom w:val="nil"/>
              <w:right w:val="single" w:sz="4" w:space="0" w:color="auto"/>
            </w:tcBorders>
            <w:shd w:val="clear" w:color="000000" w:fill="DEEAF6"/>
            <w:noWrap/>
            <w:vAlign w:val="center"/>
          </w:tcPr>
          <w:p w14:paraId="103085F3" w14:textId="6E96B72D"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0,1</w:t>
            </w:r>
          </w:p>
        </w:tc>
        <w:tc>
          <w:tcPr>
            <w:tcW w:w="709" w:type="dxa"/>
            <w:tcBorders>
              <w:top w:val="nil"/>
              <w:left w:val="nil"/>
              <w:bottom w:val="nil"/>
              <w:right w:val="nil"/>
            </w:tcBorders>
            <w:shd w:val="clear" w:color="000000" w:fill="DEEAF6"/>
            <w:noWrap/>
            <w:vAlign w:val="center"/>
          </w:tcPr>
          <w:p w14:paraId="308F7A25" w14:textId="26FE27C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3</w:t>
            </w:r>
          </w:p>
        </w:tc>
        <w:tc>
          <w:tcPr>
            <w:tcW w:w="850" w:type="dxa"/>
            <w:tcBorders>
              <w:top w:val="nil"/>
              <w:left w:val="nil"/>
              <w:bottom w:val="nil"/>
              <w:right w:val="single" w:sz="4" w:space="0" w:color="auto"/>
            </w:tcBorders>
            <w:shd w:val="clear" w:color="000000" w:fill="DEEAF6"/>
            <w:noWrap/>
            <w:vAlign w:val="center"/>
          </w:tcPr>
          <w:p w14:paraId="0B4DA022" w14:textId="7F4966B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0,1</w:t>
            </w:r>
          </w:p>
        </w:tc>
      </w:tr>
      <w:tr w:rsidR="005D4340" w:rsidRPr="000939E3" w14:paraId="70FA1421"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21E3CC31"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6A96EE49"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3B1D415A" w14:textId="5CA61595"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6C60F375" w14:textId="3DF58D3C"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5E68C092" w14:textId="1038173C"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73B07E9F" w14:textId="52E0038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-0,2</w:t>
            </w:r>
          </w:p>
        </w:tc>
        <w:tc>
          <w:tcPr>
            <w:tcW w:w="709" w:type="dxa"/>
            <w:tcBorders>
              <w:top w:val="nil"/>
              <w:left w:val="nil"/>
              <w:bottom w:val="nil"/>
              <w:right w:val="nil"/>
            </w:tcBorders>
            <w:shd w:val="clear" w:color="auto" w:fill="auto"/>
            <w:noWrap/>
            <w:vAlign w:val="center"/>
          </w:tcPr>
          <w:p w14:paraId="54F694F1" w14:textId="76F35A3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12BCD312" w14:textId="70D978A0"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7E3A5AE2"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44E337D7" w14:textId="61F5813E"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ÚPVII</w:t>
            </w:r>
          </w:p>
        </w:tc>
        <w:tc>
          <w:tcPr>
            <w:tcW w:w="2977" w:type="dxa"/>
            <w:tcBorders>
              <w:top w:val="nil"/>
              <w:left w:val="nil"/>
              <w:bottom w:val="nil"/>
              <w:right w:val="nil"/>
            </w:tcBorders>
            <w:shd w:val="clear" w:color="000000" w:fill="DEEAF6"/>
            <w:vAlign w:val="center"/>
          </w:tcPr>
          <w:p w14:paraId="2F0B0BE4" w14:textId="226C0FC0"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Otvorené údaje 2.0 - Rozvoj centrálnych komponentov pre kvalitné zabezpečenie otvorených údajov</w:t>
            </w:r>
          </w:p>
        </w:tc>
        <w:tc>
          <w:tcPr>
            <w:tcW w:w="851" w:type="dxa"/>
            <w:tcBorders>
              <w:top w:val="nil"/>
              <w:left w:val="nil"/>
              <w:bottom w:val="nil"/>
              <w:right w:val="nil"/>
            </w:tcBorders>
            <w:shd w:val="clear" w:color="000000" w:fill="DEEAF6"/>
            <w:noWrap/>
            <w:vAlign w:val="center"/>
          </w:tcPr>
          <w:p w14:paraId="5BE204B3" w14:textId="26A505A1"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2023</w:t>
            </w:r>
          </w:p>
        </w:tc>
        <w:tc>
          <w:tcPr>
            <w:tcW w:w="850" w:type="dxa"/>
            <w:tcBorders>
              <w:top w:val="nil"/>
              <w:left w:val="nil"/>
              <w:bottom w:val="nil"/>
              <w:right w:val="nil"/>
            </w:tcBorders>
            <w:shd w:val="clear" w:color="000000" w:fill="DEEAF6"/>
            <w:noWrap/>
            <w:vAlign w:val="center"/>
          </w:tcPr>
          <w:p w14:paraId="08DB3FD1" w14:textId="23D5B2E7"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5E2BE0E8" w14:textId="583D115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w:t>
            </w:r>
          </w:p>
        </w:tc>
        <w:tc>
          <w:tcPr>
            <w:tcW w:w="850" w:type="dxa"/>
            <w:tcBorders>
              <w:top w:val="nil"/>
              <w:left w:val="nil"/>
              <w:bottom w:val="nil"/>
              <w:right w:val="single" w:sz="4" w:space="0" w:color="auto"/>
            </w:tcBorders>
            <w:shd w:val="clear" w:color="000000" w:fill="DEEAF6"/>
            <w:noWrap/>
            <w:vAlign w:val="center"/>
          </w:tcPr>
          <w:p w14:paraId="54601605" w14:textId="39CF5D7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c>
          <w:tcPr>
            <w:tcW w:w="709" w:type="dxa"/>
            <w:tcBorders>
              <w:top w:val="nil"/>
              <w:left w:val="nil"/>
              <w:bottom w:val="nil"/>
              <w:right w:val="nil"/>
            </w:tcBorders>
            <w:shd w:val="clear" w:color="000000" w:fill="DEEAF6"/>
            <w:noWrap/>
            <w:vAlign w:val="center"/>
          </w:tcPr>
          <w:p w14:paraId="0539B3AF" w14:textId="6341B223"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w:t>
            </w:r>
          </w:p>
        </w:tc>
        <w:tc>
          <w:tcPr>
            <w:tcW w:w="850" w:type="dxa"/>
            <w:tcBorders>
              <w:top w:val="nil"/>
              <w:left w:val="nil"/>
              <w:bottom w:val="nil"/>
              <w:right w:val="single" w:sz="4" w:space="0" w:color="auto"/>
            </w:tcBorders>
            <w:shd w:val="clear" w:color="000000" w:fill="DEEAF6"/>
            <w:noWrap/>
            <w:vAlign w:val="center"/>
          </w:tcPr>
          <w:p w14:paraId="11AEE957" w14:textId="6A5BD7F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7339C89E"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1FBD9DB8"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4058B768"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48585B02" w14:textId="55D3FB33"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00A83A4A" w14:textId="6079AE45"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50D0E533" w14:textId="371F711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78F5B7D5" w14:textId="4C42925D"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0,2</w:t>
            </w:r>
          </w:p>
        </w:tc>
        <w:tc>
          <w:tcPr>
            <w:tcW w:w="709" w:type="dxa"/>
            <w:tcBorders>
              <w:top w:val="nil"/>
              <w:left w:val="nil"/>
              <w:bottom w:val="nil"/>
              <w:right w:val="nil"/>
            </w:tcBorders>
            <w:shd w:val="clear" w:color="auto" w:fill="auto"/>
            <w:noWrap/>
            <w:vAlign w:val="center"/>
          </w:tcPr>
          <w:p w14:paraId="059A57AD" w14:textId="30F5E22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0D222D8A" w14:textId="63F219B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0,2</w:t>
            </w:r>
          </w:p>
        </w:tc>
      </w:tr>
      <w:tr w:rsidR="005D4340" w:rsidRPr="000939E3" w14:paraId="028630AB"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0AD24C2A" w14:textId="59D11449"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ÚPVII</w:t>
            </w:r>
          </w:p>
        </w:tc>
        <w:tc>
          <w:tcPr>
            <w:tcW w:w="2977" w:type="dxa"/>
            <w:tcBorders>
              <w:top w:val="nil"/>
              <w:left w:val="nil"/>
              <w:bottom w:val="nil"/>
              <w:right w:val="nil"/>
            </w:tcBorders>
            <w:shd w:val="clear" w:color="000000" w:fill="DEEAF6"/>
            <w:vAlign w:val="center"/>
          </w:tcPr>
          <w:p w14:paraId="3B707F07" w14:textId="5491A83F"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Dátová integrácia: sprístupnenie údajovej základne VS vrátane otvorených údajov prostredníctvom platformy dátovej integrácie</w:t>
            </w:r>
            <w:r w:rsidR="005E0C5A" w:rsidRPr="000939E3">
              <w:rPr>
                <w:bCs/>
                <w:color w:val="000000"/>
                <w:sz w:val="16"/>
                <w:szCs w:val="16"/>
              </w:rPr>
              <w:t>*</w:t>
            </w:r>
          </w:p>
        </w:tc>
        <w:tc>
          <w:tcPr>
            <w:tcW w:w="851" w:type="dxa"/>
            <w:tcBorders>
              <w:top w:val="nil"/>
              <w:left w:val="nil"/>
              <w:bottom w:val="nil"/>
              <w:right w:val="nil"/>
            </w:tcBorders>
            <w:shd w:val="clear" w:color="000000" w:fill="DEEAF6"/>
            <w:noWrap/>
            <w:vAlign w:val="center"/>
          </w:tcPr>
          <w:p w14:paraId="40C096FD" w14:textId="4B0EA9E8"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2021</w:t>
            </w:r>
          </w:p>
        </w:tc>
        <w:tc>
          <w:tcPr>
            <w:tcW w:w="850" w:type="dxa"/>
            <w:tcBorders>
              <w:top w:val="nil"/>
              <w:left w:val="nil"/>
              <w:bottom w:val="nil"/>
              <w:right w:val="nil"/>
            </w:tcBorders>
            <w:shd w:val="clear" w:color="000000" w:fill="DEEAF6"/>
            <w:noWrap/>
            <w:vAlign w:val="center"/>
          </w:tcPr>
          <w:p w14:paraId="376D3670" w14:textId="0C9913FC"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73CE27F2" w14:textId="67A050D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74</w:t>
            </w:r>
          </w:p>
        </w:tc>
        <w:tc>
          <w:tcPr>
            <w:tcW w:w="850" w:type="dxa"/>
            <w:tcBorders>
              <w:top w:val="nil"/>
              <w:left w:val="nil"/>
              <w:bottom w:val="nil"/>
              <w:right w:val="single" w:sz="4" w:space="0" w:color="auto"/>
            </w:tcBorders>
            <w:shd w:val="clear" w:color="000000" w:fill="DEEAF6"/>
            <w:noWrap/>
            <w:vAlign w:val="center"/>
          </w:tcPr>
          <w:p w14:paraId="46DF7722" w14:textId="0C49F49E"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1,3</w:t>
            </w:r>
          </w:p>
        </w:tc>
        <w:tc>
          <w:tcPr>
            <w:tcW w:w="709" w:type="dxa"/>
            <w:tcBorders>
              <w:top w:val="nil"/>
              <w:left w:val="nil"/>
              <w:bottom w:val="nil"/>
              <w:right w:val="nil"/>
            </w:tcBorders>
            <w:shd w:val="clear" w:color="000000" w:fill="DEEAF6"/>
            <w:noWrap/>
            <w:vAlign w:val="center"/>
          </w:tcPr>
          <w:p w14:paraId="05EA35E3" w14:textId="0C3A00D5"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132</w:t>
            </w:r>
          </w:p>
        </w:tc>
        <w:tc>
          <w:tcPr>
            <w:tcW w:w="850" w:type="dxa"/>
            <w:tcBorders>
              <w:top w:val="nil"/>
              <w:left w:val="nil"/>
              <w:bottom w:val="nil"/>
              <w:right w:val="single" w:sz="4" w:space="0" w:color="auto"/>
            </w:tcBorders>
            <w:shd w:val="clear" w:color="000000" w:fill="DEEAF6"/>
            <w:noWrap/>
            <w:vAlign w:val="center"/>
          </w:tcPr>
          <w:p w14:paraId="0521F37A" w14:textId="283E9E0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2,3</w:t>
            </w:r>
          </w:p>
        </w:tc>
      </w:tr>
      <w:tr w:rsidR="005D4340" w:rsidRPr="000939E3" w14:paraId="0493E7EE"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7105BD13"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796B65E2"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04338183" w14:textId="65C6099B"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46FC2F85" w14:textId="05416AA8"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53B7CC3E" w14:textId="39A5690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4D2358F0" w14:textId="19BAFBA6"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c>
          <w:tcPr>
            <w:tcW w:w="709" w:type="dxa"/>
            <w:tcBorders>
              <w:top w:val="nil"/>
              <w:left w:val="nil"/>
              <w:bottom w:val="nil"/>
              <w:right w:val="nil"/>
            </w:tcBorders>
            <w:shd w:val="clear" w:color="auto" w:fill="auto"/>
            <w:noWrap/>
            <w:vAlign w:val="center"/>
          </w:tcPr>
          <w:p w14:paraId="6017D709" w14:textId="3554DB6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0DA16B09" w14:textId="1372F9C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59E067EE"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393536A8" w14:textId="3CE539EF"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ÚPVII</w:t>
            </w:r>
          </w:p>
        </w:tc>
        <w:tc>
          <w:tcPr>
            <w:tcW w:w="2977" w:type="dxa"/>
            <w:tcBorders>
              <w:top w:val="nil"/>
              <w:left w:val="nil"/>
              <w:bottom w:val="nil"/>
              <w:right w:val="nil"/>
            </w:tcBorders>
            <w:shd w:val="clear" w:color="000000" w:fill="DEEAF6"/>
            <w:vAlign w:val="center"/>
          </w:tcPr>
          <w:p w14:paraId="680AEB1F" w14:textId="688972EB"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Zvyšovanie úžitkovej hodnoty digitálnych služieb pre občanov, podnikateľov a inštitúcie verejnej správy (slovensko.sk 2.0)</w:t>
            </w:r>
            <w:r w:rsidR="005E0C5A" w:rsidRPr="000939E3">
              <w:rPr>
                <w:bCs/>
                <w:color w:val="000000"/>
                <w:sz w:val="16"/>
                <w:szCs w:val="16"/>
              </w:rPr>
              <w:t>*</w:t>
            </w:r>
          </w:p>
        </w:tc>
        <w:tc>
          <w:tcPr>
            <w:tcW w:w="851" w:type="dxa"/>
            <w:tcBorders>
              <w:top w:val="nil"/>
              <w:left w:val="nil"/>
              <w:bottom w:val="nil"/>
              <w:right w:val="nil"/>
            </w:tcBorders>
            <w:shd w:val="clear" w:color="000000" w:fill="DEEAF6"/>
            <w:noWrap/>
            <w:vAlign w:val="center"/>
          </w:tcPr>
          <w:p w14:paraId="497E906A" w14:textId="469A9461"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2022</w:t>
            </w:r>
          </w:p>
        </w:tc>
        <w:tc>
          <w:tcPr>
            <w:tcW w:w="850" w:type="dxa"/>
            <w:tcBorders>
              <w:top w:val="nil"/>
              <w:left w:val="nil"/>
              <w:bottom w:val="nil"/>
              <w:right w:val="nil"/>
            </w:tcBorders>
            <w:shd w:val="clear" w:color="000000" w:fill="DEEAF6"/>
            <w:noWrap/>
            <w:vAlign w:val="center"/>
          </w:tcPr>
          <w:p w14:paraId="177713FE" w14:textId="333B2462"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4E46B6D0" w14:textId="7EEF8097"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6</w:t>
            </w:r>
          </w:p>
        </w:tc>
        <w:tc>
          <w:tcPr>
            <w:tcW w:w="850" w:type="dxa"/>
            <w:tcBorders>
              <w:top w:val="nil"/>
              <w:left w:val="nil"/>
              <w:bottom w:val="nil"/>
              <w:right w:val="single" w:sz="4" w:space="0" w:color="auto"/>
            </w:tcBorders>
            <w:shd w:val="clear" w:color="000000" w:fill="DEEAF6"/>
            <w:noWrap/>
            <w:vAlign w:val="center"/>
          </w:tcPr>
          <w:p w14:paraId="09E0249B" w14:textId="45251B83"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0,1</w:t>
            </w:r>
          </w:p>
        </w:tc>
        <w:tc>
          <w:tcPr>
            <w:tcW w:w="709" w:type="dxa"/>
            <w:tcBorders>
              <w:top w:val="nil"/>
              <w:left w:val="nil"/>
              <w:bottom w:val="nil"/>
              <w:right w:val="nil"/>
            </w:tcBorders>
            <w:shd w:val="clear" w:color="000000" w:fill="DEEAF6"/>
            <w:noWrap/>
            <w:vAlign w:val="center"/>
          </w:tcPr>
          <w:p w14:paraId="76E8F604" w14:textId="3B9D57C4"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6</w:t>
            </w:r>
          </w:p>
        </w:tc>
        <w:tc>
          <w:tcPr>
            <w:tcW w:w="850" w:type="dxa"/>
            <w:tcBorders>
              <w:top w:val="nil"/>
              <w:left w:val="nil"/>
              <w:bottom w:val="nil"/>
              <w:right w:val="single" w:sz="4" w:space="0" w:color="auto"/>
            </w:tcBorders>
            <w:shd w:val="clear" w:color="000000" w:fill="DEEAF6"/>
            <w:noWrap/>
            <w:vAlign w:val="center"/>
          </w:tcPr>
          <w:p w14:paraId="623301FE" w14:textId="1E3CD89D"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0,1</w:t>
            </w:r>
          </w:p>
        </w:tc>
      </w:tr>
      <w:tr w:rsidR="005D4340" w:rsidRPr="000939E3" w14:paraId="1E6A7151"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10FFFC91"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20656574"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4788F7C1" w14:textId="05EAEBD1"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6C957FFA" w14:textId="1F4ED3C8"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3E5B83FE" w14:textId="2E1F63D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57E38FF2" w14:textId="05461430"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c>
          <w:tcPr>
            <w:tcW w:w="709" w:type="dxa"/>
            <w:tcBorders>
              <w:top w:val="nil"/>
              <w:left w:val="nil"/>
              <w:bottom w:val="nil"/>
              <w:right w:val="nil"/>
            </w:tcBorders>
            <w:shd w:val="clear" w:color="auto" w:fill="auto"/>
            <w:noWrap/>
            <w:vAlign w:val="center"/>
          </w:tcPr>
          <w:p w14:paraId="50162D9A" w14:textId="6C812A2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7DE03BFE" w14:textId="323C487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32F4EF64"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7489F595" w14:textId="4DB576D1"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ÚV SR</w:t>
            </w:r>
          </w:p>
        </w:tc>
        <w:tc>
          <w:tcPr>
            <w:tcW w:w="2977" w:type="dxa"/>
            <w:tcBorders>
              <w:top w:val="nil"/>
              <w:left w:val="nil"/>
              <w:bottom w:val="nil"/>
              <w:right w:val="nil"/>
            </w:tcBorders>
            <w:shd w:val="clear" w:color="000000" w:fill="DEEAF6"/>
            <w:vAlign w:val="center"/>
          </w:tcPr>
          <w:p w14:paraId="14433738" w14:textId="7C0A8373"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Centrálny informačný systém štátnej služby</w:t>
            </w:r>
            <w:r w:rsidR="005E0C5A" w:rsidRPr="000939E3">
              <w:rPr>
                <w:bCs/>
                <w:color w:val="000000"/>
                <w:sz w:val="16"/>
                <w:szCs w:val="16"/>
              </w:rPr>
              <w:t>*</w:t>
            </w:r>
          </w:p>
        </w:tc>
        <w:tc>
          <w:tcPr>
            <w:tcW w:w="851" w:type="dxa"/>
            <w:tcBorders>
              <w:top w:val="nil"/>
              <w:left w:val="nil"/>
              <w:bottom w:val="nil"/>
              <w:right w:val="nil"/>
            </w:tcBorders>
            <w:shd w:val="clear" w:color="000000" w:fill="DEEAF6"/>
            <w:noWrap/>
            <w:vAlign w:val="center"/>
          </w:tcPr>
          <w:p w14:paraId="6B9F4811" w14:textId="0E7192E7"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2023</w:t>
            </w:r>
          </w:p>
        </w:tc>
        <w:tc>
          <w:tcPr>
            <w:tcW w:w="850" w:type="dxa"/>
            <w:tcBorders>
              <w:top w:val="nil"/>
              <w:left w:val="nil"/>
              <w:bottom w:val="nil"/>
              <w:right w:val="nil"/>
            </w:tcBorders>
            <w:shd w:val="clear" w:color="000000" w:fill="DEEAF6"/>
            <w:noWrap/>
            <w:vAlign w:val="center"/>
          </w:tcPr>
          <w:p w14:paraId="589CA697" w14:textId="361D6F40"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0CAFD6C9" w14:textId="2241C11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-19</w:t>
            </w:r>
          </w:p>
        </w:tc>
        <w:tc>
          <w:tcPr>
            <w:tcW w:w="850" w:type="dxa"/>
            <w:tcBorders>
              <w:top w:val="nil"/>
              <w:left w:val="nil"/>
              <w:bottom w:val="nil"/>
              <w:right w:val="single" w:sz="4" w:space="0" w:color="auto"/>
            </w:tcBorders>
            <w:shd w:val="clear" w:color="000000" w:fill="DEEAF6"/>
            <w:noWrap/>
            <w:vAlign w:val="center"/>
          </w:tcPr>
          <w:p w14:paraId="50CF8E06" w14:textId="4F997D33"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-0,4</w:t>
            </w:r>
          </w:p>
        </w:tc>
        <w:tc>
          <w:tcPr>
            <w:tcW w:w="709" w:type="dxa"/>
            <w:tcBorders>
              <w:top w:val="nil"/>
              <w:left w:val="nil"/>
              <w:bottom w:val="nil"/>
              <w:right w:val="nil"/>
            </w:tcBorders>
            <w:shd w:val="clear" w:color="000000" w:fill="DEEAF6"/>
            <w:noWrap/>
            <w:vAlign w:val="center"/>
          </w:tcPr>
          <w:p w14:paraId="45884E14" w14:textId="4E64F24E"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47</w:t>
            </w:r>
          </w:p>
        </w:tc>
        <w:tc>
          <w:tcPr>
            <w:tcW w:w="850" w:type="dxa"/>
            <w:tcBorders>
              <w:top w:val="nil"/>
              <w:left w:val="nil"/>
              <w:bottom w:val="nil"/>
              <w:right w:val="single" w:sz="4" w:space="0" w:color="auto"/>
            </w:tcBorders>
            <w:shd w:val="clear" w:color="000000" w:fill="DEEAF6"/>
            <w:noWrap/>
            <w:vAlign w:val="center"/>
          </w:tcPr>
          <w:p w14:paraId="19281D33" w14:textId="11B07FF1"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1,0</w:t>
            </w:r>
          </w:p>
        </w:tc>
      </w:tr>
      <w:tr w:rsidR="005D4340" w:rsidRPr="000939E3" w14:paraId="6C972408"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79909C34"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23AF5ED4"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3BC55EAB" w14:textId="71AA0C86"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1DCD8FA1" w14:textId="3B28FFB7"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720BCE3B" w14:textId="2EE6EE0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49F396DC" w14:textId="6C46D850"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c>
          <w:tcPr>
            <w:tcW w:w="709" w:type="dxa"/>
            <w:tcBorders>
              <w:top w:val="nil"/>
              <w:left w:val="nil"/>
              <w:bottom w:val="nil"/>
              <w:right w:val="nil"/>
            </w:tcBorders>
            <w:shd w:val="clear" w:color="auto" w:fill="auto"/>
            <w:noWrap/>
            <w:vAlign w:val="center"/>
          </w:tcPr>
          <w:p w14:paraId="20EF3F47" w14:textId="74E5575E"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155B59F7" w14:textId="1D5596FA"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608EE072"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7D4E35CC" w14:textId="778DC8F6"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ÚVO</w:t>
            </w:r>
          </w:p>
        </w:tc>
        <w:tc>
          <w:tcPr>
            <w:tcW w:w="2977" w:type="dxa"/>
            <w:tcBorders>
              <w:top w:val="nil"/>
              <w:left w:val="nil"/>
              <w:bottom w:val="nil"/>
              <w:right w:val="nil"/>
            </w:tcBorders>
            <w:shd w:val="clear" w:color="000000" w:fill="DEEAF6"/>
            <w:vAlign w:val="center"/>
          </w:tcPr>
          <w:p w14:paraId="33451869" w14:textId="3A61CA10"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Systém verejného obstarávania (SVO)</w:t>
            </w:r>
            <w:r w:rsidR="005E0C5A" w:rsidRPr="000939E3">
              <w:rPr>
                <w:bCs/>
                <w:color w:val="000000"/>
                <w:sz w:val="16"/>
                <w:szCs w:val="16"/>
              </w:rPr>
              <w:t>*</w:t>
            </w:r>
          </w:p>
        </w:tc>
        <w:tc>
          <w:tcPr>
            <w:tcW w:w="851" w:type="dxa"/>
            <w:tcBorders>
              <w:top w:val="nil"/>
              <w:left w:val="nil"/>
              <w:bottom w:val="nil"/>
              <w:right w:val="nil"/>
            </w:tcBorders>
            <w:shd w:val="clear" w:color="000000" w:fill="DEEAF6"/>
            <w:noWrap/>
            <w:vAlign w:val="center"/>
          </w:tcPr>
          <w:p w14:paraId="3C72CCB8" w14:textId="25EE2507"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2022</w:t>
            </w:r>
          </w:p>
        </w:tc>
        <w:tc>
          <w:tcPr>
            <w:tcW w:w="850" w:type="dxa"/>
            <w:tcBorders>
              <w:top w:val="nil"/>
              <w:left w:val="nil"/>
              <w:bottom w:val="nil"/>
              <w:right w:val="nil"/>
            </w:tcBorders>
            <w:shd w:val="clear" w:color="000000" w:fill="DEEAF6"/>
            <w:noWrap/>
            <w:vAlign w:val="center"/>
          </w:tcPr>
          <w:p w14:paraId="1B248131" w14:textId="3C0F3D3C"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627D002D" w14:textId="2FACE96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341</w:t>
            </w:r>
          </w:p>
        </w:tc>
        <w:tc>
          <w:tcPr>
            <w:tcW w:w="850" w:type="dxa"/>
            <w:tcBorders>
              <w:top w:val="nil"/>
              <w:left w:val="nil"/>
              <w:bottom w:val="nil"/>
              <w:right w:val="single" w:sz="4" w:space="0" w:color="auto"/>
            </w:tcBorders>
            <w:shd w:val="clear" w:color="000000" w:fill="DEEAF6"/>
            <w:noWrap/>
            <w:vAlign w:val="center"/>
          </w:tcPr>
          <w:p w14:paraId="707CB435" w14:textId="178326FB"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6,5</w:t>
            </w:r>
          </w:p>
        </w:tc>
        <w:tc>
          <w:tcPr>
            <w:tcW w:w="709" w:type="dxa"/>
            <w:tcBorders>
              <w:top w:val="nil"/>
              <w:left w:val="nil"/>
              <w:bottom w:val="nil"/>
              <w:right w:val="nil"/>
            </w:tcBorders>
            <w:shd w:val="clear" w:color="000000" w:fill="DEEAF6"/>
            <w:noWrap/>
            <w:vAlign w:val="center"/>
          </w:tcPr>
          <w:p w14:paraId="7B1A4ABD" w14:textId="1D7B29C0"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347</w:t>
            </w:r>
          </w:p>
        </w:tc>
        <w:tc>
          <w:tcPr>
            <w:tcW w:w="850" w:type="dxa"/>
            <w:tcBorders>
              <w:top w:val="nil"/>
              <w:left w:val="nil"/>
              <w:bottom w:val="nil"/>
              <w:right w:val="single" w:sz="4" w:space="0" w:color="auto"/>
            </w:tcBorders>
            <w:shd w:val="clear" w:color="000000" w:fill="DEEAF6"/>
            <w:noWrap/>
            <w:vAlign w:val="center"/>
          </w:tcPr>
          <w:p w14:paraId="3AB22DAC" w14:textId="18FD77EE"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6,6</w:t>
            </w:r>
          </w:p>
        </w:tc>
      </w:tr>
      <w:tr w:rsidR="005D4340" w:rsidRPr="000939E3" w14:paraId="49416887" w14:textId="77777777" w:rsidTr="00262D31">
        <w:trPr>
          <w:trHeight w:val="222"/>
        </w:trPr>
        <w:tc>
          <w:tcPr>
            <w:tcW w:w="1134" w:type="dxa"/>
            <w:tcBorders>
              <w:top w:val="nil"/>
              <w:left w:val="single" w:sz="4" w:space="0" w:color="auto"/>
              <w:bottom w:val="nil"/>
              <w:right w:val="nil"/>
            </w:tcBorders>
            <w:shd w:val="clear" w:color="auto" w:fill="auto"/>
            <w:noWrap/>
            <w:vAlign w:val="center"/>
          </w:tcPr>
          <w:p w14:paraId="644561C2" w14:textId="77777777" w:rsidR="00B771BA" w:rsidRPr="000939E3" w:rsidRDefault="00B771BA" w:rsidP="00B771BA">
            <w:pPr>
              <w:spacing w:after="0" w:line="240" w:lineRule="auto"/>
              <w:jc w:val="right"/>
              <w:rPr>
                <w:rFonts w:eastAsia="Times New Roman" w:cs="Times New Roman"/>
                <w:color w:val="000000"/>
                <w:sz w:val="16"/>
                <w:szCs w:val="16"/>
              </w:rPr>
            </w:pPr>
          </w:p>
        </w:tc>
        <w:tc>
          <w:tcPr>
            <w:tcW w:w="2977" w:type="dxa"/>
            <w:tcBorders>
              <w:top w:val="nil"/>
              <w:left w:val="nil"/>
              <w:bottom w:val="nil"/>
              <w:right w:val="nil"/>
            </w:tcBorders>
            <w:vAlign w:val="center"/>
          </w:tcPr>
          <w:p w14:paraId="5F6845AE" w14:textId="77777777" w:rsidR="00B771BA" w:rsidRPr="000939E3" w:rsidRDefault="00B771BA" w:rsidP="00B771BA">
            <w:pPr>
              <w:spacing w:after="0" w:line="240" w:lineRule="auto"/>
              <w:jc w:val="left"/>
              <w:rPr>
                <w:rFonts w:eastAsia="Times New Roman" w:cs="Times New Roman"/>
                <w:sz w:val="16"/>
                <w:szCs w:val="16"/>
              </w:rPr>
            </w:pPr>
          </w:p>
        </w:tc>
        <w:tc>
          <w:tcPr>
            <w:tcW w:w="851" w:type="dxa"/>
            <w:tcBorders>
              <w:top w:val="nil"/>
              <w:left w:val="nil"/>
              <w:bottom w:val="nil"/>
              <w:right w:val="nil"/>
            </w:tcBorders>
            <w:shd w:val="clear" w:color="auto" w:fill="auto"/>
            <w:noWrap/>
            <w:vAlign w:val="center"/>
          </w:tcPr>
          <w:p w14:paraId="54C44257" w14:textId="7CC652ED" w:rsidR="00B771BA" w:rsidRPr="000939E3" w:rsidRDefault="00B771BA" w:rsidP="00B771BA">
            <w:pPr>
              <w:spacing w:after="0" w:line="240" w:lineRule="auto"/>
              <w:jc w:val="left"/>
              <w:rPr>
                <w:rFonts w:eastAsia="Times New Roman" w:cs="Times New Roman"/>
                <w:sz w:val="16"/>
                <w:szCs w:val="16"/>
              </w:rPr>
            </w:pPr>
          </w:p>
        </w:tc>
        <w:tc>
          <w:tcPr>
            <w:tcW w:w="850" w:type="dxa"/>
            <w:tcBorders>
              <w:top w:val="nil"/>
              <w:left w:val="nil"/>
              <w:bottom w:val="nil"/>
              <w:right w:val="nil"/>
            </w:tcBorders>
            <w:shd w:val="clear" w:color="auto" w:fill="auto"/>
            <w:noWrap/>
            <w:vAlign w:val="center"/>
          </w:tcPr>
          <w:p w14:paraId="0831EEE8" w14:textId="4EEE9C62"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single" w:sz="4" w:space="0" w:color="auto"/>
              <w:bottom w:val="nil"/>
              <w:right w:val="nil"/>
            </w:tcBorders>
            <w:shd w:val="clear" w:color="auto" w:fill="auto"/>
            <w:noWrap/>
            <w:vAlign w:val="center"/>
          </w:tcPr>
          <w:p w14:paraId="7EA6F1F3" w14:textId="32F23AE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659CF5E7" w14:textId="11CAD849"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-0,7</w:t>
            </w:r>
          </w:p>
        </w:tc>
        <w:tc>
          <w:tcPr>
            <w:tcW w:w="709" w:type="dxa"/>
            <w:tcBorders>
              <w:top w:val="nil"/>
              <w:left w:val="nil"/>
              <w:bottom w:val="nil"/>
              <w:right w:val="nil"/>
            </w:tcBorders>
            <w:shd w:val="clear" w:color="auto" w:fill="auto"/>
            <w:noWrap/>
            <w:vAlign w:val="center"/>
          </w:tcPr>
          <w:p w14:paraId="51929E38" w14:textId="2DD8219E"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nil"/>
              <w:right w:val="single" w:sz="4" w:space="0" w:color="auto"/>
            </w:tcBorders>
            <w:shd w:val="clear" w:color="auto" w:fill="auto"/>
            <w:noWrap/>
            <w:vAlign w:val="center"/>
          </w:tcPr>
          <w:p w14:paraId="00CCBB7D" w14:textId="578E6D9C"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0,0</w:t>
            </w:r>
          </w:p>
        </w:tc>
      </w:tr>
      <w:tr w:rsidR="005D4340" w:rsidRPr="000939E3" w14:paraId="5B37A71C" w14:textId="77777777" w:rsidTr="00262D31">
        <w:trPr>
          <w:trHeight w:val="222"/>
        </w:trPr>
        <w:tc>
          <w:tcPr>
            <w:tcW w:w="1134" w:type="dxa"/>
            <w:tcBorders>
              <w:top w:val="nil"/>
              <w:left w:val="single" w:sz="4" w:space="0" w:color="auto"/>
              <w:bottom w:val="nil"/>
              <w:right w:val="nil"/>
            </w:tcBorders>
            <w:shd w:val="clear" w:color="000000" w:fill="DEEAF6"/>
            <w:noWrap/>
            <w:vAlign w:val="center"/>
          </w:tcPr>
          <w:p w14:paraId="6D53CCC5" w14:textId="0E0FD0E4"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ZSSK</w:t>
            </w:r>
          </w:p>
        </w:tc>
        <w:tc>
          <w:tcPr>
            <w:tcW w:w="2977" w:type="dxa"/>
            <w:tcBorders>
              <w:top w:val="nil"/>
              <w:left w:val="nil"/>
              <w:bottom w:val="nil"/>
              <w:right w:val="nil"/>
            </w:tcBorders>
            <w:shd w:val="clear" w:color="000000" w:fill="DEEAF6"/>
            <w:vAlign w:val="center"/>
          </w:tcPr>
          <w:p w14:paraId="235A4EE8" w14:textId="0FCD7ECB"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Informačný systém komplexného vybavenia cestujúcich</w:t>
            </w:r>
          </w:p>
        </w:tc>
        <w:tc>
          <w:tcPr>
            <w:tcW w:w="851" w:type="dxa"/>
            <w:tcBorders>
              <w:top w:val="nil"/>
              <w:left w:val="nil"/>
              <w:bottom w:val="nil"/>
              <w:right w:val="nil"/>
            </w:tcBorders>
            <w:shd w:val="clear" w:color="000000" w:fill="DEEAF6"/>
            <w:noWrap/>
            <w:vAlign w:val="center"/>
          </w:tcPr>
          <w:p w14:paraId="42E3A30B" w14:textId="5985DB8E" w:rsidR="00B771BA" w:rsidRPr="000939E3" w:rsidRDefault="00B771BA" w:rsidP="00B771BA">
            <w:pPr>
              <w:spacing w:after="0" w:line="240" w:lineRule="auto"/>
              <w:jc w:val="left"/>
              <w:rPr>
                <w:rFonts w:eastAsia="Times New Roman" w:cs="Times New Roman"/>
                <w:bCs/>
                <w:color w:val="000000"/>
                <w:sz w:val="16"/>
                <w:szCs w:val="16"/>
              </w:rPr>
            </w:pPr>
            <w:r w:rsidRPr="000939E3">
              <w:rPr>
                <w:bCs/>
                <w:color w:val="000000"/>
                <w:sz w:val="16"/>
                <w:szCs w:val="16"/>
              </w:rPr>
              <w:t>2022</w:t>
            </w:r>
          </w:p>
        </w:tc>
        <w:tc>
          <w:tcPr>
            <w:tcW w:w="850" w:type="dxa"/>
            <w:tcBorders>
              <w:top w:val="nil"/>
              <w:left w:val="nil"/>
              <w:bottom w:val="nil"/>
              <w:right w:val="nil"/>
            </w:tcBorders>
            <w:shd w:val="clear" w:color="000000" w:fill="DEEAF6"/>
            <w:noWrap/>
            <w:vAlign w:val="center"/>
          </w:tcPr>
          <w:p w14:paraId="31F2B20A" w14:textId="7F44BE0F"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ľudia</w:t>
            </w:r>
          </w:p>
        </w:tc>
        <w:tc>
          <w:tcPr>
            <w:tcW w:w="851" w:type="dxa"/>
            <w:tcBorders>
              <w:top w:val="nil"/>
              <w:left w:val="single" w:sz="4" w:space="0" w:color="auto"/>
              <w:bottom w:val="nil"/>
              <w:right w:val="nil"/>
            </w:tcBorders>
            <w:shd w:val="clear" w:color="000000" w:fill="DEEAF6"/>
            <w:noWrap/>
            <w:vAlign w:val="center"/>
          </w:tcPr>
          <w:p w14:paraId="46A509B1" w14:textId="0B3C3FBC"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11</w:t>
            </w:r>
          </w:p>
        </w:tc>
        <w:tc>
          <w:tcPr>
            <w:tcW w:w="850" w:type="dxa"/>
            <w:tcBorders>
              <w:top w:val="nil"/>
              <w:left w:val="nil"/>
              <w:bottom w:val="nil"/>
              <w:right w:val="single" w:sz="4" w:space="0" w:color="auto"/>
            </w:tcBorders>
            <w:shd w:val="clear" w:color="000000" w:fill="DEEAF6"/>
            <w:noWrap/>
            <w:vAlign w:val="center"/>
          </w:tcPr>
          <w:p w14:paraId="44719FE5" w14:textId="2165D38F"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0,2</w:t>
            </w:r>
          </w:p>
        </w:tc>
        <w:tc>
          <w:tcPr>
            <w:tcW w:w="709" w:type="dxa"/>
            <w:tcBorders>
              <w:top w:val="nil"/>
              <w:left w:val="nil"/>
              <w:bottom w:val="nil"/>
              <w:right w:val="nil"/>
            </w:tcBorders>
            <w:shd w:val="clear" w:color="000000" w:fill="DEEAF6"/>
            <w:noWrap/>
            <w:vAlign w:val="center"/>
          </w:tcPr>
          <w:p w14:paraId="560FF0CD" w14:textId="5A71DAA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11</w:t>
            </w:r>
          </w:p>
        </w:tc>
        <w:tc>
          <w:tcPr>
            <w:tcW w:w="850" w:type="dxa"/>
            <w:tcBorders>
              <w:top w:val="nil"/>
              <w:left w:val="nil"/>
              <w:bottom w:val="nil"/>
              <w:right w:val="single" w:sz="4" w:space="0" w:color="auto"/>
            </w:tcBorders>
            <w:shd w:val="clear" w:color="000000" w:fill="DEEAF6"/>
            <w:noWrap/>
            <w:vAlign w:val="center"/>
          </w:tcPr>
          <w:p w14:paraId="3C95D5CB" w14:textId="5CDD4FD8"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0,2</w:t>
            </w:r>
          </w:p>
        </w:tc>
      </w:tr>
      <w:tr w:rsidR="005D4340" w:rsidRPr="000939E3" w14:paraId="756CF8AB" w14:textId="77777777" w:rsidTr="00262D31">
        <w:trPr>
          <w:trHeight w:val="222"/>
        </w:trPr>
        <w:tc>
          <w:tcPr>
            <w:tcW w:w="1134" w:type="dxa"/>
            <w:tcBorders>
              <w:top w:val="nil"/>
              <w:left w:val="single" w:sz="4" w:space="0" w:color="auto"/>
              <w:bottom w:val="single" w:sz="4" w:space="0" w:color="auto"/>
              <w:right w:val="nil"/>
            </w:tcBorders>
            <w:shd w:val="clear" w:color="auto" w:fill="auto"/>
            <w:noWrap/>
            <w:vAlign w:val="center"/>
          </w:tcPr>
          <w:p w14:paraId="0112B943" w14:textId="314CE6E3"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 </w:t>
            </w:r>
          </w:p>
        </w:tc>
        <w:tc>
          <w:tcPr>
            <w:tcW w:w="2977" w:type="dxa"/>
            <w:tcBorders>
              <w:top w:val="nil"/>
              <w:left w:val="nil"/>
              <w:bottom w:val="single" w:sz="4" w:space="0" w:color="auto"/>
              <w:right w:val="nil"/>
            </w:tcBorders>
            <w:vAlign w:val="center"/>
          </w:tcPr>
          <w:p w14:paraId="29DC7721" w14:textId="6E426F00"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 </w:t>
            </w:r>
          </w:p>
        </w:tc>
        <w:tc>
          <w:tcPr>
            <w:tcW w:w="851" w:type="dxa"/>
            <w:tcBorders>
              <w:top w:val="nil"/>
              <w:left w:val="nil"/>
              <w:bottom w:val="single" w:sz="4" w:space="0" w:color="auto"/>
              <w:right w:val="nil"/>
            </w:tcBorders>
            <w:shd w:val="clear" w:color="auto" w:fill="auto"/>
            <w:noWrap/>
            <w:vAlign w:val="center"/>
          </w:tcPr>
          <w:p w14:paraId="4659FBE2" w14:textId="05A9395B"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tcPr>
          <w:p w14:paraId="0520DDF4" w14:textId="480A1054" w:rsidR="00B771BA" w:rsidRPr="000939E3" w:rsidRDefault="00B771BA" w:rsidP="00B771BA">
            <w:pPr>
              <w:spacing w:after="0" w:line="240" w:lineRule="auto"/>
              <w:jc w:val="left"/>
              <w:rPr>
                <w:rFonts w:eastAsia="Times New Roman" w:cs="Times New Roman"/>
                <w:color w:val="000000"/>
                <w:sz w:val="16"/>
                <w:szCs w:val="16"/>
              </w:rPr>
            </w:pPr>
            <w:r w:rsidRPr="000939E3">
              <w:rPr>
                <w:color w:val="000000"/>
                <w:sz w:val="16"/>
                <w:szCs w:val="16"/>
              </w:rPr>
              <w:t>prevádzka</w:t>
            </w:r>
          </w:p>
        </w:tc>
        <w:tc>
          <w:tcPr>
            <w:tcW w:w="851" w:type="dxa"/>
            <w:tcBorders>
              <w:top w:val="nil"/>
              <w:left w:val="nil"/>
              <w:bottom w:val="single" w:sz="4" w:space="0" w:color="auto"/>
              <w:right w:val="nil"/>
            </w:tcBorders>
            <w:shd w:val="clear" w:color="auto" w:fill="auto"/>
            <w:noWrap/>
            <w:vAlign w:val="center"/>
          </w:tcPr>
          <w:p w14:paraId="58EF9834" w14:textId="4521502A"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tcPr>
          <w:p w14:paraId="7AAEF66D" w14:textId="2A0D3972"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1,0</w:t>
            </w:r>
          </w:p>
        </w:tc>
        <w:tc>
          <w:tcPr>
            <w:tcW w:w="709" w:type="dxa"/>
            <w:tcBorders>
              <w:top w:val="nil"/>
              <w:left w:val="nil"/>
              <w:bottom w:val="single" w:sz="4" w:space="0" w:color="auto"/>
              <w:right w:val="nil"/>
            </w:tcBorders>
            <w:shd w:val="clear" w:color="auto" w:fill="auto"/>
            <w:noWrap/>
            <w:vAlign w:val="center"/>
          </w:tcPr>
          <w:p w14:paraId="2530B740" w14:textId="58618A40"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tcPr>
          <w:p w14:paraId="58F2CB45" w14:textId="3101B02A" w:rsidR="00B771BA" w:rsidRPr="000939E3" w:rsidRDefault="00B771BA" w:rsidP="00B771BA">
            <w:pPr>
              <w:spacing w:after="0" w:line="240" w:lineRule="auto"/>
              <w:jc w:val="right"/>
              <w:rPr>
                <w:rFonts w:eastAsia="Times New Roman" w:cs="Times New Roman"/>
                <w:color w:val="000000"/>
                <w:sz w:val="16"/>
                <w:szCs w:val="16"/>
              </w:rPr>
            </w:pPr>
            <w:r w:rsidRPr="000939E3">
              <w:rPr>
                <w:color w:val="000000"/>
                <w:sz w:val="16"/>
                <w:szCs w:val="16"/>
              </w:rPr>
              <w:t>1,6</w:t>
            </w:r>
          </w:p>
        </w:tc>
      </w:tr>
      <w:tr w:rsidR="005D4340" w:rsidRPr="000939E3" w14:paraId="05D7D8A2" w14:textId="77777777" w:rsidTr="00262D31">
        <w:trPr>
          <w:trHeight w:val="222"/>
        </w:trPr>
        <w:tc>
          <w:tcPr>
            <w:tcW w:w="1134" w:type="dxa"/>
            <w:tcBorders>
              <w:top w:val="nil"/>
              <w:left w:val="single" w:sz="4" w:space="0" w:color="auto"/>
              <w:right w:val="nil"/>
            </w:tcBorders>
            <w:shd w:val="clear" w:color="000000" w:fill="DEEAF6"/>
            <w:noWrap/>
            <w:vAlign w:val="center"/>
            <w:hideMark/>
          </w:tcPr>
          <w:p w14:paraId="708CB9D2" w14:textId="77777777" w:rsidR="002E6C28" w:rsidRPr="000939E3" w:rsidRDefault="002E6C28" w:rsidP="002E6C28">
            <w:pPr>
              <w:spacing w:after="0" w:line="240" w:lineRule="auto"/>
              <w:jc w:val="left"/>
              <w:rPr>
                <w:rFonts w:eastAsia="Times New Roman" w:cs="Times New Roman"/>
                <w:b/>
                <w:bCs/>
                <w:color w:val="000000"/>
                <w:sz w:val="16"/>
                <w:szCs w:val="20"/>
              </w:rPr>
            </w:pPr>
            <w:r w:rsidRPr="000939E3">
              <w:rPr>
                <w:rFonts w:eastAsia="Times New Roman" w:cs="Times New Roman"/>
                <w:b/>
                <w:bCs/>
                <w:color w:val="000000"/>
                <w:sz w:val="16"/>
                <w:szCs w:val="20"/>
              </w:rPr>
              <w:t>spolu</w:t>
            </w:r>
          </w:p>
        </w:tc>
        <w:tc>
          <w:tcPr>
            <w:tcW w:w="2977" w:type="dxa"/>
            <w:tcBorders>
              <w:top w:val="nil"/>
              <w:left w:val="nil"/>
              <w:right w:val="nil"/>
            </w:tcBorders>
            <w:shd w:val="clear" w:color="000000" w:fill="DEEAF6"/>
            <w:vAlign w:val="center"/>
          </w:tcPr>
          <w:p w14:paraId="7C4FEC00" w14:textId="6CDD5760" w:rsidR="002E6C28" w:rsidRPr="000939E3" w:rsidRDefault="002E6C28" w:rsidP="002E6C28">
            <w:pPr>
              <w:spacing w:after="0" w:line="240" w:lineRule="auto"/>
              <w:jc w:val="left"/>
              <w:rPr>
                <w:rFonts w:eastAsia="Times New Roman" w:cs="Times New Roman"/>
                <w:bCs/>
                <w:color w:val="000000"/>
                <w:sz w:val="16"/>
                <w:szCs w:val="20"/>
              </w:rPr>
            </w:pPr>
          </w:p>
        </w:tc>
        <w:tc>
          <w:tcPr>
            <w:tcW w:w="851" w:type="dxa"/>
            <w:tcBorders>
              <w:top w:val="nil"/>
              <w:left w:val="nil"/>
              <w:right w:val="nil"/>
            </w:tcBorders>
            <w:shd w:val="clear" w:color="000000" w:fill="DEEAF6"/>
            <w:noWrap/>
            <w:vAlign w:val="center"/>
            <w:hideMark/>
          </w:tcPr>
          <w:p w14:paraId="61C19750" w14:textId="09D2F00E" w:rsidR="002E6C28" w:rsidRPr="000939E3" w:rsidRDefault="002E6C28" w:rsidP="002E6C28">
            <w:pPr>
              <w:spacing w:after="0" w:line="240" w:lineRule="auto"/>
              <w:jc w:val="left"/>
              <w:rPr>
                <w:rFonts w:eastAsia="Times New Roman" w:cs="Times New Roman"/>
                <w:b/>
                <w:bCs/>
                <w:color w:val="000000"/>
                <w:sz w:val="16"/>
                <w:szCs w:val="20"/>
              </w:rPr>
            </w:pPr>
            <w:r w:rsidRPr="000939E3">
              <w:rPr>
                <w:rFonts w:eastAsia="Times New Roman" w:cs="Times New Roman"/>
                <w:b/>
                <w:bCs/>
                <w:color w:val="000000"/>
                <w:sz w:val="16"/>
                <w:szCs w:val="20"/>
              </w:rPr>
              <w:t> </w:t>
            </w:r>
          </w:p>
        </w:tc>
        <w:tc>
          <w:tcPr>
            <w:tcW w:w="850" w:type="dxa"/>
            <w:tcBorders>
              <w:top w:val="nil"/>
              <w:left w:val="nil"/>
              <w:right w:val="nil"/>
            </w:tcBorders>
            <w:shd w:val="clear" w:color="000000" w:fill="DEEAF6"/>
            <w:noWrap/>
            <w:vAlign w:val="center"/>
            <w:hideMark/>
          </w:tcPr>
          <w:p w14:paraId="5AD6B2CD" w14:textId="77777777" w:rsidR="002E6C28" w:rsidRPr="000939E3" w:rsidRDefault="002E6C28" w:rsidP="002E6C28">
            <w:pPr>
              <w:spacing w:after="0" w:line="240" w:lineRule="auto"/>
              <w:jc w:val="left"/>
              <w:rPr>
                <w:rFonts w:eastAsia="Times New Roman" w:cs="Times New Roman"/>
                <w:color w:val="000000"/>
                <w:sz w:val="16"/>
                <w:szCs w:val="20"/>
              </w:rPr>
            </w:pPr>
            <w:r w:rsidRPr="000939E3">
              <w:rPr>
                <w:rFonts w:eastAsia="Times New Roman" w:cs="Times New Roman"/>
                <w:color w:val="000000"/>
                <w:sz w:val="16"/>
                <w:szCs w:val="20"/>
              </w:rPr>
              <w:t>ľudia</w:t>
            </w:r>
          </w:p>
        </w:tc>
        <w:tc>
          <w:tcPr>
            <w:tcW w:w="851" w:type="dxa"/>
            <w:tcBorders>
              <w:top w:val="nil"/>
              <w:left w:val="single" w:sz="4" w:space="0" w:color="auto"/>
              <w:right w:val="nil"/>
            </w:tcBorders>
            <w:shd w:val="clear" w:color="000000" w:fill="DEEAF6"/>
            <w:noWrap/>
            <w:vAlign w:val="center"/>
            <w:hideMark/>
          </w:tcPr>
          <w:p w14:paraId="79963B09" w14:textId="77777777" w:rsidR="002E6C28" w:rsidRPr="000939E3" w:rsidRDefault="002E6C28" w:rsidP="002E6C28">
            <w:pPr>
              <w:spacing w:after="0" w:line="240" w:lineRule="auto"/>
              <w:jc w:val="right"/>
              <w:rPr>
                <w:rFonts w:eastAsia="Times New Roman" w:cs="Times New Roman"/>
                <w:color w:val="000000"/>
                <w:sz w:val="16"/>
                <w:szCs w:val="20"/>
              </w:rPr>
            </w:pPr>
            <w:r w:rsidRPr="000939E3">
              <w:rPr>
                <w:rFonts w:eastAsia="Times New Roman" w:cs="Times New Roman"/>
                <w:color w:val="000000"/>
                <w:sz w:val="16"/>
                <w:szCs w:val="20"/>
              </w:rPr>
              <w:t> </w:t>
            </w:r>
          </w:p>
        </w:tc>
        <w:tc>
          <w:tcPr>
            <w:tcW w:w="850" w:type="dxa"/>
            <w:tcBorders>
              <w:top w:val="nil"/>
              <w:left w:val="nil"/>
              <w:right w:val="single" w:sz="4" w:space="0" w:color="auto"/>
            </w:tcBorders>
            <w:shd w:val="clear" w:color="000000" w:fill="DEEAF6"/>
            <w:noWrap/>
            <w:vAlign w:val="center"/>
            <w:hideMark/>
          </w:tcPr>
          <w:p w14:paraId="1363BCF0" w14:textId="77777777" w:rsidR="002E6C28" w:rsidRPr="000939E3" w:rsidRDefault="002E6C28" w:rsidP="002E6C28">
            <w:pPr>
              <w:spacing w:after="0" w:line="240" w:lineRule="auto"/>
              <w:jc w:val="right"/>
              <w:rPr>
                <w:rFonts w:eastAsia="Times New Roman" w:cs="Times New Roman"/>
                <w:color w:val="000000"/>
                <w:sz w:val="16"/>
                <w:szCs w:val="20"/>
              </w:rPr>
            </w:pPr>
            <w:r w:rsidRPr="000939E3">
              <w:rPr>
                <w:rFonts w:eastAsia="Times New Roman" w:cs="Times New Roman"/>
                <w:color w:val="000000"/>
                <w:sz w:val="16"/>
                <w:szCs w:val="20"/>
              </w:rPr>
              <w:t> </w:t>
            </w:r>
          </w:p>
        </w:tc>
        <w:tc>
          <w:tcPr>
            <w:tcW w:w="709" w:type="dxa"/>
            <w:tcBorders>
              <w:top w:val="nil"/>
              <w:left w:val="nil"/>
              <w:right w:val="nil"/>
            </w:tcBorders>
            <w:shd w:val="clear" w:color="000000" w:fill="DEEAF6"/>
            <w:noWrap/>
            <w:vAlign w:val="center"/>
            <w:hideMark/>
          </w:tcPr>
          <w:p w14:paraId="7453EF9E" w14:textId="77777777" w:rsidR="002E6C28" w:rsidRPr="000939E3" w:rsidRDefault="002E6C28" w:rsidP="002E6C28">
            <w:pPr>
              <w:spacing w:after="0" w:line="240" w:lineRule="auto"/>
              <w:jc w:val="right"/>
              <w:rPr>
                <w:rFonts w:eastAsia="Times New Roman" w:cs="Times New Roman"/>
                <w:color w:val="000000"/>
                <w:sz w:val="16"/>
                <w:szCs w:val="20"/>
              </w:rPr>
            </w:pPr>
            <w:r w:rsidRPr="000939E3">
              <w:rPr>
                <w:rFonts w:eastAsia="Times New Roman" w:cs="Times New Roman"/>
                <w:color w:val="000000"/>
                <w:sz w:val="16"/>
                <w:szCs w:val="20"/>
              </w:rPr>
              <w:t>4 864</w:t>
            </w:r>
          </w:p>
        </w:tc>
        <w:tc>
          <w:tcPr>
            <w:tcW w:w="850" w:type="dxa"/>
            <w:tcBorders>
              <w:top w:val="nil"/>
              <w:left w:val="nil"/>
              <w:right w:val="single" w:sz="4" w:space="0" w:color="auto"/>
            </w:tcBorders>
            <w:shd w:val="clear" w:color="000000" w:fill="DEEAF6"/>
            <w:noWrap/>
            <w:vAlign w:val="center"/>
            <w:hideMark/>
          </w:tcPr>
          <w:p w14:paraId="531C7596" w14:textId="77777777" w:rsidR="002E6C28" w:rsidRPr="000939E3" w:rsidRDefault="002E6C28" w:rsidP="002E6C28">
            <w:pPr>
              <w:spacing w:after="0" w:line="240" w:lineRule="auto"/>
              <w:jc w:val="right"/>
              <w:rPr>
                <w:rFonts w:eastAsia="Times New Roman" w:cs="Times New Roman"/>
                <w:color w:val="000000"/>
                <w:sz w:val="16"/>
                <w:szCs w:val="20"/>
              </w:rPr>
            </w:pPr>
            <w:r w:rsidRPr="000939E3">
              <w:rPr>
                <w:rFonts w:eastAsia="Times New Roman" w:cs="Times New Roman"/>
                <w:color w:val="000000"/>
                <w:sz w:val="16"/>
                <w:szCs w:val="20"/>
              </w:rPr>
              <w:t>103,9</w:t>
            </w:r>
          </w:p>
        </w:tc>
      </w:tr>
      <w:tr w:rsidR="005D4340" w:rsidRPr="000939E3" w14:paraId="5F987630" w14:textId="77777777" w:rsidTr="00262D31">
        <w:trPr>
          <w:trHeight w:val="222"/>
        </w:trPr>
        <w:tc>
          <w:tcPr>
            <w:tcW w:w="1134" w:type="dxa"/>
            <w:tcBorders>
              <w:top w:val="nil"/>
              <w:left w:val="single" w:sz="4" w:space="0" w:color="auto"/>
              <w:bottom w:val="single" w:sz="4" w:space="0" w:color="auto"/>
            </w:tcBorders>
            <w:shd w:val="clear" w:color="auto" w:fill="auto"/>
            <w:noWrap/>
            <w:vAlign w:val="center"/>
            <w:hideMark/>
          </w:tcPr>
          <w:p w14:paraId="449E69DC" w14:textId="77777777" w:rsidR="002E6C28" w:rsidRPr="000939E3" w:rsidRDefault="002E6C28" w:rsidP="002E6C28">
            <w:pPr>
              <w:spacing w:after="0" w:line="240" w:lineRule="auto"/>
              <w:jc w:val="left"/>
              <w:rPr>
                <w:rFonts w:eastAsia="Times New Roman" w:cs="Times New Roman"/>
                <w:color w:val="000000"/>
                <w:sz w:val="16"/>
                <w:szCs w:val="20"/>
              </w:rPr>
            </w:pPr>
            <w:r w:rsidRPr="000939E3">
              <w:rPr>
                <w:rFonts w:eastAsia="Times New Roman" w:cs="Times New Roman"/>
                <w:color w:val="000000"/>
                <w:sz w:val="16"/>
                <w:szCs w:val="20"/>
              </w:rPr>
              <w:t> </w:t>
            </w:r>
          </w:p>
        </w:tc>
        <w:tc>
          <w:tcPr>
            <w:tcW w:w="2977" w:type="dxa"/>
            <w:tcBorders>
              <w:top w:val="nil"/>
              <w:bottom w:val="single" w:sz="4" w:space="0" w:color="auto"/>
            </w:tcBorders>
            <w:vAlign w:val="center"/>
          </w:tcPr>
          <w:p w14:paraId="0ABEC02E" w14:textId="77777777" w:rsidR="002E6C28" w:rsidRPr="000939E3" w:rsidRDefault="002E6C28" w:rsidP="002E6C28">
            <w:pPr>
              <w:spacing w:after="0" w:line="240" w:lineRule="auto"/>
              <w:jc w:val="left"/>
              <w:rPr>
                <w:rFonts w:eastAsia="Times New Roman" w:cs="Times New Roman"/>
                <w:color w:val="000000"/>
                <w:sz w:val="16"/>
                <w:szCs w:val="20"/>
              </w:rPr>
            </w:pPr>
          </w:p>
        </w:tc>
        <w:tc>
          <w:tcPr>
            <w:tcW w:w="851" w:type="dxa"/>
            <w:tcBorders>
              <w:top w:val="nil"/>
              <w:bottom w:val="single" w:sz="4" w:space="0" w:color="auto"/>
            </w:tcBorders>
            <w:shd w:val="clear" w:color="auto" w:fill="auto"/>
            <w:noWrap/>
            <w:vAlign w:val="center"/>
            <w:hideMark/>
          </w:tcPr>
          <w:p w14:paraId="0C5000CE" w14:textId="211DAE91" w:rsidR="002E6C28" w:rsidRPr="000939E3" w:rsidRDefault="002E6C28" w:rsidP="002E6C28">
            <w:pPr>
              <w:spacing w:after="0" w:line="240" w:lineRule="auto"/>
              <w:jc w:val="left"/>
              <w:rPr>
                <w:rFonts w:eastAsia="Times New Roman" w:cs="Times New Roman"/>
                <w:color w:val="000000"/>
                <w:sz w:val="16"/>
                <w:szCs w:val="20"/>
              </w:rPr>
            </w:pPr>
            <w:r w:rsidRPr="000939E3">
              <w:rPr>
                <w:rFonts w:eastAsia="Times New Roman" w:cs="Times New Roman"/>
                <w:color w:val="000000"/>
                <w:sz w:val="16"/>
                <w:szCs w:val="20"/>
              </w:rPr>
              <w:t> </w:t>
            </w:r>
          </w:p>
        </w:tc>
        <w:tc>
          <w:tcPr>
            <w:tcW w:w="850" w:type="dxa"/>
            <w:tcBorders>
              <w:top w:val="nil"/>
              <w:bottom w:val="single" w:sz="4" w:space="0" w:color="auto"/>
              <w:right w:val="single" w:sz="4" w:space="0" w:color="auto"/>
            </w:tcBorders>
            <w:shd w:val="clear" w:color="auto" w:fill="auto"/>
            <w:noWrap/>
            <w:vAlign w:val="center"/>
            <w:hideMark/>
          </w:tcPr>
          <w:p w14:paraId="743B972E" w14:textId="77777777" w:rsidR="002E6C28" w:rsidRPr="000939E3" w:rsidRDefault="002E6C28" w:rsidP="002E6C28">
            <w:pPr>
              <w:spacing w:after="0" w:line="240" w:lineRule="auto"/>
              <w:jc w:val="left"/>
              <w:rPr>
                <w:rFonts w:eastAsia="Times New Roman" w:cs="Times New Roman"/>
                <w:color w:val="000000"/>
                <w:sz w:val="16"/>
                <w:szCs w:val="20"/>
              </w:rPr>
            </w:pPr>
            <w:r w:rsidRPr="000939E3">
              <w:rPr>
                <w:rFonts w:eastAsia="Times New Roman" w:cs="Times New Roman"/>
                <w:color w:val="000000"/>
                <w:sz w:val="16"/>
                <w:szCs w:val="20"/>
              </w:rPr>
              <w:t>prevádzka</w:t>
            </w:r>
          </w:p>
        </w:tc>
        <w:tc>
          <w:tcPr>
            <w:tcW w:w="851" w:type="dxa"/>
            <w:tcBorders>
              <w:top w:val="nil"/>
              <w:left w:val="single" w:sz="4" w:space="0" w:color="auto"/>
              <w:bottom w:val="single" w:sz="4" w:space="0" w:color="auto"/>
            </w:tcBorders>
            <w:shd w:val="clear" w:color="auto" w:fill="auto"/>
            <w:noWrap/>
            <w:vAlign w:val="center"/>
            <w:hideMark/>
          </w:tcPr>
          <w:p w14:paraId="2D23B054" w14:textId="77777777" w:rsidR="002E6C28" w:rsidRPr="000939E3" w:rsidRDefault="002E6C28" w:rsidP="002E6C28">
            <w:pPr>
              <w:spacing w:after="0" w:line="240" w:lineRule="auto"/>
              <w:jc w:val="left"/>
              <w:rPr>
                <w:rFonts w:eastAsia="Times New Roman" w:cs="Times New Roman"/>
                <w:color w:val="000000"/>
                <w:sz w:val="16"/>
                <w:szCs w:val="20"/>
              </w:rPr>
            </w:pPr>
            <w:r w:rsidRPr="000939E3">
              <w:rPr>
                <w:rFonts w:eastAsia="Times New Roman" w:cs="Times New Roman"/>
                <w:color w:val="000000"/>
                <w:sz w:val="16"/>
                <w:szCs w:val="20"/>
              </w:rPr>
              <w:t> </w:t>
            </w:r>
          </w:p>
        </w:tc>
        <w:tc>
          <w:tcPr>
            <w:tcW w:w="850" w:type="dxa"/>
            <w:tcBorders>
              <w:top w:val="nil"/>
              <w:bottom w:val="single" w:sz="4" w:space="0" w:color="auto"/>
              <w:right w:val="single" w:sz="4" w:space="0" w:color="auto"/>
            </w:tcBorders>
            <w:shd w:val="clear" w:color="auto" w:fill="auto"/>
            <w:noWrap/>
            <w:vAlign w:val="center"/>
            <w:hideMark/>
          </w:tcPr>
          <w:p w14:paraId="4D3060A7" w14:textId="77777777" w:rsidR="002E6C28" w:rsidRPr="000939E3" w:rsidRDefault="002E6C28" w:rsidP="002E6C28">
            <w:pPr>
              <w:spacing w:after="0" w:line="240" w:lineRule="auto"/>
              <w:jc w:val="right"/>
              <w:rPr>
                <w:rFonts w:eastAsia="Times New Roman" w:cs="Times New Roman"/>
                <w:color w:val="000000"/>
                <w:sz w:val="16"/>
                <w:szCs w:val="20"/>
              </w:rPr>
            </w:pPr>
            <w:r w:rsidRPr="000939E3">
              <w:rPr>
                <w:rFonts w:eastAsia="Times New Roman" w:cs="Times New Roman"/>
                <w:color w:val="000000"/>
                <w:sz w:val="16"/>
                <w:szCs w:val="20"/>
              </w:rPr>
              <w:t> </w:t>
            </w:r>
          </w:p>
        </w:tc>
        <w:tc>
          <w:tcPr>
            <w:tcW w:w="709" w:type="dxa"/>
            <w:tcBorders>
              <w:top w:val="nil"/>
              <w:left w:val="single" w:sz="4" w:space="0" w:color="auto"/>
              <w:bottom w:val="single" w:sz="4" w:space="0" w:color="auto"/>
            </w:tcBorders>
            <w:shd w:val="clear" w:color="auto" w:fill="auto"/>
            <w:noWrap/>
            <w:vAlign w:val="center"/>
            <w:hideMark/>
          </w:tcPr>
          <w:p w14:paraId="53F8D436" w14:textId="77777777" w:rsidR="002E6C28" w:rsidRPr="000939E3" w:rsidRDefault="002E6C28" w:rsidP="002E6C28">
            <w:pPr>
              <w:spacing w:after="0" w:line="240" w:lineRule="auto"/>
              <w:jc w:val="right"/>
              <w:rPr>
                <w:rFonts w:eastAsia="Times New Roman" w:cs="Times New Roman"/>
                <w:color w:val="000000"/>
                <w:sz w:val="16"/>
                <w:szCs w:val="20"/>
              </w:rPr>
            </w:pPr>
            <w:r w:rsidRPr="000939E3">
              <w:rPr>
                <w:rFonts w:eastAsia="Times New Roman" w:cs="Times New Roman"/>
                <w:color w:val="000000"/>
                <w:sz w:val="16"/>
                <w:szCs w:val="20"/>
              </w:rPr>
              <w:t>0</w:t>
            </w:r>
          </w:p>
        </w:tc>
        <w:tc>
          <w:tcPr>
            <w:tcW w:w="850" w:type="dxa"/>
            <w:tcBorders>
              <w:top w:val="nil"/>
              <w:bottom w:val="single" w:sz="4" w:space="0" w:color="auto"/>
              <w:right w:val="single" w:sz="4" w:space="0" w:color="auto"/>
            </w:tcBorders>
            <w:shd w:val="clear" w:color="auto" w:fill="auto"/>
            <w:noWrap/>
            <w:vAlign w:val="center"/>
            <w:hideMark/>
          </w:tcPr>
          <w:p w14:paraId="0BF20AE4" w14:textId="77777777" w:rsidR="002E6C28" w:rsidRPr="000939E3" w:rsidRDefault="002E6C28" w:rsidP="002E6C28">
            <w:pPr>
              <w:spacing w:after="0" w:line="240" w:lineRule="auto"/>
              <w:jc w:val="right"/>
              <w:rPr>
                <w:rFonts w:eastAsia="Times New Roman" w:cs="Times New Roman"/>
                <w:color w:val="000000"/>
                <w:sz w:val="16"/>
                <w:szCs w:val="20"/>
              </w:rPr>
            </w:pPr>
            <w:r w:rsidRPr="000939E3">
              <w:rPr>
                <w:rFonts w:eastAsia="Times New Roman" w:cs="Times New Roman"/>
                <w:color w:val="000000"/>
                <w:sz w:val="16"/>
                <w:szCs w:val="20"/>
              </w:rPr>
              <w:t>6,9</w:t>
            </w:r>
          </w:p>
        </w:tc>
      </w:tr>
      <w:tr w:rsidR="00262D31" w:rsidRPr="000939E3" w14:paraId="0A457F14" w14:textId="77777777" w:rsidTr="00FB4735">
        <w:trPr>
          <w:trHeight w:val="222"/>
        </w:trPr>
        <w:tc>
          <w:tcPr>
            <w:tcW w:w="4962" w:type="dxa"/>
            <w:gridSpan w:val="3"/>
            <w:tcBorders>
              <w:top w:val="single" w:sz="4" w:space="0" w:color="auto"/>
              <w:left w:val="nil"/>
            </w:tcBorders>
            <w:shd w:val="clear" w:color="auto" w:fill="auto"/>
            <w:noWrap/>
            <w:vAlign w:val="center"/>
          </w:tcPr>
          <w:p w14:paraId="6210FF34" w14:textId="0992E7C5" w:rsidR="00262D31" w:rsidRPr="00E70518" w:rsidRDefault="00262D31" w:rsidP="005332AC">
            <w:pPr>
              <w:spacing w:after="0" w:line="240" w:lineRule="auto"/>
              <w:jc w:val="left"/>
              <w:rPr>
                <w:rFonts w:eastAsia="Times New Roman" w:cs="Times New Roman"/>
                <w:i/>
                <w:color w:val="000000"/>
                <w:sz w:val="16"/>
                <w:szCs w:val="20"/>
              </w:rPr>
            </w:pPr>
            <w:r w:rsidRPr="00E70518">
              <w:rPr>
                <w:i/>
                <w:sz w:val="18"/>
                <w:szCs w:val="18"/>
              </w:rPr>
              <w:t>*Zahŕňa úspory aj v iných rezortoch.</w:t>
            </w:r>
          </w:p>
        </w:tc>
        <w:tc>
          <w:tcPr>
            <w:tcW w:w="850" w:type="dxa"/>
            <w:tcBorders>
              <w:top w:val="single" w:sz="4" w:space="0" w:color="auto"/>
            </w:tcBorders>
            <w:shd w:val="clear" w:color="auto" w:fill="auto"/>
            <w:noWrap/>
            <w:vAlign w:val="center"/>
          </w:tcPr>
          <w:p w14:paraId="411B5897" w14:textId="77777777" w:rsidR="00262D31" w:rsidRPr="000939E3" w:rsidRDefault="00262D31" w:rsidP="002E6C28">
            <w:pPr>
              <w:spacing w:after="0" w:line="240" w:lineRule="auto"/>
              <w:jc w:val="left"/>
              <w:rPr>
                <w:rFonts w:eastAsia="Times New Roman" w:cs="Times New Roman"/>
                <w:color w:val="000000"/>
                <w:sz w:val="16"/>
                <w:szCs w:val="20"/>
              </w:rPr>
            </w:pPr>
          </w:p>
        </w:tc>
        <w:tc>
          <w:tcPr>
            <w:tcW w:w="851" w:type="dxa"/>
            <w:tcBorders>
              <w:top w:val="single" w:sz="4" w:space="0" w:color="auto"/>
            </w:tcBorders>
            <w:shd w:val="clear" w:color="auto" w:fill="auto"/>
            <w:noWrap/>
            <w:vAlign w:val="center"/>
          </w:tcPr>
          <w:p w14:paraId="51226582" w14:textId="77777777" w:rsidR="00262D31" w:rsidRPr="000939E3" w:rsidRDefault="00262D31" w:rsidP="002E6C28">
            <w:pPr>
              <w:spacing w:after="0" w:line="240" w:lineRule="auto"/>
              <w:jc w:val="left"/>
              <w:rPr>
                <w:rFonts w:eastAsia="Times New Roman" w:cs="Times New Roman"/>
                <w:color w:val="000000"/>
                <w:sz w:val="16"/>
                <w:szCs w:val="20"/>
              </w:rPr>
            </w:pPr>
          </w:p>
        </w:tc>
        <w:tc>
          <w:tcPr>
            <w:tcW w:w="850" w:type="dxa"/>
            <w:tcBorders>
              <w:top w:val="single" w:sz="4" w:space="0" w:color="auto"/>
            </w:tcBorders>
            <w:shd w:val="clear" w:color="auto" w:fill="auto"/>
            <w:noWrap/>
            <w:vAlign w:val="center"/>
          </w:tcPr>
          <w:p w14:paraId="2F9CFF19" w14:textId="77777777" w:rsidR="00262D31" w:rsidRPr="000939E3" w:rsidRDefault="00262D31" w:rsidP="002E6C28">
            <w:pPr>
              <w:spacing w:after="0" w:line="240" w:lineRule="auto"/>
              <w:jc w:val="right"/>
              <w:rPr>
                <w:rFonts w:eastAsia="Times New Roman" w:cs="Times New Roman"/>
                <w:color w:val="000000"/>
                <w:sz w:val="16"/>
                <w:szCs w:val="20"/>
              </w:rPr>
            </w:pPr>
          </w:p>
        </w:tc>
        <w:tc>
          <w:tcPr>
            <w:tcW w:w="1559" w:type="dxa"/>
            <w:gridSpan w:val="2"/>
            <w:tcBorders>
              <w:top w:val="single" w:sz="4" w:space="0" w:color="auto"/>
            </w:tcBorders>
            <w:shd w:val="clear" w:color="auto" w:fill="auto"/>
            <w:noWrap/>
            <w:vAlign w:val="center"/>
          </w:tcPr>
          <w:p w14:paraId="71B36563" w14:textId="74C3FEE3" w:rsidR="00262D31" w:rsidRPr="00262D31" w:rsidRDefault="00262D31" w:rsidP="002E6C28">
            <w:pPr>
              <w:spacing w:after="0" w:line="240" w:lineRule="auto"/>
              <w:jc w:val="right"/>
              <w:rPr>
                <w:rFonts w:eastAsia="Times New Roman" w:cs="Times New Roman"/>
                <w:i/>
                <w:color w:val="000000"/>
                <w:sz w:val="18"/>
                <w:szCs w:val="20"/>
              </w:rPr>
            </w:pPr>
            <w:r w:rsidRPr="00262D31">
              <w:rPr>
                <w:rFonts w:eastAsia="Times New Roman" w:cs="Times New Roman"/>
                <w:i/>
                <w:color w:val="000000"/>
                <w:sz w:val="18"/>
                <w:szCs w:val="20"/>
              </w:rPr>
              <w:t>Zdroj: ÚHP</w:t>
            </w:r>
          </w:p>
        </w:tc>
      </w:tr>
    </w:tbl>
    <w:p w14:paraId="543C5E1C" w14:textId="16C69919" w:rsidR="00400518" w:rsidRPr="000939E3" w:rsidRDefault="0047746E" w:rsidP="0047746E">
      <w:pPr>
        <w:pStyle w:val="Odsekzoznamu"/>
        <w:tabs>
          <w:tab w:val="center" w:pos="284"/>
        </w:tabs>
        <w:spacing w:before="160"/>
        <w:ind w:left="0"/>
        <w:contextualSpacing w:val="0"/>
        <w:jc w:val="both"/>
        <w:rPr>
          <w:b/>
        </w:rPr>
      </w:pPr>
      <w:r w:rsidRPr="000939E3">
        <w:rPr>
          <w:b/>
        </w:rPr>
        <w:t xml:space="preserve">2. </w:t>
      </w:r>
      <w:r w:rsidR="002B0793" w:rsidRPr="000939E3">
        <w:rPr>
          <w:b/>
        </w:rPr>
        <w:t xml:space="preserve">Opatrenie: </w:t>
      </w:r>
      <w:r w:rsidR="004F5E9F" w:rsidRPr="000939E3">
        <w:rPr>
          <w:b/>
        </w:rPr>
        <w:t>Optimalizovať zamestnanosť v štátnych podnikoch.</w:t>
      </w:r>
      <w:r w:rsidR="00400518" w:rsidRPr="000939E3">
        <w:rPr>
          <w:b/>
        </w:rPr>
        <w:t xml:space="preserve"> </w:t>
      </w:r>
      <w:r w:rsidR="00FB3CED" w:rsidRPr="000939E3">
        <w:rPr>
          <w:b/>
        </w:rPr>
        <w:t xml:space="preserve">Už realizované audity v štátnych podnikoch </w:t>
      </w:r>
      <w:r w:rsidR="00400518" w:rsidRPr="000939E3">
        <w:rPr>
          <w:b/>
        </w:rPr>
        <w:t>identifikova</w:t>
      </w:r>
      <w:r w:rsidR="00FB3CED" w:rsidRPr="000939E3">
        <w:rPr>
          <w:b/>
        </w:rPr>
        <w:t>li</w:t>
      </w:r>
      <w:r w:rsidR="00400518" w:rsidRPr="000939E3">
        <w:rPr>
          <w:b/>
        </w:rPr>
        <w:t xml:space="preserve"> úspor</w:t>
      </w:r>
      <w:r w:rsidR="00FB3CED" w:rsidRPr="000939E3">
        <w:rPr>
          <w:b/>
        </w:rPr>
        <w:t xml:space="preserve">y </w:t>
      </w:r>
      <w:r w:rsidR="00400518" w:rsidRPr="000939E3">
        <w:rPr>
          <w:b/>
        </w:rPr>
        <w:t xml:space="preserve">na osobných nákladoch </w:t>
      </w:r>
      <w:r w:rsidR="000F079A" w:rsidRPr="000939E3">
        <w:rPr>
          <w:b/>
        </w:rPr>
        <w:t>za</w:t>
      </w:r>
      <w:r w:rsidR="00FB3CED" w:rsidRPr="000939E3">
        <w:rPr>
          <w:b/>
        </w:rPr>
        <w:t xml:space="preserve"> </w:t>
      </w:r>
      <w:r w:rsidR="00400518" w:rsidRPr="000939E3">
        <w:rPr>
          <w:b/>
        </w:rPr>
        <w:t xml:space="preserve">približne </w:t>
      </w:r>
      <w:r w:rsidR="00425806" w:rsidRPr="000939E3">
        <w:rPr>
          <w:b/>
        </w:rPr>
        <w:t xml:space="preserve">67 </w:t>
      </w:r>
      <w:r w:rsidR="00400518" w:rsidRPr="000939E3">
        <w:rPr>
          <w:b/>
        </w:rPr>
        <w:t>mil. eur.</w:t>
      </w:r>
    </w:p>
    <w:p w14:paraId="2AF33A68" w14:textId="370AECF2" w:rsidR="00400518" w:rsidRPr="000939E3" w:rsidRDefault="00400518" w:rsidP="0047746E">
      <w:pPr>
        <w:pStyle w:val="Odsekzoznamu"/>
        <w:tabs>
          <w:tab w:val="center" w:pos="284"/>
        </w:tabs>
        <w:spacing w:before="160"/>
        <w:ind w:left="0"/>
        <w:contextualSpacing w:val="0"/>
        <w:jc w:val="both"/>
        <w:rPr>
          <w:b/>
        </w:rPr>
      </w:pPr>
      <w:r w:rsidRPr="000939E3">
        <w:rPr>
          <w:b/>
        </w:rPr>
        <w:t>Slovenská republika vlastní prostredníctvom orgánov štátnej správy 9</w:t>
      </w:r>
      <w:r w:rsidR="001F52F6" w:rsidRPr="000939E3">
        <w:rPr>
          <w:b/>
        </w:rPr>
        <w:t>1</w:t>
      </w:r>
      <w:r w:rsidRPr="000939E3">
        <w:rPr>
          <w:b/>
        </w:rPr>
        <w:t xml:space="preserve"> podnikov</w:t>
      </w:r>
      <w:r w:rsidRPr="000939E3">
        <w:t>, ktoré zamestnávajú približne</w:t>
      </w:r>
      <w:r w:rsidR="0047746E" w:rsidRPr="000939E3">
        <w:t xml:space="preserve"> </w:t>
      </w:r>
      <w:r w:rsidR="001F52F6" w:rsidRPr="000939E3">
        <w:t>73 </w:t>
      </w:r>
      <w:r w:rsidRPr="000939E3">
        <w:t>tis</w:t>
      </w:r>
      <w:r w:rsidR="006A06FB" w:rsidRPr="000939E3">
        <w:t>íc</w:t>
      </w:r>
      <w:r w:rsidRPr="000939E3">
        <w:t xml:space="preserve"> zamestnancov.</w:t>
      </w:r>
      <w:r w:rsidRPr="000939E3">
        <w:rPr>
          <w:b/>
        </w:rPr>
        <w:t xml:space="preserve"> </w:t>
      </w:r>
      <w:r w:rsidRPr="000939E3">
        <w:t>Osobné náklady často tvoria viac ako polovicu z prevádzkových nákladov. Zvýšenie efektívnosti prinesie realizácia úspor, ktoré boli identifikované už vykonanými auditmi.</w:t>
      </w:r>
      <w:r w:rsidR="002B0793" w:rsidRPr="000939E3">
        <w:t xml:space="preserve"> </w:t>
      </w:r>
    </w:p>
    <w:p w14:paraId="254388E5" w14:textId="223D247A" w:rsidR="0047746E" w:rsidRPr="000939E3" w:rsidRDefault="00400518" w:rsidP="00507F3A">
      <w:pPr>
        <w:rPr>
          <w:b/>
        </w:rPr>
      </w:pPr>
      <w:r w:rsidRPr="000939E3">
        <w:t xml:space="preserve">Príkladom je audit Slovenského vodohospodárskeho podniku vykonaný v rámci revízie výdavkov na životné prostredie. </w:t>
      </w:r>
      <w:r w:rsidR="00405665" w:rsidRPr="000939E3">
        <w:t xml:space="preserve">Audit v roku 2017 </w:t>
      </w:r>
      <w:r w:rsidRPr="000939E3">
        <w:t xml:space="preserve">identifikoval kľúčové dôvody znižujúce </w:t>
      </w:r>
      <w:r w:rsidR="00C578E9" w:rsidRPr="000939E3">
        <w:t xml:space="preserve">efektivitu </w:t>
      </w:r>
      <w:r w:rsidRPr="000939E3">
        <w:t>podniku (</w:t>
      </w:r>
      <w:r w:rsidRPr="000939E3">
        <w:fldChar w:fldCharType="begin"/>
      </w:r>
      <w:r w:rsidRPr="000939E3">
        <w:instrText xml:space="preserve"> REF _Ref527112185 \h  \* MERGEFORMAT </w:instrText>
      </w:r>
      <w:r w:rsidRPr="000939E3">
        <w:fldChar w:fldCharType="separate"/>
      </w:r>
      <w:r w:rsidR="00BF69CA" w:rsidRPr="00BF69CA">
        <w:t>Box 16</w:t>
      </w:r>
      <w:r w:rsidRPr="000939E3">
        <w:fldChar w:fldCharType="end"/>
      </w:r>
      <w:r w:rsidRPr="000939E3">
        <w:t xml:space="preserve">). Implementáciou opatrení z auditu </w:t>
      </w:r>
      <w:r w:rsidR="009F25D2" w:rsidRPr="000939E3">
        <w:t xml:space="preserve">mal </w:t>
      </w:r>
      <w:r w:rsidRPr="000939E3">
        <w:t>Slovenský vodohospodársky podnik do konca roku 2020 znížiť svoje ročné prevádzkové náklady</w:t>
      </w:r>
      <w:r w:rsidR="00FB3CED" w:rsidRPr="000939E3">
        <w:t> o </w:t>
      </w:r>
      <w:r w:rsidRPr="000939E3">
        <w:t>20 mil. eur a do ďalších dvoch rokov o dodatočných 10 mil. eur. Približne polovica úspor je spojená s odmeňovaním zamestnancov.</w:t>
      </w:r>
      <w:r w:rsidR="004F7D57" w:rsidRPr="000939E3">
        <w:t xml:space="preserve"> Už realizované audity v ďalších štátnych podnikoch identifikovali úspory s potenciálom cca 58 mil. eur.</w:t>
      </w:r>
      <w:r w:rsidR="00DB4633" w:rsidRPr="000939E3" w:rsidDel="00DB4633">
        <w:t xml:space="preserve"> </w:t>
      </w:r>
    </w:p>
    <w:bookmarkEnd w:id="21"/>
    <w:p w14:paraId="2824C5B2" w14:textId="426FD7A6" w:rsidR="0003521D" w:rsidRPr="000939E3" w:rsidRDefault="00014119" w:rsidP="0047746E">
      <w:pPr>
        <w:pStyle w:val="Odsekzoznamu"/>
        <w:tabs>
          <w:tab w:val="left" w:pos="284"/>
        </w:tabs>
        <w:spacing w:before="120"/>
        <w:ind w:left="0"/>
        <w:contextualSpacing w:val="0"/>
        <w:jc w:val="both"/>
        <w:rPr>
          <w:b/>
        </w:rPr>
      </w:pPr>
      <w:r w:rsidRPr="000939E3">
        <w:rPr>
          <w:b/>
        </w:rPr>
        <w:t>3</w:t>
      </w:r>
      <w:r w:rsidR="0003521D" w:rsidRPr="000939E3">
        <w:rPr>
          <w:b/>
        </w:rPr>
        <w:t xml:space="preserve">. </w:t>
      </w:r>
      <w:r w:rsidR="00777BBA" w:rsidRPr="000939E3">
        <w:rPr>
          <w:b/>
        </w:rPr>
        <w:tab/>
      </w:r>
      <w:r w:rsidR="002B0793" w:rsidRPr="000939E3">
        <w:rPr>
          <w:b/>
        </w:rPr>
        <w:t xml:space="preserve">Opatrenie: </w:t>
      </w:r>
      <w:r w:rsidR="0003521D" w:rsidRPr="000939E3">
        <w:rPr>
          <w:b/>
        </w:rPr>
        <w:t>Zníž</w:t>
      </w:r>
      <w:r w:rsidR="000C2A51" w:rsidRPr="000939E3">
        <w:rPr>
          <w:b/>
        </w:rPr>
        <w:t>iť</w:t>
      </w:r>
      <w:r w:rsidR="0003521D" w:rsidRPr="000939E3">
        <w:rPr>
          <w:b/>
        </w:rPr>
        <w:t xml:space="preserve"> poč</w:t>
      </w:r>
      <w:r w:rsidR="000C2A51" w:rsidRPr="000939E3">
        <w:rPr>
          <w:b/>
        </w:rPr>
        <w:t>et</w:t>
      </w:r>
      <w:r w:rsidR="0003521D" w:rsidRPr="000939E3">
        <w:rPr>
          <w:b/>
        </w:rPr>
        <w:t xml:space="preserve"> policajtov na priemer EÚ do roku 2027. Opatrenie má potenciál </w:t>
      </w:r>
      <w:r w:rsidR="002B0793" w:rsidRPr="000939E3">
        <w:rPr>
          <w:b/>
        </w:rPr>
        <w:t xml:space="preserve">znížiť </w:t>
      </w:r>
      <w:r w:rsidR="0003521D" w:rsidRPr="000939E3">
        <w:rPr>
          <w:b/>
        </w:rPr>
        <w:t>osobn</w:t>
      </w:r>
      <w:r w:rsidR="002B0793" w:rsidRPr="000939E3">
        <w:rPr>
          <w:b/>
        </w:rPr>
        <w:t>é</w:t>
      </w:r>
      <w:r w:rsidR="0003521D" w:rsidRPr="000939E3">
        <w:rPr>
          <w:b/>
        </w:rPr>
        <w:t xml:space="preserve"> náklad</w:t>
      </w:r>
      <w:r w:rsidR="002B0793" w:rsidRPr="000939E3">
        <w:rPr>
          <w:b/>
        </w:rPr>
        <w:t>y o</w:t>
      </w:r>
      <w:r w:rsidR="0003521D" w:rsidRPr="000939E3">
        <w:rPr>
          <w:b/>
        </w:rPr>
        <w:t xml:space="preserve"> približne </w:t>
      </w:r>
      <w:r w:rsidR="00CD707D" w:rsidRPr="000939E3">
        <w:rPr>
          <w:b/>
        </w:rPr>
        <w:t>96</w:t>
      </w:r>
      <w:r w:rsidR="00663031" w:rsidRPr="000939E3">
        <w:rPr>
          <w:b/>
        </w:rPr>
        <w:t xml:space="preserve"> </w:t>
      </w:r>
      <w:r w:rsidR="0003521D" w:rsidRPr="000939E3">
        <w:rPr>
          <w:b/>
        </w:rPr>
        <w:t>mil. eur ročne.</w:t>
      </w:r>
    </w:p>
    <w:p w14:paraId="25C1005B" w14:textId="71F5E340" w:rsidR="0003521D" w:rsidRPr="000939E3" w:rsidRDefault="0003521D" w:rsidP="00977D9B">
      <w:pPr>
        <w:pStyle w:val="Odsekzoznamu"/>
        <w:tabs>
          <w:tab w:val="left" w:pos="284"/>
        </w:tabs>
        <w:spacing w:before="120"/>
        <w:ind w:left="0"/>
        <w:contextualSpacing w:val="0"/>
        <w:jc w:val="both"/>
      </w:pPr>
      <w:r w:rsidRPr="000939E3">
        <w:rPr>
          <w:b/>
        </w:rPr>
        <w:t>Podľa rámcového porovnania je</w:t>
      </w:r>
      <w:r w:rsidR="001F4162" w:rsidRPr="000939E3">
        <w:rPr>
          <w:b/>
        </w:rPr>
        <w:t xml:space="preserve"> </w:t>
      </w:r>
      <w:r w:rsidRPr="000939E3">
        <w:rPr>
          <w:b/>
        </w:rPr>
        <w:t xml:space="preserve">na Slovensku v pomere k počtu obyvateľov o 20 % viac policajtov ako </w:t>
      </w:r>
      <w:r w:rsidR="00292557" w:rsidRPr="000939E3">
        <w:rPr>
          <w:b/>
        </w:rPr>
        <w:t xml:space="preserve">je </w:t>
      </w:r>
      <w:r w:rsidRPr="000939E3">
        <w:rPr>
          <w:b/>
        </w:rPr>
        <w:t>priemer</w:t>
      </w:r>
      <w:r w:rsidR="008F2B86" w:rsidRPr="000939E3">
        <w:rPr>
          <w:b/>
        </w:rPr>
        <w:t xml:space="preserve"> v EÚ</w:t>
      </w:r>
      <w:r w:rsidRPr="000939E3">
        <w:rPr>
          <w:b/>
        </w:rPr>
        <w:t>.</w:t>
      </w:r>
      <w:r w:rsidRPr="000939E3">
        <w:t xml:space="preserve"> </w:t>
      </w:r>
      <w:r w:rsidR="001F4162" w:rsidRPr="000939E3">
        <w:t xml:space="preserve">Veľkosť rozdielu naznačuje priestor na </w:t>
      </w:r>
      <w:r w:rsidR="008F2B86" w:rsidRPr="000939E3">
        <w:t xml:space="preserve">významnú </w:t>
      </w:r>
      <w:r w:rsidR="001F4162" w:rsidRPr="000939E3">
        <w:t>úsporu, h</w:t>
      </w:r>
      <w:r w:rsidRPr="000939E3">
        <w:t xml:space="preserve">oci detailné porovnanie vyžaduje zohľadnenie rozdielov v kompetenciách a organizácii zabezpečenia verejného poriadku a vybraných verejných </w:t>
      </w:r>
      <w:r w:rsidRPr="000939E3">
        <w:lastRenderedPageBreak/>
        <w:t xml:space="preserve">služieb a procedúr (napríklad správne konanie). </w:t>
      </w:r>
      <w:r w:rsidR="002645AD" w:rsidRPr="000939E3">
        <w:t xml:space="preserve">Na </w:t>
      </w:r>
      <w:r w:rsidRPr="000939E3">
        <w:t>hlbšiu analýzu sú potrebné dáta od MV SR, ktoré zatiaľ neboli poskytnuté</w:t>
      </w:r>
      <w:r w:rsidR="002B0793" w:rsidRPr="000939E3">
        <w:t>. R</w:t>
      </w:r>
      <w:r w:rsidR="00C578E9" w:rsidRPr="000939E3">
        <w:t xml:space="preserve">ezort vnútra </w:t>
      </w:r>
      <w:r w:rsidR="002B0793" w:rsidRPr="000939E3">
        <w:t xml:space="preserve">je </w:t>
      </w:r>
      <w:r w:rsidR="00C578E9" w:rsidRPr="000939E3">
        <w:t xml:space="preserve">však </w:t>
      </w:r>
      <w:r w:rsidR="002B0793" w:rsidRPr="000939E3">
        <w:t xml:space="preserve">predmetom </w:t>
      </w:r>
      <w:r w:rsidR="00054DF2" w:rsidRPr="000939E3">
        <w:t xml:space="preserve">prebiehajúcej </w:t>
      </w:r>
      <w:r w:rsidR="00C578E9" w:rsidRPr="000939E3">
        <w:t xml:space="preserve">Revízie výdavkov </w:t>
      </w:r>
      <w:r w:rsidR="00635977" w:rsidRPr="000939E3">
        <w:t xml:space="preserve">Ministerstva </w:t>
      </w:r>
      <w:r w:rsidR="00104705" w:rsidRPr="000939E3">
        <w:t>vnútra</w:t>
      </w:r>
      <w:r w:rsidR="00125619" w:rsidRPr="000939E3">
        <w:t xml:space="preserve"> SR</w:t>
      </w:r>
      <w:r w:rsidR="00104705" w:rsidRPr="000939E3">
        <w:t>, ktorá sa ven</w:t>
      </w:r>
      <w:r w:rsidR="00AF40F5" w:rsidRPr="000939E3">
        <w:t>uje</w:t>
      </w:r>
      <w:r w:rsidR="00104705" w:rsidRPr="000939E3">
        <w:t xml:space="preserve"> aj efektivite v rezorte</w:t>
      </w:r>
      <w:r w:rsidRPr="000939E3">
        <w:t xml:space="preserve">. </w:t>
      </w:r>
      <w:r w:rsidR="00AF40F5" w:rsidRPr="000939E3">
        <w:t>Vzhľadom na veľký rozdiel oproti zahraničiu</w:t>
      </w:r>
      <w:r w:rsidR="00104705" w:rsidRPr="000939E3">
        <w:t xml:space="preserve"> revízia </w:t>
      </w:r>
      <w:r w:rsidRPr="000939E3">
        <w:t xml:space="preserve">navrhuje začať so znižovaním počtu policajtov od roku </w:t>
      </w:r>
      <w:r w:rsidR="00EB2478" w:rsidRPr="000939E3">
        <w:t>2021</w:t>
      </w:r>
      <w:r w:rsidRPr="000939E3">
        <w:t>, súbežne s detailnejšou analýzou tohto sektora.</w:t>
      </w:r>
    </w:p>
    <w:p w14:paraId="37711B5E" w14:textId="1273C130" w:rsidR="0047746E" w:rsidRPr="000939E3" w:rsidRDefault="008F2B86" w:rsidP="00160509">
      <w:pPr>
        <w:pStyle w:val="Odsekzoznamu"/>
        <w:tabs>
          <w:tab w:val="left" w:pos="284"/>
        </w:tabs>
        <w:spacing w:before="120"/>
        <w:ind w:left="0"/>
        <w:contextualSpacing w:val="0"/>
        <w:jc w:val="both"/>
        <w:rPr>
          <w:b/>
        </w:rPr>
      </w:pPr>
      <w:r w:rsidRPr="000939E3">
        <w:rPr>
          <w:b/>
        </w:rPr>
        <w:t xml:space="preserve">Požadované tempo </w:t>
      </w:r>
      <w:r w:rsidR="00D92142" w:rsidRPr="000939E3">
        <w:rPr>
          <w:b/>
        </w:rPr>
        <w:t xml:space="preserve">(cca </w:t>
      </w:r>
      <w:r w:rsidR="00054DF2" w:rsidRPr="000939E3">
        <w:rPr>
          <w:b/>
        </w:rPr>
        <w:t xml:space="preserve">680 </w:t>
      </w:r>
      <w:r w:rsidR="00A55961">
        <w:rPr>
          <w:b/>
        </w:rPr>
        <w:t>osôb</w:t>
      </w:r>
      <w:r w:rsidR="0025366A" w:rsidRPr="000939E3">
        <w:rPr>
          <w:b/>
        </w:rPr>
        <w:t xml:space="preserve"> / 2,6 % zamestnancov </w:t>
      </w:r>
      <w:r w:rsidR="00D92142" w:rsidRPr="000939E3">
        <w:rPr>
          <w:b/>
        </w:rPr>
        <w:t xml:space="preserve">ročne) </w:t>
      </w:r>
      <w:r w:rsidRPr="000939E3">
        <w:rPr>
          <w:b/>
        </w:rPr>
        <w:t xml:space="preserve">znižovania nepresahuje mieru bežnej fluktuácie vrátane odchodov do dôchodku. </w:t>
      </w:r>
      <w:r w:rsidR="0003521D" w:rsidRPr="000939E3">
        <w:t xml:space="preserve">Úprava počtov na medzinárodný priemer by znížila ročné osobné výdavky o približne </w:t>
      </w:r>
      <w:r w:rsidR="00B82E2E" w:rsidRPr="000939E3">
        <w:t xml:space="preserve">96 </w:t>
      </w:r>
      <w:r w:rsidR="0003521D" w:rsidRPr="000939E3">
        <w:t xml:space="preserve">mil. eur, dodatočnú úsporu by priniesli ušetrené náklady na výzbroj, výstroj a výcvik. </w:t>
      </w:r>
      <w:r w:rsidR="0008408A" w:rsidRPr="000939E3">
        <w:t>Kvantifikácia zohľadňuje nevyhnutnú finančnú dotáciu osobitného účtu sociálneho zabezpečenia príslušníkov policajného zboru z dôvodu nižších príjmov.</w:t>
      </w:r>
    </w:p>
    <w:p w14:paraId="5BFEC89D" w14:textId="355850F7" w:rsidR="0097185B" w:rsidRPr="000939E3" w:rsidRDefault="0047746E" w:rsidP="00160509">
      <w:pPr>
        <w:pStyle w:val="Odsekzoznamu"/>
        <w:tabs>
          <w:tab w:val="left" w:pos="284"/>
        </w:tabs>
        <w:spacing w:before="120"/>
        <w:ind w:left="0"/>
        <w:contextualSpacing w:val="0"/>
        <w:jc w:val="both"/>
      </w:pPr>
      <w:r w:rsidRPr="000939E3">
        <w:rPr>
          <w:b/>
        </w:rPr>
        <w:t xml:space="preserve">4. </w:t>
      </w:r>
      <w:r w:rsidR="00AF40F5" w:rsidRPr="000939E3">
        <w:rPr>
          <w:b/>
        </w:rPr>
        <w:t xml:space="preserve">Opatrenie: </w:t>
      </w:r>
      <w:r w:rsidR="0097185B" w:rsidRPr="000939E3">
        <w:rPr>
          <w:b/>
        </w:rPr>
        <w:t>Racionaliz</w:t>
      </w:r>
      <w:r w:rsidR="00FD138B" w:rsidRPr="000939E3">
        <w:rPr>
          <w:b/>
        </w:rPr>
        <w:t>ovať</w:t>
      </w:r>
      <w:r w:rsidR="0097185B" w:rsidRPr="000939E3">
        <w:rPr>
          <w:b/>
        </w:rPr>
        <w:t xml:space="preserve"> školsk</w:t>
      </w:r>
      <w:r w:rsidR="00FD138B" w:rsidRPr="000939E3">
        <w:rPr>
          <w:b/>
        </w:rPr>
        <w:t>ú</w:t>
      </w:r>
      <w:r w:rsidR="0097185B" w:rsidRPr="000939E3">
        <w:rPr>
          <w:b/>
        </w:rPr>
        <w:t xml:space="preserve"> sie</w:t>
      </w:r>
      <w:r w:rsidR="00FD138B" w:rsidRPr="000939E3">
        <w:rPr>
          <w:b/>
        </w:rPr>
        <w:t>ť</w:t>
      </w:r>
      <w:r w:rsidR="0097185B" w:rsidRPr="000939E3">
        <w:rPr>
          <w:b/>
        </w:rPr>
        <w:t xml:space="preserve"> v regionálnom školstve. Opatrenie má potenciál uspo</w:t>
      </w:r>
      <w:r w:rsidR="004E7349" w:rsidRPr="000939E3">
        <w:rPr>
          <w:b/>
        </w:rPr>
        <w:t xml:space="preserve">riť približne </w:t>
      </w:r>
      <w:r w:rsidR="00D27A88" w:rsidRPr="000939E3">
        <w:rPr>
          <w:b/>
        </w:rPr>
        <w:t>15 </w:t>
      </w:r>
      <w:r w:rsidR="004E7349" w:rsidRPr="000939E3">
        <w:rPr>
          <w:b/>
        </w:rPr>
        <w:t>mil.</w:t>
      </w:r>
      <w:r w:rsidR="00DF7E17" w:rsidRPr="000939E3">
        <w:rPr>
          <w:b/>
        </w:rPr>
        <w:t> </w:t>
      </w:r>
      <w:r w:rsidR="004E7349" w:rsidRPr="000939E3">
        <w:rPr>
          <w:b/>
        </w:rPr>
        <w:t>eur ročne.</w:t>
      </w:r>
    </w:p>
    <w:bookmarkEnd w:id="22"/>
    <w:p w14:paraId="4BF94EAC" w14:textId="7CEF63D4" w:rsidR="0003521D" w:rsidRPr="000939E3" w:rsidRDefault="0097185B" w:rsidP="0003521D">
      <w:pPr>
        <w:spacing w:after="200"/>
      </w:pPr>
      <w:r w:rsidRPr="000939E3">
        <w:rPr>
          <w:b/>
        </w:rPr>
        <w:t>Slovensko má naďalej príliš veľa malých škôl,</w:t>
      </w:r>
      <w:r w:rsidRPr="000939E3">
        <w:t xml:space="preserve"> približne štvrtina základných škôl má menej a</w:t>
      </w:r>
      <w:r w:rsidR="004A3C1F" w:rsidRPr="000939E3">
        <w:t>ko 50 žiakov. Až 80 </w:t>
      </w:r>
      <w:r w:rsidRPr="000939E3">
        <w:t>% z nich sa pritom nenachádza v izolovaných obciach</w:t>
      </w:r>
      <w:r w:rsidR="00411BEA" w:rsidRPr="000939E3">
        <w:t>,</w:t>
      </w:r>
      <w:r w:rsidRPr="000939E3">
        <w:t xml:space="preserve"> ale v okruhu 5 km od základnej školy v susediacej obci. Neefektívna sieť odčerpáva zo systému prostriedky, z ktorých väčšinu tvoria osobné náklady na platy učiteľov. </w:t>
      </w:r>
      <w:r w:rsidR="0003521D" w:rsidRPr="000939E3">
        <w:t>Vzdelávanie v malých školách môže byť aj menej kvalitné, nakoľko malé školy majú na druhom stupni nižšiu odbornosť výučby (IVP, 2016b). Problém môžu nepriamo indikovať aj horšie výsledky žiakov malých škôl v testovaniach v niektorých rokoch, aj keď testovania nezohľadňujú napríklad socioekonomické zázemie žiakov (IVP, ÚHP, 2017).</w:t>
      </w:r>
      <w:r w:rsidR="0003521D" w:rsidRPr="000939E3" w:rsidDel="002F1FEC">
        <w:t xml:space="preserve"> </w:t>
      </w:r>
    </w:p>
    <w:p w14:paraId="4962FFD7" w14:textId="3C1D6B43" w:rsidR="00FF458D" w:rsidRPr="000939E3" w:rsidRDefault="0097185B" w:rsidP="00D81DB4">
      <w:pPr>
        <w:pStyle w:val="Odsekzoznamu"/>
        <w:tabs>
          <w:tab w:val="left" w:pos="284"/>
        </w:tabs>
        <w:spacing w:before="120"/>
        <w:ind w:left="0"/>
        <w:contextualSpacing w:val="0"/>
        <w:jc w:val="both"/>
      </w:pPr>
      <w:r w:rsidRPr="000939E3">
        <w:t>Nateraz nenaplneným opatrením identifikovaným revíziou výdavkov na vzdelávanie je zvážanie žiakov na 2. stupni základných škôl a zrušenie malých škôl. Ročný finančný prínos opatrenia aj po zarátaní nákladov na</w:t>
      </w:r>
      <w:r w:rsidR="00DF7E17" w:rsidRPr="000939E3">
        <w:t> </w:t>
      </w:r>
      <w:r w:rsidRPr="000939E3">
        <w:t xml:space="preserve">dopravu žiakov </w:t>
      </w:r>
      <w:r w:rsidR="00F649A5" w:rsidRPr="000939E3">
        <w:t xml:space="preserve">bol </w:t>
      </w:r>
      <w:r w:rsidRPr="000939E3">
        <w:t xml:space="preserve">odhadovaný na 14 mil. eur, </w:t>
      </w:r>
      <w:r w:rsidR="00F649A5" w:rsidRPr="000939E3">
        <w:t xml:space="preserve">v roku 2020 by to bolo približne </w:t>
      </w:r>
      <w:r w:rsidR="00E71ACD" w:rsidRPr="000939E3">
        <w:t xml:space="preserve">17 mil. eur, </w:t>
      </w:r>
      <w:r w:rsidRPr="000939E3">
        <w:t xml:space="preserve">z toho približne </w:t>
      </w:r>
      <w:r w:rsidR="00E71ACD" w:rsidRPr="000939E3">
        <w:t xml:space="preserve">15 </w:t>
      </w:r>
      <w:r w:rsidR="00262D31">
        <w:t>mil. eur na </w:t>
      </w:r>
      <w:r w:rsidRPr="000939E3">
        <w:t>osobných nákladoch.</w:t>
      </w:r>
    </w:p>
    <w:p w14:paraId="62DC00F2" w14:textId="3D79EABF" w:rsidR="0097185B" w:rsidRPr="000939E3" w:rsidRDefault="00014119" w:rsidP="00D81DB4">
      <w:pPr>
        <w:pStyle w:val="Odsekzoznamu"/>
        <w:tabs>
          <w:tab w:val="left" w:pos="284"/>
        </w:tabs>
        <w:spacing w:before="120"/>
        <w:ind w:left="0"/>
        <w:contextualSpacing w:val="0"/>
        <w:jc w:val="both"/>
      </w:pPr>
      <w:bookmarkStart w:id="23" w:name="Uspora_4"/>
      <w:r w:rsidRPr="000939E3">
        <w:rPr>
          <w:b/>
        </w:rPr>
        <w:t>5</w:t>
      </w:r>
      <w:r w:rsidR="0097185B" w:rsidRPr="000939E3">
        <w:rPr>
          <w:b/>
        </w:rPr>
        <w:t xml:space="preserve">. </w:t>
      </w:r>
      <w:r w:rsidR="00777BBA" w:rsidRPr="000939E3">
        <w:rPr>
          <w:b/>
        </w:rPr>
        <w:tab/>
      </w:r>
      <w:r w:rsidR="00AF40F5" w:rsidRPr="000939E3">
        <w:rPr>
          <w:b/>
        </w:rPr>
        <w:t xml:space="preserve">Opatrenie: </w:t>
      </w:r>
      <w:r w:rsidR="0097185B" w:rsidRPr="000939E3">
        <w:rPr>
          <w:b/>
        </w:rPr>
        <w:t>Optimaliz</w:t>
      </w:r>
      <w:r w:rsidR="00FD138B" w:rsidRPr="000939E3">
        <w:rPr>
          <w:b/>
        </w:rPr>
        <w:t>ovať</w:t>
      </w:r>
      <w:r w:rsidR="0097185B" w:rsidRPr="000939E3">
        <w:rPr>
          <w:b/>
        </w:rPr>
        <w:t xml:space="preserve"> poč</w:t>
      </w:r>
      <w:r w:rsidR="00FD138B" w:rsidRPr="000939E3">
        <w:rPr>
          <w:b/>
        </w:rPr>
        <w:t>e</w:t>
      </w:r>
      <w:r w:rsidR="0097185B" w:rsidRPr="000939E3">
        <w:rPr>
          <w:b/>
        </w:rPr>
        <w:t xml:space="preserve">t nepedagogických zamestnancov na vysokých školách. </w:t>
      </w:r>
      <w:bookmarkEnd w:id="23"/>
      <w:r w:rsidR="0097185B" w:rsidRPr="000939E3">
        <w:rPr>
          <w:b/>
        </w:rPr>
        <w:t xml:space="preserve">Opatrenie má potenciál usporiť približne </w:t>
      </w:r>
      <w:r w:rsidR="003E1E1F" w:rsidRPr="000939E3">
        <w:rPr>
          <w:b/>
        </w:rPr>
        <w:t xml:space="preserve">44 </w:t>
      </w:r>
      <w:r w:rsidR="0097185B" w:rsidRPr="000939E3">
        <w:rPr>
          <w:b/>
        </w:rPr>
        <w:t>mil. eur ročne.</w:t>
      </w:r>
    </w:p>
    <w:p w14:paraId="2D1D2672" w14:textId="2182DBF9" w:rsidR="0097185B" w:rsidRPr="000939E3" w:rsidRDefault="00CD703F" w:rsidP="00D96CB0">
      <w:pPr>
        <w:pStyle w:val="Odsekzoznamu"/>
        <w:tabs>
          <w:tab w:val="left" w:pos="284"/>
        </w:tabs>
        <w:spacing w:before="120"/>
        <w:ind w:left="0"/>
        <w:contextualSpacing w:val="0"/>
        <w:jc w:val="both"/>
      </w:pPr>
      <w:r w:rsidRPr="000939E3">
        <w:t>Kým počet študentov vysokých škôl klesol oproti roku 2010 takmer o tretinu</w:t>
      </w:r>
      <w:r w:rsidR="009E105E" w:rsidRPr="000939E3">
        <w:t xml:space="preserve">, počet </w:t>
      </w:r>
      <w:r w:rsidR="00635977" w:rsidRPr="000939E3">
        <w:t xml:space="preserve">nepedagogických </w:t>
      </w:r>
      <w:r w:rsidR="009E105E" w:rsidRPr="000939E3">
        <w:t>zamestnancov na </w:t>
      </w:r>
      <w:r w:rsidRPr="000939E3">
        <w:t xml:space="preserve">vysokých školách sa výrazne nezmenil. Ich počty by preto bolo vhodné upraviť spolu s optimalizáciou počtu vysokoškolských pedagógov. </w:t>
      </w:r>
      <w:r w:rsidR="0097185B" w:rsidRPr="000939E3">
        <w:t xml:space="preserve">Na verejných vysokých školách na Slovensku pracovalo v roku 2018 približne 10 tisíc nepedagogických zamestnancov s mzdovými nákladmi 140 mil. eur. Úprava počtu nepedagogických zamestnancov na študenta na úroveň z roku 2010 by vysokým školám uvoľnila približne </w:t>
      </w:r>
      <w:r w:rsidR="003E1E1F" w:rsidRPr="000939E3">
        <w:t>44 </w:t>
      </w:r>
      <w:r w:rsidR="0097185B" w:rsidRPr="000939E3">
        <w:t>mil.</w:t>
      </w:r>
      <w:r w:rsidR="00DF7E17" w:rsidRPr="000939E3">
        <w:t> </w:t>
      </w:r>
      <w:r w:rsidR="00721CC9" w:rsidRPr="000939E3">
        <w:t>eur ročne na </w:t>
      </w:r>
      <w:r w:rsidR="0097185B" w:rsidRPr="000939E3">
        <w:t>výraznejšie zvýšenie miezd alebo iné výdavky.</w:t>
      </w:r>
      <w:r w:rsidR="002014EA" w:rsidRPr="000939E3">
        <w:t xml:space="preserve"> </w:t>
      </w:r>
      <w:r w:rsidR="00E227E4" w:rsidRPr="000939E3">
        <w:t xml:space="preserve">Pri implementácii od septembra by boli </w:t>
      </w:r>
      <w:r w:rsidR="00EE697B" w:rsidRPr="000939E3">
        <w:t xml:space="preserve">prípadné </w:t>
      </w:r>
      <w:r w:rsidR="00262D31">
        <w:t>náklady na </w:t>
      </w:r>
      <w:r w:rsidR="00E227E4" w:rsidRPr="000939E3">
        <w:t>odstupné pokryté úsporou v</w:t>
      </w:r>
      <w:r w:rsidR="005558B0" w:rsidRPr="000939E3">
        <w:t> danom roku</w:t>
      </w:r>
      <w:r w:rsidR="00E227E4" w:rsidRPr="000939E3">
        <w:t>.</w:t>
      </w:r>
    </w:p>
    <w:p w14:paraId="52A673D7" w14:textId="4AC03763" w:rsidR="00721CC9" w:rsidRPr="000939E3" w:rsidRDefault="00086849" w:rsidP="00777BBA">
      <w:pPr>
        <w:pStyle w:val="Odsekzoznamu"/>
        <w:tabs>
          <w:tab w:val="left" w:pos="284"/>
        </w:tabs>
        <w:spacing w:before="120"/>
        <w:ind w:left="0"/>
        <w:contextualSpacing w:val="0"/>
        <w:jc w:val="both"/>
      </w:pPr>
      <w:r w:rsidRPr="000939E3">
        <w:t xml:space="preserve">Zvýšeniu efektivity prevádzky VŠ by pomohlo zbieranie a vyhodnocovanie dát o prevádzke vysokých škôl. Tie by po analýze mohli slúžiť aj k centralizácii podporných činností vysokých škôl (podobne ako v prípade ministerstiev a podriadených organizácií, kapitola </w:t>
      </w:r>
      <w:r w:rsidRPr="000939E3">
        <w:fldChar w:fldCharType="begin"/>
      </w:r>
      <w:r w:rsidRPr="000939E3">
        <w:instrText xml:space="preserve"> REF _Ref527965100 \r \h </w:instrText>
      </w:r>
      <w:r w:rsidR="000939E3">
        <w:instrText xml:space="preserve"> \* MERGEFORMAT </w:instrText>
      </w:r>
      <w:r w:rsidRPr="000939E3">
        <w:fldChar w:fldCharType="separate"/>
      </w:r>
      <w:r w:rsidR="00BF69CA">
        <w:t>5.1</w:t>
      </w:r>
      <w:r w:rsidRPr="000939E3">
        <w:fldChar w:fldCharType="end"/>
      </w:r>
      <w:r w:rsidRPr="000939E3">
        <w:t>). Ministerstvo školstva môže efektivitu podporiť aj zmenou metodiky financovania, ktorá by snahy o zefektívnenie finančne motivovala.</w:t>
      </w:r>
      <w:r w:rsidR="00DB4633" w:rsidRPr="000939E3" w:rsidDel="00DB4633">
        <w:t xml:space="preserve"> </w:t>
      </w:r>
    </w:p>
    <w:p w14:paraId="62F4F0EF" w14:textId="1D0A6168" w:rsidR="0058658D" w:rsidRPr="000939E3" w:rsidRDefault="00014119" w:rsidP="0025366A">
      <w:pPr>
        <w:spacing w:after="160" w:line="259" w:lineRule="auto"/>
        <w:jc w:val="left"/>
      </w:pPr>
      <w:r w:rsidRPr="000939E3">
        <w:rPr>
          <w:b/>
        </w:rPr>
        <w:t>6</w:t>
      </w:r>
      <w:r w:rsidR="0097185B" w:rsidRPr="000939E3">
        <w:rPr>
          <w:b/>
        </w:rPr>
        <w:t xml:space="preserve">. </w:t>
      </w:r>
      <w:r w:rsidR="00AF40F5" w:rsidRPr="000939E3">
        <w:rPr>
          <w:b/>
        </w:rPr>
        <w:t xml:space="preserve">Opatrenie: </w:t>
      </w:r>
      <w:r w:rsidR="0097185B" w:rsidRPr="000939E3">
        <w:rPr>
          <w:b/>
        </w:rPr>
        <w:t>Koncent</w:t>
      </w:r>
      <w:r w:rsidR="00FD138B" w:rsidRPr="000939E3">
        <w:rPr>
          <w:b/>
        </w:rPr>
        <w:t>rovať</w:t>
      </w:r>
      <w:r w:rsidR="0097185B" w:rsidRPr="000939E3">
        <w:rPr>
          <w:b/>
        </w:rPr>
        <w:t xml:space="preserve"> výkon činností samospráv do väčších celkov. Opatrenie má potenciál usporiť podľa zvoleného modelu medzi </w:t>
      </w:r>
      <w:r w:rsidR="00405665" w:rsidRPr="000939E3">
        <w:rPr>
          <w:b/>
        </w:rPr>
        <w:t xml:space="preserve">64 </w:t>
      </w:r>
      <w:r w:rsidR="0097185B" w:rsidRPr="000939E3">
        <w:rPr>
          <w:b/>
        </w:rPr>
        <w:t>a </w:t>
      </w:r>
      <w:r w:rsidR="00405665" w:rsidRPr="000939E3">
        <w:rPr>
          <w:b/>
        </w:rPr>
        <w:t>39</w:t>
      </w:r>
      <w:r w:rsidR="00DE6C19" w:rsidRPr="000939E3">
        <w:rPr>
          <w:b/>
        </w:rPr>
        <w:t>6</w:t>
      </w:r>
      <w:r w:rsidR="00405665" w:rsidRPr="000939E3">
        <w:rPr>
          <w:b/>
        </w:rPr>
        <w:t xml:space="preserve"> </w:t>
      </w:r>
      <w:r w:rsidR="0097185B" w:rsidRPr="000939E3">
        <w:rPr>
          <w:b/>
        </w:rPr>
        <w:t>mil. eur ročne</w:t>
      </w:r>
      <w:r w:rsidR="00D70EAA" w:rsidRPr="000939E3">
        <w:rPr>
          <w:b/>
        </w:rPr>
        <w:t>.</w:t>
      </w:r>
    </w:p>
    <w:p w14:paraId="49EBA668" w14:textId="14C55662" w:rsidR="0097185B" w:rsidRPr="000939E3" w:rsidRDefault="0097185B" w:rsidP="00D96CB0">
      <w:pPr>
        <w:pStyle w:val="Odsekzoznamu"/>
        <w:tabs>
          <w:tab w:val="left" w:pos="284"/>
        </w:tabs>
        <w:spacing w:before="120"/>
        <w:ind w:left="0"/>
        <w:contextualSpacing w:val="0"/>
        <w:jc w:val="both"/>
      </w:pPr>
      <w:r w:rsidRPr="000939E3">
        <w:rPr>
          <w:b/>
        </w:rPr>
        <w:t>Samosprávy na Slovensku sú trikrát menšie ako priemer EÚ</w:t>
      </w:r>
      <w:r w:rsidRPr="000939E3">
        <w:t>, povinnosť obcí poskytovať rovnaké služby bez ohľadu na</w:t>
      </w:r>
      <w:r w:rsidR="004B45B2" w:rsidRPr="000939E3">
        <w:t xml:space="preserve"> veľkosť vedie k neefektivite. </w:t>
      </w:r>
      <w:r w:rsidRPr="000939E3">
        <w:t>Obce do 250 obyvateľov vynakladajú na samotný výkon správy a na tovary a služby spotrebované na ich činnosť až polovicu všetkých svojich výdavkov (</w:t>
      </w:r>
      <w:r w:rsidR="00262D31">
        <w:t>k</w:t>
      </w:r>
      <w:r w:rsidRPr="000939E3">
        <w:t xml:space="preserve">apitola </w:t>
      </w:r>
      <w:r w:rsidR="00280035" w:rsidRPr="000939E3">
        <w:t>5</w:t>
      </w:r>
      <w:r w:rsidRPr="000939E3">
        <w:t>.4).</w:t>
      </w:r>
    </w:p>
    <w:p w14:paraId="75C9A415" w14:textId="0E37A1AB" w:rsidR="008A2E7F" w:rsidRPr="000939E3" w:rsidRDefault="005A6A03" w:rsidP="00D96CB0">
      <w:pPr>
        <w:pStyle w:val="Odsekzoznamu"/>
        <w:tabs>
          <w:tab w:val="left" w:pos="284"/>
        </w:tabs>
        <w:spacing w:before="120"/>
        <w:ind w:left="0"/>
        <w:contextualSpacing w:val="0"/>
        <w:jc w:val="both"/>
      </w:pPr>
      <w:r w:rsidRPr="000939E3">
        <w:rPr>
          <w:b/>
        </w:rPr>
        <w:lastRenderedPageBreak/>
        <w:t>Revízia</w:t>
      </w:r>
      <w:r w:rsidR="0097185B" w:rsidRPr="000939E3">
        <w:rPr>
          <w:b/>
        </w:rPr>
        <w:t xml:space="preserve"> navrhuje sústredenie samospráv do väčších celkov – krátkodobo do matričných obvodov, v strednodobom horizonte do mikroregiónov</w:t>
      </w:r>
      <w:r w:rsidR="0097185B" w:rsidRPr="000939E3">
        <w:t xml:space="preserve">. </w:t>
      </w:r>
      <w:r w:rsidRPr="000939E3">
        <w:t xml:space="preserve">Možnú úsporu výdavkov na správu </w:t>
      </w:r>
      <w:r w:rsidR="009F25D2" w:rsidRPr="000939E3">
        <w:t xml:space="preserve">odhadla štúdia IFP </w:t>
      </w:r>
      <w:r w:rsidR="00CF399C">
        <w:t>na </w:t>
      </w:r>
      <w:r w:rsidRPr="000939E3">
        <w:t>51</w:t>
      </w:r>
      <w:r w:rsidR="00CF399C">
        <w:t> až </w:t>
      </w:r>
      <w:r w:rsidRPr="000939E3">
        <w:t>316 mil. eur ročne v závislosti od zvoleného modelu</w:t>
      </w:r>
      <w:r w:rsidR="00405665" w:rsidRPr="000939E3">
        <w:t>, v</w:t>
      </w:r>
      <w:r w:rsidR="009F25D2" w:rsidRPr="000939E3">
        <w:t xml:space="preserve"> cenách</w:t>
      </w:r>
      <w:r w:rsidR="00405665" w:rsidRPr="000939E3">
        <w:t xml:space="preserve"> roku 2020 by to bolo 64 </w:t>
      </w:r>
      <w:r w:rsidR="00262D31">
        <w:t>až</w:t>
      </w:r>
      <w:r w:rsidR="00405665" w:rsidRPr="000939E3">
        <w:t xml:space="preserve"> 396 mil. eur ročne</w:t>
      </w:r>
      <w:r w:rsidRPr="000939E3">
        <w:t xml:space="preserve">. </w:t>
      </w:r>
      <w:r w:rsidR="006001CF" w:rsidRPr="000939E3">
        <w:t xml:space="preserve">Implementácia tohto opatrenia si bude vyžadovať dlhší časový horizont, </w:t>
      </w:r>
      <w:r w:rsidR="00AF40F5" w:rsidRPr="000939E3">
        <w:t xml:space="preserve">zásadnejšie </w:t>
      </w:r>
      <w:r w:rsidR="006001CF" w:rsidRPr="000939E3">
        <w:t xml:space="preserve">úspory </w:t>
      </w:r>
      <w:r w:rsidR="00086849" w:rsidRPr="000939E3">
        <w:t>je možné očakávať najskôr po komunálnych voľbách, teda v roku 2023</w:t>
      </w:r>
      <w:r w:rsidR="006001CF" w:rsidRPr="000939E3">
        <w:t>.</w:t>
      </w:r>
    </w:p>
    <w:p w14:paraId="705BCF3A" w14:textId="4705AF05" w:rsidR="0097185B" w:rsidRDefault="005A6A03" w:rsidP="00D96CB0">
      <w:pPr>
        <w:pStyle w:val="Odsekzoznamu"/>
        <w:tabs>
          <w:tab w:val="left" w:pos="284"/>
        </w:tabs>
        <w:spacing w:before="120"/>
        <w:ind w:left="0"/>
        <w:contextualSpacing w:val="0"/>
        <w:jc w:val="both"/>
      </w:pPr>
      <w:r w:rsidRPr="000939E3">
        <w:rPr>
          <w:b/>
        </w:rPr>
        <w:t>Už dnes musia obyvatelia dvoch tretín obcí za matrikou cestovať do sídla matričného úradu.</w:t>
      </w:r>
      <w:r w:rsidRPr="000939E3">
        <w:t xml:space="preserve"> Sídla matričných úradov sú relatívne dostupné pre okolie a sústredenie výkonu správy do matričných obvodov by nemalo obyvateľov výrazne obmedziť. Alternatívou </w:t>
      </w:r>
      <w:r w:rsidR="002645AD" w:rsidRPr="000939E3">
        <w:t xml:space="preserve">k sústredeniu </w:t>
      </w:r>
      <w:r w:rsidRPr="000939E3">
        <w:t>výkonu správy, ktorá prináša pre samosprávy vyššiu úsporu (</w:t>
      </w:r>
      <w:r w:rsidR="00405665" w:rsidRPr="000939E3">
        <w:t xml:space="preserve">396 </w:t>
      </w:r>
      <w:r w:rsidRPr="000939E3">
        <w:t>mil. eur ročne), sú mikroregióny – spádové oblasti pre okolité obce, kam občania pravidelne dochádzajú za prácou, vzdelaním alebo službami.</w:t>
      </w:r>
      <w:r w:rsidR="0097185B" w:rsidRPr="000939E3">
        <w:t xml:space="preserve"> </w:t>
      </w:r>
    </w:p>
    <w:p w14:paraId="4B799786" w14:textId="77777777" w:rsidR="00BD5993" w:rsidRPr="000939E3" w:rsidRDefault="00BD5993" w:rsidP="00BD5993">
      <w:pPr>
        <w:pStyle w:val="Odsekzoznamu"/>
        <w:tabs>
          <w:tab w:val="left" w:pos="284"/>
        </w:tabs>
        <w:spacing w:before="120"/>
        <w:ind w:left="0"/>
        <w:contextualSpacing w:val="0"/>
        <w:jc w:val="both"/>
      </w:pPr>
      <w:r w:rsidRPr="000939E3">
        <w:rPr>
          <w:b/>
        </w:rPr>
        <w:t>Sústredením výkonu správy podľa návrhu IFP by súčasné obce nestratili svoju identitu a naďalej by ovplyvňovali rozhodovanie o využití miestnych zdrojov.</w:t>
      </w:r>
      <w:r w:rsidRPr="000939E3">
        <w:t xml:space="preserve"> Reprezentácia súčasných obcí by bola zohľadnená aj v nových samosprávnych celkoch a časť uvoľnených peňazí by sa viazala na územie, v ktorom boli v dôsledku efektívnejšieho výkonu správy uvoľnené. </w:t>
      </w:r>
    </w:p>
    <w:p w14:paraId="12B6C8EC" w14:textId="77777777" w:rsidR="00BD5993" w:rsidRPr="000939E3" w:rsidRDefault="00BD5993" w:rsidP="00BD5993">
      <w:r w:rsidRPr="000939E3">
        <w:rPr>
          <w:b/>
        </w:rPr>
        <w:t>Výhodou pre malé obce by bolo rozšírenie možností čerpať EÚ fondy</w:t>
      </w:r>
      <w:r w:rsidRPr="000939E3">
        <w:t>, ktoré sú vo viacerých oblastiach obmedzené iba pre obce s istým počtom obyvateľov. Menej rozdrobená samospráva môže tiež prispieť k rýchlejšej a efektívnejšej racionalizácii siete regionálneho školstva. Zníženie fragmentácie samospráv na Slovensku si však vyžaduje reformu samosprávneho usporiadania.</w:t>
      </w:r>
    </w:p>
    <w:tbl>
      <w:tblPr>
        <w:tblStyle w:val="Mriekatabuky"/>
        <w:tblpPr w:leftFromText="141" w:rightFromText="141" w:vertAnchor="text" w:horzAnchor="margin" w:tblpY="3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072"/>
      </w:tblGrid>
      <w:tr w:rsidR="00BD5993" w:rsidRPr="000939E3" w14:paraId="257DA208" w14:textId="77777777" w:rsidTr="00BD5993">
        <w:tc>
          <w:tcPr>
            <w:tcW w:w="9072" w:type="dxa"/>
            <w:shd w:val="clear" w:color="auto" w:fill="BDD6EE" w:themeFill="accent1" w:themeFillTint="66"/>
          </w:tcPr>
          <w:p w14:paraId="06A071CD" w14:textId="77777777" w:rsidR="00BD5993" w:rsidRPr="000939E3" w:rsidRDefault="00BD5993" w:rsidP="00BD5993">
            <w:pPr>
              <w:pStyle w:val="Popis"/>
              <w:spacing w:after="120"/>
              <w:rPr>
                <w:b w:val="0"/>
                <w:sz w:val="22"/>
              </w:rPr>
            </w:pPr>
            <w:bookmarkStart w:id="24" w:name="_Ref34207092"/>
            <w:r w:rsidRPr="000939E3">
              <w:rPr>
                <w:sz w:val="22"/>
              </w:rPr>
              <w:t xml:space="preserve">Box </w:t>
            </w:r>
            <w:r w:rsidRPr="000939E3">
              <w:rPr>
                <w:sz w:val="22"/>
              </w:rPr>
              <w:fldChar w:fldCharType="begin"/>
            </w:r>
            <w:r w:rsidRPr="000939E3">
              <w:rPr>
                <w:sz w:val="22"/>
              </w:rPr>
              <w:instrText xml:space="preserve"> SEQ Box \* ARABIC </w:instrText>
            </w:r>
            <w:r w:rsidRPr="000939E3">
              <w:rPr>
                <w:sz w:val="22"/>
              </w:rPr>
              <w:fldChar w:fldCharType="separate"/>
            </w:r>
            <w:r w:rsidR="00BF69CA">
              <w:rPr>
                <w:noProof/>
                <w:sz w:val="22"/>
              </w:rPr>
              <w:t>1</w:t>
            </w:r>
            <w:r w:rsidRPr="000939E3">
              <w:rPr>
                <w:sz w:val="22"/>
              </w:rPr>
              <w:fldChar w:fldCharType="end"/>
            </w:r>
            <w:bookmarkEnd w:id="24"/>
            <w:r w:rsidRPr="000939E3">
              <w:rPr>
                <w:sz w:val="22"/>
              </w:rPr>
              <w:t>: Základný scenár výdavkov na jednotlivé profesie</w:t>
            </w:r>
          </w:p>
          <w:p w14:paraId="543A7ECB" w14:textId="77777777" w:rsidR="00BD5993" w:rsidRPr="000939E3" w:rsidRDefault="00BD5993" w:rsidP="00BD5993">
            <w:r w:rsidRPr="000939E3">
              <w:t>Základný scenár predpokladá konštantnú zamestnanosť v jednotlivých profesiách. Pre skupiny zamestnancov s automatickým rastom miezd – zdravotníckych pracovníkov, sudcov, prokurátorov či vybraných ústavných činiteľov – zohľadňuje pre všetky roky odhadovanú výšku tohto rastu podľa prognózy MF SR. Pre ostatné profesie zahŕňa už dohodnuté navýšenie miezd verejných zamestnancov o 10 % od 1.1.2020 podľa kolektívnej zmluvy vyššieho stupňa uzatvorenej v roku 2018, a valorizáciu o očakávaný rast miezd v hospodárstve na rok 2021 a nasledovné.</w:t>
            </w:r>
          </w:p>
          <w:tbl>
            <w:tblPr>
              <w:tblW w:w="5000" w:type="pct"/>
              <w:tblCellMar>
                <w:left w:w="70" w:type="dxa"/>
                <w:right w:w="70" w:type="dxa"/>
              </w:tblCellMar>
              <w:tblLook w:val="04A0" w:firstRow="1" w:lastRow="0" w:firstColumn="1" w:lastColumn="0" w:noHBand="0" w:noVBand="1"/>
            </w:tblPr>
            <w:tblGrid>
              <w:gridCol w:w="4030"/>
              <w:gridCol w:w="1429"/>
              <w:gridCol w:w="1533"/>
              <w:gridCol w:w="667"/>
              <w:gridCol w:w="597"/>
              <w:gridCol w:w="600"/>
            </w:tblGrid>
            <w:tr w:rsidR="00BD5993" w:rsidRPr="000939E3" w14:paraId="38CA2E24" w14:textId="77777777" w:rsidTr="001D63C0">
              <w:trPr>
                <w:trHeight w:val="20"/>
              </w:trPr>
              <w:tc>
                <w:tcPr>
                  <w:tcW w:w="5000" w:type="pct"/>
                  <w:gridSpan w:val="6"/>
                  <w:tcBorders>
                    <w:top w:val="nil"/>
                    <w:left w:val="nil"/>
                    <w:bottom w:val="single" w:sz="4" w:space="0" w:color="auto"/>
                    <w:right w:val="nil"/>
                  </w:tcBorders>
                  <w:shd w:val="clear" w:color="auto" w:fill="auto"/>
                  <w:noWrap/>
                  <w:vAlign w:val="bottom"/>
                </w:tcPr>
                <w:p w14:paraId="631F09DC"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b/>
                      <w:sz w:val="18"/>
                      <w:szCs w:val="18"/>
                    </w:rPr>
                    <w:t xml:space="preserve">Predpoklady základného scenára osobných výdavkov na jednotlivé profesie </w:t>
                  </w:r>
                </w:p>
              </w:tc>
            </w:tr>
            <w:tr w:rsidR="00262D31" w:rsidRPr="000939E3" w14:paraId="1155C658" w14:textId="77777777" w:rsidTr="001D63C0">
              <w:trPr>
                <w:trHeight w:val="20"/>
              </w:trPr>
              <w:tc>
                <w:tcPr>
                  <w:tcW w:w="2297" w:type="pct"/>
                  <w:vMerge w:val="restart"/>
                  <w:tcBorders>
                    <w:top w:val="single" w:sz="4" w:space="0" w:color="auto"/>
                    <w:left w:val="nil"/>
                    <w:right w:val="nil"/>
                  </w:tcBorders>
                  <w:shd w:val="clear" w:color="auto" w:fill="auto"/>
                  <w:noWrap/>
                  <w:vAlign w:val="center"/>
                  <w:hideMark/>
                </w:tcPr>
                <w:p w14:paraId="3F58E02A" w14:textId="0D15E690" w:rsidR="00262D31" w:rsidRPr="00262D31" w:rsidRDefault="00262D31" w:rsidP="00D62879">
                  <w:pPr>
                    <w:framePr w:hSpace="141" w:wrap="around" w:vAnchor="text" w:hAnchor="margin" w:y="376"/>
                    <w:spacing w:after="0" w:line="240" w:lineRule="auto"/>
                    <w:jc w:val="left"/>
                    <w:rPr>
                      <w:rFonts w:ascii="Times New Roman" w:eastAsia="Times New Roman" w:hAnsi="Times New Roman" w:cs="Times New Roman"/>
                      <w:sz w:val="18"/>
                      <w:szCs w:val="18"/>
                      <w:lang w:eastAsia="sk-SK"/>
                    </w:rPr>
                  </w:pPr>
                  <w:r>
                    <w:rPr>
                      <w:rFonts w:eastAsia="Times New Roman" w:cs="Times New Roman"/>
                      <w:b/>
                      <w:bCs/>
                      <w:color w:val="000000"/>
                      <w:sz w:val="18"/>
                      <w:szCs w:val="18"/>
                      <w:lang w:eastAsia="sk-SK"/>
                    </w:rPr>
                    <w:t>Profesia</w:t>
                  </w:r>
                </w:p>
              </w:tc>
              <w:tc>
                <w:tcPr>
                  <w:tcW w:w="795" w:type="pct"/>
                  <w:tcBorders>
                    <w:top w:val="single" w:sz="4" w:space="0" w:color="auto"/>
                    <w:left w:val="nil"/>
                    <w:bottom w:val="single" w:sz="4" w:space="0" w:color="auto"/>
                    <w:right w:val="nil"/>
                  </w:tcBorders>
                  <w:shd w:val="clear" w:color="auto" w:fill="auto"/>
                  <w:noWrap/>
                  <w:vAlign w:val="center"/>
                  <w:hideMark/>
                </w:tcPr>
                <w:p w14:paraId="4F9C70DE" w14:textId="77777777" w:rsidR="00262D31" w:rsidRPr="00262D31" w:rsidRDefault="00262D31" w:rsidP="00D62879">
                  <w:pPr>
                    <w:framePr w:hSpace="141" w:wrap="around" w:vAnchor="text" w:hAnchor="margin" w:y="376"/>
                    <w:spacing w:after="0" w:line="240" w:lineRule="auto"/>
                    <w:jc w:val="center"/>
                    <w:rPr>
                      <w:rFonts w:eastAsia="Times New Roman" w:cs="Times New Roman"/>
                      <w:b/>
                      <w:color w:val="000000"/>
                      <w:sz w:val="18"/>
                      <w:szCs w:val="18"/>
                      <w:lang w:eastAsia="sk-SK"/>
                    </w:rPr>
                  </w:pPr>
                  <w:r w:rsidRPr="00262D31">
                    <w:rPr>
                      <w:rFonts w:eastAsia="Times New Roman" w:cs="Times New Roman"/>
                      <w:b/>
                      <w:color w:val="000000"/>
                      <w:sz w:val="18"/>
                      <w:szCs w:val="18"/>
                      <w:lang w:eastAsia="sk-SK"/>
                    </w:rPr>
                    <w:t>Výdavky</w:t>
                  </w:r>
                  <w:r w:rsidRPr="00262D31">
                    <w:rPr>
                      <w:rFonts w:eastAsia="Times New Roman" w:cs="Times New Roman"/>
                      <w:b/>
                      <w:color w:val="000000"/>
                      <w:sz w:val="18"/>
                      <w:szCs w:val="18"/>
                      <w:lang w:eastAsia="sk-SK"/>
                    </w:rPr>
                    <w:br/>
                    <w:t xml:space="preserve"> (mil. eur)</w:t>
                  </w:r>
                </w:p>
              </w:tc>
              <w:tc>
                <w:tcPr>
                  <w:tcW w:w="855" w:type="pct"/>
                  <w:tcBorders>
                    <w:top w:val="single" w:sz="4" w:space="0" w:color="auto"/>
                    <w:left w:val="nil"/>
                    <w:bottom w:val="single" w:sz="4" w:space="0" w:color="auto"/>
                    <w:right w:val="nil"/>
                  </w:tcBorders>
                </w:tcPr>
                <w:p w14:paraId="3FA2C4AC" w14:textId="77777777" w:rsidR="00262D31" w:rsidRPr="00262D31" w:rsidRDefault="00262D31" w:rsidP="00D62879">
                  <w:pPr>
                    <w:framePr w:hSpace="141" w:wrap="around" w:vAnchor="text" w:hAnchor="margin" w:y="376"/>
                    <w:spacing w:after="0" w:line="240" w:lineRule="auto"/>
                    <w:jc w:val="center"/>
                    <w:rPr>
                      <w:rFonts w:eastAsia="Times New Roman" w:cs="Times New Roman"/>
                      <w:b/>
                      <w:color w:val="000000"/>
                      <w:sz w:val="18"/>
                      <w:szCs w:val="18"/>
                      <w:lang w:eastAsia="sk-SK"/>
                    </w:rPr>
                  </w:pPr>
                  <w:r w:rsidRPr="00262D31">
                    <w:rPr>
                      <w:rFonts w:eastAsia="Times New Roman" w:cs="Times New Roman"/>
                      <w:b/>
                      <w:color w:val="000000"/>
                      <w:sz w:val="18"/>
                      <w:szCs w:val="18"/>
                      <w:lang w:eastAsia="sk-SK"/>
                    </w:rPr>
                    <w:t xml:space="preserve">predpokladaný rast miezd </w:t>
                  </w:r>
                </w:p>
              </w:tc>
              <w:tc>
                <w:tcPr>
                  <w:tcW w:w="1053" w:type="pct"/>
                  <w:gridSpan w:val="3"/>
                  <w:tcBorders>
                    <w:top w:val="single" w:sz="4" w:space="0" w:color="auto"/>
                    <w:left w:val="nil"/>
                    <w:bottom w:val="single" w:sz="4" w:space="0" w:color="auto"/>
                    <w:right w:val="nil"/>
                  </w:tcBorders>
                  <w:shd w:val="clear" w:color="auto" w:fill="auto"/>
                  <w:noWrap/>
                  <w:vAlign w:val="center"/>
                  <w:hideMark/>
                </w:tcPr>
                <w:p w14:paraId="625FD406" w14:textId="77777777" w:rsidR="00262D31" w:rsidRPr="00262D31" w:rsidRDefault="00262D31" w:rsidP="00D62879">
                  <w:pPr>
                    <w:framePr w:hSpace="141" w:wrap="around" w:vAnchor="text" w:hAnchor="margin" w:y="376"/>
                    <w:spacing w:after="0" w:line="240" w:lineRule="auto"/>
                    <w:jc w:val="center"/>
                    <w:rPr>
                      <w:rFonts w:eastAsia="Times New Roman" w:cs="Times New Roman"/>
                      <w:b/>
                      <w:color w:val="000000"/>
                      <w:sz w:val="18"/>
                      <w:szCs w:val="18"/>
                      <w:lang w:eastAsia="sk-SK"/>
                    </w:rPr>
                  </w:pPr>
                  <w:r w:rsidRPr="00262D31">
                    <w:rPr>
                      <w:rFonts w:eastAsia="Times New Roman" w:cs="Times New Roman"/>
                      <w:b/>
                      <w:color w:val="000000"/>
                      <w:sz w:val="18"/>
                      <w:szCs w:val="18"/>
                      <w:lang w:eastAsia="sk-SK"/>
                    </w:rPr>
                    <w:t xml:space="preserve"> očakávaný medziročný nárast miezd</w:t>
                  </w:r>
                </w:p>
              </w:tc>
            </w:tr>
            <w:tr w:rsidR="00262D31" w:rsidRPr="000939E3" w14:paraId="27290DA3" w14:textId="77777777" w:rsidTr="001D63C0">
              <w:trPr>
                <w:trHeight w:val="20"/>
              </w:trPr>
              <w:tc>
                <w:tcPr>
                  <w:tcW w:w="2297" w:type="pct"/>
                  <w:vMerge/>
                  <w:tcBorders>
                    <w:left w:val="nil"/>
                    <w:bottom w:val="single" w:sz="4" w:space="0" w:color="auto"/>
                    <w:right w:val="nil"/>
                  </w:tcBorders>
                  <w:shd w:val="clear" w:color="auto" w:fill="auto"/>
                  <w:noWrap/>
                  <w:vAlign w:val="bottom"/>
                  <w:hideMark/>
                </w:tcPr>
                <w:p w14:paraId="22A6E17B" w14:textId="429DBBF5" w:rsidR="00262D31" w:rsidRPr="00262D31" w:rsidRDefault="00262D31" w:rsidP="00D62879">
                  <w:pPr>
                    <w:framePr w:hSpace="141" w:wrap="around" w:vAnchor="text" w:hAnchor="margin" w:y="376"/>
                    <w:spacing w:after="0" w:line="240" w:lineRule="auto"/>
                    <w:jc w:val="left"/>
                    <w:rPr>
                      <w:rFonts w:eastAsia="Times New Roman" w:cs="Times New Roman"/>
                      <w:b/>
                      <w:bCs/>
                      <w:color w:val="000000"/>
                      <w:sz w:val="18"/>
                      <w:szCs w:val="18"/>
                      <w:lang w:eastAsia="sk-SK"/>
                    </w:rPr>
                  </w:pPr>
                </w:p>
              </w:tc>
              <w:tc>
                <w:tcPr>
                  <w:tcW w:w="795" w:type="pct"/>
                  <w:tcBorders>
                    <w:top w:val="single" w:sz="4" w:space="0" w:color="auto"/>
                    <w:left w:val="nil"/>
                    <w:bottom w:val="single" w:sz="4" w:space="0" w:color="auto"/>
                    <w:right w:val="nil"/>
                  </w:tcBorders>
                  <w:shd w:val="clear" w:color="auto" w:fill="auto"/>
                  <w:noWrap/>
                  <w:vAlign w:val="center"/>
                  <w:hideMark/>
                </w:tcPr>
                <w:p w14:paraId="7724F868" w14:textId="77777777" w:rsidR="00262D31" w:rsidRPr="00262D31" w:rsidRDefault="00262D31" w:rsidP="00D62879">
                  <w:pPr>
                    <w:framePr w:hSpace="141" w:wrap="around" w:vAnchor="text" w:hAnchor="margin" w:y="376"/>
                    <w:spacing w:after="0" w:line="240" w:lineRule="auto"/>
                    <w:jc w:val="center"/>
                    <w:rPr>
                      <w:rFonts w:eastAsia="Times New Roman" w:cs="Times New Roman"/>
                      <w:b/>
                      <w:color w:val="000000"/>
                      <w:sz w:val="18"/>
                      <w:szCs w:val="18"/>
                      <w:lang w:eastAsia="sk-SK"/>
                    </w:rPr>
                  </w:pPr>
                  <w:r w:rsidRPr="00262D31">
                    <w:rPr>
                      <w:rFonts w:eastAsia="Times New Roman" w:cs="Times New Roman"/>
                      <w:b/>
                      <w:color w:val="000000"/>
                      <w:sz w:val="18"/>
                      <w:szCs w:val="18"/>
                      <w:lang w:eastAsia="sk-SK"/>
                    </w:rPr>
                    <w:t>2019 O*</w:t>
                  </w:r>
                </w:p>
              </w:tc>
              <w:tc>
                <w:tcPr>
                  <w:tcW w:w="855" w:type="pct"/>
                  <w:tcBorders>
                    <w:top w:val="single" w:sz="4" w:space="0" w:color="auto"/>
                    <w:left w:val="nil"/>
                    <w:bottom w:val="single" w:sz="4" w:space="0" w:color="auto"/>
                    <w:right w:val="nil"/>
                  </w:tcBorders>
                  <w:vAlign w:val="center"/>
                </w:tcPr>
                <w:p w14:paraId="605AADFB" w14:textId="77777777" w:rsidR="00262D31" w:rsidRPr="00262D31" w:rsidRDefault="00262D31" w:rsidP="00D62879">
                  <w:pPr>
                    <w:framePr w:hSpace="141" w:wrap="around" w:vAnchor="text" w:hAnchor="margin" w:y="376"/>
                    <w:spacing w:after="0" w:line="240" w:lineRule="auto"/>
                    <w:jc w:val="center"/>
                    <w:rPr>
                      <w:rFonts w:eastAsia="Times New Roman" w:cs="Times New Roman"/>
                      <w:b/>
                      <w:color w:val="000000"/>
                      <w:sz w:val="18"/>
                      <w:szCs w:val="18"/>
                      <w:lang w:eastAsia="sk-SK"/>
                    </w:rPr>
                  </w:pPr>
                  <w:r w:rsidRPr="00262D31">
                    <w:rPr>
                      <w:rFonts w:eastAsia="Times New Roman" w:cs="Times New Roman"/>
                      <w:b/>
                      <w:color w:val="000000"/>
                      <w:sz w:val="18"/>
                      <w:szCs w:val="18"/>
                      <w:lang w:eastAsia="sk-SK"/>
                    </w:rPr>
                    <w:t>2019 O*</w:t>
                  </w:r>
                </w:p>
              </w:tc>
              <w:tc>
                <w:tcPr>
                  <w:tcW w:w="379" w:type="pct"/>
                  <w:tcBorders>
                    <w:top w:val="single" w:sz="4" w:space="0" w:color="auto"/>
                    <w:left w:val="nil"/>
                    <w:bottom w:val="single" w:sz="4" w:space="0" w:color="auto"/>
                    <w:right w:val="nil"/>
                  </w:tcBorders>
                  <w:shd w:val="clear" w:color="auto" w:fill="auto"/>
                  <w:noWrap/>
                  <w:vAlign w:val="center"/>
                  <w:hideMark/>
                </w:tcPr>
                <w:p w14:paraId="11D16E4C" w14:textId="77777777" w:rsidR="00262D31" w:rsidRPr="00262D31" w:rsidRDefault="00262D31" w:rsidP="00D62879">
                  <w:pPr>
                    <w:framePr w:hSpace="141" w:wrap="around" w:vAnchor="text" w:hAnchor="margin" w:y="376"/>
                    <w:spacing w:after="0" w:line="240" w:lineRule="auto"/>
                    <w:jc w:val="center"/>
                    <w:rPr>
                      <w:rFonts w:eastAsia="Times New Roman" w:cs="Times New Roman"/>
                      <w:b/>
                      <w:color w:val="000000"/>
                      <w:sz w:val="18"/>
                      <w:szCs w:val="18"/>
                      <w:lang w:eastAsia="sk-SK"/>
                    </w:rPr>
                  </w:pPr>
                  <w:r w:rsidRPr="00262D31">
                    <w:rPr>
                      <w:rFonts w:eastAsia="Times New Roman" w:cs="Times New Roman"/>
                      <w:b/>
                      <w:color w:val="000000"/>
                      <w:sz w:val="18"/>
                      <w:szCs w:val="18"/>
                      <w:lang w:eastAsia="sk-SK"/>
                    </w:rPr>
                    <w:t>ZS 2020</w:t>
                  </w:r>
                </w:p>
              </w:tc>
              <w:tc>
                <w:tcPr>
                  <w:tcW w:w="336" w:type="pct"/>
                  <w:tcBorders>
                    <w:top w:val="single" w:sz="4" w:space="0" w:color="auto"/>
                    <w:left w:val="nil"/>
                    <w:bottom w:val="single" w:sz="4" w:space="0" w:color="auto"/>
                    <w:right w:val="nil"/>
                  </w:tcBorders>
                  <w:shd w:val="clear" w:color="auto" w:fill="auto"/>
                  <w:noWrap/>
                  <w:vAlign w:val="center"/>
                  <w:hideMark/>
                </w:tcPr>
                <w:p w14:paraId="2A81139B" w14:textId="77777777" w:rsidR="00262D31" w:rsidRPr="00262D31" w:rsidRDefault="00262D31" w:rsidP="00D62879">
                  <w:pPr>
                    <w:framePr w:hSpace="141" w:wrap="around" w:vAnchor="text" w:hAnchor="margin" w:y="376"/>
                    <w:spacing w:after="0" w:line="240" w:lineRule="auto"/>
                    <w:jc w:val="center"/>
                    <w:rPr>
                      <w:rFonts w:eastAsia="Times New Roman" w:cs="Times New Roman"/>
                      <w:b/>
                      <w:color w:val="000000"/>
                      <w:sz w:val="18"/>
                      <w:szCs w:val="18"/>
                      <w:lang w:eastAsia="sk-SK"/>
                    </w:rPr>
                  </w:pPr>
                  <w:r w:rsidRPr="00262D31">
                    <w:rPr>
                      <w:rFonts w:eastAsia="Times New Roman" w:cs="Times New Roman"/>
                      <w:b/>
                      <w:color w:val="000000"/>
                      <w:sz w:val="18"/>
                      <w:szCs w:val="18"/>
                      <w:lang w:eastAsia="sk-SK"/>
                    </w:rPr>
                    <w:t>ZS 2021</w:t>
                  </w:r>
                </w:p>
              </w:tc>
              <w:tc>
                <w:tcPr>
                  <w:tcW w:w="337" w:type="pct"/>
                  <w:tcBorders>
                    <w:top w:val="single" w:sz="4" w:space="0" w:color="auto"/>
                    <w:left w:val="nil"/>
                    <w:bottom w:val="single" w:sz="4" w:space="0" w:color="auto"/>
                    <w:right w:val="nil"/>
                  </w:tcBorders>
                  <w:shd w:val="clear" w:color="auto" w:fill="auto"/>
                  <w:noWrap/>
                  <w:vAlign w:val="center"/>
                  <w:hideMark/>
                </w:tcPr>
                <w:p w14:paraId="34D9EB6A" w14:textId="77777777" w:rsidR="00262D31" w:rsidRPr="00262D31" w:rsidRDefault="00262D31" w:rsidP="00D62879">
                  <w:pPr>
                    <w:framePr w:hSpace="141" w:wrap="around" w:vAnchor="text" w:hAnchor="margin" w:y="376"/>
                    <w:spacing w:after="0" w:line="240" w:lineRule="auto"/>
                    <w:jc w:val="center"/>
                    <w:rPr>
                      <w:rFonts w:eastAsia="Times New Roman" w:cs="Times New Roman"/>
                      <w:b/>
                      <w:color w:val="000000"/>
                      <w:sz w:val="18"/>
                      <w:szCs w:val="18"/>
                      <w:lang w:eastAsia="sk-SK"/>
                    </w:rPr>
                  </w:pPr>
                  <w:r w:rsidRPr="00262D31">
                    <w:rPr>
                      <w:rFonts w:eastAsia="Times New Roman" w:cs="Times New Roman"/>
                      <w:b/>
                      <w:color w:val="000000"/>
                      <w:sz w:val="18"/>
                      <w:szCs w:val="18"/>
                      <w:lang w:eastAsia="sk-SK"/>
                    </w:rPr>
                    <w:t>ZS 2022</w:t>
                  </w:r>
                </w:p>
              </w:tc>
            </w:tr>
            <w:tr w:rsidR="00BD5993" w:rsidRPr="000939E3" w14:paraId="124CF485" w14:textId="77777777" w:rsidTr="001D63C0">
              <w:trPr>
                <w:trHeight w:val="20"/>
              </w:trPr>
              <w:tc>
                <w:tcPr>
                  <w:tcW w:w="2297" w:type="pct"/>
                  <w:tcBorders>
                    <w:top w:val="nil"/>
                    <w:left w:val="nil"/>
                    <w:bottom w:val="nil"/>
                    <w:right w:val="nil"/>
                  </w:tcBorders>
                  <w:shd w:val="clear" w:color="auto" w:fill="auto"/>
                  <w:noWrap/>
                  <w:vAlign w:val="bottom"/>
                  <w:hideMark/>
                </w:tcPr>
                <w:p w14:paraId="6CFCEEAB"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rFonts w:eastAsia="Times New Roman" w:cs="Times New Roman"/>
                      <w:color w:val="000000"/>
                      <w:sz w:val="18"/>
                      <w:szCs w:val="18"/>
                      <w:lang w:eastAsia="sk-SK"/>
                    </w:rPr>
                    <w:t>učitelia – reg. šk. vrátane súkr. a cirk. škôl</w:t>
                  </w:r>
                </w:p>
              </w:tc>
              <w:tc>
                <w:tcPr>
                  <w:tcW w:w="795" w:type="pct"/>
                  <w:tcBorders>
                    <w:top w:val="nil"/>
                    <w:left w:val="nil"/>
                    <w:bottom w:val="nil"/>
                    <w:right w:val="nil"/>
                  </w:tcBorders>
                  <w:shd w:val="clear" w:color="auto" w:fill="auto"/>
                  <w:noWrap/>
                  <w:vAlign w:val="bottom"/>
                  <w:hideMark/>
                </w:tcPr>
                <w:p w14:paraId="3E5D08C3"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1 871</w:t>
                  </w:r>
                </w:p>
              </w:tc>
              <w:tc>
                <w:tcPr>
                  <w:tcW w:w="855" w:type="pct"/>
                  <w:tcBorders>
                    <w:top w:val="nil"/>
                    <w:left w:val="nil"/>
                    <w:bottom w:val="nil"/>
                    <w:right w:val="nil"/>
                  </w:tcBorders>
                </w:tcPr>
                <w:p w14:paraId="1225F763"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10,0%</w:t>
                  </w:r>
                </w:p>
              </w:tc>
              <w:tc>
                <w:tcPr>
                  <w:tcW w:w="379" w:type="pct"/>
                  <w:tcBorders>
                    <w:top w:val="nil"/>
                    <w:left w:val="nil"/>
                    <w:bottom w:val="nil"/>
                    <w:right w:val="nil"/>
                  </w:tcBorders>
                  <w:shd w:val="clear" w:color="auto" w:fill="auto"/>
                  <w:noWrap/>
                  <w:vAlign w:val="bottom"/>
                  <w:hideMark/>
                </w:tcPr>
                <w:p w14:paraId="55903C92"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10,0%</w:t>
                  </w:r>
                </w:p>
              </w:tc>
              <w:tc>
                <w:tcPr>
                  <w:tcW w:w="336" w:type="pct"/>
                  <w:tcBorders>
                    <w:top w:val="nil"/>
                    <w:left w:val="nil"/>
                    <w:bottom w:val="nil"/>
                    <w:right w:val="nil"/>
                  </w:tcBorders>
                  <w:shd w:val="clear" w:color="auto" w:fill="auto"/>
                  <w:noWrap/>
                  <w:vAlign w:val="bottom"/>
                  <w:hideMark/>
                </w:tcPr>
                <w:p w14:paraId="1970A24E"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5,3%</w:t>
                  </w:r>
                </w:p>
              </w:tc>
              <w:tc>
                <w:tcPr>
                  <w:tcW w:w="337" w:type="pct"/>
                  <w:tcBorders>
                    <w:top w:val="nil"/>
                    <w:left w:val="nil"/>
                    <w:bottom w:val="nil"/>
                    <w:right w:val="nil"/>
                  </w:tcBorders>
                  <w:shd w:val="clear" w:color="auto" w:fill="auto"/>
                  <w:noWrap/>
                  <w:vAlign w:val="bottom"/>
                  <w:hideMark/>
                </w:tcPr>
                <w:p w14:paraId="110F4814"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4,5%</w:t>
                  </w:r>
                </w:p>
              </w:tc>
            </w:tr>
            <w:tr w:rsidR="00BD5993" w:rsidRPr="000939E3" w14:paraId="3BD4DE5B" w14:textId="77777777" w:rsidTr="001D63C0">
              <w:trPr>
                <w:trHeight w:val="20"/>
              </w:trPr>
              <w:tc>
                <w:tcPr>
                  <w:tcW w:w="2297" w:type="pct"/>
                  <w:tcBorders>
                    <w:top w:val="nil"/>
                    <w:left w:val="nil"/>
                    <w:bottom w:val="nil"/>
                    <w:right w:val="nil"/>
                  </w:tcBorders>
                  <w:shd w:val="clear" w:color="auto" w:fill="auto"/>
                  <w:vAlign w:val="bottom"/>
                  <w:hideMark/>
                </w:tcPr>
                <w:p w14:paraId="2D4D5035"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rFonts w:eastAsia="Times New Roman" w:cs="Times New Roman"/>
                      <w:color w:val="000000"/>
                      <w:sz w:val="18"/>
                      <w:szCs w:val="18"/>
                      <w:lang w:eastAsia="sk-SK"/>
                    </w:rPr>
                    <w:t>ústavné sestry vrátane neverejných</w:t>
                  </w:r>
                </w:p>
              </w:tc>
              <w:tc>
                <w:tcPr>
                  <w:tcW w:w="795" w:type="pct"/>
                  <w:tcBorders>
                    <w:top w:val="nil"/>
                    <w:left w:val="nil"/>
                    <w:bottom w:val="nil"/>
                    <w:right w:val="nil"/>
                  </w:tcBorders>
                  <w:shd w:val="clear" w:color="auto" w:fill="auto"/>
                  <w:noWrap/>
                  <w:vAlign w:val="bottom"/>
                  <w:hideMark/>
                </w:tcPr>
                <w:p w14:paraId="0A0ADC72"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458</w:t>
                  </w:r>
                </w:p>
              </w:tc>
              <w:tc>
                <w:tcPr>
                  <w:tcW w:w="855" w:type="pct"/>
                  <w:tcBorders>
                    <w:top w:val="nil"/>
                    <w:left w:val="nil"/>
                    <w:bottom w:val="nil"/>
                    <w:right w:val="nil"/>
                  </w:tcBorders>
                </w:tcPr>
                <w:p w14:paraId="5DB7B710"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15,1%</w:t>
                  </w:r>
                </w:p>
              </w:tc>
              <w:tc>
                <w:tcPr>
                  <w:tcW w:w="379" w:type="pct"/>
                  <w:tcBorders>
                    <w:top w:val="nil"/>
                    <w:left w:val="nil"/>
                    <w:bottom w:val="nil"/>
                    <w:right w:val="nil"/>
                  </w:tcBorders>
                  <w:shd w:val="clear" w:color="auto" w:fill="auto"/>
                  <w:noWrap/>
                  <w:vAlign w:val="bottom"/>
                  <w:hideMark/>
                </w:tcPr>
                <w:p w14:paraId="6BF6BCBF"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6,3%</w:t>
                  </w:r>
                </w:p>
              </w:tc>
              <w:tc>
                <w:tcPr>
                  <w:tcW w:w="336" w:type="pct"/>
                  <w:tcBorders>
                    <w:top w:val="nil"/>
                    <w:left w:val="nil"/>
                    <w:bottom w:val="nil"/>
                    <w:right w:val="nil"/>
                  </w:tcBorders>
                  <w:shd w:val="clear" w:color="auto" w:fill="auto"/>
                  <w:noWrap/>
                  <w:vAlign w:val="bottom"/>
                  <w:hideMark/>
                </w:tcPr>
                <w:p w14:paraId="73B3E6B7"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6,7%</w:t>
                  </w:r>
                </w:p>
              </w:tc>
              <w:tc>
                <w:tcPr>
                  <w:tcW w:w="337" w:type="pct"/>
                  <w:tcBorders>
                    <w:top w:val="nil"/>
                    <w:left w:val="nil"/>
                    <w:bottom w:val="nil"/>
                    <w:right w:val="nil"/>
                  </w:tcBorders>
                  <w:shd w:val="clear" w:color="auto" w:fill="auto"/>
                  <w:noWrap/>
                  <w:vAlign w:val="bottom"/>
                  <w:hideMark/>
                </w:tcPr>
                <w:p w14:paraId="57A6FA15"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6,3%</w:t>
                  </w:r>
                </w:p>
              </w:tc>
            </w:tr>
            <w:tr w:rsidR="00BD5993" w:rsidRPr="000939E3" w14:paraId="58326A8B" w14:textId="77777777" w:rsidTr="001D63C0">
              <w:trPr>
                <w:trHeight w:val="20"/>
              </w:trPr>
              <w:tc>
                <w:tcPr>
                  <w:tcW w:w="2297" w:type="pct"/>
                  <w:tcBorders>
                    <w:top w:val="nil"/>
                    <w:left w:val="nil"/>
                    <w:bottom w:val="nil"/>
                    <w:right w:val="nil"/>
                  </w:tcBorders>
                  <w:shd w:val="clear" w:color="auto" w:fill="auto"/>
                  <w:noWrap/>
                  <w:vAlign w:val="bottom"/>
                  <w:hideMark/>
                </w:tcPr>
                <w:p w14:paraId="70632405"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rFonts w:eastAsia="Times New Roman" w:cs="Times New Roman"/>
                      <w:color w:val="000000"/>
                      <w:sz w:val="18"/>
                      <w:szCs w:val="18"/>
                      <w:lang w:eastAsia="sk-SK"/>
                    </w:rPr>
                    <w:t>sociálne služby</w:t>
                  </w:r>
                </w:p>
              </w:tc>
              <w:tc>
                <w:tcPr>
                  <w:tcW w:w="795" w:type="pct"/>
                  <w:tcBorders>
                    <w:top w:val="nil"/>
                    <w:left w:val="nil"/>
                    <w:bottom w:val="nil"/>
                    <w:right w:val="nil"/>
                  </w:tcBorders>
                  <w:shd w:val="clear" w:color="auto" w:fill="auto"/>
                  <w:noWrap/>
                  <w:vAlign w:val="bottom"/>
                  <w:hideMark/>
                </w:tcPr>
                <w:p w14:paraId="2669C14A"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356</w:t>
                  </w:r>
                </w:p>
              </w:tc>
              <w:tc>
                <w:tcPr>
                  <w:tcW w:w="855" w:type="pct"/>
                  <w:tcBorders>
                    <w:top w:val="nil"/>
                    <w:left w:val="nil"/>
                    <w:bottom w:val="nil"/>
                    <w:right w:val="nil"/>
                  </w:tcBorders>
                </w:tcPr>
                <w:p w14:paraId="4228F5E5"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10,0%</w:t>
                  </w:r>
                </w:p>
              </w:tc>
              <w:tc>
                <w:tcPr>
                  <w:tcW w:w="379" w:type="pct"/>
                  <w:tcBorders>
                    <w:top w:val="nil"/>
                    <w:left w:val="nil"/>
                    <w:bottom w:val="nil"/>
                    <w:right w:val="nil"/>
                  </w:tcBorders>
                  <w:shd w:val="clear" w:color="auto" w:fill="auto"/>
                  <w:noWrap/>
                  <w:vAlign w:val="bottom"/>
                  <w:hideMark/>
                </w:tcPr>
                <w:p w14:paraId="386E2D01"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10,0%</w:t>
                  </w:r>
                </w:p>
              </w:tc>
              <w:tc>
                <w:tcPr>
                  <w:tcW w:w="336" w:type="pct"/>
                  <w:tcBorders>
                    <w:top w:val="nil"/>
                    <w:left w:val="nil"/>
                    <w:bottom w:val="nil"/>
                    <w:right w:val="nil"/>
                  </w:tcBorders>
                  <w:shd w:val="clear" w:color="auto" w:fill="auto"/>
                  <w:noWrap/>
                  <w:vAlign w:val="bottom"/>
                  <w:hideMark/>
                </w:tcPr>
                <w:p w14:paraId="75C15EE5"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5,3%</w:t>
                  </w:r>
                </w:p>
              </w:tc>
              <w:tc>
                <w:tcPr>
                  <w:tcW w:w="337" w:type="pct"/>
                  <w:tcBorders>
                    <w:top w:val="nil"/>
                    <w:left w:val="nil"/>
                    <w:bottom w:val="nil"/>
                    <w:right w:val="nil"/>
                  </w:tcBorders>
                  <w:shd w:val="clear" w:color="auto" w:fill="auto"/>
                  <w:noWrap/>
                  <w:vAlign w:val="bottom"/>
                  <w:hideMark/>
                </w:tcPr>
                <w:p w14:paraId="166267BD"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4,5%</w:t>
                  </w:r>
                </w:p>
              </w:tc>
            </w:tr>
            <w:tr w:rsidR="00BD5993" w:rsidRPr="000939E3" w14:paraId="448ACD7A" w14:textId="77777777" w:rsidTr="001D63C0">
              <w:trPr>
                <w:trHeight w:val="20"/>
              </w:trPr>
              <w:tc>
                <w:tcPr>
                  <w:tcW w:w="2297" w:type="pct"/>
                  <w:tcBorders>
                    <w:top w:val="nil"/>
                    <w:left w:val="nil"/>
                    <w:bottom w:val="nil"/>
                    <w:right w:val="nil"/>
                  </w:tcBorders>
                  <w:shd w:val="clear" w:color="auto" w:fill="auto"/>
                  <w:noWrap/>
                  <w:vAlign w:val="bottom"/>
                  <w:hideMark/>
                </w:tcPr>
                <w:p w14:paraId="212E28C5"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rFonts w:eastAsia="Times New Roman" w:cs="Times New Roman"/>
                      <w:color w:val="000000"/>
                      <w:sz w:val="18"/>
                      <w:szCs w:val="18"/>
                      <w:lang w:eastAsia="sk-SK"/>
                    </w:rPr>
                    <w:t>štátni úradníci</w:t>
                  </w:r>
                </w:p>
              </w:tc>
              <w:tc>
                <w:tcPr>
                  <w:tcW w:w="795" w:type="pct"/>
                  <w:tcBorders>
                    <w:top w:val="nil"/>
                    <w:left w:val="nil"/>
                    <w:bottom w:val="nil"/>
                    <w:right w:val="nil"/>
                  </w:tcBorders>
                  <w:shd w:val="clear" w:color="auto" w:fill="auto"/>
                  <w:noWrap/>
                  <w:vAlign w:val="bottom"/>
                  <w:hideMark/>
                </w:tcPr>
                <w:p w14:paraId="02DED1FB"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880</w:t>
                  </w:r>
                </w:p>
              </w:tc>
              <w:tc>
                <w:tcPr>
                  <w:tcW w:w="855" w:type="pct"/>
                  <w:tcBorders>
                    <w:top w:val="nil"/>
                    <w:left w:val="nil"/>
                    <w:bottom w:val="nil"/>
                    <w:right w:val="nil"/>
                  </w:tcBorders>
                </w:tcPr>
                <w:p w14:paraId="392A3771"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10,0%</w:t>
                  </w:r>
                </w:p>
              </w:tc>
              <w:tc>
                <w:tcPr>
                  <w:tcW w:w="379" w:type="pct"/>
                  <w:tcBorders>
                    <w:top w:val="nil"/>
                    <w:left w:val="nil"/>
                    <w:bottom w:val="nil"/>
                    <w:right w:val="nil"/>
                  </w:tcBorders>
                  <w:shd w:val="clear" w:color="auto" w:fill="auto"/>
                  <w:noWrap/>
                  <w:vAlign w:val="bottom"/>
                  <w:hideMark/>
                </w:tcPr>
                <w:p w14:paraId="239DB8CE"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10,0%</w:t>
                  </w:r>
                </w:p>
              </w:tc>
              <w:tc>
                <w:tcPr>
                  <w:tcW w:w="336" w:type="pct"/>
                  <w:tcBorders>
                    <w:top w:val="nil"/>
                    <w:left w:val="nil"/>
                    <w:bottom w:val="nil"/>
                    <w:right w:val="nil"/>
                  </w:tcBorders>
                  <w:shd w:val="clear" w:color="auto" w:fill="auto"/>
                  <w:noWrap/>
                  <w:vAlign w:val="bottom"/>
                  <w:hideMark/>
                </w:tcPr>
                <w:p w14:paraId="74C77DA4"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5,3%</w:t>
                  </w:r>
                </w:p>
              </w:tc>
              <w:tc>
                <w:tcPr>
                  <w:tcW w:w="337" w:type="pct"/>
                  <w:tcBorders>
                    <w:top w:val="nil"/>
                    <w:left w:val="nil"/>
                    <w:bottom w:val="nil"/>
                    <w:right w:val="nil"/>
                  </w:tcBorders>
                  <w:shd w:val="clear" w:color="auto" w:fill="auto"/>
                  <w:noWrap/>
                  <w:vAlign w:val="bottom"/>
                  <w:hideMark/>
                </w:tcPr>
                <w:p w14:paraId="242BEF5F"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4,5%</w:t>
                  </w:r>
                </w:p>
              </w:tc>
            </w:tr>
            <w:tr w:rsidR="00BD5993" w:rsidRPr="000939E3" w14:paraId="49D73A49" w14:textId="77777777" w:rsidTr="001D63C0">
              <w:trPr>
                <w:trHeight w:val="20"/>
              </w:trPr>
              <w:tc>
                <w:tcPr>
                  <w:tcW w:w="2297" w:type="pct"/>
                  <w:tcBorders>
                    <w:top w:val="nil"/>
                    <w:left w:val="nil"/>
                    <w:bottom w:val="nil"/>
                    <w:right w:val="nil"/>
                  </w:tcBorders>
                  <w:shd w:val="clear" w:color="auto" w:fill="auto"/>
                  <w:noWrap/>
                  <w:vAlign w:val="bottom"/>
                  <w:hideMark/>
                </w:tcPr>
                <w:p w14:paraId="1BF9A37B"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rFonts w:eastAsia="Times New Roman" w:cs="Times New Roman"/>
                      <w:color w:val="000000"/>
                      <w:sz w:val="18"/>
                      <w:szCs w:val="18"/>
                      <w:lang w:eastAsia="sk-SK"/>
                    </w:rPr>
                    <w:t>ústavní lekári vrátane neverejných</w:t>
                  </w:r>
                </w:p>
              </w:tc>
              <w:tc>
                <w:tcPr>
                  <w:tcW w:w="795" w:type="pct"/>
                  <w:tcBorders>
                    <w:top w:val="nil"/>
                    <w:left w:val="nil"/>
                    <w:bottom w:val="nil"/>
                    <w:right w:val="nil"/>
                  </w:tcBorders>
                  <w:shd w:val="clear" w:color="auto" w:fill="auto"/>
                  <w:noWrap/>
                  <w:vAlign w:val="bottom"/>
                  <w:hideMark/>
                </w:tcPr>
                <w:p w14:paraId="53015736"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470</w:t>
                  </w:r>
                </w:p>
              </w:tc>
              <w:tc>
                <w:tcPr>
                  <w:tcW w:w="855" w:type="pct"/>
                  <w:tcBorders>
                    <w:top w:val="nil"/>
                    <w:left w:val="nil"/>
                    <w:bottom w:val="nil"/>
                    <w:right w:val="nil"/>
                  </w:tcBorders>
                </w:tcPr>
                <w:p w14:paraId="757B8EED"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4,6%</w:t>
                  </w:r>
                </w:p>
              </w:tc>
              <w:tc>
                <w:tcPr>
                  <w:tcW w:w="379" w:type="pct"/>
                  <w:tcBorders>
                    <w:top w:val="nil"/>
                    <w:left w:val="nil"/>
                    <w:bottom w:val="nil"/>
                    <w:right w:val="nil"/>
                  </w:tcBorders>
                  <w:shd w:val="clear" w:color="auto" w:fill="auto"/>
                  <w:noWrap/>
                  <w:vAlign w:val="bottom"/>
                  <w:hideMark/>
                </w:tcPr>
                <w:p w14:paraId="202711E9"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6,3%</w:t>
                  </w:r>
                </w:p>
              </w:tc>
              <w:tc>
                <w:tcPr>
                  <w:tcW w:w="336" w:type="pct"/>
                  <w:tcBorders>
                    <w:top w:val="nil"/>
                    <w:left w:val="nil"/>
                    <w:bottom w:val="nil"/>
                    <w:right w:val="nil"/>
                  </w:tcBorders>
                  <w:shd w:val="clear" w:color="auto" w:fill="auto"/>
                  <w:noWrap/>
                  <w:vAlign w:val="bottom"/>
                  <w:hideMark/>
                </w:tcPr>
                <w:p w14:paraId="15E6DC35"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6,7%</w:t>
                  </w:r>
                </w:p>
              </w:tc>
              <w:tc>
                <w:tcPr>
                  <w:tcW w:w="337" w:type="pct"/>
                  <w:tcBorders>
                    <w:top w:val="nil"/>
                    <w:left w:val="nil"/>
                    <w:bottom w:val="nil"/>
                    <w:right w:val="nil"/>
                  </w:tcBorders>
                  <w:shd w:val="clear" w:color="auto" w:fill="auto"/>
                  <w:noWrap/>
                  <w:vAlign w:val="bottom"/>
                  <w:hideMark/>
                </w:tcPr>
                <w:p w14:paraId="549A9872"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6,3%</w:t>
                  </w:r>
                </w:p>
              </w:tc>
            </w:tr>
            <w:tr w:rsidR="00BD5993" w:rsidRPr="000939E3" w14:paraId="50C10735" w14:textId="77777777" w:rsidTr="001D63C0">
              <w:trPr>
                <w:trHeight w:val="20"/>
              </w:trPr>
              <w:tc>
                <w:tcPr>
                  <w:tcW w:w="2297" w:type="pct"/>
                  <w:tcBorders>
                    <w:top w:val="nil"/>
                    <w:left w:val="nil"/>
                    <w:bottom w:val="nil"/>
                    <w:right w:val="nil"/>
                  </w:tcBorders>
                  <w:shd w:val="clear" w:color="auto" w:fill="auto"/>
                  <w:noWrap/>
                  <w:vAlign w:val="bottom"/>
                  <w:hideMark/>
                </w:tcPr>
                <w:p w14:paraId="60E3D96F"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rFonts w:eastAsia="Times New Roman" w:cs="Times New Roman"/>
                      <w:color w:val="000000"/>
                      <w:sz w:val="18"/>
                      <w:szCs w:val="18"/>
                      <w:lang w:eastAsia="sk-SK"/>
                    </w:rPr>
                    <w:t>hasiči</w:t>
                  </w:r>
                </w:p>
              </w:tc>
              <w:tc>
                <w:tcPr>
                  <w:tcW w:w="795" w:type="pct"/>
                  <w:tcBorders>
                    <w:top w:val="nil"/>
                    <w:left w:val="nil"/>
                    <w:bottom w:val="nil"/>
                    <w:right w:val="nil"/>
                  </w:tcBorders>
                  <w:shd w:val="clear" w:color="auto" w:fill="auto"/>
                  <w:noWrap/>
                  <w:vAlign w:val="bottom"/>
                  <w:hideMark/>
                </w:tcPr>
                <w:p w14:paraId="20196C24"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108</w:t>
                  </w:r>
                </w:p>
              </w:tc>
              <w:tc>
                <w:tcPr>
                  <w:tcW w:w="855" w:type="pct"/>
                  <w:tcBorders>
                    <w:top w:val="nil"/>
                    <w:left w:val="nil"/>
                    <w:bottom w:val="nil"/>
                    <w:right w:val="nil"/>
                  </w:tcBorders>
                </w:tcPr>
                <w:p w14:paraId="0A565B60"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10,0%</w:t>
                  </w:r>
                </w:p>
              </w:tc>
              <w:tc>
                <w:tcPr>
                  <w:tcW w:w="379" w:type="pct"/>
                  <w:tcBorders>
                    <w:top w:val="nil"/>
                    <w:left w:val="nil"/>
                    <w:bottom w:val="nil"/>
                    <w:right w:val="nil"/>
                  </w:tcBorders>
                  <w:shd w:val="clear" w:color="auto" w:fill="auto"/>
                  <w:noWrap/>
                  <w:vAlign w:val="bottom"/>
                  <w:hideMark/>
                </w:tcPr>
                <w:p w14:paraId="2DFC317E"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10,0%</w:t>
                  </w:r>
                </w:p>
              </w:tc>
              <w:tc>
                <w:tcPr>
                  <w:tcW w:w="336" w:type="pct"/>
                  <w:tcBorders>
                    <w:top w:val="nil"/>
                    <w:left w:val="nil"/>
                    <w:bottom w:val="nil"/>
                    <w:right w:val="nil"/>
                  </w:tcBorders>
                  <w:shd w:val="clear" w:color="auto" w:fill="auto"/>
                  <w:noWrap/>
                  <w:vAlign w:val="bottom"/>
                  <w:hideMark/>
                </w:tcPr>
                <w:p w14:paraId="3F036A6B"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5,3%</w:t>
                  </w:r>
                </w:p>
              </w:tc>
              <w:tc>
                <w:tcPr>
                  <w:tcW w:w="337" w:type="pct"/>
                  <w:tcBorders>
                    <w:top w:val="nil"/>
                    <w:left w:val="nil"/>
                    <w:bottom w:val="nil"/>
                    <w:right w:val="nil"/>
                  </w:tcBorders>
                  <w:shd w:val="clear" w:color="auto" w:fill="auto"/>
                  <w:noWrap/>
                  <w:vAlign w:val="bottom"/>
                  <w:hideMark/>
                </w:tcPr>
                <w:p w14:paraId="011654D4"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4,5%</w:t>
                  </w:r>
                </w:p>
              </w:tc>
            </w:tr>
            <w:tr w:rsidR="00BD5993" w:rsidRPr="000939E3" w14:paraId="27951A2D" w14:textId="77777777" w:rsidTr="001D63C0">
              <w:trPr>
                <w:trHeight w:val="20"/>
              </w:trPr>
              <w:tc>
                <w:tcPr>
                  <w:tcW w:w="2297" w:type="pct"/>
                  <w:tcBorders>
                    <w:top w:val="nil"/>
                    <w:left w:val="nil"/>
                    <w:bottom w:val="nil"/>
                    <w:right w:val="nil"/>
                  </w:tcBorders>
                  <w:shd w:val="clear" w:color="auto" w:fill="auto"/>
                  <w:noWrap/>
                  <w:vAlign w:val="bottom"/>
                  <w:hideMark/>
                </w:tcPr>
                <w:p w14:paraId="183E4CF5"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rFonts w:eastAsia="Times New Roman" w:cs="Times New Roman"/>
                      <w:color w:val="000000"/>
                      <w:sz w:val="18"/>
                      <w:szCs w:val="18"/>
                      <w:lang w:eastAsia="sk-SK"/>
                    </w:rPr>
                    <w:t>VŠ učitelia</w:t>
                  </w:r>
                </w:p>
              </w:tc>
              <w:tc>
                <w:tcPr>
                  <w:tcW w:w="795" w:type="pct"/>
                  <w:tcBorders>
                    <w:top w:val="nil"/>
                    <w:left w:val="nil"/>
                    <w:bottom w:val="nil"/>
                    <w:right w:val="nil"/>
                  </w:tcBorders>
                  <w:shd w:val="clear" w:color="auto" w:fill="auto"/>
                  <w:noWrap/>
                  <w:vAlign w:val="bottom"/>
                  <w:hideMark/>
                </w:tcPr>
                <w:p w14:paraId="291B03A2"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272</w:t>
                  </w:r>
                </w:p>
              </w:tc>
              <w:tc>
                <w:tcPr>
                  <w:tcW w:w="855" w:type="pct"/>
                  <w:tcBorders>
                    <w:top w:val="nil"/>
                    <w:left w:val="nil"/>
                    <w:bottom w:val="nil"/>
                    <w:right w:val="nil"/>
                  </w:tcBorders>
                </w:tcPr>
                <w:p w14:paraId="0C673346"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10,0%</w:t>
                  </w:r>
                </w:p>
              </w:tc>
              <w:tc>
                <w:tcPr>
                  <w:tcW w:w="379" w:type="pct"/>
                  <w:tcBorders>
                    <w:top w:val="nil"/>
                    <w:left w:val="nil"/>
                    <w:bottom w:val="nil"/>
                    <w:right w:val="nil"/>
                  </w:tcBorders>
                  <w:shd w:val="clear" w:color="auto" w:fill="auto"/>
                  <w:noWrap/>
                  <w:vAlign w:val="bottom"/>
                  <w:hideMark/>
                </w:tcPr>
                <w:p w14:paraId="6E26BA9A"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10,0%</w:t>
                  </w:r>
                </w:p>
              </w:tc>
              <w:tc>
                <w:tcPr>
                  <w:tcW w:w="336" w:type="pct"/>
                  <w:tcBorders>
                    <w:top w:val="nil"/>
                    <w:left w:val="nil"/>
                    <w:bottom w:val="nil"/>
                    <w:right w:val="nil"/>
                  </w:tcBorders>
                  <w:shd w:val="clear" w:color="auto" w:fill="auto"/>
                  <w:noWrap/>
                  <w:vAlign w:val="bottom"/>
                  <w:hideMark/>
                </w:tcPr>
                <w:p w14:paraId="5ED18C4C"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5,3%</w:t>
                  </w:r>
                </w:p>
              </w:tc>
              <w:tc>
                <w:tcPr>
                  <w:tcW w:w="337" w:type="pct"/>
                  <w:tcBorders>
                    <w:top w:val="nil"/>
                    <w:left w:val="nil"/>
                    <w:bottom w:val="nil"/>
                    <w:right w:val="nil"/>
                  </w:tcBorders>
                  <w:shd w:val="clear" w:color="auto" w:fill="auto"/>
                  <w:noWrap/>
                  <w:vAlign w:val="bottom"/>
                  <w:hideMark/>
                </w:tcPr>
                <w:p w14:paraId="28001E3F"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4,5%</w:t>
                  </w:r>
                </w:p>
              </w:tc>
            </w:tr>
            <w:tr w:rsidR="00BD5993" w:rsidRPr="000939E3" w14:paraId="08C840D0" w14:textId="77777777" w:rsidTr="001D63C0">
              <w:trPr>
                <w:trHeight w:val="20"/>
              </w:trPr>
              <w:tc>
                <w:tcPr>
                  <w:tcW w:w="2297" w:type="pct"/>
                  <w:tcBorders>
                    <w:top w:val="nil"/>
                    <w:left w:val="nil"/>
                    <w:bottom w:val="nil"/>
                    <w:right w:val="nil"/>
                  </w:tcBorders>
                  <w:shd w:val="clear" w:color="auto" w:fill="auto"/>
                  <w:noWrap/>
                  <w:vAlign w:val="bottom"/>
                  <w:hideMark/>
                </w:tcPr>
                <w:p w14:paraId="1E19E82C"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rFonts w:eastAsia="Times New Roman" w:cs="Times New Roman"/>
                      <w:color w:val="000000"/>
                      <w:sz w:val="18"/>
                      <w:szCs w:val="18"/>
                      <w:lang w:eastAsia="sk-SK"/>
                    </w:rPr>
                    <w:t>colníci</w:t>
                  </w:r>
                </w:p>
              </w:tc>
              <w:tc>
                <w:tcPr>
                  <w:tcW w:w="795" w:type="pct"/>
                  <w:tcBorders>
                    <w:top w:val="nil"/>
                    <w:left w:val="nil"/>
                    <w:bottom w:val="nil"/>
                    <w:right w:val="nil"/>
                  </w:tcBorders>
                  <w:shd w:val="clear" w:color="auto" w:fill="auto"/>
                  <w:noWrap/>
                  <w:vAlign w:val="bottom"/>
                  <w:hideMark/>
                </w:tcPr>
                <w:p w14:paraId="62EC9FD2"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76</w:t>
                  </w:r>
                </w:p>
              </w:tc>
              <w:tc>
                <w:tcPr>
                  <w:tcW w:w="855" w:type="pct"/>
                  <w:tcBorders>
                    <w:top w:val="nil"/>
                    <w:left w:val="nil"/>
                    <w:bottom w:val="nil"/>
                    <w:right w:val="nil"/>
                  </w:tcBorders>
                </w:tcPr>
                <w:p w14:paraId="2ABC3234"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10,0%</w:t>
                  </w:r>
                </w:p>
              </w:tc>
              <w:tc>
                <w:tcPr>
                  <w:tcW w:w="379" w:type="pct"/>
                  <w:tcBorders>
                    <w:top w:val="nil"/>
                    <w:left w:val="nil"/>
                    <w:bottom w:val="nil"/>
                    <w:right w:val="nil"/>
                  </w:tcBorders>
                  <w:shd w:val="clear" w:color="auto" w:fill="auto"/>
                  <w:noWrap/>
                  <w:vAlign w:val="bottom"/>
                  <w:hideMark/>
                </w:tcPr>
                <w:p w14:paraId="10DEB27C"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10,0%</w:t>
                  </w:r>
                </w:p>
              </w:tc>
              <w:tc>
                <w:tcPr>
                  <w:tcW w:w="336" w:type="pct"/>
                  <w:tcBorders>
                    <w:top w:val="nil"/>
                    <w:left w:val="nil"/>
                    <w:bottom w:val="nil"/>
                    <w:right w:val="nil"/>
                  </w:tcBorders>
                  <w:shd w:val="clear" w:color="auto" w:fill="auto"/>
                  <w:noWrap/>
                  <w:vAlign w:val="bottom"/>
                  <w:hideMark/>
                </w:tcPr>
                <w:p w14:paraId="4A71FE5C"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5,3%</w:t>
                  </w:r>
                </w:p>
              </w:tc>
              <w:tc>
                <w:tcPr>
                  <w:tcW w:w="337" w:type="pct"/>
                  <w:tcBorders>
                    <w:top w:val="nil"/>
                    <w:left w:val="nil"/>
                    <w:bottom w:val="nil"/>
                    <w:right w:val="nil"/>
                  </w:tcBorders>
                  <w:shd w:val="clear" w:color="auto" w:fill="auto"/>
                  <w:noWrap/>
                  <w:vAlign w:val="bottom"/>
                  <w:hideMark/>
                </w:tcPr>
                <w:p w14:paraId="1237FBEC"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4,5%</w:t>
                  </w:r>
                </w:p>
              </w:tc>
            </w:tr>
            <w:tr w:rsidR="00BD5993" w:rsidRPr="000939E3" w14:paraId="7B1DFB84" w14:textId="77777777" w:rsidTr="001D63C0">
              <w:trPr>
                <w:trHeight w:val="20"/>
              </w:trPr>
              <w:tc>
                <w:tcPr>
                  <w:tcW w:w="2297" w:type="pct"/>
                  <w:tcBorders>
                    <w:top w:val="nil"/>
                    <w:left w:val="nil"/>
                    <w:bottom w:val="nil"/>
                    <w:right w:val="nil"/>
                  </w:tcBorders>
                  <w:shd w:val="clear" w:color="auto" w:fill="auto"/>
                  <w:noWrap/>
                  <w:vAlign w:val="bottom"/>
                  <w:hideMark/>
                </w:tcPr>
                <w:p w14:paraId="056B2842"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rFonts w:eastAsia="Times New Roman" w:cs="Times New Roman"/>
                      <w:color w:val="000000"/>
                      <w:sz w:val="18"/>
                      <w:szCs w:val="18"/>
                      <w:lang w:eastAsia="sk-SK"/>
                    </w:rPr>
                    <w:t>vybraní ústavní činitelia</w:t>
                  </w:r>
                </w:p>
              </w:tc>
              <w:tc>
                <w:tcPr>
                  <w:tcW w:w="795" w:type="pct"/>
                  <w:tcBorders>
                    <w:top w:val="nil"/>
                    <w:left w:val="nil"/>
                    <w:bottom w:val="nil"/>
                    <w:right w:val="nil"/>
                  </w:tcBorders>
                  <w:shd w:val="clear" w:color="auto" w:fill="auto"/>
                  <w:noWrap/>
                  <w:vAlign w:val="bottom"/>
                  <w:hideMark/>
                </w:tcPr>
                <w:p w14:paraId="7AF42465"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9</w:t>
                  </w:r>
                </w:p>
              </w:tc>
              <w:tc>
                <w:tcPr>
                  <w:tcW w:w="855" w:type="pct"/>
                  <w:tcBorders>
                    <w:top w:val="nil"/>
                    <w:left w:val="nil"/>
                    <w:bottom w:val="nil"/>
                    <w:right w:val="nil"/>
                  </w:tcBorders>
                </w:tcPr>
                <w:p w14:paraId="03252E48"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6,3 - 50% **</w:t>
                  </w:r>
                </w:p>
              </w:tc>
              <w:tc>
                <w:tcPr>
                  <w:tcW w:w="379" w:type="pct"/>
                  <w:tcBorders>
                    <w:top w:val="nil"/>
                    <w:left w:val="nil"/>
                    <w:bottom w:val="nil"/>
                    <w:right w:val="nil"/>
                  </w:tcBorders>
                  <w:shd w:val="clear" w:color="auto" w:fill="auto"/>
                  <w:noWrap/>
                  <w:vAlign w:val="bottom"/>
                </w:tcPr>
                <w:p w14:paraId="446D2FBC"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6,7%</w:t>
                  </w:r>
                </w:p>
              </w:tc>
              <w:tc>
                <w:tcPr>
                  <w:tcW w:w="336" w:type="pct"/>
                  <w:tcBorders>
                    <w:top w:val="nil"/>
                    <w:left w:val="nil"/>
                    <w:bottom w:val="nil"/>
                    <w:right w:val="nil"/>
                  </w:tcBorders>
                  <w:shd w:val="clear" w:color="auto" w:fill="auto"/>
                  <w:noWrap/>
                  <w:vAlign w:val="bottom"/>
                </w:tcPr>
                <w:p w14:paraId="2BCD2641"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6,3%</w:t>
                  </w:r>
                </w:p>
              </w:tc>
              <w:tc>
                <w:tcPr>
                  <w:tcW w:w="337" w:type="pct"/>
                  <w:tcBorders>
                    <w:top w:val="nil"/>
                    <w:left w:val="nil"/>
                    <w:bottom w:val="nil"/>
                    <w:right w:val="nil"/>
                  </w:tcBorders>
                  <w:shd w:val="clear" w:color="auto" w:fill="auto"/>
                  <w:noWrap/>
                  <w:vAlign w:val="bottom"/>
                </w:tcPr>
                <w:p w14:paraId="784145C1"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5,3%</w:t>
                  </w:r>
                </w:p>
              </w:tc>
            </w:tr>
            <w:tr w:rsidR="00BD5993" w:rsidRPr="000939E3" w14:paraId="1014C0F6" w14:textId="77777777" w:rsidTr="001D63C0">
              <w:trPr>
                <w:trHeight w:val="20"/>
              </w:trPr>
              <w:tc>
                <w:tcPr>
                  <w:tcW w:w="2297" w:type="pct"/>
                  <w:tcBorders>
                    <w:top w:val="nil"/>
                    <w:left w:val="nil"/>
                    <w:bottom w:val="nil"/>
                    <w:right w:val="nil"/>
                  </w:tcBorders>
                  <w:shd w:val="clear" w:color="auto" w:fill="auto"/>
                  <w:noWrap/>
                  <w:vAlign w:val="bottom"/>
                  <w:hideMark/>
                </w:tcPr>
                <w:p w14:paraId="4846E147"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rFonts w:eastAsia="Times New Roman" w:cs="Times New Roman"/>
                      <w:color w:val="000000"/>
                      <w:sz w:val="18"/>
                      <w:szCs w:val="18"/>
                      <w:lang w:eastAsia="sk-SK"/>
                    </w:rPr>
                    <w:t>sudcovia</w:t>
                  </w:r>
                </w:p>
              </w:tc>
              <w:tc>
                <w:tcPr>
                  <w:tcW w:w="795" w:type="pct"/>
                  <w:tcBorders>
                    <w:top w:val="nil"/>
                    <w:left w:val="nil"/>
                    <w:bottom w:val="nil"/>
                    <w:right w:val="nil"/>
                  </w:tcBorders>
                  <w:shd w:val="clear" w:color="auto" w:fill="auto"/>
                  <w:noWrap/>
                  <w:vAlign w:val="bottom"/>
                  <w:hideMark/>
                </w:tcPr>
                <w:p w14:paraId="623D310A"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98</w:t>
                  </w:r>
                </w:p>
              </w:tc>
              <w:tc>
                <w:tcPr>
                  <w:tcW w:w="855" w:type="pct"/>
                  <w:tcBorders>
                    <w:top w:val="nil"/>
                    <w:left w:val="nil"/>
                    <w:bottom w:val="nil"/>
                    <w:right w:val="nil"/>
                  </w:tcBorders>
                </w:tcPr>
                <w:p w14:paraId="608F3B13"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6,3%</w:t>
                  </w:r>
                </w:p>
              </w:tc>
              <w:tc>
                <w:tcPr>
                  <w:tcW w:w="379" w:type="pct"/>
                  <w:tcBorders>
                    <w:top w:val="nil"/>
                    <w:left w:val="nil"/>
                    <w:bottom w:val="nil"/>
                    <w:right w:val="nil"/>
                  </w:tcBorders>
                  <w:shd w:val="clear" w:color="auto" w:fill="auto"/>
                  <w:noWrap/>
                  <w:vAlign w:val="bottom"/>
                </w:tcPr>
                <w:p w14:paraId="71DA3E10"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6,7%</w:t>
                  </w:r>
                </w:p>
              </w:tc>
              <w:tc>
                <w:tcPr>
                  <w:tcW w:w="336" w:type="pct"/>
                  <w:tcBorders>
                    <w:top w:val="nil"/>
                    <w:left w:val="nil"/>
                    <w:bottom w:val="nil"/>
                    <w:right w:val="nil"/>
                  </w:tcBorders>
                  <w:shd w:val="clear" w:color="auto" w:fill="auto"/>
                  <w:noWrap/>
                  <w:vAlign w:val="bottom"/>
                </w:tcPr>
                <w:p w14:paraId="5C8BD6CF"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6,3%</w:t>
                  </w:r>
                </w:p>
              </w:tc>
              <w:tc>
                <w:tcPr>
                  <w:tcW w:w="337" w:type="pct"/>
                  <w:tcBorders>
                    <w:top w:val="nil"/>
                    <w:left w:val="nil"/>
                    <w:bottom w:val="nil"/>
                    <w:right w:val="nil"/>
                  </w:tcBorders>
                  <w:shd w:val="clear" w:color="auto" w:fill="auto"/>
                  <w:noWrap/>
                  <w:vAlign w:val="bottom"/>
                </w:tcPr>
                <w:p w14:paraId="7BBCABB9"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5,3%</w:t>
                  </w:r>
                </w:p>
              </w:tc>
            </w:tr>
            <w:tr w:rsidR="00BD5993" w:rsidRPr="000939E3" w14:paraId="4FED6865" w14:textId="77777777" w:rsidTr="001D63C0">
              <w:trPr>
                <w:trHeight w:val="20"/>
              </w:trPr>
              <w:tc>
                <w:tcPr>
                  <w:tcW w:w="2297" w:type="pct"/>
                  <w:tcBorders>
                    <w:top w:val="nil"/>
                    <w:left w:val="nil"/>
                    <w:bottom w:val="nil"/>
                    <w:right w:val="nil"/>
                  </w:tcBorders>
                  <w:shd w:val="clear" w:color="auto" w:fill="auto"/>
                  <w:noWrap/>
                  <w:vAlign w:val="bottom"/>
                  <w:hideMark/>
                </w:tcPr>
                <w:p w14:paraId="073B4E73"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rFonts w:eastAsia="Times New Roman" w:cs="Times New Roman"/>
                      <w:color w:val="000000"/>
                      <w:sz w:val="18"/>
                      <w:szCs w:val="18"/>
                      <w:lang w:eastAsia="sk-SK"/>
                    </w:rPr>
                    <w:t>policajti</w:t>
                  </w:r>
                </w:p>
              </w:tc>
              <w:tc>
                <w:tcPr>
                  <w:tcW w:w="795" w:type="pct"/>
                  <w:tcBorders>
                    <w:top w:val="nil"/>
                    <w:left w:val="nil"/>
                    <w:bottom w:val="nil"/>
                    <w:right w:val="nil"/>
                  </w:tcBorders>
                  <w:shd w:val="clear" w:color="auto" w:fill="auto"/>
                  <w:noWrap/>
                  <w:vAlign w:val="bottom"/>
                  <w:hideMark/>
                </w:tcPr>
                <w:p w14:paraId="093D4448"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738</w:t>
                  </w:r>
                </w:p>
              </w:tc>
              <w:tc>
                <w:tcPr>
                  <w:tcW w:w="855" w:type="pct"/>
                  <w:tcBorders>
                    <w:top w:val="nil"/>
                    <w:left w:val="nil"/>
                    <w:bottom w:val="nil"/>
                    <w:right w:val="nil"/>
                  </w:tcBorders>
                </w:tcPr>
                <w:p w14:paraId="0E7141F8"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10,0%</w:t>
                  </w:r>
                </w:p>
              </w:tc>
              <w:tc>
                <w:tcPr>
                  <w:tcW w:w="379" w:type="pct"/>
                  <w:tcBorders>
                    <w:top w:val="nil"/>
                    <w:left w:val="nil"/>
                    <w:bottom w:val="nil"/>
                    <w:right w:val="nil"/>
                  </w:tcBorders>
                  <w:shd w:val="clear" w:color="auto" w:fill="auto"/>
                  <w:noWrap/>
                  <w:vAlign w:val="bottom"/>
                  <w:hideMark/>
                </w:tcPr>
                <w:p w14:paraId="29FC8955"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10,0%</w:t>
                  </w:r>
                </w:p>
              </w:tc>
              <w:tc>
                <w:tcPr>
                  <w:tcW w:w="336" w:type="pct"/>
                  <w:tcBorders>
                    <w:top w:val="nil"/>
                    <w:left w:val="nil"/>
                    <w:bottom w:val="nil"/>
                    <w:right w:val="nil"/>
                  </w:tcBorders>
                  <w:shd w:val="clear" w:color="auto" w:fill="auto"/>
                  <w:noWrap/>
                  <w:vAlign w:val="bottom"/>
                  <w:hideMark/>
                </w:tcPr>
                <w:p w14:paraId="582D4B3C"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5,3%</w:t>
                  </w:r>
                </w:p>
              </w:tc>
              <w:tc>
                <w:tcPr>
                  <w:tcW w:w="337" w:type="pct"/>
                  <w:tcBorders>
                    <w:top w:val="nil"/>
                    <w:left w:val="nil"/>
                    <w:bottom w:val="nil"/>
                    <w:right w:val="nil"/>
                  </w:tcBorders>
                  <w:shd w:val="clear" w:color="auto" w:fill="auto"/>
                  <w:noWrap/>
                  <w:vAlign w:val="bottom"/>
                  <w:hideMark/>
                </w:tcPr>
                <w:p w14:paraId="5CAC0FF7"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4,5%</w:t>
                  </w:r>
                </w:p>
              </w:tc>
            </w:tr>
            <w:tr w:rsidR="00BD5993" w:rsidRPr="000939E3" w14:paraId="0CBDA4EF" w14:textId="77777777" w:rsidTr="001D63C0">
              <w:trPr>
                <w:trHeight w:val="20"/>
              </w:trPr>
              <w:tc>
                <w:tcPr>
                  <w:tcW w:w="2297" w:type="pct"/>
                  <w:tcBorders>
                    <w:top w:val="nil"/>
                    <w:left w:val="nil"/>
                    <w:bottom w:val="single" w:sz="4" w:space="0" w:color="auto"/>
                    <w:right w:val="nil"/>
                  </w:tcBorders>
                  <w:shd w:val="clear" w:color="auto" w:fill="auto"/>
                  <w:noWrap/>
                  <w:vAlign w:val="bottom"/>
                  <w:hideMark/>
                </w:tcPr>
                <w:p w14:paraId="61CAD995"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rFonts w:eastAsia="Times New Roman" w:cs="Times New Roman"/>
                      <w:color w:val="000000"/>
                      <w:sz w:val="18"/>
                      <w:szCs w:val="18"/>
                      <w:lang w:eastAsia="sk-SK"/>
                    </w:rPr>
                    <w:t>prokuratúra</w:t>
                  </w:r>
                </w:p>
              </w:tc>
              <w:tc>
                <w:tcPr>
                  <w:tcW w:w="795" w:type="pct"/>
                  <w:tcBorders>
                    <w:top w:val="nil"/>
                    <w:left w:val="nil"/>
                    <w:bottom w:val="single" w:sz="4" w:space="0" w:color="auto"/>
                    <w:right w:val="nil"/>
                  </w:tcBorders>
                  <w:shd w:val="clear" w:color="auto" w:fill="auto"/>
                  <w:noWrap/>
                  <w:vAlign w:val="bottom"/>
                  <w:hideMark/>
                </w:tcPr>
                <w:p w14:paraId="3E0A22BD"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66</w:t>
                  </w:r>
                </w:p>
              </w:tc>
              <w:tc>
                <w:tcPr>
                  <w:tcW w:w="855" w:type="pct"/>
                  <w:tcBorders>
                    <w:top w:val="nil"/>
                    <w:left w:val="nil"/>
                    <w:bottom w:val="single" w:sz="4" w:space="0" w:color="auto"/>
                    <w:right w:val="nil"/>
                  </w:tcBorders>
                </w:tcPr>
                <w:p w14:paraId="25E37EEF"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rFonts w:eastAsia="Times New Roman" w:cs="Times New Roman"/>
                      <w:color w:val="000000"/>
                      <w:sz w:val="18"/>
                      <w:szCs w:val="18"/>
                      <w:lang w:eastAsia="sk-SK"/>
                    </w:rPr>
                    <w:t>6,3%</w:t>
                  </w:r>
                </w:p>
              </w:tc>
              <w:tc>
                <w:tcPr>
                  <w:tcW w:w="379" w:type="pct"/>
                  <w:tcBorders>
                    <w:top w:val="nil"/>
                    <w:left w:val="nil"/>
                    <w:bottom w:val="single" w:sz="4" w:space="0" w:color="auto"/>
                    <w:right w:val="nil"/>
                  </w:tcBorders>
                  <w:shd w:val="clear" w:color="auto" w:fill="auto"/>
                  <w:noWrap/>
                  <w:vAlign w:val="bottom"/>
                </w:tcPr>
                <w:p w14:paraId="23895B3C"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6,7%</w:t>
                  </w:r>
                </w:p>
              </w:tc>
              <w:tc>
                <w:tcPr>
                  <w:tcW w:w="336" w:type="pct"/>
                  <w:tcBorders>
                    <w:top w:val="nil"/>
                    <w:left w:val="nil"/>
                    <w:bottom w:val="single" w:sz="4" w:space="0" w:color="auto"/>
                    <w:right w:val="nil"/>
                  </w:tcBorders>
                  <w:shd w:val="clear" w:color="auto" w:fill="auto"/>
                  <w:noWrap/>
                  <w:vAlign w:val="bottom"/>
                </w:tcPr>
                <w:p w14:paraId="677DE06A"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6,3%</w:t>
                  </w:r>
                </w:p>
              </w:tc>
              <w:tc>
                <w:tcPr>
                  <w:tcW w:w="337" w:type="pct"/>
                  <w:tcBorders>
                    <w:top w:val="nil"/>
                    <w:left w:val="nil"/>
                    <w:bottom w:val="single" w:sz="4" w:space="0" w:color="auto"/>
                    <w:right w:val="nil"/>
                  </w:tcBorders>
                  <w:shd w:val="clear" w:color="auto" w:fill="auto"/>
                  <w:noWrap/>
                  <w:vAlign w:val="bottom"/>
                </w:tcPr>
                <w:p w14:paraId="6317379E"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5,3%</w:t>
                  </w:r>
                </w:p>
              </w:tc>
            </w:tr>
            <w:tr w:rsidR="00BD5993" w:rsidRPr="000939E3" w14:paraId="05866ECF" w14:textId="77777777" w:rsidTr="001D63C0">
              <w:trPr>
                <w:trHeight w:val="20"/>
              </w:trPr>
              <w:tc>
                <w:tcPr>
                  <w:tcW w:w="2297" w:type="pct"/>
                  <w:tcBorders>
                    <w:top w:val="nil"/>
                    <w:left w:val="nil"/>
                    <w:right w:val="nil"/>
                  </w:tcBorders>
                  <w:shd w:val="clear" w:color="auto" w:fill="auto"/>
                  <w:noWrap/>
                  <w:vAlign w:val="bottom"/>
                  <w:hideMark/>
                </w:tcPr>
                <w:p w14:paraId="626D13F4"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rFonts w:eastAsia="Times New Roman" w:cs="Times New Roman"/>
                      <w:color w:val="000000"/>
                      <w:sz w:val="18"/>
                      <w:szCs w:val="18"/>
                      <w:lang w:eastAsia="sk-SK"/>
                    </w:rPr>
                    <w:t>očakávaný rast priemernej mzdy v hospodárstve</w:t>
                  </w:r>
                </w:p>
              </w:tc>
              <w:tc>
                <w:tcPr>
                  <w:tcW w:w="795" w:type="pct"/>
                  <w:tcBorders>
                    <w:top w:val="nil"/>
                    <w:left w:val="nil"/>
                    <w:right w:val="nil"/>
                  </w:tcBorders>
                  <w:shd w:val="clear" w:color="auto" w:fill="auto"/>
                  <w:noWrap/>
                  <w:vAlign w:val="bottom"/>
                  <w:hideMark/>
                </w:tcPr>
                <w:p w14:paraId="0DA35B26" w14:textId="77777777" w:rsidR="00BD5993" w:rsidRPr="00262D31" w:rsidRDefault="00BD5993" w:rsidP="00D62879">
                  <w:pPr>
                    <w:framePr w:hSpace="141" w:wrap="around" w:vAnchor="text" w:hAnchor="margin" w:y="376"/>
                    <w:spacing w:after="0" w:line="240" w:lineRule="auto"/>
                    <w:jc w:val="left"/>
                    <w:rPr>
                      <w:rFonts w:ascii="Times New Roman" w:eastAsia="Times New Roman" w:hAnsi="Times New Roman" w:cs="Times New Roman"/>
                      <w:sz w:val="18"/>
                      <w:szCs w:val="18"/>
                      <w:lang w:eastAsia="sk-SK"/>
                    </w:rPr>
                  </w:pPr>
                </w:p>
              </w:tc>
              <w:tc>
                <w:tcPr>
                  <w:tcW w:w="855" w:type="pct"/>
                  <w:tcBorders>
                    <w:top w:val="nil"/>
                    <w:left w:val="nil"/>
                    <w:right w:val="nil"/>
                  </w:tcBorders>
                  <w:vAlign w:val="bottom"/>
                </w:tcPr>
                <w:p w14:paraId="4EEC7CAC"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6,7%</w:t>
                  </w:r>
                </w:p>
              </w:tc>
              <w:tc>
                <w:tcPr>
                  <w:tcW w:w="379" w:type="pct"/>
                  <w:tcBorders>
                    <w:top w:val="nil"/>
                    <w:left w:val="nil"/>
                    <w:right w:val="nil"/>
                  </w:tcBorders>
                  <w:shd w:val="clear" w:color="auto" w:fill="auto"/>
                  <w:noWrap/>
                  <w:vAlign w:val="bottom"/>
                  <w:hideMark/>
                </w:tcPr>
                <w:p w14:paraId="6177B158"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6,3%</w:t>
                  </w:r>
                </w:p>
              </w:tc>
              <w:tc>
                <w:tcPr>
                  <w:tcW w:w="336" w:type="pct"/>
                  <w:tcBorders>
                    <w:top w:val="nil"/>
                    <w:left w:val="nil"/>
                    <w:right w:val="nil"/>
                  </w:tcBorders>
                  <w:shd w:val="clear" w:color="auto" w:fill="auto"/>
                  <w:noWrap/>
                  <w:vAlign w:val="bottom"/>
                  <w:hideMark/>
                </w:tcPr>
                <w:p w14:paraId="47DB5529"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5,3%</w:t>
                  </w:r>
                </w:p>
              </w:tc>
              <w:tc>
                <w:tcPr>
                  <w:tcW w:w="337" w:type="pct"/>
                  <w:tcBorders>
                    <w:top w:val="nil"/>
                    <w:left w:val="nil"/>
                    <w:right w:val="nil"/>
                  </w:tcBorders>
                  <w:shd w:val="clear" w:color="auto" w:fill="auto"/>
                  <w:noWrap/>
                  <w:vAlign w:val="bottom"/>
                  <w:hideMark/>
                </w:tcPr>
                <w:p w14:paraId="445ED7B7"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4,5%</w:t>
                  </w:r>
                </w:p>
              </w:tc>
            </w:tr>
            <w:tr w:rsidR="00BD5993" w:rsidRPr="000939E3" w14:paraId="5736450E" w14:textId="77777777" w:rsidTr="001D63C0">
              <w:trPr>
                <w:trHeight w:val="20"/>
              </w:trPr>
              <w:tc>
                <w:tcPr>
                  <w:tcW w:w="3092" w:type="pct"/>
                  <w:gridSpan w:val="2"/>
                  <w:tcBorders>
                    <w:top w:val="nil"/>
                    <w:left w:val="nil"/>
                    <w:right w:val="nil"/>
                  </w:tcBorders>
                  <w:shd w:val="clear" w:color="auto" w:fill="auto"/>
                  <w:noWrap/>
                  <w:vAlign w:val="bottom"/>
                </w:tcPr>
                <w:p w14:paraId="1155C12F" w14:textId="77777777" w:rsidR="00BD5993" w:rsidRPr="00262D31" w:rsidRDefault="00BD5993" w:rsidP="00D62879">
                  <w:pPr>
                    <w:framePr w:hSpace="141" w:wrap="around" w:vAnchor="text" w:hAnchor="margin" w:y="376"/>
                    <w:spacing w:after="0" w:line="240" w:lineRule="auto"/>
                    <w:jc w:val="left"/>
                    <w:rPr>
                      <w:rFonts w:ascii="Times New Roman" w:eastAsia="Times New Roman" w:hAnsi="Times New Roman" w:cs="Times New Roman"/>
                      <w:sz w:val="18"/>
                      <w:szCs w:val="18"/>
                      <w:lang w:eastAsia="sk-SK"/>
                    </w:rPr>
                  </w:pPr>
                  <w:r w:rsidRPr="00262D31">
                    <w:rPr>
                      <w:rFonts w:eastAsia="Times New Roman" w:cs="Times New Roman"/>
                      <w:color w:val="000000"/>
                      <w:sz w:val="18"/>
                      <w:szCs w:val="18"/>
                      <w:lang w:eastAsia="sk-SK"/>
                    </w:rPr>
                    <w:t>rast priemernej mzdy z roka t-1 (sudcovia, prokurátori, ústavní činitelia)</w:t>
                  </w:r>
                </w:p>
              </w:tc>
              <w:tc>
                <w:tcPr>
                  <w:tcW w:w="855" w:type="pct"/>
                  <w:tcBorders>
                    <w:top w:val="nil"/>
                    <w:left w:val="nil"/>
                    <w:right w:val="nil"/>
                  </w:tcBorders>
                  <w:vAlign w:val="bottom"/>
                </w:tcPr>
                <w:p w14:paraId="21E0F494"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6,3%</w:t>
                  </w:r>
                </w:p>
              </w:tc>
              <w:tc>
                <w:tcPr>
                  <w:tcW w:w="379" w:type="pct"/>
                  <w:tcBorders>
                    <w:top w:val="nil"/>
                    <w:left w:val="nil"/>
                    <w:right w:val="nil"/>
                  </w:tcBorders>
                  <w:shd w:val="clear" w:color="auto" w:fill="auto"/>
                  <w:noWrap/>
                  <w:vAlign w:val="bottom"/>
                </w:tcPr>
                <w:p w14:paraId="4E1396B3"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6,7%</w:t>
                  </w:r>
                </w:p>
              </w:tc>
              <w:tc>
                <w:tcPr>
                  <w:tcW w:w="336" w:type="pct"/>
                  <w:tcBorders>
                    <w:top w:val="nil"/>
                    <w:left w:val="nil"/>
                    <w:right w:val="nil"/>
                  </w:tcBorders>
                  <w:shd w:val="clear" w:color="auto" w:fill="auto"/>
                  <w:noWrap/>
                  <w:vAlign w:val="bottom"/>
                </w:tcPr>
                <w:p w14:paraId="60892F10"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6,3%</w:t>
                  </w:r>
                </w:p>
              </w:tc>
              <w:tc>
                <w:tcPr>
                  <w:tcW w:w="337" w:type="pct"/>
                  <w:tcBorders>
                    <w:top w:val="nil"/>
                    <w:left w:val="nil"/>
                    <w:right w:val="nil"/>
                  </w:tcBorders>
                  <w:shd w:val="clear" w:color="auto" w:fill="auto"/>
                  <w:noWrap/>
                  <w:vAlign w:val="bottom"/>
                </w:tcPr>
                <w:p w14:paraId="09DF5115"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5,3%</w:t>
                  </w:r>
                </w:p>
              </w:tc>
            </w:tr>
            <w:tr w:rsidR="00BD5993" w:rsidRPr="000939E3" w14:paraId="06AACDB4" w14:textId="77777777" w:rsidTr="001D63C0">
              <w:trPr>
                <w:trHeight w:val="20"/>
              </w:trPr>
              <w:tc>
                <w:tcPr>
                  <w:tcW w:w="2297" w:type="pct"/>
                  <w:tcBorders>
                    <w:top w:val="nil"/>
                    <w:left w:val="nil"/>
                    <w:bottom w:val="single" w:sz="4" w:space="0" w:color="auto"/>
                    <w:right w:val="nil"/>
                  </w:tcBorders>
                  <w:shd w:val="clear" w:color="auto" w:fill="auto"/>
                  <w:noWrap/>
                  <w:vAlign w:val="bottom"/>
                  <w:hideMark/>
                </w:tcPr>
                <w:p w14:paraId="58040D4A" w14:textId="77777777" w:rsidR="00BD5993" w:rsidRPr="00262D31" w:rsidRDefault="00BD5993" w:rsidP="00D62879">
                  <w:pPr>
                    <w:framePr w:hSpace="141" w:wrap="around" w:vAnchor="text" w:hAnchor="margin" w:y="376"/>
                    <w:spacing w:after="0" w:line="240" w:lineRule="auto"/>
                    <w:jc w:val="left"/>
                    <w:rPr>
                      <w:rFonts w:eastAsia="Times New Roman" w:cs="Times New Roman"/>
                      <w:color w:val="000000"/>
                      <w:sz w:val="18"/>
                      <w:szCs w:val="18"/>
                      <w:lang w:eastAsia="sk-SK"/>
                    </w:rPr>
                  </w:pPr>
                  <w:r w:rsidRPr="00262D31">
                    <w:rPr>
                      <w:rFonts w:eastAsia="Times New Roman" w:cs="Times New Roman"/>
                      <w:color w:val="000000"/>
                      <w:sz w:val="18"/>
                      <w:szCs w:val="18"/>
                      <w:lang w:eastAsia="sk-SK"/>
                    </w:rPr>
                    <w:t>rast priemernej mzdy z roka t-2 (zdravotnícki pracovníci)</w:t>
                  </w:r>
                </w:p>
              </w:tc>
              <w:tc>
                <w:tcPr>
                  <w:tcW w:w="795" w:type="pct"/>
                  <w:tcBorders>
                    <w:top w:val="nil"/>
                    <w:left w:val="nil"/>
                    <w:bottom w:val="single" w:sz="4" w:space="0" w:color="auto"/>
                    <w:right w:val="nil"/>
                  </w:tcBorders>
                  <w:shd w:val="clear" w:color="auto" w:fill="auto"/>
                  <w:noWrap/>
                  <w:vAlign w:val="bottom"/>
                  <w:hideMark/>
                </w:tcPr>
                <w:p w14:paraId="2E7EBC9B" w14:textId="77777777" w:rsidR="00BD5993" w:rsidRPr="00262D31" w:rsidRDefault="00BD5993" w:rsidP="00D62879">
                  <w:pPr>
                    <w:framePr w:hSpace="141" w:wrap="around" w:vAnchor="text" w:hAnchor="margin" w:y="376"/>
                    <w:spacing w:after="0" w:line="240" w:lineRule="auto"/>
                    <w:jc w:val="left"/>
                    <w:rPr>
                      <w:rFonts w:ascii="Times New Roman" w:eastAsia="Times New Roman" w:hAnsi="Times New Roman" w:cs="Times New Roman"/>
                      <w:sz w:val="18"/>
                      <w:szCs w:val="18"/>
                      <w:lang w:eastAsia="sk-SK"/>
                    </w:rPr>
                  </w:pPr>
                </w:p>
              </w:tc>
              <w:tc>
                <w:tcPr>
                  <w:tcW w:w="855" w:type="pct"/>
                  <w:tcBorders>
                    <w:top w:val="nil"/>
                    <w:left w:val="nil"/>
                    <w:bottom w:val="single" w:sz="4" w:space="0" w:color="auto"/>
                    <w:right w:val="nil"/>
                  </w:tcBorders>
                  <w:vAlign w:val="bottom"/>
                </w:tcPr>
                <w:p w14:paraId="4F164F4A"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4,6%</w:t>
                  </w:r>
                </w:p>
              </w:tc>
              <w:tc>
                <w:tcPr>
                  <w:tcW w:w="379" w:type="pct"/>
                  <w:tcBorders>
                    <w:top w:val="nil"/>
                    <w:left w:val="nil"/>
                    <w:bottom w:val="single" w:sz="4" w:space="0" w:color="auto"/>
                    <w:right w:val="nil"/>
                  </w:tcBorders>
                  <w:shd w:val="clear" w:color="auto" w:fill="auto"/>
                  <w:noWrap/>
                  <w:vAlign w:val="bottom"/>
                  <w:hideMark/>
                </w:tcPr>
                <w:p w14:paraId="25ECA094"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6,3%</w:t>
                  </w:r>
                </w:p>
              </w:tc>
              <w:tc>
                <w:tcPr>
                  <w:tcW w:w="336" w:type="pct"/>
                  <w:tcBorders>
                    <w:top w:val="nil"/>
                    <w:left w:val="nil"/>
                    <w:bottom w:val="single" w:sz="4" w:space="0" w:color="auto"/>
                    <w:right w:val="nil"/>
                  </w:tcBorders>
                  <w:shd w:val="clear" w:color="auto" w:fill="auto"/>
                  <w:noWrap/>
                  <w:vAlign w:val="bottom"/>
                  <w:hideMark/>
                </w:tcPr>
                <w:p w14:paraId="01D90751"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6,7%</w:t>
                  </w:r>
                </w:p>
              </w:tc>
              <w:tc>
                <w:tcPr>
                  <w:tcW w:w="337" w:type="pct"/>
                  <w:tcBorders>
                    <w:top w:val="nil"/>
                    <w:left w:val="nil"/>
                    <w:bottom w:val="single" w:sz="4" w:space="0" w:color="auto"/>
                    <w:right w:val="nil"/>
                  </w:tcBorders>
                  <w:shd w:val="clear" w:color="auto" w:fill="auto"/>
                  <w:noWrap/>
                  <w:vAlign w:val="bottom"/>
                  <w:hideMark/>
                </w:tcPr>
                <w:p w14:paraId="7DFA4EB7" w14:textId="77777777" w:rsidR="00BD5993" w:rsidRPr="00262D31" w:rsidRDefault="00BD5993" w:rsidP="00D62879">
                  <w:pPr>
                    <w:framePr w:hSpace="141" w:wrap="around" w:vAnchor="text" w:hAnchor="margin" w:y="376"/>
                    <w:spacing w:after="0" w:line="240" w:lineRule="auto"/>
                    <w:jc w:val="right"/>
                    <w:rPr>
                      <w:rFonts w:eastAsia="Times New Roman" w:cs="Times New Roman"/>
                      <w:color w:val="000000"/>
                      <w:sz w:val="18"/>
                      <w:szCs w:val="18"/>
                      <w:lang w:eastAsia="sk-SK"/>
                    </w:rPr>
                  </w:pPr>
                  <w:r w:rsidRPr="00262D31">
                    <w:rPr>
                      <w:color w:val="000000"/>
                      <w:sz w:val="18"/>
                      <w:szCs w:val="18"/>
                    </w:rPr>
                    <w:t>6,3%</w:t>
                  </w:r>
                </w:p>
              </w:tc>
            </w:tr>
            <w:tr w:rsidR="001D63C0" w:rsidRPr="000939E3" w14:paraId="3E983DEA" w14:textId="77777777" w:rsidTr="001D63C0">
              <w:trPr>
                <w:trHeight w:val="20"/>
              </w:trPr>
              <w:tc>
                <w:tcPr>
                  <w:tcW w:w="3947" w:type="pct"/>
                  <w:gridSpan w:val="3"/>
                  <w:tcBorders>
                    <w:top w:val="single" w:sz="4" w:space="0" w:color="auto"/>
                    <w:left w:val="nil"/>
                    <w:right w:val="nil"/>
                  </w:tcBorders>
                  <w:shd w:val="clear" w:color="auto" w:fill="auto"/>
                  <w:noWrap/>
                </w:tcPr>
                <w:p w14:paraId="61A22950" w14:textId="77777777" w:rsidR="001D63C0" w:rsidRPr="000939E3" w:rsidRDefault="001D63C0" w:rsidP="00D62879">
                  <w:pPr>
                    <w:framePr w:hSpace="141" w:wrap="around" w:vAnchor="text" w:hAnchor="margin" w:y="376"/>
                    <w:spacing w:after="0" w:line="240" w:lineRule="auto"/>
                    <w:jc w:val="left"/>
                    <w:rPr>
                      <w:rFonts w:eastAsia="Times New Roman" w:cs="Times New Roman"/>
                      <w:i/>
                      <w:color w:val="000000"/>
                      <w:sz w:val="16"/>
                      <w:szCs w:val="20"/>
                      <w:lang w:eastAsia="sk-SK"/>
                    </w:rPr>
                  </w:pPr>
                  <w:r w:rsidRPr="000939E3">
                    <w:rPr>
                      <w:rFonts w:eastAsia="Times New Roman" w:cs="Times New Roman"/>
                      <w:i/>
                      <w:color w:val="000000"/>
                      <w:sz w:val="16"/>
                      <w:szCs w:val="20"/>
                      <w:lang w:eastAsia="sk-SK"/>
                    </w:rPr>
                    <w:t>* odhad výdavkov na rok 2019</w:t>
                  </w:r>
                </w:p>
                <w:p w14:paraId="2517C160" w14:textId="77777777" w:rsidR="001D63C0" w:rsidRPr="000939E3" w:rsidRDefault="001D63C0" w:rsidP="00D62879">
                  <w:pPr>
                    <w:framePr w:hSpace="141" w:wrap="around" w:vAnchor="text" w:hAnchor="margin" w:y="376"/>
                    <w:spacing w:after="160" w:line="240" w:lineRule="auto"/>
                    <w:jc w:val="left"/>
                    <w:rPr>
                      <w:rFonts w:eastAsia="Times New Roman" w:cs="Times New Roman"/>
                      <w:color w:val="000000"/>
                      <w:sz w:val="20"/>
                      <w:szCs w:val="20"/>
                      <w:lang w:eastAsia="sk-SK"/>
                    </w:rPr>
                  </w:pPr>
                  <w:r w:rsidRPr="000939E3">
                    <w:rPr>
                      <w:rFonts w:eastAsia="Times New Roman" w:cs="Times New Roman"/>
                      <w:i/>
                      <w:color w:val="000000"/>
                      <w:sz w:val="16"/>
                      <w:szCs w:val="20"/>
                      <w:lang w:eastAsia="sk-SK"/>
                    </w:rPr>
                    <w:t>** niektorým, nie však všetkým ústavným činiteľom boli v roku 2019 po 9 rokoch odmrazené platy, niektorým preto platy vzrástli medziročne o 50 %, iným (napr. ústavným sudcom) o 4,6%</w:t>
                  </w:r>
                </w:p>
              </w:tc>
              <w:tc>
                <w:tcPr>
                  <w:tcW w:w="1053" w:type="pct"/>
                  <w:gridSpan w:val="3"/>
                  <w:tcBorders>
                    <w:top w:val="single" w:sz="4" w:space="0" w:color="auto"/>
                    <w:left w:val="nil"/>
                    <w:right w:val="nil"/>
                  </w:tcBorders>
                  <w:shd w:val="clear" w:color="auto" w:fill="auto"/>
                  <w:noWrap/>
                </w:tcPr>
                <w:p w14:paraId="219DD244" w14:textId="77777777" w:rsidR="001D63C0" w:rsidRPr="000939E3" w:rsidRDefault="001D63C0" w:rsidP="00D62879">
                  <w:pPr>
                    <w:framePr w:hSpace="141" w:wrap="around" w:vAnchor="text" w:hAnchor="margin" w:y="376"/>
                    <w:spacing w:after="0" w:line="240" w:lineRule="auto"/>
                    <w:jc w:val="right"/>
                    <w:rPr>
                      <w:rFonts w:eastAsia="Times New Roman" w:cs="Times New Roman"/>
                      <w:i/>
                      <w:color w:val="000000"/>
                      <w:sz w:val="20"/>
                      <w:szCs w:val="20"/>
                      <w:lang w:eastAsia="sk-SK"/>
                    </w:rPr>
                  </w:pPr>
                  <w:r w:rsidRPr="000939E3">
                    <w:rPr>
                      <w:rFonts w:eastAsia="Times New Roman" w:cs="Times New Roman"/>
                      <w:i/>
                      <w:color w:val="000000"/>
                      <w:sz w:val="16"/>
                      <w:szCs w:val="20"/>
                      <w:lang w:eastAsia="sk-SK"/>
                    </w:rPr>
                    <w:t>Zdroj: prepočty ÚHP</w:t>
                  </w:r>
                </w:p>
              </w:tc>
            </w:tr>
          </w:tbl>
          <w:p w14:paraId="718C1139" w14:textId="77777777" w:rsidR="00BD5993" w:rsidRPr="000939E3" w:rsidRDefault="00BD5993" w:rsidP="00BD5993">
            <w:pPr>
              <w:keepNext/>
              <w:spacing w:before="240"/>
            </w:pPr>
          </w:p>
        </w:tc>
      </w:tr>
    </w:tbl>
    <w:p w14:paraId="16E16B2D" w14:textId="77777777" w:rsidR="00BD5993" w:rsidRPr="000939E3" w:rsidRDefault="00BD5993" w:rsidP="00D96CB0">
      <w:pPr>
        <w:pStyle w:val="Odsekzoznamu"/>
        <w:tabs>
          <w:tab w:val="left" w:pos="284"/>
        </w:tabs>
        <w:spacing w:before="120"/>
        <w:ind w:left="0"/>
        <w:contextualSpacing w:val="0"/>
        <w:jc w:val="both"/>
      </w:pPr>
    </w:p>
    <w:p w14:paraId="7797F3FD" w14:textId="77777777" w:rsidR="0097185B" w:rsidRPr="000939E3" w:rsidRDefault="0097185B" w:rsidP="00641932">
      <w:pPr>
        <w:pStyle w:val="Nadpis2"/>
      </w:pPr>
      <w:bookmarkStart w:id="25" w:name="_Toc34050691"/>
      <w:r w:rsidRPr="000939E3">
        <w:lastRenderedPageBreak/>
        <w:t>Riadenie</w:t>
      </w:r>
      <w:bookmarkEnd w:id="25"/>
    </w:p>
    <w:p w14:paraId="785A7836" w14:textId="3FAD9BE6" w:rsidR="00116ECB" w:rsidRPr="000939E3" w:rsidRDefault="00AF40F5" w:rsidP="000969DB">
      <w:pPr>
        <w:pStyle w:val="Odsekzoznamu"/>
        <w:numPr>
          <w:ilvl w:val="0"/>
          <w:numId w:val="33"/>
        </w:numPr>
        <w:ind w:left="284" w:hanging="284"/>
        <w:rPr>
          <w:b/>
        </w:rPr>
      </w:pPr>
      <w:bookmarkStart w:id="26" w:name="Riadenie_12"/>
      <w:r w:rsidRPr="000939E3">
        <w:rPr>
          <w:b/>
        </w:rPr>
        <w:t xml:space="preserve">Opatrenie: </w:t>
      </w:r>
      <w:r w:rsidR="00182530" w:rsidRPr="000939E3">
        <w:rPr>
          <w:b/>
        </w:rPr>
        <w:t>Pravidelné o</w:t>
      </w:r>
      <w:r w:rsidR="00116ECB" w:rsidRPr="000939E3">
        <w:rPr>
          <w:b/>
        </w:rPr>
        <w:t>p</w:t>
      </w:r>
      <w:r w:rsidR="001A4808" w:rsidRPr="000939E3">
        <w:rPr>
          <w:b/>
        </w:rPr>
        <w:t>timalizačné audity na ministerstvách</w:t>
      </w:r>
      <w:r w:rsidR="00116ECB" w:rsidRPr="000939E3">
        <w:rPr>
          <w:b/>
        </w:rPr>
        <w:t xml:space="preserve">. </w:t>
      </w:r>
      <w:bookmarkEnd w:id="26"/>
    </w:p>
    <w:p w14:paraId="2EBAF1FB" w14:textId="5F1247A9" w:rsidR="000969DB" w:rsidRPr="000939E3" w:rsidRDefault="006B1E54" w:rsidP="000969DB">
      <w:r w:rsidRPr="000939E3">
        <w:rPr>
          <w:b/>
        </w:rPr>
        <w:t>Podrobný návod ako dosiahnuť úsporu a zlepšiť procesy pripravia audity na ministerstvách, v ich podriadených organizáciách a vo vybraných ústredných orgánoch štátnej správy.</w:t>
      </w:r>
      <w:r w:rsidRPr="000939E3">
        <w:t xml:space="preserve"> </w:t>
      </w:r>
      <w:r w:rsidR="000969DB" w:rsidRPr="000939E3">
        <w:rPr>
          <w:rFonts w:cs="Times New Roman"/>
        </w:rPr>
        <w:t>Organizačno-procesné audity</w:t>
      </w:r>
      <w:r w:rsidR="000969DB" w:rsidRPr="000939E3">
        <w:rPr>
          <w:rStyle w:val="Odkaznapoznmkupodiarou"/>
          <w:rFonts w:cs="Times New Roman"/>
        </w:rPr>
        <w:footnoteReference w:id="14"/>
      </w:r>
      <w:r w:rsidR="000969DB" w:rsidRPr="000939E3">
        <w:rPr>
          <w:rFonts w:cs="Times New Roman"/>
        </w:rPr>
        <w:t xml:space="preserve">, vrátane analýz personálnych kapacít a finančnej výkonnosti sú štandardným nástrojom zvyšovania efektivity a kvality organizácií. </w:t>
      </w:r>
      <w:r w:rsidR="000969DB" w:rsidRPr="000939E3">
        <w:t>V posledných rokoch niektoré ministerstvá inic</w:t>
      </w:r>
      <w:r w:rsidR="00721CC9" w:rsidRPr="000939E3">
        <w:t>iovali audity zamerané práve na </w:t>
      </w:r>
      <w:r w:rsidR="000969DB" w:rsidRPr="000939E3">
        <w:t xml:space="preserve">optimalizáciu týchto činností, audity však neboli koordinované a zistenia replikované na iných inštitúciách (Kapitola 5.1). </w:t>
      </w:r>
    </w:p>
    <w:p w14:paraId="60DB87E5" w14:textId="15FB41BF" w:rsidR="000969DB" w:rsidRPr="000939E3" w:rsidRDefault="000969DB" w:rsidP="000969DB">
      <w:r w:rsidRPr="000939E3">
        <w:t xml:space="preserve">Po vzore pozitívnych príkladov výkonnostných auditov v štátnych podnikoch (napr. SVP) </w:t>
      </w:r>
      <w:r w:rsidRPr="000939E3">
        <w:rPr>
          <w:rFonts w:cs="Times New Roman"/>
        </w:rPr>
        <w:t xml:space="preserve">by </w:t>
      </w:r>
      <w:r w:rsidRPr="000939E3">
        <w:t>optimalizačné audity mali podstúpiť všetky ministerstvá a vybrané ústredné orgány štátnej správy. Veľkú časť potenciálu si dal za cieľ naplniť projekt Optimalizácie procesov vo verejnej správe Ministerstva vnútra SR</w:t>
      </w:r>
      <w:r w:rsidRPr="000939E3">
        <w:rPr>
          <w:rStyle w:val="Odkaznapoznmkupodiarou"/>
          <w:b/>
          <w:color w:val="000000"/>
        </w:rPr>
        <w:footnoteReference w:id="15"/>
      </w:r>
      <w:r w:rsidRPr="000939E3">
        <w:t xml:space="preserve">. Audity </w:t>
      </w:r>
      <w:r w:rsidR="005558B0" w:rsidRPr="000939E3">
        <w:t>by mali byť vykonávané</w:t>
      </w:r>
      <w:r w:rsidRPr="000939E3">
        <w:t xml:space="preserve"> </w:t>
      </w:r>
      <w:r w:rsidR="00FD2D69" w:rsidRPr="000939E3">
        <w:t xml:space="preserve">predovšetkým </w:t>
      </w:r>
      <w:r w:rsidRPr="000939E3">
        <w:t xml:space="preserve">internými kapacitami </w:t>
      </w:r>
      <w:r w:rsidR="005558B0" w:rsidRPr="000939E3">
        <w:t>štátu</w:t>
      </w:r>
      <w:r w:rsidRPr="000939E3">
        <w:t>. Prínos vlastných kapacít a koordinovaného prístupu s harmonogramom výkonu auditov bude spočívať v sústredení kľúčových znalostí, možnej plošnej replikácii a implementácii výsledkov. Výsledky auditov budú verejne dostupné</w:t>
      </w:r>
      <w:r w:rsidR="006B1E54" w:rsidRPr="000939E3">
        <w:t>.</w:t>
      </w:r>
    </w:p>
    <w:p w14:paraId="55020EB2" w14:textId="02150041" w:rsidR="000969DB" w:rsidRPr="000939E3" w:rsidRDefault="00921EF6" w:rsidP="000969DB">
      <w:pPr>
        <w:pStyle w:val="Odsekzoznamu"/>
        <w:numPr>
          <w:ilvl w:val="0"/>
          <w:numId w:val="33"/>
        </w:numPr>
        <w:ind w:left="284" w:hanging="284"/>
      </w:pPr>
      <w:r w:rsidRPr="000939E3">
        <w:rPr>
          <w:b/>
        </w:rPr>
        <w:t xml:space="preserve">Opatrenie: </w:t>
      </w:r>
      <w:r w:rsidR="00182530" w:rsidRPr="000939E3">
        <w:rPr>
          <w:b/>
        </w:rPr>
        <w:t>Pravidelné výkonnostné audity v štátnych podnikoch</w:t>
      </w:r>
    </w:p>
    <w:p w14:paraId="6794526C" w14:textId="40183007" w:rsidR="00116ECB" w:rsidRPr="000939E3" w:rsidRDefault="00116ECB" w:rsidP="000969DB">
      <w:r w:rsidRPr="000939E3">
        <w:rPr>
          <w:b/>
        </w:rPr>
        <w:t xml:space="preserve">Podniky s väčšinovou majetkovou účasťou štátu zamestnávajú približne </w:t>
      </w:r>
      <w:r w:rsidR="001F52F6" w:rsidRPr="000939E3">
        <w:rPr>
          <w:b/>
        </w:rPr>
        <w:t>73</w:t>
      </w:r>
      <w:r w:rsidRPr="000939E3">
        <w:rPr>
          <w:b/>
        </w:rPr>
        <w:t xml:space="preserve"> tisíc zamestnancov.</w:t>
      </w:r>
      <w:r w:rsidRPr="000939E3">
        <w:t xml:space="preserve"> Osobné náklady často tvoria viac ako polovicu z prevádzkových nákladov a</w:t>
      </w:r>
      <w:r w:rsidR="004A485B" w:rsidRPr="000939E3">
        <w:t> </w:t>
      </w:r>
      <w:r w:rsidRPr="000939E3">
        <w:t>revízia</w:t>
      </w:r>
      <w:r w:rsidR="004A485B" w:rsidRPr="000939E3">
        <w:t xml:space="preserve"> v nich</w:t>
      </w:r>
      <w:r w:rsidRPr="000939E3">
        <w:t xml:space="preserve"> i</w:t>
      </w:r>
      <w:r w:rsidR="00721CC9" w:rsidRPr="000939E3">
        <w:t>dentifikovala aj neefektivitu v </w:t>
      </w:r>
      <w:r w:rsidRPr="000939E3">
        <w:t xml:space="preserve">porovnaní s českými spoločnosťami (Kapitola </w:t>
      </w:r>
      <w:r w:rsidR="00280035" w:rsidRPr="000939E3">
        <w:t>5</w:t>
      </w:r>
      <w:r w:rsidRPr="000939E3">
        <w:t xml:space="preserve">.3). </w:t>
      </w:r>
      <w:r w:rsidR="00327628" w:rsidRPr="000939E3">
        <w:t>Kľúčové dôvody, ktoré znižujú efektivitu podniku,</w:t>
      </w:r>
      <w:r w:rsidRPr="000939E3">
        <w:t xml:space="preserve"> dokážu identifikovať výkonnostné audity</w:t>
      </w:r>
      <w:r w:rsidR="00327628" w:rsidRPr="000939E3">
        <w:t>.</w:t>
      </w:r>
      <w:r w:rsidRPr="000939E3">
        <w:t xml:space="preserve"> </w:t>
      </w:r>
      <w:r w:rsidR="00327628" w:rsidRPr="000939E3">
        <w:t xml:space="preserve">Tými by postupne mali prejsť </w:t>
      </w:r>
      <w:r w:rsidRPr="000939E3">
        <w:t>najväčšie štátne podniky v sektore verejnej správy.</w:t>
      </w:r>
      <w:r w:rsidR="00327628" w:rsidRPr="000939E3">
        <w:t xml:space="preserve"> Doterajšie skúsenosti z pilotných projektov na podporných a prierezových činnostiach ministerstiev resp. vybraných štátnych podnikov </w:t>
      </w:r>
      <w:r w:rsidR="004A485B" w:rsidRPr="000939E3">
        <w:t>ukazujú ako realistický cieľ</w:t>
      </w:r>
      <w:r w:rsidR="00327628" w:rsidRPr="000939E3">
        <w:t xml:space="preserve"> 10 % </w:t>
      </w:r>
      <w:r w:rsidR="004A485B" w:rsidRPr="000939E3">
        <w:t>úsporu</w:t>
      </w:r>
      <w:r w:rsidR="00327628" w:rsidRPr="000939E3">
        <w:t>.</w:t>
      </w:r>
    </w:p>
    <w:p w14:paraId="3FE7D5F9" w14:textId="77777777" w:rsidR="00262D31" w:rsidRDefault="00116ECB" w:rsidP="00384DD0">
      <w:pPr>
        <w:rPr>
          <w:b/>
        </w:rPr>
      </w:pPr>
      <w:r w:rsidRPr="000939E3">
        <w:rPr>
          <w:b/>
        </w:rPr>
        <w:t xml:space="preserve">Audity </w:t>
      </w:r>
      <w:r w:rsidR="00327628" w:rsidRPr="000939E3">
        <w:rPr>
          <w:b/>
        </w:rPr>
        <w:t xml:space="preserve">by mali byť vykonané podľa harmonogramu schvaľovaného vládou. </w:t>
      </w:r>
      <w:r w:rsidR="004A485B" w:rsidRPr="000939E3">
        <w:rPr>
          <w:b/>
        </w:rPr>
        <w:t>N</w:t>
      </w:r>
      <w:r w:rsidRPr="000939E3">
        <w:rPr>
          <w:b/>
        </w:rPr>
        <w:t>e</w:t>
      </w:r>
      <w:r w:rsidR="0012797B" w:rsidRPr="000939E3">
        <w:rPr>
          <w:b/>
        </w:rPr>
        <w:t>majú</w:t>
      </w:r>
      <w:r w:rsidRPr="000939E3">
        <w:rPr>
          <w:b/>
        </w:rPr>
        <w:t xml:space="preserve"> </w:t>
      </w:r>
      <w:r w:rsidR="004A485B" w:rsidRPr="000939E3">
        <w:rPr>
          <w:b/>
        </w:rPr>
        <w:t xml:space="preserve">sa </w:t>
      </w:r>
      <w:r w:rsidR="00721CC9" w:rsidRPr="000939E3">
        <w:rPr>
          <w:b/>
        </w:rPr>
        <w:t>zameriavať iba na </w:t>
      </w:r>
      <w:r w:rsidRPr="000939E3">
        <w:rPr>
          <w:b/>
        </w:rPr>
        <w:t xml:space="preserve">personálne náklady, ale </w:t>
      </w:r>
      <w:r w:rsidR="0012797B" w:rsidRPr="000939E3">
        <w:rPr>
          <w:b/>
        </w:rPr>
        <w:t xml:space="preserve">musia byť </w:t>
      </w:r>
      <w:r w:rsidR="00DD412F" w:rsidRPr="000939E3">
        <w:rPr>
          <w:b/>
        </w:rPr>
        <w:t>komplexnejšie</w:t>
      </w:r>
      <w:r w:rsidR="0012797B" w:rsidRPr="000939E3">
        <w:rPr>
          <w:b/>
        </w:rPr>
        <w:t>,</w:t>
      </w:r>
      <w:r w:rsidR="00DD412F" w:rsidRPr="000939E3">
        <w:rPr>
          <w:b/>
        </w:rPr>
        <w:t xml:space="preserve"> s cieľom zefektívniť a zlepšiť výkonnosť podniku</w:t>
      </w:r>
      <w:r w:rsidRPr="000939E3">
        <w:rPr>
          <w:b/>
        </w:rPr>
        <w:t>.</w:t>
      </w:r>
      <w:r w:rsidR="00C94559" w:rsidRPr="000939E3">
        <w:rPr>
          <w:b/>
        </w:rPr>
        <w:t xml:space="preserve"> </w:t>
      </w:r>
      <w:bookmarkStart w:id="27" w:name="Riadenie_6"/>
      <w:bookmarkStart w:id="28" w:name="Riadenie_3"/>
    </w:p>
    <w:bookmarkEnd w:id="27"/>
    <w:p w14:paraId="54CE3E8C" w14:textId="3E7F979A" w:rsidR="00A240AD" w:rsidRPr="00A240AD" w:rsidRDefault="00A240AD" w:rsidP="001D63C0">
      <w:pPr>
        <w:pStyle w:val="Odsekzoznamu"/>
        <w:numPr>
          <w:ilvl w:val="0"/>
          <w:numId w:val="33"/>
        </w:numPr>
        <w:tabs>
          <w:tab w:val="left" w:pos="284"/>
        </w:tabs>
        <w:ind w:left="0" w:firstLine="0"/>
        <w:contextualSpacing w:val="0"/>
        <w:jc w:val="both"/>
        <w:rPr>
          <w:b/>
        </w:rPr>
      </w:pPr>
      <w:r w:rsidRPr="000939E3">
        <w:rPr>
          <w:b/>
        </w:rPr>
        <w:t xml:space="preserve">Opatrenie: </w:t>
      </w:r>
      <w:r w:rsidR="00262D31">
        <w:rPr>
          <w:b/>
        </w:rPr>
        <w:t>Znížiť</w:t>
      </w:r>
      <w:r>
        <w:rPr>
          <w:b/>
        </w:rPr>
        <w:t xml:space="preserve"> počet voľných pracovných miest v štátnej správe na 5 %. Opatrenie realokuje približne 28 mil. eur ročne. </w:t>
      </w:r>
    </w:p>
    <w:p w14:paraId="3F704CE0" w14:textId="58B35336" w:rsidR="00116ECB" w:rsidRPr="000939E3" w:rsidRDefault="00116ECB" w:rsidP="00116ECB">
      <w:pPr>
        <w:pStyle w:val="Odsekzoznamu"/>
        <w:tabs>
          <w:tab w:val="left" w:pos="284"/>
        </w:tabs>
        <w:spacing w:before="120"/>
        <w:ind w:left="0"/>
        <w:contextualSpacing w:val="0"/>
        <w:jc w:val="both"/>
      </w:pPr>
      <w:r w:rsidRPr="000939E3">
        <w:rPr>
          <w:b/>
        </w:rPr>
        <w:t>Dlhodobé plánovanie vyššieho počtu obsadených miest za súčasného minutia prostriedkov plánovaných pre tieto miesta skresľuje informácie o skutočnej zamestnanosti a priemerných mzdových výdavkoch.</w:t>
      </w:r>
      <w:r w:rsidR="00721CC9" w:rsidRPr="000939E3">
        <w:t xml:space="preserve"> V </w:t>
      </w:r>
      <w:r w:rsidRPr="000939E3">
        <w:t>roku 201</w:t>
      </w:r>
      <w:r w:rsidR="00D50726" w:rsidRPr="000939E3">
        <w:t xml:space="preserve">8 </w:t>
      </w:r>
      <w:r w:rsidR="009E105E" w:rsidRPr="000939E3">
        <w:t>bolo v </w:t>
      </w:r>
      <w:r w:rsidRPr="000939E3">
        <w:t>kapitolách rozpočtu 6</w:t>
      </w:r>
      <w:r w:rsidR="00D50726" w:rsidRPr="000939E3">
        <w:t>,7</w:t>
      </w:r>
      <w:r w:rsidRPr="000939E3">
        <w:t xml:space="preserve"> tisíc voľných pracovných miest (VPM). Šlo o </w:t>
      </w:r>
      <w:r w:rsidR="00D50726" w:rsidRPr="000939E3">
        <w:t>5</w:t>
      </w:r>
      <w:r w:rsidRPr="000939E3">
        <w:t xml:space="preserve"> % všetkých tabuľkových miest s finančným krytím približne 1</w:t>
      </w:r>
      <w:r w:rsidR="00D50726" w:rsidRPr="000939E3">
        <w:t>8</w:t>
      </w:r>
      <w:r w:rsidRPr="000939E3">
        <w:t>0 mil. eur, 2</w:t>
      </w:r>
      <w:r w:rsidR="00C02710" w:rsidRPr="000939E3">
        <w:t>1</w:t>
      </w:r>
      <w:r w:rsidRPr="000939E3">
        <w:t xml:space="preserve"> kapitol malo podiel VPM nad 5 %. V porovnaní so zahraničím je počet neobsadených miest štvornásobne vyšší</w:t>
      </w:r>
      <w:r w:rsidR="006323DD" w:rsidRPr="000939E3">
        <w:t xml:space="preserve">, </w:t>
      </w:r>
      <w:r w:rsidR="006323DD" w:rsidRPr="000939E3">
        <w:rPr>
          <w:rFonts w:eastAsia="Calibri" w:cs="Times New Roman"/>
          <w:color w:val="000000"/>
        </w:rPr>
        <w:t>väčšinu neobsadených miest však predstavujú policajti a vojaci.</w:t>
      </w:r>
      <w:r w:rsidR="009E105E" w:rsidRPr="000939E3">
        <w:t xml:space="preserve"> (</w:t>
      </w:r>
      <w:r w:rsidR="00262D31">
        <w:t>k</w:t>
      </w:r>
      <w:r w:rsidR="009E105E" w:rsidRPr="000939E3">
        <w:t>apitola </w:t>
      </w:r>
      <w:r w:rsidR="00D26F62" w:rsidRPr="000939E3">
        <w:t>4</w:t>
      </w:r>
      <w:r w:rsidRPr="000939E3">
        <w:t>.2).</w:t>
      </w:r>
    </w:p>
    <w:p w14:paraId="5F249994" w14:textId="72DA3675" w:rsidR="00BD5993" w:rsidRPr="00BD5993" w:rsidRDefault="00116ECB" w:rsidP="00BD5993">
      <w:r w:rsidRPr="000939E3">
        <w:rPr>
          <w:b/>
        </w:rPr>
        <w:t>Zrušením všetkých voľných pracovných miest nad 5 %</w:t>
      </w:r>
      <w:r w:rsidRPr="000939E3">
        <w:t xml:space="preserve"> z celkového počtu plánovaných miest pri ponechaní plánovaných prostriedkov (</w:t>
      </w:r>
      <w:r w:rsidR="00914198" w:rsidRPr="000939E3">
        <w:t>2</w:t>
      </w:r>
      <w:r w:rsidR="00D50726" w:rsidRPr="000939E3">
        <w:t>8</w:t>
      </w:r>
      <w:r w:rsidR="00914198" w:rsidRPr="000939E3">
        <w:t xml:space="preserve"> </w:t>
      </w:r>
      <w:r w:rsidRPr="000939E3">
        <w:t>mil. eur) by došlo k zníženiu počtu tabuľkových miest o 1,</w:t>
      </w:r>
      <w:r w:rsidR="00D50726" w:rsidRPr="000939E3">
        <w:t>1</w:t>
      </w:r>
      <w:r w:rsidR="00914198" w:rsidRPr="000939E3">
        <w:t xml:space="preserve"> </w:t>
      </w:r>
      <w:r w:rsidRPr="000939E3">
        <w:t>tisíc a zvýšeniu rozpočtovanej priemernej mzdy o </w:t>
      </w:r>
      <w:r w:rsidR="00914198" w:rsidRPr="000939E3">
        <w:t>1</w:t>
      </w:r>
      <w:r w:rsidR="00D50726" w:rsidRPr="000939E3">
        <w:t>40</w:t>
      </w:r>
      <w:r w:rsidR="00914198" w:rsidRPr="000939E3">
        <w:t xml:space="preserve"> </w:t>
      </w:r>
      <w:r w:rsidRPr="000939E3">
        <w:t>eur.</w:t>
      </w:r>
    </w:p>
    <w:p w14:paraId="7B7EF411" w14:textId="491DFA41" w:rsidR="00AF421B" w:rsidRPr="000939E3" w:rsidRDefault="00AF421B" w:rsidP="00BD5993">
      <w:pPr>
        <w:keepNext/>
        <w:spacing w:after="0"/>
      </w:pPr>
      <w:r w:rsidRPr="000939E3">
        <w:rPr>
          <w:b/>
          <w:sz w:val="20"/>
          <w:szCs w:val="20"/>
        </w:rPr>
        <w:lastRenderedPageBreak/>
        <w:t>Dopady zníženia počtu voľných pracovných miest v kapitolách rozpočtu, 2018</w:t>
      </w:r>
    </w:p>
    <w:tbl>
      <w:tblPr>
        <w:tblW w:w="4922" w:type="pct"/>
        <w:tblLayout w:type="fixed"/>
        <w:tblCellMar>
          <w:left w:w="70" w:type="dxa"/>
          <w:right w:w="70" w:type="dxa"/>
        </w:tblCellMar>
        <w:tblLook w:val="04A0" w:firstRow="1" w:lastRow="0" w:firstColumn="1" w:lastColumn="0" w:noHBand="0" w:noVBand="1"/>
      </w:tblPr>
      <w:tblGrid>
        <w:gridCol w:w="3828"/>
        <w:gridCol w:w="1134"/>
        <w:gridCol w:w="997"/>
        <w:gridCol w:w="989"/>
        <w:gridCol w:w="991"/>
        <w:gridCol w:w="991"/>
      </w:tblGrid>
      <w:tr w:rsidR="00AF421B" w:rsidRPr="000939E3" w14:paraId="479B9022" w14:textId="77777777" w:rsidTr="00262D31">
        <w:trPr>
          <w:trHeight w:val="428"/>
          <w:tblHeader/>
        </w:trPr>
        <w:tc>
          <w:tcPr>
            <w:tcW w:w="2143" w:type="pct"/>
            <w:tcBorders>
              <w:top w:val="single" w:sz="4" w:space="0" w:color="auto"/>
              <w:left w:val="nil"/>
              <w:bottom w:val="single" w:sz="4" w:space="0" w:color="auto"/>
              <w:right w:val="nil"/>
            </w:tcBorders>
            <w:shd w:val="clear" w:color="auto" w:fill="auto"/>
            <w:noWrap/>
            <w:vAlign w:val="center"/>
            <w:hideMark/>
          </w:tcPr>
          <w:p w14:paraId="586A059F" w14:textId="77777777" w:rsidR="00AF421B" w:rsidRPr="000939E3" w:rsidRDefault="00AF421B" w:rsidP="00721CC9">
            <w:pPr>
              <w:spacing w:after="0" w:line="240" w:lineRule="auto"/>
              <w:jc w:val="left"/>
              <w:rPr>
                <w:rFonts w:eastAsia="Times New Roman" w:cs="Times New Roman"/>
                <w:b/>
                <w:bCs/>
                <w:sz w:val="20"/>
                <w:szCs w:val="20"/>
                <w:lang w:eastAsia="sk-SK"/>
              </w:rPr>
            </w:pPr>
            <w:r w:rsidRPr="000939E3">
              <w:rPr>
                <w:rFonts w:eastAsia="Times New Roman" w:cs="Times New Roman"/>
                <w:b/>
                <w:bCs/>
                <w:sz w:val="20"/>
                <w:szCs w:val="20"/>
                <w:lang w:eastAsia="sk-SK"/>
              </w:rPr>
              <w:t>Kapitola</w:t>
            </w:r>
          </w:p>
        </w:tc>
        <w:tc>
          <w:tcPr>
            <w:tcW w:w="635" w:type="pct"/>
            <w:tcBorders>
              <w:top w:val="single" w:sz="4" w:space="0" w:color="auto"/>
              <w:left w:val="nil"/>
              <w:bottom w:val="single" w:sz="4" w:space="0" w:color="auto"/>
              <w:right w:val="nil"/>
            </w:tcBorders>
            <w:shd w:val="clear" w:color="auto" w:fill="auto"/>
            <w:vAlign w:val="center"/>
            <w:hideMark/>
          </w:tcPr>
          <w:p w14:paraId="766689B0" w14:textId="77777777" w:rsidR="00AF421B" w:rsidRPr="000939E3" w:rsidRDefault="00AF421B" w:rsidP="00721CC9">
            <w:pPr>
              <w:spacing w:after="0" w:line="240" w:lineRule="auto"/>
              <w:jc w:val="center"/>
              <w:rPr>
                <w:rFonts w:eastAsia="Times New Roman" w:cs="Times New Roman"/>
                <w:b/>
                <w:bCs/>
                <w:sz w:val="20"/>
                <w:szCs w:val="20"/>
                <w:lang w:eastAsia="sk-SK"/>
              </w:rPr>
            </w:pPr>
            <w:r w:rsidRPr="000939E3">
              <w:rPr>
                <w:rFonts w:eastAsia="Times New Roman" w:cs="Times New Roman"/>
                <w:b/>
                <w:bCs/>
                <w:sz w:val="20"/>
                <w:szCs w:val="20"/>
                <w:lang w:eastAsia="sk-SK"/>
              </w:rPr>
              <w:t>VPM voči upravenému rozpočtu (%)</w:t>
            </w:r>
          </w:p>
        </w:tc>
        <w:tc>
          <w:tcPr>
            <w:tcW w:w="558" w:type="pct"/>
            <w:tcBorders>
              <w:top w:val="single" w:sz="4" w:space="0" w:color="auto"/>
              <w:left w:val="nil"/>
              <w:bottom w:val="single" w:sz="4" w:space="0" w:color="auto"/>
              <w:right w:val="nil"/>
            </w:tcBorders>
            <w:shd w:val="clear" w:color="auto" w:fill="auto"/>
            <w:vAlign w:val="center"/>
            <w:hideMark/>
          </w:tcPr>
          <w:p w14:paraId="56BD187A" w14:textId="77777777" w:rsidR="00AF421B" w:rsidRPr="000939E3" w:rsidRDefault="00AF421B" w:rsidP="00721CC9">
            <w:pPr>
              <w:spacing w:after="0" w:line="240" w:lineRule="auto"/>
              <w:jc w:val="center"/>
              <w:rPr>
                <w:rFonts w:eastAsia="Times New Roman" w:cs="Times New Roman"/>
                <w:b/>
                <w:bCs/>
                <w:sz w:val="20"/>
                <w:szCs w:val="20"/>
                <w:lang w:eastAsia="sk-SK"/>
              </w:rPr>
            </w:pPr>
            <w:r w:rsidRPr="000939E3">
              <w:rPr>
                <w:rFonts w:eastAsia="Times New Roman" w:cs="Times New Roman"/>
                <w:b/>
                <w:bCs/>
                <w:sz w:val="20"/>
                <w:szCs w:val="20"/>
                <w:lang w:eastAsia="sk-SK"/>
              </w:rPr>
              <w:t>počet zrušených miest</w:t>
            </w:r>
          </w:p>
        </w:tc>
        <w:tc>
          <w:tcPr>
            <w:tcW w:w="554" w:type="pct"/>
            <w:tcBorders>
              <w:top w:val="single" w:sz="4" w:space="0" w:color="auto"/>
              <w:left w:val="nil"/>
              <w:bottom w:val="single" w:sz="4" w:space="0" w:color="auto"/>
              <w:right w:val="nil"/>
            </w:tcBorders>
            <w:shd w:val="clear" w:color="auto" w:fill="auto"/>
            <w:vAlign w:val="center"/>
            <w:hideMark/>
          </w:tcPr>
          <w:p w14:paraId="2F60DDC2" w14:textId="77777777" w:rsidR="00AF421B" w:rsidRPr="000939E3" w:rsidRDefault="00AF421B" w:rsidP="00721CC9">
            <w:pPr>
              <w:spacing w:after="0" w:line="240" w:lineRule="auto"/>
              <w:jc w:val="center"/>
              <w:rPr>
                <w:rFonts w:eastAsia="Times New Roman" w:cs="Times New Roman"/>
                <w:b/>
                <w:bCs/>
                <w:sz w:val="20"/>
                <w:szCs w:val="20"/>
                <w:lang w:eastAsia="sk-SK"/>
              </w:rPr>
            </w:pPr>
            <w:r w:rsidRPr="000939E3">
              <w:rPr>
                <w:rFonts w:eastAsia="Times New Roman" w:cs="Times New Roman"/>
                <w:b/>
                <w:bCs/>
                <w:sz w:val="20"/>
                <w:szCs w:val="20"/>
                <w:lang w:eastAsia="sk-SK"/>
              </w:rPr>
              <w:t>nárast priemernej mzdy</w:t>
            </w:r>
          </w:p>
        </w:tc>
        <w:tc>
          <w:tcPr>
            <w:tcW w:w="555" w:type="pct"/>
            <w:tcBorders>
              <w:top w:val="single" w:sz="4" w:space="0" w:color="auto"/>
              <w:left w:val="nil"/>
              <w:bottom w:val="single" w:sz="4" w:space="0" w:color="auto"/>
              <w:right w:val="nil"/>
            </w:tcBorders>
            <w:shd w:val="clear" w:color="auto" w:fill="auto"/>
            <w:vAlign w:val="center"/>
            <w:hideMark/>
          </w:tcPr>
          <w:p w14:paraId="3228225C" w14:textId="77777777" w:rsidR="00AF421B" w:rsidRPr="000939E3" w:rsidRDefault="00AF421B" w:rsidP="00721CC9">
            <w:pPr>
              <w:spacing w:after="0" w:line="240" w:lineRule="auto"/>
              <w:jc w:val="center"/>
              <w:rPr>
                <w:rFonts w:eastAsia="Times New Roman" w:cs="Times New Roman"/>
                <w:b/>
                <w:bCs/>
                <w:sz w:val="20"/>
                <w:szCs w:val="20"/>
                <w:lang w:eastAsia="sk-SK"/>
              </w:rPr>
            </w:pPr>
            <w:r w:rsidRPr="000939E3">
              <w:rPr>
                <w:rFonts w:eastAsia="Times New Roman" w:cs="Times New Roman"/>
                <w:b/>
                <w:bCs/>
                <w:sz w:val="20"/>
                <w:szCs w:val="20"/>
                <w:lang w:eastAsia="sk-SK"/>
              </w:rPr>
              <w:t>počet zrušených miest (3%)</w:t>
            </w:r>
          </w:p>
        </w:tc>
        <w:tc>
          <w:tcPr>
            <w:tcW w:w="555" w:type="pct"/>
            <w:tcBorders>
              <w:top w:val="single" w:sz="4" w:space="0" w:color="auto"/>
              <w:left w:val="nil"/>
              <w:bottom w:val="single" w:sz="4" w:space="0" w:color="auto"/>
              <w:right w:val="nil"/>
            </w:tcBorders>
            <w:shd w:val="clear" w:color="auto" w:fill="auto"/>
            <w:vAlign w:val="center"/>
            <w:hideMark/>
          </w:tcPr>
          <w:p w14:paraId="48BAF6D1" w14:textId="77777777" w:rsidR="00AF421B" w:rsidRPr="000939E3" w:rsidRDefault="00AF421B" w:rsidP="00721CC9">
            <w:pPr>
              <w:spacing w:after="0" w:line="240" w:lineRule="auto"/>
              <w:jc w:val="center"/>
              <w:rPr>
                <w:rFonts w:eastAsia="Times New Roman" w:cs="Times New Roman"/>
                <w:b/>
                <w:bCs/>
                <w:sz w:val="20"/>
                <w:szCs w:val="20"/>
                <w:lang w:eastAsia="sk-SK"/>
              </w:rPr>
            </w:pPr>
            <w:r w:rsidRPr="000939E3">
              <w:rPr>
                <w:rFonts w:eastAsia="Times New Roman" w:cs="Times New Roman"/>
                <w:b/>
                <w:bCs/>
                <w:sz w:val="20"/>
                <w:szCs w:val="20"/>
                <w:lang w:eastAsia="sk-SK"/>
              </w:rPr>
              <w:t>nárast priemernej mzdy</w:t>
            </w:r>
          </w:p>
        </w:tc>
      </w:tr>
      <w:tr w:rsidR="00AF421B" w:rsidRPr="000939E3" w14:paraId="6B6A60F2" w14:textId="77777777" w:rsidTr="00262D31">
        <w:trPr>
          <w:trHeight w:val="184"/>
        </w:trPr>
        <w:tc>
          <w:tcPr>
            <w:tcW w:w="2143" w:type="pct"/>
            <w:tcBorders>
              <w:top w:val="nil"/>
              <w:left w:val="nil"/>
              <w:bottom w:val="nil"/>
              <w:right w:val="nil"/>
            </w:tcBorders>
            <w:shd w:val="clear" w:color="auto" w:fill="auto"/>
            <w:noWrap/>
            <w:vAlign w:val="bottom"/>
            <w:hideMark/>
          </w:tcPr>
          <w:p w14:paraId="35F54AE2"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Kancelária verejného ochrancu práv</w:t>
            </w:r>
          </w:p>
        </w:tc>
        <w:tc>
          <w:tcPr>
            <w:tcW w:w="635" w:type="pct"/>
            <w:tcBorders>
              <w:top w:val="nil"/>
              <w:left w:val="nil"/>
              <w:bottom w:val="nil"/>
              <w:right w:val="nil"/>
            </w:tcBorders>
            <w:shd w:val="clear" w:color="auto" w:fill="auto"/>
            <w:noWrap/>
            <w:vAlign w:val="center"/>
            <w:hideMark/>
          </w:tcPr>
          <w:p w14:paraId="1E469479"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35%</w:t>
            </w:r>
          </w:p>
        </w:tc>
        <w:tc>
          <w:tcPr>
            <w:tcW w:w="558" w:type="pct"/>
            <w:tcBorders>
              <w:top w:val="nil"/>
              <w:left w:val="nil"/>
              <w:bottom w:val="nil"/>
              <w:right w:val="nil"/>
            </w:tcBorders>
            <w:shd w:val="clear" w:color="auto" w:fill="auto"/>
            <w:noWrap/>
            <w:vAlign w:val="center"/>
            <w:hideMark/>
          </w:tcPr>
          <w:p w14:paraId="14BAADAB"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18</w:t>
            </w:r>
          </w:p>
        </w:tc>
        <w:tc>
          <w:tcPr>
            <w:tcW w:w="554" w:type="pct"/>
            <w:tcBorders>
              <w:top w:val="nil"/>
              <w:left w:val="nil"/>
              <w:bottom w:val="nil"/>
              <w:right w:val="nil"/>
            </w:tcBorders>
            <w:shd w:val="clear" w:color="auto" w:fill="auto"/>
            <w:noWrap/>
            <w:vAlign w:val="center"/>
            <w:hideMark/>
          </w:tcPr>
          <w:p w14:paraId="58A52614"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570</w:t>
            </w:r>
          </w:p>
        </w:tc>
        <w:tc>
          <w:tcPr>
            <w:tcW w:w="555" w:type="pct"/>
            <w:tcBorders>
              <w:top w:val="nil"/>
              <w:left w:val="nil"/>
              <w:bottom w:val="nil"/>
              <w:right w:val="nil"/>
            </w:tcBorders>
            <w:shd w:val="clear" w:color="auto" w:fill="auto"/>
            <w:noWrap/>
            <w:vAlign w:val="center"/>
            <w:hideMark/>
          </w:tcPr>
          <w:p w14:paraId="52B2A681"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19</w:t>
            </w:r>
          </w:p>
        </w:tc>
        <w:tc>
          <w:tcPr>
            <w:tcW w:w="555" w:type="pct"/>
            <w:tcBorders>
              <w:top w:val="nil"/>
              <w:left w:val="nil"/>
              <w:bottom w:val="nil"/>
              <w:right w:val="nil"/>
            </w:tcBorders>
            <w:shd w:val="clear" w:color="auto" w:fill="auto"/>
            <w:noWrap/>
            <w:vAlign w:val="center"/>
            <w:hideMark/>
          </w:tcPr>
          <w:p w14:paraId="2AAA8984"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608</w:t>
            </w:r>
          </w:p>
        </w:tc>
      </w:tr>
      <w:tr w:rsidR="00AF421B" w:rsidRPr="000939E3" w14:paraId="0FBD686E" w14:textId="77777777" w:rsidTr="00262D31">
        <w:trPr>
          <w:trHeight w:val="184"/>
        </w:trPr>
        <w:tc>
          <w:tcPr>
            <w:tcW w:w="2143" w:type="pct"/>
            <w:tcBorders>
              <w:top w:val="nil"/>
              <w:left w:val="nil"/>
              <w:bottom w:val="nil"/>
              <w:right w:val="nil"/>
            </w:tcBorders>
            <w:shd w:val="clear" w:color="auto" w:fill="auto"/>
            <w:noWrap/>
            <w:vAlign w:val="bottom"/>
            <w:hideMark/>
          </w:tcPr>
          <w:p w14:paraId="6B161581"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Kancelária prezidenta SR</w:t>
            </w:r>
          </w:p>
        </w:tc>
        <w:tc>
          <w:tcPr>
            <w:tcW w:w="635" w:type="pct"/>
            <w:tcBorders>
              <w:top w:val="nil"/>
              <w:left w:val="nil"/>
              <w:bottom w:val="nil"/>
              <w:right w:val="nil"/>
            </w:tcBorders>
            <w:shd w:val="clear" w:color="auto" w:fill="auto"/>
            <w:noWrap/>
            <w:vAlign w:val="center"/>
            <w:hideMark/>
          </w:tcPr>
          <w:p w14:paraId="4943DDCA"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23%</w:t>
            </w:r>
          </w:p>
        </w:tc>
        <w:tc>
          <w:tcPr>
            <w:tcW w:w="558" w:type="pct"/>
            <w:tcBorders>
              <w:top w:val="nil"/>
              <w:left w:val="nil"/>
              <w:bottom w:val="nil"/>
              <w:right w:val="nil"/>
            </w:tcBorders>
            <w:shd w:val="clear" w:color="auto" w:fill="auto"/>
            <w:noWrap/>
            <w:vAlign w:val="center"/>
            <w:hideMark/>
          </w:tcPr>
          <w:p w14:paraId="4BA065D3"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19</w:t>
            </w:r>
          </w:p>
        </w:tc>
        <w:tc>
          <w:tcPr>
            <w:tcW w:w="554" w:type="pct"/>
            <w:tcBorders>
              <w:top w:val="nil"/>
              <w:left w:val="nil"/>
              <w:bottom w:val="nil"/>
              <w:right w:val="nil"/>
            </w:tcBorders>
            <w:shd w:val="clear" w:color="auto" w:fill="auto"/>
            <w:noWrap/>
            <w:vAlign w:val="center"/>
            <w:hideMark/>
          </w:tcPr>
          <w:p w14:paraId="636F2884"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413</w:t>
            </w:r>
          </w:p>
        </w:tc>
        <w:tc>
          <w:tcPr>
            <w:tcW w:w="555" w:type="pct"/>
            <w:tcBorders>
              <w:top w:val="nil"/>
              <w:left w:val="nil"/>
              <w:bottom w:val="nil"/>
              <w:right w:val="nil"/>
            </w:tcBorders>
            <w:shd w:val="clear" w:color="auto" w:fill="auto"/>
            <w:noWrap/>
            <w:vAlign w:val="center"/>
            <w:hideMark/>
          </w:tcPr>
          <w:p w14:paraId="3A723A21"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20</w:t>
            </w:r>
          </w:p>
        </w:tc>
        <w:tc>
          <w:tcPr>
            <w:tcW w:w="555" w:type="pct"/>
            <w:tcBorders>
              <w:top w:val="nil"/>
              <w:left w:val="nil"/>
              <w:bottom w:val="nil"/>
              <w:right w:val="nil"/>
            </w:tcBorders>
            <w:shd w:val="clear" w:color="auto" w:fill="auto"/>
            <w:noWrap/>
            <w:vAlign w:val="center"/>
            <w:hideMark/>
          </w:tcPr>
          <w:p w14:paraId="4B2CC639"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459</w:t>
            </w:r>
          </w:p>
        </w:tc>
      </w:tr>
      <w:tr w:rsidR="00AF421B" w:rsidRPr="000939E3" w14:paraId="67761BAD" w14:textId="77777777" w:rsidTr="00262D31">
        <w:trPr>
          <w:trHeight w:val="184"/>
        </w:trPr>
        <w:tc>
          <w:tcPr>
            <w:tcW w:w="2143" w:type="pct"/>
            <w:tcBorders>
              <w:top w:val="nil"/>
              <w:left w:val="nil"/>
              <w:bottom w:val="nil"/>
              <w:right w:val="nil"/>
            </w:tcBorders>
            <w:shd w:val="clear" w:color="auto" w:fill="auto"/>
            <w:noWrap/>
            <w:vAlign w:val="bottom"/>
            <w:hideMark/>
          </w:tcPr>
          <w:p w14:paraId="705BF0C4"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Kancelária Súdnej rady SR</w:t>
            </w:r>
          </w:p>
        </w:tc>
        <w:tc>
          <w:tcPr>
            <w:tcW w:w="635" w:type="pct"/>
            <w:tcBorders>
              <w:top w:val="nil"/>
              <w:left w:val="nil"/>
              <w:bottom w:val="nil"/>
              <w:right w:val="nil"/>
            </w:tcBorders>
            <w:shd w:val="clear" w:color="auto" w:fill="auto"/>
            <w:noWrap/>
            <w:vAlign w:val="center"/>
            <w:hideMark/>
          </w:tcPr>
          <w:p w14:paraId="123080DF"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21%</w:t>
            </w:r>
          </w:p>
        </w:tc>
        <w:tc>
          <w:tcPr>
            <w:tcW w:w="558" w:type="pct"/>
            <w:tcBorders>
              <w:top w:val="nil"/>
              <w:left w:val="nil"/>
              <w:bottom w:val="nil"/>
              <w:right w:val="nil"/>
            </w:tcBorders>
            <w:shd w:val="clear" w:color="auto" w:fill="auto"/>
            <w:noWrap/>
            <w:vAlign w:val="center"/>
            <w:hideMark/>
          </w:tcPr>
          <w:p w14:paraId="69CCB39D"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4</w:t>
            </w:r>
          </w:p>
        </w:tc>
        <w:tc>
          <w:tcPr>
            <w:tcW w:w="554" w:type="pct"/>
            <w:tcBorders>
              <w:top w:val="nil"/>
              <w:left w:val="nil"/>
              <w:bottom w:val="nil"/>
              <w:right w:val="nil"/>
            </w:tcBorders>
            <w:shd w:val="clear" w:color="auto" w:fill="auto"/>
            <w:noWrap/>
            <w:vAlign w:val="center"/>
            <w:hideMark/>
          </w:tcPr>
          <w:p w14:paraId="6D138E9C"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332</w:t>
            </w:r>
          </w:p>
        </w:tc>
        <w:tc>
          <w:tcPr>
            <w:tcW w:w="555" w:type="pct"/>
            <w:tcBorders>
              <w:top w:val="nil"/>
              <w:left w:val="nil"/>
              <w:bottom w:val="nil"/>
              <w:right w:val="nil"/>
            </w:tcBorders>
            <w:shd w:val="clear" w:color="auto" w:fill="auto"/>
            <w:noWrap/>
            <w:vAlign w:val="center"/>
            <w:hideMark/>
          </w:tcPr>
          <w:p w14:paraId="2252EB30"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5</w:t>
            </w:r>
          </w:p>
        </w:tc>
        <w:tc>
          <w:tcPr>
            <w:tcW w:w="555" w:type="pct"/>
            <w:tcBorders>
              <w:top w:val="nil"/>
              <w:left w:val="nil"/>
              <w:bottom w:val="nil"/>
              <w:right w:val="nil"/>
            </w:tcBorders>
            <w:shd w:val="clear" w:color="auto" w:fill="auto"/>
            <w:noWrap/>
            <w:vAlign w:val="center"/>
            <w:hideMark/>
          </w:tcPr>
          <w:p w14:paraId="6215554B"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374</w:t>
            </w:r>
          </w:p>
        </w:tc>
      </w:tr>
      <w:tr w:rsidR="00AF421B" w:rsidRPr="000939E3" w14:paraId="15450B8F" w14:textId="77777777" w:rsidTr="00262D31">
        <w:trPr>
          <w:trHeight w:val="184"/>
        </w:trPr>
        <w:tc>
          <w:tcPr>
            <w:tcW w:w="2143" w:type="pct"/>
            <w:tcBorders>
              <w:top w:val="nil"/>
              <w:left w:val="nil"/>
              <w:bottom w:val="nil"/>
              <w:right w:val="nil"/>
            </w:tcBorders>
            <w:shd w:val="clear" w:color="auto" w:fill="auto"/>
            <w:noWrap/>
            <w:vAlign w:val="bottom"/>
            <w:hideMark/>
          </w:tcPr>
          <w:p w14:paraId="3910983C"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Úrad podpredsedu vlády SR pre investície a informatizáciu</w:t>
            </w:r>
          </w:p>
        </w:tc>
        <w:tc>
          <w:tcPr>
            <w:tcW w:w="635" w:type="pct"/>
            <w:tcBorders>
              <w:top w:val="nil"/>
              <w:left w:val="nil"/>
              <w:bottom w:val="nil"/>
              <w:right w:val="nil"/>
            </w:tcBorders>
            <w:shd w:val="clear" w:color="auto" w:fill="auto"/>
            <w:noWrap/>
            <w:vAlign w:val="center"/>
            <w:hideMark/>
          </w:tcPr>
          <w:p w14:paraId="4CAD0E36"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18%</w:t>
            </w:r>
          </w:p>
        </w:tc>
        <w:tc>
          <w:tcPr>
            <w:tcW w:w="558" w:type="pct"/>
            <w:tcBorders>
              <w:top w:val="nil"/>
              <w:left w:val="nil"/>
              <w:bottom w:val="nil"/>
              <w:right w:val="nil"/>
            </w:tcBorders>
            <w:shd w:val="clear" w:color="auto" w:fill="auto"/>
            <w:noWrap/>
            <w:vAlign w:val="center"/>
            <w:hideMark/>
          </w:tcPr>
          <w:p w14:paraId="26071459"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42</w:t>
            </w:r>
          </w:p>
        </w:tc>
        <w:tc>
          <w:tcPr>
            <w:tcW w:w="554" w:type="pct"/>
            <w:tcBorders>
              <w:top w:val="nil"/>
              <w:left w:val="nil"/>
              <w:bottom w:val="nil"/>
              <w:right w:val="nil"/>
            </w:tcBorders>
            <w:shd w:val="clear" w:color="auto" w:fill="auto"/>
            <w:noWrap/>
            <w:vAlign w:val="center"/>
            <w:hideMark/>
          </w:tcPr>
          <w:p w14:paraId="78A44EEE"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107</w:t>
            </w:r>
          </w:p>
        </w:tc>
        <w:tc>
          <w:tcPr>
            <w:tcW w:w="555" w:type="pct"/>
            <w:tcBorders>
              <w:top w:val="nil"/>
              <w:left w:val="nil"/>
              <w:bottom w:val="nil"/>
              <w:right w:val="nil"/>
            </w:tcBorders>
            <w:shd w:val="clear" w:color="auto" w:fill="auto"/>
            <w:noWrap/>
            <w:vAlign w:val="center"/>
            <w:hideMark/>
          </w:tcPr>
          <w:p w14:paraId="5274EDEE"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47</w:t>
            </w:r>
          </w:p>
        </w:tc>
        <w:tc>
          <w:tcPr>
            <w:tcW w:w="555" w:type="pct"/>
            <w:tcBorders>
              <w:top w:val="nil"/>
              <w:left w:val="nil"/>
              <w:bottom w:val="nil"/>
              <w:right w:val="nil"/>
            </w:tcBorders>
            <w:shd w:val="clear" w:color="auto" w:fill="auto"/>
            <w:noWrap/>
            <w:vAlign w:val="center"/>
            <w:hideMark/>
          </w:tcPr>
          <w:p w14:paraId="6AD8ABD5"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123</w:t>
            </w:r>
          </w:p>
        </w:tc>
      </w:tr>
      <w:tr w:rsidR="00AF421B" w:rsidRPr="000939E3" w14:paraId="5E29CEC7" w14:textId="77777777" w:rsidTr="00262D31">
        <w:trPr>
          <w:trHeight w:val="184"/>
        </w:trPr>
        <w:tc>
          <w:tcPr>
            <w:tcW w:w="2143" w:type="pct"/>
            <w:tcBorders>
              <w:top w:val="nil"/>
              <w:left w:val="nil"/>
              <w:bottom w:val="nil"/>
              <w:right w:val="nil"/>
            </w:tcBorders>
            <w:shd w:val="clear" w:color="auto" w:fill="auto"/>
            <w:noWrap/>
            <w:vAlign w:val="bottom"/>
            <w:hideMark/>
          </w:tcPr>
          <w:p w14:paraId="14D9261F"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Úrad na ochranu osobných údajov SR</w:t>
            </w:r>
          </w:p>
        </w:tc>
        <w:tc>
          <w:tcPr>
            <w:tcW w:w="635" w:type="pct"/>
            <w:tcBorders>
              <w:top w:val="nil"/>
              <w:left w:val="nil"/>
              <w:bottom w:val="nil"/>
              <w:right w:val="nil"/>
            </w:tcBorders>
            <w:shd w:val="clear" w:color="auto" w:fill="auto"/>
            <w:noWrap/>
            <w:vAlign w:val="center"/>
            <w:hideMark/>
          </w:tcPr>
          <w:p w14:paraId="69983D70"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14%</w:t>
            </w:r>
          </w:p>
        </w:tc>
        <w:tc>
          <w:tcPr>
            <w:tcW w:w="558" w:type="pct"/>
            <w:tcBorders>
              <w:top w:val="nil"/>
              <w:left w:val="nil"/>
              <w:bottom w:val="nil"/>
              <w:right w:val="nil"/>
            </w:tcBorders>
            <w:shd w:val="clear" w:color="auto" w:fill="auto"/>
            <w:noWrap/>
            <w:vAlign w:val="center"/>
            <w:hideMark/>
          </w:tcPr>
          <w:p w14:paraId="1079EB26"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5</w:t>
            </w:r>
          </w:p>
        </w:tc>
        <w:tc>
          <w:tcPr>
            <w:tcW w:w="554" w:type="pct"/>
            <w:tcBorders>
              <w:top w:val="nil"/>
              <w:left w:val="nil"/>
              <w:bottom w:val="nil"/>
              <w:right w:val="nil"/>
            </w:tcBorders>
            <w:shd w:val="clear" w:color="auto" w:fill="auto"/>
            <w:noWrap/>
            <w:vAlign w:val="center"/>
            <w:hideMark/>
          </w:tcPr>
          <w:p w14:paraId="303ED524"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147</w:t>
            </w:r>
          </w:p>
        </w:tc>
        <w:tc>
          <w:tcPr>
            <w:tcW w:w="555" w:type="pct"/>
            <w:tcBorders>
              <w:top w:val="nil"/>
              <w:left w:val="nil"/>
              <w:bottom w:val="nil"/>
              <w:right w:val="nil"/>
            </w:tcBorders>
            <w:shd w:val="clear" w:color="auto" w:fill="auto"/>
            <w:noWrap/>
            <w:vAlign w:val="center"/>
            <w:hideMark/>
          </w:tcPr>
          <w:p w14:paraId="758392BA"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6</w:t>
            </w:r>
          </w:p>
        </w:tc>
        <w:tc>
          <w:tcPr>
            <w:tcW w:w="555" w:type="pct"/>
            <w:tcBorders>
              <w:top w:val="nil"/>
              <w:left w:val="nil"/>
              <w:bottom w:val="nil"/>
              <w:right w:val="nil"/>
            </w:tcBorders>
            <w:shd w:val="clear" w:color="auto" w:fill="auto"/>
            <w:noWrap/>
            <w:vAlign w:val="center"/>
            <w:hideMark/>
          </w:tcPr>
          <w:p w14:paraId="53A0E2CE"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178</w:t>
            </w:r>
          </w:p>
        </w:tc>
      </w:tr>
      <w:tr w:rsidR="00AF421B" w:rsidRPr="000939E3" w14:paraId="35F9227D" w14:textId="77777777" w:rsidTr="00262D31">
        <w:trPr>
          <w:trHeight w:val="184"/>
        </w:trPr>
        <w:tc>
          <w:tcPr>
            <w:tcW w:w="2143" w:type="pct"/>
            <w:tcBorders>
              <w:top w:val="nil"/>
              <w:left w:val="nil"/>
              <w:bottom w:val="nil"/>
              <w:right w:val="nil"/>
            </w:tcBorders>
            <w:shd w:val="clear" w:color="auto" w:fill="auto"/>
            <w:noWrap/>
            <w:vAlign w:val="bottom"/>
            <w:hideMark/>
          </w:tcPr>
          <w:p w14:paraId="04EE8F40"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Úrad pre reguláciu sieťových odvetví</w:t>
            </w:r>
          </w:p>
        </w:tc>
        <w:tc>
          <w:tcPr>
            <w:tcW w:w="635" w:type="pct"/>
            <w:tcBorders>
              <w:top w:val="nil"/>
              <w:left w:val="nil"/>
              <w:bottom w:val="nil"/>
              <w:right w:val="nil"/>
            </w:tcBorders>
            <w:shd w:val="clear" w:color="auto" w:fill="auto"/>
            <w:noWrap/>
            <w:vAlign w:val="center"/>
            <w:hideMark/>
          </w:tcPr>
          <w:p w14:paraId="4EFA2D64"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14%</w:t>
            </w:r>
          </w:p>
        </w:tc>
        <w:tc>
          <w:tcPr>
            <w:tcW w:w="558" w:type="pct"/>
            <w:tcBorders>
              <w:top w:val="nil"/>
              <w:left w:val="nil"/>
              <w:bottom w:val="nil"/>
              <w:right w:val="nil"/>
            </w:tcBorders>
            <w:shd w:val="clear" w:color="auto" w:fill="auto"/>
            <w:noWrap/>
            <w:vAlign w:val="center"/>
            <w:hideMark/>
          </w:tcPr>
          <w:p w14:paraId="6EAC366F"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12</w:t>
            </w:r>
          </w:p>
        </w:tc>
        <w:tc>
          <w:tcPr>
            <w:tcW w:w="554" w:type="pct"/>
            <w:tcBorders>
              <w:top w:val="nil"/>
              <w:left w:val="nil"/>
              <w:bottom w:val="nil"/>
              <w:right w:val="nil"/>
            </w:tcBorders>
            <w:shd w:val="clear" w:color="auto" w:fill="auto"/>
            <w:noWrap/>
            <w:vAlign w:val="center"/>
            <w:hideMark/>
          </w:tcPr>
          <w:p w14:paraId="5FB129BF"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177</w:t>
            </w:r>
          </w:p>
        </w:tc>
        <w:tc>
          <w:tcPr>
            <w:tcW w:w="555" w:type="pct"/>
            <w:tcBorders>
              <w:top w:val="nil"/>
              <w:left w:val="nil"/>
              <w:bottom w:val="nil"/>
              <w:right w:val="nil"/>
            </w:tcBorders>
            <w:shd w:val="clear" w:color="auto" w:fill="auto"/>
            <w:noWrap/>
            <w:vAlign w:val="center"/>
            <w:hideMark/>
          </w:tcPr>
          <w:p w14:paraId="2A9B741B"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14</w:t>
            </w:r>
          </w:p>
        </w:tc>
        <w:tc>
          <w:tcPr>
            <w:tcW w:w="555" w:type="pct"/>
            <w:tcBorders>
              <w:top w:val="nil"/>
              <w:left w:val="nil"/>
              <w:bottom w:val="nil"/>
              <w:right w:val="nil"/>
            </w:tcBorders>
            <w:shd w:val="clear" w:color="auto" w:fill="auto"/>
            <w:noWrap/>
            <w:vAlign w:val="center"/>
            <w:hideMark/>
          </w:tcPr>
          <w:p w14:paraId="28C202FB"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217</w:t>
            </w:r>
          </w:p>
        </w:tc>
      </w:tr>
      <w:tr w:rsidR="00AF421B" w:rsidRPr="000939E3" w14:paraId="44A101D1" w14:textId="77777777" w:rsidTr="00262D31">
        <w:trPr>
          <w:trHeight w:val="184"/>
        </w:trPr>
        <w:tc>
          <w:tcPr>
            <w:tcW w:w="2143" w:type="pct"/>
            <w:tcBorders>
              <w:top w:val="nil"/>
              <w:left w:val="nil"/>
              <w:bottom w:val="nil"/>
              <w:right w:val="nil"/>
            </w:tcBorders>
            <w:shd w:val="clear" w:color="auto" w:fill="auto"/>
            <w:noWrap/>
            <w:vAlign w:val="bottom"/>
            <w:hideMark/>
          </w:tcPr>
          <w:p w14:paraId="31ACDDF1"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Ministerstvo školstva, vedy, výskumu a športu SR</w:t>
            </w:r>
          </w:p>
        </w:tc>
        <w:tc>
          <w:tcPr>
            <w:tcW w:w="635" w:type="pct"/>
            <w:tcBorders>
              <w:top w:val="nil"/>
              <w:left w:val="nil"/>
              <w:bottom w:val="nil"/>
              <w:right w:val="nil"/>
            </w:tcBorders>
            <w:shd w:val="clear" w:color="auto" w:fill="auto"/>
            <w:noWrap/>
            <w:vAlign w:val="center"/>
            <w:hideMark/>
          </w:tcPr>
          <w:p w14:paraId="4FCB39CC"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14%</w:t>
            </w:r>
          </w:p>
        </w:tc>
        <w:tc>
          <w:tcPr>
            <w:tcW w:w="558" w:type="pct"/>
            <w:tcBorders>
              <w:top w:val="nil"/>
              <w:left w:val="nil"/>
              <w:bottom w:val="nil"/>
              <w:right w:val="nil"/>
            </w:tcBorders>
            <w:shd w:val="clear" w:color="auto" w:fill="auto"/>
            <w:noWrap/>
            <w:vAlign w:val="center"/>
            <w:hideMark/>
          </w:tcPr>
          <w:p w14:paraId="42751961"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196</w:t>
            </w:r>
          </w:p>
        </w:tc>
        <w:tc>
          <w:tcPr>
            <w:tcW w:w="554" w:type="pct"/>
            <w:tcBorders>
              <w:top w:val="nil"/>
              <w:left w:val="nil"/>
              <w:bottom w:val="nil"/>
              <w:right w:val="nil"/>
            </w:tcBorders>
            <w:shd w:val="clear" w:color="auto" w:fill="auto"/>
            <w:noWrap/>
            <w:vAlign w:val="center"/>
            <w:hideMark/>
          </w:tcPr>
          <w:p w14:paraId="215B8903"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169</w:t>
            </w:r>
          </w:p>
        </w:tc>
        <w:tc>
          <w:tcPr>
            <w:tcW w:w="555" w:type="pct"/>
            <w:tcBorders>
              <w:top w:val="nil"/>
              <w:left w:val="nil"/>
              <w:bottom w:val="nil"/>
              <w:right w:val="nil"/>
            </w:tcBorders>
            <w:shd w:val="clear" w:color="auto" w:fill="auto"/>
            <w:noWrap/>
            <w:vAlign w:val="center"/>
            <w:hideMark/>
          </w:tcPr>
          <w:p w14:paraId="4FA40BB6"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236</w:t>
            </w:r>
          </w:p>
        </w:tc>
        <w:tc>
          <w:tcPr>
            <w:tcW w:w="555" w:type="pct"/>
            <w:tcBorders>
              <w:top w:val="nil"/>
              <w:left w:val="nil"/>
              <w:bottom w:val="nil"/>
              <w:right w:val="nil"/>
            </w:tcBorders>
            <w:shd w:val="clear" w:color="auto" w:fill="auto"/>
            <w:noWrap/>
            <w:vAlign w:val="center"/>
            <w:hideMark/>
          </w:tcPr>
          <w:p w14:paraId="636213DD"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207</w:t>
            </w:r>
          </w:p>
        </w:tc>
      </w:tr>
      <w:tr w:rsidR="00AF421B" w:rsidRPr="000939E3" w14:paraId="11571A6E" w14:textId="77777777" w:rsidTr="00262D31">
        <w:trPr>
          <w:trHeight w:val="184"/>
        </w:trPr>
        <w:tc>
          <w:tcPr>
            <w:tcW w:w="2143" w:type="pct"/>
            <w:tcBorders>
              <w:top w:val="nil"/>
              <w:left w:val="nil"/>
              <w:bottom w:val="nil"/>
              <w:right w:val="nil"/>
            </w:tcBorders>
            <w:shd w:val="clear" w:color="auto" w:fill="auto"/>
            <w:noWrap/>
            <w:vAlign w:val="bottom"/>
            <w:hideMark/>
          </w:tcPr>
          <w:p w14:paraId="6FCF846B" w14:textId="563A46CB" w:rsidR="00AF421B" w:rsidRPr="000939E3" w:rsidRDefault="00820790"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 xml:space="preserve">Úrad pre </w:t>
            </w:r>
            <w:r w:rsidR="00AF421B" w:rsidRPr="000939E3">
              <w:rPr>
                <w:rFonts w:eastAsia="Times New Roman" w:cs="Times New Roman"/>
                <w:sz w:val="20"/>
                <w:szCs w:val="20"/>
                <w:lang w:eastAsia="sk-SK"/>
              </w:rPr>
              <w:t>verejné obstarávanie</w:t>
            </w:r>
          </w:p>
        </w:tc>
        <w:tc>
          <w:tcPr>
            <w:tcW w:w="635" w:type="pct"/>
            <w:tcBorders>
              <w:top w:val="nil"/>
              <w:left w:val="nil"/>
              <w:bottom w:val="nil"/>
              <w:right w:val="nil"/>
            </w:tcBorders>
            <w:shd w:val="clear" w:color="auto" w:fill="auto"/>
            <w:noWrap/>
            <w:vAlign w:val="center"/>
            <w:hideMark/>
          </w:tcPr>
          <w:p w14:paraId="0717E061"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13%</w:t>
            </w:r>
          </w:p>
        </w:tc>
        <w:tc>
          <w:tcPr>
            <w:tcW w:w="558" w:type="pct"/>
            <w:tcBorders>
              <w:top w:val="nil"/>
              <w:left w:val="nil"/>
              <w:bottom w:val="nil"/>
              <w:right w:val="nil"/>
            </w:tcBorders>
            <w:shd w:val="clear" w:color="auto" w:fill="auto"/>
            <w:noWrap/>
            <w:vAlign w:val="center"/>
            <w:hideMark/>
          </w:tcPr>
          <w:p w14:paraId="3A07A51B"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16</w:t>
            </w:r>
          </w:p>
        </w:tc>
        <w:tc>
          <w:tcPr>
            <w:tcW w:w="554" w:type="pct"/>
            <w:tcBorders>
              <w:top w:val="nil"/>
              <w:left w:val="nil"/>
              <w:bottom w:val="nil"/>
              <w:right w:val="nil"/>
            </w:tcBorders>
            <w:shd w:val="clear" w:color="auto" w:fill="auto"/>
            <w:noWrap/>
            <w:vAlign w:val="center"/>
            <w:hideMark/>
          </w:tcPr>
          <w:p w14:paraId="5255DBAB"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139</w:t>
            </w:r>
          </w:p>
        </w:tc>
        <w:tc>
          <w:tcPr>
            <w:tcW w:w="555" w:type="pct"/>
            <w:tcBorders>
              <w:top w:val="nil"/>
              <w:left w:val="nil"/>
              <w:bottom w:val="nil"/>
              <w:right w:val="nil"/>
            </w:tcBorders>
            <w:shd w:val="clear" w:color="auto" w:fill="auto"/>
            <w:noWrap/>
            <w:vAlign w:val="center"/>
            <w:hideMark/>
          </w:tcPr>
          <w:p w14:paraId="42D90750"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20</w:t>
            </w:r>
          </w:p>
        </w:tc>
        <w:tc>
          <w:tcPr>
            <w:tcW w:w="555" w:type="pct"/>
            <w:tcBorders>
              <w:top w:val="nil"/>
              <w:left w:val="nil"/>
              <w:bottom w:val="nil"/>
              <w:right w:val="nil"/>
            </w:tcBorders>
            <w:shd w:val="clear" w:color="auto" w:fill="auto"/>
            <w:noWrap/>
            <w:vAlign w:val="center"/>
            <w:hideMark/>
          </w:tcPr>
          <w:p w14:paraId="1AFA59E3"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176</w:t>
            </w:r>
          </w:p>
        </w:tc>
      </w:tr>
      <w:tr w:rsidR="00AF421B" w:rsidRPr="000939E3" w14:paraId="69DE9C39" w14:textId="77777777" w:rsidTr="00262D31">
        <w:trPr>
          <w:trHeight w:val="184"/>
        </w:trPr>
        <w:tc>
          <w:tcPr>
            <w:tcW w:w="2143" w:type="pct"/>
            <w:tcBorders>
              <w:top w:val="nil"/>
              <w:left w:val="nil"/>
              <w:bottom w:val="nil"/>
              <w:right w:val="nil"/>
            </w:tcBorders>
            <w:shd w:val="clear" w:color="auto" w:fill="auto"/>
            <w:noWrap/>
            <w:vAlign w:val="bottom"/>
            <w:hideMark/>
          </w:tcPr>
          <w:p w14:paraId="559DB3F1" w14:textId="558C9D99"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 xml:space="preserve">Kancelária </w:t>
            </w:r>
            <w:r w:rsidR="00721CC9" w:rsidRPr="000939E3">
              <w:rPr>
                <w:rFonts w:eastAsia="Times New Roman" w:cs="Times New Roman"/>
                <w:sz w:val="20"/>
                <w:szCs w:val="20"/>
                <w:lang w:eastAsia="sk-SK"/>
              </w:rPr>
              <w:t>Najvyššieho</w:t>
            </w:r>
            <w:r w:rsidRPr="000939E3">
              <w:rPr>
                <w:rFonts w:eastAsia="Times New Roman" w:cs="Times New Roman"/>
                <w:sz w:val="20"/>
                <w:szCs w:val="20"/>
                <w:lang w:eastAsia="sk-SK"/>
              </w:rPr>
              <w:t xml:space="preserve"> súdu SR</w:t>
            </w:r>
          </w:p>
        </w:tc>
        <w:tc>
          <w:tcPr>
            <w:tcW w:w="635" w:type="pct"/>
            <w:tcBorders>
              <w:top w:val="nil"/>
              <w:left w:val="nil"/>
              <w:bottom w:val="nil"/>
              <w:right w:val="nil"/>
            </w:tcBorders>
            <w:shd w:val="clear" w:color="auto" w:fill="auto"/>
            <w:noWrap/>
            <w:vAlign w:val="center"/>
            <w:hideMark/>
          </w:tcPr>
          <w:p w14:paraId="1E0D176B"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11%</w:t>
            </w:r>
          </w:p>
        </w:tc>
        <w:tc>
          <w:tcPr>
            <w:tcW w:w="558" w:type="pct"/>
            <w:tcBorders>
              <w:top w:val="nil"/>
              <w:left w:val="nil"/>
              <w:bottom w:val="nil"/>
              <w:right w:val="nil"/>
            </w:tcBorders>
            <w:shd w:val="clear" w:color="auto" w:fill="auto"/>
            <w:noWrap/>
            <w:vAlign w:val="center"/>
            <w:hideMark/>
          </w:tcPr>
          <w:p w14:paraId="774828CD"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19</w:t>
            </w:r>
          </w:p>
        </w:tc>
        <w:tc>
          <w:tcPr>
            <w:tcW w:w="554" w:type="pct"/>
            <w:tcBorders>
              <w:top w:val="nil"/>
              <w:left w:val="nil"/>
              <w:bottom w:val="nil"/>
              <w:right w:val="nil"/>
            </w:tcBorders>
            <w:shd w:val="clear" w:color="auto" w:fill="auto"/>
            <w:noWrap/>
            <w:vAlign w:val="center"/>
            <w:hideMark/>
          </w:tcPr>
          <w:p w14:paraId="265244DF"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179</w:t>
            </w:r>
          </w:p>
        </w:tc>
        <w:tc>
          <w:tcPr>
            <w:tcW w:w="555" w:type="pct"/>
            <w:tcBorders>
              <w:top w:val="nil"/>
              <w:left w:val="nil"/>
              <w:bottom w:val="nil"/>
              <w:right w:val="nil"/>
            </w:tcBorders>
            <w:shd w:val="clear" w:color="auto" w:fill="auto"/>
            <w:noWrap/>
            <w:vAlign w:val="center"/>
            <w:hideMark/>
          </w:tcPr>
          <w:p w14:paraId="3D28F75A"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25</w:t>
            </w:r>
          </w:p>
        </w:tc>
        <w:tc>
          <w:tcPr>
            <w:tcW w:w="555" w:type="pct"/>
            <w:tcBorders>
              <w:top w:val="nil"/>
              <w:left w:val="nil"/>
              <w:bottom w:val="nil"/>
              <w:right w:val="nil"/>
            </w:tcBorders>
            <w:shd w:val="clear" w:color="auto" w:fill="auto"/>
            <w:noWrap/>
            <w:vAlign w:val="center"/>
            <w:hideMark/>
          </w:tcPr>
          <w:p w14:paraId="67A61774"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235</w:t>
            </w:r>
          </w:p>
        </w:tc>
      </w:tr>
      <w:tr w:rsidR="00AF421B" w:rsidRPr="000939E3" w14:paraId="772BEE17" w14:textId="77777777" w:rsidTr="00262D31">
        <w:trPr>
          <w:trHeight w:val="184"/>
        </w:trPr>
        <w:tc>
          <w:tcPr>
            <w:tcW w:w="2143" w:type="pct"/>
            <w:tcBorders>
              <w:top w:val="nil"/>
              <w:left w:val="nil"/>
              <w:bottom w:val="nil"/>
              <w:right w:val="nil"/>
            </w:tcBorders>
            <w:shd w:val="clear" w:color="auto" w:fill="auto"/>
            <w:noWrap/>
            <w:vAlign w:val="bottom"/>
            <w:hideMark/>
          </w:tcPr>
          <w:p w14:paraId="1C1C23CE"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Národný bezpečnostný úrad</w:t>
            </w:r>
          </w:p>
        </w:tc>
        <w:tc>
          <w:tcPr>
            <w:tcW w:w="635" w:type="pct"/>
            <w:tcBorders>
              <w:top w:val="nil"/>
              <w:left w:val="nil"/>
              <w:bottom w:val="nil"/>
              <w:right w:val="nil"/>
            </w:tcBorders>
            <w:shd w:val="clear" w:color="auto" w:fill="auto"/>
            <w:noWrap/>
            <w:vAlign w:val="center"/>
            <w:hideMark/>
          </w:tcPr>
          <w:p w14:paraId="7E965B4A"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11%</w:t>
            </w:r>
          </w:p>
        </w:tc>
        <w:tc>
          <w:tcPr>
            <w:tcW w:w="558" w:type="pct"/>
            <w:tcBorders>
              <w:top w:val="nil"/>
              <w:left w:val="nil"/>
              <w:bottom w:val="nil"/>
              <w:right w:val="nil"/>
            </w:tcBorders>
            <w:shd w:val="clear" w:color="auto" w:fill="auto"/>
            <w:noWrap/>
            <w:vAlign w:val="center"/>
            <w:hideMark/>
          </w:tcPr>
          <w:p w14:paraId="693934B2"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16</w:t>
            </w:r>
          </w:p>
        </w:tc>
        <w:tc>
          <w:tcPr>
            <w:tcW w:w="554" w:type="pct"/>
            <w:tcBorders>
              <w:top w:val="nil"/>
              <w:left w:val="nil"/>
              <w:bottom w:val="nil"/>
              <w:right w:val="nil"/>
            </w:tcBorders>
            <w:shd w:val="clear" w:color="auto" w:fill="auto"/>
            <w:noWrap/>
            <w:vAlign w:val="center"/>
            <w:hideMark/>
          </w:tcPr>
          <w:p w14:paraId="52A77298"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125</w:t>
            </w:r>
          </w:p>
        </w:tc>
        <w:tc>
          <w:tcPr>
            <w:tcW w:w="555" w:type="pct"/>
            <w:tcBorders>
              <w:top w:val="nil"/>
              <w:left w:val="nil"/>
              <w:bottom w:val="nil"/>
              <w:right w:val="nil"/>
            </w:tcBorders>
            <w:shd w:val="clear" w:color="auto" w:fill="auto"/>
            <w:noWrap/>
            <w:vAlign w:val="center"/>
            <w:hideMark/>
          </w:tcPr>
          <w:p w14:paraId="7CE41A91"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20</w:t>
            </w:r>
          </w:p>
        </w:tc>
        <w:tc>
          <w:tcPr>
            <w:tcW w:w="555" w:type="pct"/>
            <w:tcBorders>
              <w:top w:val="nil"/>
              <w:left w:val="nil"/>
              <w:bottom w:val="nil"/>
              <w:right w:val="nil"/>
            </w:tcBorders>
            <w:shd w:val="clear" w:color="auto" w:fill="auto"/>
            <w:noWrap/>
            <w:vAlign w:val="center"/>
            <w:hideMark/>
          </w:tcPr>
          <w:p w14:paraId="55DC1559"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166</w:t>
            </w:r>
          </w:p>
        </w:tc>
      </w:tr>
      <w:tr w:rsidR="00AF421B" w:rsidRPr="000939E3" w14:paraId="7FA4CDE7" w14:textId="77777777" w:rsidTr="00262D31">
        <w:trPr>
          <w:trHeight w:val="184"/>
        </w:trPr>
        <w:tc>
          <w:tcPr>
            <w:tcW w:w="2143" w:type="pct"/>
            <w:tcBorders>
              <w:top w:val="nil"/>
              <w:left w:val="nil"/>
              <w:bottom w:val="nil"/>
              <w:right w:val="nil"/>
            </w:tcBorders>
            <w:shd w:val="clear" w:color="auto" w:fill="auto"/>
            <w:noWrap/>
            <w:vAlign w:val="bottom"/>
            <w:hideMark/>
          </w:tcPr>
          <w:p w14:paraId="6B59E4BC" w14:textId="77777777" w:rsidR="00AF421B" w:rsidRPr="000939E3" w:rsidRDefault="00AF421B" w:rsidP="00AF421B">
            <w:pPr>
              <w:spacing w:after="0" w:line="240" w:lineRule="auto"/>
              <w:ind w:firstLineChars="200" w:firstLine="400"/>
              <w:jc w:val="left"/>
              <w:rPr>
                <w:rFonts w:eastAsia="Times New Roman" w:cs="Times New Roman"/>
                <w:sz w:val="20"/>
                <w:szCs w:val="20"/>
                <w:lang w:eastAsia="sk-SK"/>
              </w:rPr>
            </w:pPr>
            <w:r w:rsidRPr="000939E3">
              <w:rPr>
                <w:rFonts w:eastAsia="Times New Roman" w:cs="Times New Roman"/>
                <w:sz w:val="20"/>
                <w:szCs w:val="20"/>
                <w:lang w:eastAsia="sk-SK"/>
              </w:rPr>
              <w:t>z toho policajti</w:t>
            </w:r>
          </w:p>
        </w:tc>
        <w:tc>
          <w:tcPr>
            <w:tcW w:w="635" w:type="pct"/>
            <w:tcBorders>
              <w:top w:val="nil"/>
              <w:left w:val="nil"/>
              <w:bottom w:val="nil"/>
              <w:right w:val="nil"/>
            </w:tcBorders>
            <w:shd w:val="clear" w:color="auto" w:fill="auto"/>
            <w:noWrap/>
            <w:vAlign w:val="center"/>
            <w:hideMark/>
          </w:tcPr>
          <w:p w14:paraId="72A8EE37"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10%</w:t>
            </w:r>
          </w:p>
        </w:tc>
        <w:tc>
          <w:tcPr>
            <w:tcW w:w="558" w:type="pct"/>
            <w:tcBorders>
              <w:top w:val="nil"/>
              <w:left w:val="nil"/>
              <w:bottom w:val="nil"/>
              <w:right w:val="nil"/>
            </w:tcBorders>
            <w:shd w:val="clear" w:color="auto" w:fill="auto"/>
            <w:noWrap/>
            <w:vAlign w:val="center"/>
            <w:hideMark/>
          </w:tcPr>
          <w:p w14:paraId="55C79FCD"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12</w:t>
            </w:r>
          </w:p>
        </w:tc>
        <w:tc>
          <w:tcPr>
            <w:tcW w:w="554" w:type="pct"/>
            <w:tcBorders>
              <w:top w:val="nil"/>
              <w:left w:val="nil"/>
              <w:bottom w:val="nil"/>
              <w:right w:val="nil"/>
            </w:tcBorders>
            <w:shd w:val="clear" w:color="auto" w:fill="auto"/>
            <w:noWrap/>
            <w:vAlign w:val="center"/>
            <w:hideMark/>
          </w:tcPr>
          <w:p w14:paraId="664A63FF"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108</w:t>
            </w:r>
          </w:p>
        </w:tc>
        <w:tc>
          <w:tcPr>
            <w:tcW w:w="555" w:type="pct"/>
            <w:tcBorders>
              <w:top w:val="nil"/>
              <w:left w:val="nil"/>
              <w:bottom w:val="nil"/>
              <w:right w:val="nil"/>
            </w:tcBorders>
            <w:shd w:val="clear" w:color="auto" w:fill="auto"/>
            <w:noWrap/>
            <w:vAlign w:val="center"/>
            <w:hideMark/>
          </w:tcPr>
          <w:p w14:paraId="4EEB1663"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16</w:t>
            </w:r>
          </w:p>
        </w:tc>
        <w:tc>
          <w:tcPr>
            <w:tcW w:w="555" w:type="pct"/>
            <w:tcBorders>
              <w:top w:val="nil"/>
              <w:left w:val="nil"/>
              <w:bottom w:val="nil"/>
              <w:right w:val="nil"/>
            </w:tcBorders>
            <w:shd w:val="clear" w:color="auto" w:fill="auto"/>
            <w:noWrap/>
            <w:vAlign w:val="center"/>
            <w:hideMark/>
          </w:tcPr>
          <w:p w14:paraId="2BC6AB42"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150</w:t>
            </w:r>
          </w:p>
        </w:tc>
      </w:tr>
      <w:tr w:rsidR="00AF421B" w:rsidRPr="000939E3" w14:paraId="09F27822" w14:textId="77777777" w:rsidTr="00262D31">
        <w:trPr>
          <w:trHeight w:val="184"/>
        </w:trPr>
        <w:tc>
          <w:tcPr>
            <w:tcW w:w="2143" w:type="pct"/>
            <w:tcBorders>
              <w:top w:val="nil"/>
              <w:left w:val="nil"/>
              <w:bottom w:val="nil"/>
              <w:right w:val="nil"/>
            </w:tcBorders>
            <w:shd w:val="clear" w:color="auto" w:fill="auto"/>
            <w:noWrap/>
            <w:vAlign w:val="bottom"/>
            <w:hideMark/>
          </w:tcPr>
          <w:p w14:paraId="707C0955"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Rada pre vysielanie a retransmisiu</w:t>
            </w:r>
          </w:p>
        </w:tc>
        <w:tc>
          <w:tcPr>
            <w:tcW w:w="635" w:type="pct"/>
            <w:tcBorders>
              <w:top w:val="nil"/>
              <w:left w:val="nil"/>
              <w:bottom w:val="nil"/>
              <w:right w:val="nil"/>
            </w:tcBorders>
            <w:shd w:val="clear" w:color="auto" w:fill="auto"/>
            <w:noWrap/>
            <w:vAlign w:val="center"/>
            <w:hideMark/>
          </w:tcPr>
          <w:p w14:paraId="617EE9CE"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11%</w:t>
            </w:r>
          </w:p>
        </w:tc>
        <w:tc>
          <w:tcPr>
            <w:tcW w:w="558" w:type="pct"/>
            <w:tcBorders>
              <w:top w:val="nil"/>
              <w:left w:val="nil"/>
              <w:bottom w:val="nil"/>
              <w:right w:val="nil"/>
            </w:tcBorders>
            <w:shd w:val="clear" w:color="auto" w:fill="auto"/>
            <w:noWrap/>
            <w:vAlign w:val="center"/>
            <w:hideMark/>
          </w:tcPr>
          <w:p w14:paraId="5CDC5B47"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w:t>
            </w:r>
          </w:p>
        </w:tc>
        <w:tc>
          <w:tcPr>
            <w:tcW w:w="554" w:type="pct"/>
            <w:tcBorders>
              <w:top w:val="nil"/>
              <w:left w:val="nil"/>
              <w:bottom w:val="nil"/>
              <w:right w:val="nil"/>
            </w:tcBorders>
            <w:shd w:val="clear" w:color="auto" w:fill="auto"/>
            <w:noWrap/>
            <w:vAlign w:val="center"/>
            <w:hideMark/>
          </w:tcPr>
          <w:p w14:paraId="0CA68BA9"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95</w:t>
            </w:r>
          </w:p>
        </w:tc>
        <w:tc>
          <w:tcPr>
            <w:tcW w:w="555" w:type="pct"/>
            <w:tcBorders>
              <w:top w:val="nil"/>
              <w:left w:val="nil"/>
              <w:bottom w:val="nil"/>
              <w:right w:val="nil"/>
            </w:tcBorders>
            <w:shd w:val="clear" w:color="auto" w:fill="auto"/>
            <w:noWrap/>
            <w:vAlign w:val="center"/>
            <w:hideMark/>
          </w:tcPr>
          <w:p w14:paraId="6C489634"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3</w:t>
            </w:r>
          </w:p>
        </w:tc>
        <w:tc>
          <w:tcPr>
            <w:tcW w:w="555" w:type="pct"/>
            <w:tcBorders>
              <w:top w:val="nil"/>
              <w:left w:val="nil"/>
              <w:bottom w:val="nil"/>
              <w:right w:val="nil"/>
            </w:tcBorders>
            <w:shd w:val="clear" w:color="auto" w:fill="auto"/>
            <w:noWrap/>
            <w:vAlign w:val="center"/>
            <w:hideMark/>
          </w:tcPr>
          <w:p w14:paraId="37B7317E"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126</w:t>
            </w:r>
          </w:p>
        </w:tc>
      </w:tr>
      <w:tr w:rsidR="00AF421B" w:rsidRPr="000939E3" w14:paraId="75053A33" w14:textId="77777777" w:rsidTr="00262D31">
        <w:trPr>
          <w:trHeight w:val="184"/>
        </w:trPr>
        <w:tc>
          <w:tcPr>
            <w:tcW w:w="2143" w:type="pct"/>
            <w:tcBorders>
              <w:top w:val="nil"/>
              <w:left w:val="nil"/>
              <w:bottom w:val="nil"/>
              <w:right w:val="nil"/>
            </w:tcBorders>
            <w:shd w:val="clear" w:color="auto" w:fill="auto"/>
            <w:noWrap/>
            <w:vAlign w:val="bottom"/>
            <w:hideMark/>
          </w:tcPr>
          <w:p w14:paraId="35F75D29"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Najvyšší kontrolný úrad SR</w:t>
            </w:r>
          </w:p>
        </w:tc>
        <w:tc>
          <w:tcPr>
            <w:tcW w:w="635" w:type="pct"/>
            <w:tcBorders>
              <w:top w:val="nil"/>
              <w:left w:val="nil"/>
              <w:bottom w:val="nil"/>
              <w:right w:val="nil"/>
            </w:tcBorders>
            <w:shd w:val="clear" w:color="auto" w:fill="auto"/>
            <w:noWrap/>
            <w:vAlign w:val="center"/>
            <w:hideMark/>
          </w:tcPr>
          <w:p w14:paraId="6DBDB932"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9%</w:t>
            </w:r>
          </w:p>
        </w:tc>
        <w:tc>
          <w:tcPr>
            <w:tcW w:w="558" w:type="pct"/>
            <w:tcBorders>
              <w:top w:val="nil"/>
              <w:left w:val="nil"/>
              <w:bottom w:val="nil"/>
              <w:right w:val="nil"/>
            </w:tcBorders>
            <w:shd w:val="clear" w:color="auto" w:fill="auto"/>
            <w:noWrap/>
            <w:vAlign w:val="center"/>
            <w:hideMark/>
          </w:tcPr>
          <w:p w14:paraId="2276A20F"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13</w:t>
            </w:r>
          </w:p>
        </w:tc>
        <w:tc>
          <w:tcPr>
            <w:tcW w:w="554" w:type="pct"/>
            <w:tcBorders>
              <w:top w:val="nil"/>
              <w:left w:val="nil"/>
              <w:bottom w:val="nil"/>
              <w:right w:val="nil"/>
            </w:tcBorders>
            <w:shd w:val="clear" w:color="auto" w:fill="auto"/>
            <w:noWrap/>
            <w:vAlign w:val="center"/>
            <w:hideMark/>
          </w:tcPr>
          <w:p w14:paraId="3C33ECB2"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67</w:t>
            </w:r>
          </w:p>
        </w:tc>
        <w:tc>
          <w:tcPr>
            <w:tcW w:w="555" w:type="pct"/>
            <w:tcBorders>
              <w:top w:val="nil"/>
              <w:left w:val="nil"/>
              <w:bottom w:val="nil"/>
              <w:right w:val="nil"/>
            </w:tcBorders>
            <w:shd w:val="clear" w:color="auto" w:fill="auto"/>
            <w:noWrap/>
            <w:vAlign w:val="center"/>
            <w:hideMark/>
          </w:tcPr>
          <w:p w14:paraId="2F0C3AF0"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19</w:t>
            </w:r>
          </w:p>
        </w:tc>
        <w:tc>
          <w:tcPr>
            <w:tcW w:w="555" w:type="pct"/>
            <w:tcBorders>
              <w:top w:val="nil"/>
              <w:left w:val="nil"/>
              <w:bottom w:val="nil"/>
              <w:right w:val="nil"/>
            </w:tcBorders>
            <w:shd w:val="clear" w:color="auto" w:fill="auto"/>
            <w:noWrap/>
            <w:vAlign w:val="center"/>
            <w:hideMark/>
          </w:tcPr>
          <w:p w14:paraId="033DCD9A"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102</w:t>
            </w:r>
          </w:p>
        </w:tc>
      </w:tr>
      <w:tr w:rsidR="00AF421B" w:rsidRPr="000939E3" w14:paraId="4F3DF25C" w14:textId="77777777" w:rsidTr="00262D31">
        <w:trPr>
          <w:trHeight w:val="184"/>
        </w:trPr>
        <w:tc>
          <w:tcPr>
            <w:tcW w:w="2143" w:type="pct"/>
            <w:tcBorders>
              <w:top w:val="nil"/>
              <w:left w:val="nil"/>
              <w:bottom w:val="nil"/>
              <w:right w:val="nil"/>
            </w:tcBorders>
            <w:shd w:val="clear" w:color="auto" w:fill="auto"/>
            <w:noWrap/>
            <w:vAlign w:val="bottom"/>
            <w:hideMark/>
          </w:tcPr>
          <w:p w14:paraId="6496ABA4"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Správa štátnych hmotných rezerv SR</w:t>
            </w:r>
          </w:p>
        </w:tc>
        <w:tc>
          <w:tcPr>
            <w:tcW w:w="635" w:type="pct"/>
            <w:tcBorders>
              <w:top w:val="nil"/>
              <w:left w:val="nil"/>
              <w:bottom w:val="nil"/>
              <w:right w:val="nil"/>
            </w:tcBorders>
            <w:shd w:val="clear" w:color="auto" w:fill="auto"/>
            <w:noWrap/>
            <w:vAlign w:val="center"/>
            <w:hideMark/>
          </w:tcPr>
          <w:p w14:paraId="03439FC1"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9%</w:t>
            </w:r>
          </w:p>
        </w:tc>
        <w:tc>
          <w:tcPr>
            <w:tcW w:w="558" w:type="pct"/>
            <w:tcBorders>
              <w:top w:val="nil"/>
              <w:left w:val="nil"/>
              <w:bottom w:val="nil"/>
              <w:right w:val="nil"/>
            </w:tcBorders>
            <w:shd w:val="clear" w:color="auto" w:fill="auto"/>
            <w:noWrap/>
            <w:vAlign w:val="center"/>
            <w:hideMark/>
          </w:tcPr>
          <w:p w14:paraId="5454552D"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4</w:t>
            </w:r>
          </w:p>
        </w:tc>
        <w:tc>
          <w:tcPr>
            <w:tcW w:w="554" w:type="pct"/>
            <w:tcBorders>
              <w:top w:val="nil"/>
              <w:left w:val="nil"/>
              <w:bottom w:val="nil"/>
              <w:right w:val="nil"/>
            </w:tcBorders>
            <w:shd w:val="clear" w:color="auto" w:fill="auto"/>
            <w:noWrap/>
            <w:vAlign w:val="center"/>
            <w:hideMark/>
          </w:tcPr>
          <w:p w14:paraId="425483AE"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49</w:t>
            </w:r>
          </w:p>
        </w:tc>
        <w:tc>
          <w:tcPr>
            <w:tcW w:w="555" w:type="pct"/>
            <w:tcBorders>
              <w:top w:val="nil"/>
              <w:left w:val="nil"/>
              <w:bottom w:val="nil"/>
              <w:right w:val="nil"/>
            </w:tcBorders>
            <w:shd w:val="clear" w:color="auto" w:fill="auto"/>
            <w:noWrap/>
            <w:vAlign w:val="center"/>
            <w:hideMark/>
          </w:tcPr>
          <w:p w14:paraId="3F4C7D02"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7</w:t>
            </w:r>
          </w:p>
        </w:tc>
        <w:tc>
          <w:tcPr>
            <w:tcW w:w="555" w:type="pct"/>
            <w:tcBorders>
              <w:top w:val="nil"/>
              <w:left w:val="nil"/>
              <w:bottom w:val="nil"/>
              <w:right w:val="nil"/>
            </w:tcBorders>
            <w:shd w:val="clear" w:color="auto" w:fill="auto"/>
            <w:noWrap/>
            <w:vAlign w:val="center"/>
            <w:hideMark/>
          </w:tcPr>
          <w:p w14:paraId="7464848C"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76</w:t>
            </w:r>
          </w:p>
        </w:tc>
      </w:tr>
      <w:tr w:rsidR="00AF421B" w:rsidRPr="000939E3" w14:paraId="7091327D" w14:textId="77777777" w:rsidTr="00262D31">
        <w:trPr>
          <w:trHeight w:val="184"/>
        </w:trPr>
        <w:tc>
          <w:tcPr>
            <w:tcW w:w="2143" w:type="pct"/>
            <w:tcBorders>
              <w:top w:val="nil"/>
              <w:left w:val="nil"/>
              <w:bottom w:val="nil"/>
              <w:right w:val="nil"/>
            </w:tcBorders>
            <w:shd w:val="clear" w:color="auto" w:fill="auto"/>
            <w:noWrap/>
            <w:vAlign w:val="bottom"/>
            <w:hideMark/>
          </w:tcPr>
          <w:p w14:paraId="168784DF"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 xml:space="preserve">Ministerstvo dopravy a výstavby SR </w:t>
            </w:r>
          </w:p>
        </w:tc>
        <w:tc>
          <w:tcPr>
            <w:tcW w:w="635" w:type="pct"/>
            <w:tcBorders>
              <w:top w:val="nil"/>
              <w:left w:val="nil"/>
              <w:bottom w:val="nil"/>
              <w:right w:val="nil"/>
            </w:tcBorders>
            <w:shd w:val="clear" w:color="auto" w:fill="auto"/>
            <w:noWrap/>
            <w:vAlign w:val="center"/>
            <w:hideMark/>
          </w:tcPr>
          <w:p w14:paraId="6801237E"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8%</w:t>
            </w:r>
          </w:p>
        </w:tc>
        <w:tc>
          <w:tcPr>
            <w:tcW w:w="558" w:type="pct"/>
            <w:tcBorders>
              <w:top w:val="nil"/>
              <w:left w:val="nil"/>
              <w:bottom w:val="nil"/>
              <w:right w:val="nil"/>
            </w:tcBorders>
            <w:shd w:val="clear" w:color="auto" w:fill="auto"/>
            <w:noWrap/>
            <w:vAlign w:val="center"/>
            <w:hideMark/>
          </w:tcPr>
          <w:p w14:paraId="0EBB99BA"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39</w:t>
            </w:r>
          </w:p>
        </w:tc>
        <w:tc>
          <w:tcPr>
            <w:tcW w:w="554" w:type="pct"/>
            <w:tcBorders>
              <w:top w:val="nil"/>
              <w:left w:val="nil"/>
              <w:bottom w:val="nil"/>
              <w:right w:val="nil"/>
            </w:tcBorders>
            <w:shd w:val="clear" w:color="auto" w:fill="auto"/>
            <w:noWrap/>
            <w:vAlign w:val="center"/>
            <w:hideMark/>
          </w:tcPr>
          <w:p w14:paraId="4E053F33"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35</w:t>
            </w:r>
          </w:p>
        </w:tc>
        <w:tc>
          <w:tcPr>
            <w:tcW w:w="555" w:type="pct"/>
            <w:tcBorders>
              <w:top w:val="nil"/>
              <w:left w:val="nil"/>
              <w:bottom w:val="nil"/>
              <w:right w:val="nil"/>
            </w:tcBorders>
            <w:shd w:val="clear" w:color="auto" w:fill="auto"/>
            <w:noWrap/>
            <w:vAlign w:val="center"/>
            <w:hideMark/>
          </w:tcPr>
          <w:p w14:paraId="3A565E12"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68</w:t>
            </w:r>
          </w:p>
        </w:tc>
        <w:tc>
          <w:tcPr>
            <w:tcW w:w="555" w:type="pct"/>
            <w:tcBorders>
              <w:top w:val="nil"/>
              <w:left w:val="nil"/>
              <w:bottom w:val="nil"/>
              <w:right w:val="nil"/>
            </w:tcBorders>
            <w:shd w:val="clear" w:color="auto" w:fill="auto"/>
            <w:noWrap/>
            <w:vAlign w:val="center"/>
            <w:hideMark/>
          </w:tcPr>
          <w:p w14:paraId="1E63AA83"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62</w:t>
            </w:r>
          </w:p>
        </w:tc>
      </w:tr>
      <w:tr w:rsidR="00AF421B" w:rsidRPr="000939E3" w14:paraId="6DDE8AA7" w14:textId="77777777" w:rsidTr="00262D31">
        <w:trPr>
          <w:trHeight w:val="184"/>
        </w:trPr>
        <w:tc>
          <w:tcPr>
            <w:tcW w:w="2143" w:type="pct"/>
            <w:tcBorders>
              <w:top w:val="nil"/>
              <w:left w:val="nil"/>
              <w:bottom w:val="nil"/>
              <w:right w:val="nil"/>
            </w:tcBorders>
            <w:shd w:val="clear" w:color="auto" w:fill="auto"/>
            <w:noWrap/>
            <w:vAlign w:val="bottom"/>
            <w:hideMark/>
          </w:tcPr>
          <w:p w14:paraId="0D4AC985"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Protimonopolný úrad SR</w:t>
            </w:r>
          </w:p>
        </w:tc>
        <w:tc>
          <w:tcPr>
            <w:tcW w:w="635" w:type="pct"/>
            <w:tcBorders>
              <w:top w:val="nil"/>
              <w:left w:val="nil"/>
              <w:bottom w:val="nil"/>
              <w:right w:val="nil"/>
            </w:tcBorders>
            <w:shd w:val="clear" w:color="auto" w:fill="auto"/>
            <w:noWrap/>
            <w:vAlign w:val="center"/>
            <w:hideMark/>
          </w:tcPr>
          <w:p w14:paraId="09219A35"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7%</w:t>
            </w:r>
          </w:p>
        </w:tc>
        <w:tc>
          <w:tcPr>
            <w:tcW w:w="558" w:type="pct"/>
            <w:tcBorders>
              <w:top w:val="nil"/>
              <w:left w:val="nil"/>
              <w:bottom w:val="nil"/>
              <w:right w:val="nil"/>
            </w:tcBorders>
            <w:shd w:val="clear" w:color="auto" w:fill="auto"/>
            <w:noWrap/>
            <w:vAlign w:val="center"/>
            <w:hideMark/>
          </w:tcPr>
          <w:p w14:paraId="6925A124"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w:t>
            </w:r>
          </w:p>
        </w:tc>
        <w:tc>
          <w:tcPr>
            <w:tcW w:w="554" w:type="pct"/>
            <w:tcBorders>
              <w:top w:val="nil"/>
              <w:left w:val="nil"/>
              <w:bottom w:val="nil"/>
              <w:right w:val="nil"/>
            </w:tcBorders>
            <w:shd w:val="clear" w:color="auto" w:fill="auto"/>
            <w:noWrap/>
            <w:vAlign w:val="center"/>
            <w:hideMark/>
          </w:tcPr>
          <w:p w14:paraId="63A3E3A1"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38</w:t>
            </w:r>
          </w:p>
        </w:tc>
        <w:tc>
          <w:tcPr>
            <w:tcW w:w="555" w:type="pct"/>
            <w:tcBorders>
              <w:top w:val="nil"/>
              <w:left w:val="nil"/>
              <w:bottom w:val="nil"/>
              <w:right w:val="nil"/>
            </w:tcBorders>
            <w:shd w:val="clear" w:color="auto" w:fill="auto"/>
            <w:noWrap/>
            <w:vAlign w:val="center"/>
            <w:hideMark/>
          </w:tcPr>
          <w:p w14:paraId="21607381"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3</w:t>
            </w:r>
          </w:p>
        </w:tc>
        <w:tc>
          <w:tcPr>
            <w:tcW w:w="555" w:type="pct"/>
            <w:tcBorders>
              <w:top w:val="nil"/>
              <w:left w:val="nil"/>
              <w:bottom w:val="nil"/>
              <w:right w:val="nil"/>
            </w:tcBorders>
            <w:shd w:val="clear" w:color="auto" w:fill="auto"/>
            <w:noWrap/>
            <w:vAlign w:val="center"/>
            <w:hideMark/>
          </w:tcPr>
          <w:p w14:paraId="0C3BD171"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73</w:t>
            </w:r>
          </w:p>
        </w:tc>
      </w:tr>
      <w:tr w:rsidR="00AF421B" w:rsidRPr="000939E3" w14:paraId="276DB734" w14:textId="77777777" w:rsidTr="00262D31">
        <w:trPr>
          <w:trHeight w:val="184"/>
        </w:trPr>
        <w:tc>
          <w:tcPr>
            <w:tcW w:w="2143" w:type="pct"/>
            <w:tcBorders>
              <w:top w:val="nil"/>
              <w:left w:val="nil"/>
              <w:bottom w:val="nil"/>
              <w:right w:val="nil"/>
            </w:tcBorders>
            <w:shd w:val="clear" w:color="auto" w:fill="auto"/>
            <w:noWrap/>
            <w:vAlign w:val="bottom"/>
            <w:hideMark/>
          </w:tcPr>
          <w:p w14:paraId="0D7A2820"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Úrad geodézie, kartografie a katastra SR</w:t>
            </w:r>
          </w:p>
        </w:tc>
        <w:tc>
          <w:tcPr>
            <w:tcW w:w="635" w:type="pct"/>
            <w:tcBorders>
              <w:top w:val="nil"/>
              <w:left w:val="nil"/>
              <w:bottom w:val="nil"/>
              <w:right w:val="nil"/>
            </w:tcBorders>
            <w:shd w:val="clear" w:color="auto" w:fill="auto"/>
            <w:noWrap/>
            <w:vAlign w:val="center"/>
            <w:hideMark/>
          </w:tcPr>
          <w:p w14:paraId="2262060E"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7%</w:t>
            </w:r>
          </w:p>
        </w:tc>
        <w:tc>
          <w:tcPr>
            <w:tcW w:w="558" w:type="pct"/>
            <w:tcBorders>
              <w:top w:val="nil"/>
              <w:left w:val="nil"/>
              <w:bottom w:val="nil"/>
              <w:right w:val="nil"/>
            </w:tcBorders>
            <w:shd w:val="clear" w:color="auto" w:fill="auto"/>
            <w:noWrap/>
            <w:vAlign w:val="center"/>
            <w:hideMark/>
          </w:tcPr>
          <w:p w14:paraId="258F03EE"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5</w:t>
            </w:r>
          </w:p>
        </w:tc>
        <w:tc>
          <w:tcPr>
            <w:tcW w:w="554" w:type="pct"/>
            <w:tcBorders>
              <w:top w:val="nil"/>
              <w:left w:val="nil"/>
              <w:bottom w:val="nil"/>
              <w:right w:val="nil"/>
            </w:tcBorders>
            <w:shd w:val="clear" w:color="auto" w:fill="auto"/>
            <w:noWrap/>
            <w:vAlign w:val="center"/>
            <w:hideMark/>
          </w:tcPr>
          <w:p w14:paraId="7A9687D1"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41</w:t>
            </w:r>
          </w:p>
        </w:tc>
        <w:tc>
          <w:tcPr>
            <w:tcW w:w="555" w:type="pct"/>
            <w:tcBorders>
              <w:top w:val="nil"/>
              <w:left w:val="nil"/>
              <w:bottom w:val="nil"/>
              <w:right w:val="nil"/>
            </w:tcBorders>
            <w:shd w:val="clear" w:color="auto" w:fill="auto"/>
            <w:noWrap/>
            <w:vAlign w:val="center"/>
            <w:hideMark/>
          </w:tcPr>
          <w:p w14:paraId="7BE54C44"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10</w:t>
            </w:r>
          </w:p>
        </w:tc>
        <w:tc>
          <w:tcPr>
            <w:tcW w:w="555" w:type="pct"/>
            <w:tcBorders>
              <w:top w:val="nil"/>
              <w:left w:val="nil"/>
              <w:bottom w:val="nil"/>
              <w:right w:val="nil"/>
            </w:tcBorders>
            <w:shd w:val="clear" w:color="auto" w:fill="auto"/>
            <w:noWrap/>
            <w:vAlign w:val="center"/>
            <w:hideMark/>
          </w:tcPr>
          <w:p w14:paraId="26ABC9E9"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94</w:t>
            </w:r>
          </w:p>
        </w:tc>
      </w:tr>
      <w:tr w:rsidR="00AF421B" w:rsidRPr="000939E3" w14:paraId="062E276B" w14:textId="77777777" w:rsidTr="00262D31">
        <w:trPr>
          <w:trHeight w:val="184"/>
        </w:trPr>
        <w:tc>
          <w:tcPr>
            <w:tcW w:w="2143" w:type="pct"/>
            <w:tcBorders>
              <w:top w:val="nil"/>
              <w:left w:val="nil"/>
              <w:bottom w:val="nil"/>
              <w:right w:val="nil"/>
            </w:tcBorders>
            <w:shd w:val="clear" w:color="auto" w:fill="auto"/>
            <w:noWrap/>
            <w:vAlign w:val="bottom"/>
            <w:hideMark/>
          </w:tcPr>
          <w:p w14:paraId="371A0B46"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Ministerstvo obrany SR</w:t>
            </w:r>
          </w:p>
        </w:tc>
        <w:tc>
          <w:tcPr>
            <w:tcW w:w="635" w:type="pct"/>
            <w:tcBorders>
              <w:top w:val="nil"/>
              <w:left w:val="nil"/>
              <w:bottom w:val="nil"/>
              <w:right w:val="nil"/>
            </w:tcBorders>
            <w:shd w:val="clear" w:color="auto" w:fill="auto"/>
            <w:noWrap/>
            <w:vAlign w:val="center"/>
            <w:hideMark/>
          </w:tcPr>
          <w:p w14:paraId="7D2F5DE8"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6%</w:t>
            </w:r>
          </w:p>
        </w:tc>
        <w:tc>
          <w:tcPr>
            <w:tcW w:w="558" w:type="pct"/>
            <w:tcBorders>
              <w:top w:val="nil"/>
              <w:left w:val="nil"/>
              <w:bottom w:val="nil"/>
              <w:right w:val="nil"/>
            </w:tcBorders>
            <w:shd w:val="clear" w:color="auto" w:fill="auto"/>
            <w:noWrap/>
            <w:vAlign w:val="center"/>
            <w:hideMark/>
          </w:tcPr>
          <w:p w14:paraId="1D32998D"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319</w:t>
            </w:r>
          </w:p>
        </w:tc>
        <w:tc>
          <w:tcPr>
            <w:tcW w:w="554" w:type="pct"/>
            <w:tcBorders>
              <w:top w:val="nil"/>
              <w:left w:val="nil"/>
              <w:bottom w:val="nil"/>
              <w:right w:val="nil"/>
            </w:tcBorders>
            <w:shd w:val="clear" w:color="auto" w:fill="auto"/>
            <w:noWrap/>
            <w:vAlign w:val="center"/>
            <w:hideMark/>
          </w:tcPr>
          <w:p w14:paraId="39396AE6"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29</w:t>
            </w:r>
          </w:p>
        </w:tc>
        <w:tc>
          <w:tcPr>
            <w:tcW w:w="555" w:type="pct"/>
            <w:tcBorders>
              <w:top w:val="nil"/>
              <w:left w:val="nil"/>
              <w:bottom w:val="nil"/>
              <w:right w:val="nil"/>
            </w:tcBorders>
            <w:shd w:val="clear" w:color="auto" w:fill="auto"/>
            <w:noWrap/>
            <w:vAlign w:val="center"/>
            <w:hideMark/>
          </w:tcPr>
          <w:p w14:paraId="6AC6C7A1"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750</w:t>
            </w:r>
          </w:p>
        </w:tc>
        <w:tc>
          <w:tcPr>
            <w:tcW w:w="555" w:type="pct"/>
            <w:tcBorders>
              <w:top w:val="nil"/>
              <w:left w:val="nil"/>
              <w:bottom w:val="nil"/>
              <w:right w:val="nil"/>
            </w:tcBorders>
            <w:shd w:val="clear" w:color="auto" w:fill="auto"/>
            <w:noWrap/>
            <w:vAlign w:val="center"/>
            <w:hideMark/>
          </w:tcPr>
          <w:p w14:paraId="66E54FAA"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70</w:t>
            </w:r>
          </w:p>
        </w:tc>
      </w:tr>
      <w:tr w:rsidR="00AF421B" w:rsidRPr="000939E3" w14:paraId="4A11CB47" w14:textId="77777777" w:rsidTr="00262D31">
        <w:trPr>
          <w:trHeight w:val="184"/>
        </w:trPr>
        <w:tc>
          <w:tcPr>
            <w:tcW w:w="2143" w:type="pct"/>
            <w:tcBorders>
              <w:top w:val="nil"/>
              <w:left w:val="nil"/>
              <w:bottom w:val="nil"/>
              <w:right w:val="nil"/>
            </w:tcBorders>
            <w:shd w:val="clear" w:color="auto" w:fill="auto"/>
            <w:noWrap/>
            <w:vAlign w:val="bottom"/>
            <w:hideMark/>
          </w:tcPr>
          <w:p w14:paraId="33AAF49C" w14:textId="77777777" w:rsidR="00AF421B" w:rsidRPr="000939E3" w:rsidRDefault="00AF421B" w:rsidP="00AF421B">
            <w:pPr>
              <w:spacing w:after="0" w:line="240" w:lineRule="auto"/>
              <w:ind w:firstLineChars="200" w:firstLine="400"/>
              <w:jc w:val="left"/>
              <w:rPr>
                <w:rFonts w:eastAsia="Times New Roman" w:cs="Times New Roman"/>
                <w:sz w:val="20"/>
                <w:szCs w:val="20"/>
                <w:lang w:eastAsia="sk-SK"/>
              </w:rPr>
            </w:pPr>
            <w:r w:rsidRPr="000939E3">
              <w:rPr>
                <w:rFonts w:eastAsia="Times New Roman" w:cs="Times New Roman"/>
                <w:sz w:val="20"/>
                <w:szCs w:val="20"/>
                <w:lang w:eastAsia="sk-SK"/>
              </w:rPr>
              <w:t>z toho vojaci</w:t>
            </w:r>
          </w:p>
        </w:tc>
        <w:tc>
          <w:tcPr>
            <w:tcW w:w="635" w:type="pct"/>
            <w:tcBorders>
              <w:top w:val="nil"/>
              <w:left w:val="nil"/>
              <w:bottom w:val="nil"/>
              <w:right w:val="nil"/>
            </w:tcBorders>
            <w:shd w:val="clear" w:color="auto" w:fill="auto"/>
            <w:noWrap/>
            <w:vAlign w:val="center"/>
            <w:hideMark/>
          </w:tcPr>
          <w:p w14:paraId="4076DC1D"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8%</w:t>
            </w:r>
          </w:p>
        </w:tc>
        <w:tc>
          <w:tcPr>
            <w:tcW w:w="558" w:type="pct"/>
            <w:tcBorders>
              <w:top w:val="nil"/>
              <w:left w:val="nil"/>
              <w:bottom w:val="nil"/>
              <w:right w:val="nil"/>
            </w:tcBorders>
            <w:shd w:val="clear" w:color="auto" w:fill="auto"/>
            <w:noWrap/>
            <w:vAlign w:val="center"/>
            <w:hideMark/>
          </w:tcPr>
          <w:p w14:paraId="2AE71D67"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466</w:t>
            </w:r>
          </w:p>
        </w:tc>
        <w:tc>
          <w:tcPr>
            <w:tcW w:w="554" w:type="pct"/>
            <w:tcBorders>
              <w:top w:val="nil"/>
              <w:left w:val="nil"/>
              <w:bottom w:val="nil"/>
              <w:right w:val="nil"/>
            </w:tcBorders>
            <w:shd w:val="clear" w:color="auto" w:fill="auto"/>
            <w:noWrap/>
            <w:vAlign w:val="center"/>
            <w:hideMark/>
          </w:tcPr>
          <w:p w14:paraId="7F5FBC39"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47</w:t>
            </w:r>
          </w:p>
        </w:tc>
        <w:tc>
          <w:tcPr>
            <w:tcW w:w="555" w:type="pct"/>
            <w:tcBorders>
              <w:top w:val="nil"/>
              <w:left w:val="nil"/>
              <w:bottom w:val="nil"/>
              <w:right w:val="nil"/>
            </w:tcBorders>
            <w:shd w:val="clear" w:color="auto" w:fill="auto"/>
            <w:noWrap/>
            <w:vAlign w:val="center"/>
            <w:hideMark/>
          </w:tcPr>
          <w:p w14:paraId="16C4E5AC"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749</w:t>
            </w:r>
          </w:p>
        </w:tc>
        <w:tc>
          <w:tcPr>
            <w:tcW w:w="555" w:type="pct"/>
            <w:tcBorders>
              <w:top w:val="nil"/>
              <w:left w:val="nil"/>
              <w:bottom w:val="nil"/>
              <w:right w:val="nil"/>
            </w:tcBorders>
            <w:shd w:val="clear" w:color="auto" w:fill="auto"/>
            <w:noWrap/>
            <w:vAlign w:val="center"/>
            <w:hideMark/>
          </w:tcPr>
          <w:p w14:paraId="1AABC0D7"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77</w:t>
            </w:r>
          </w:p>
        </w:tc>
      </w:tr>
      <w:tr w:rsidR="00AF421B" w:rsidRPr="000939E3" w14:paraId="6C49CA08" w14:textId="77777777" w:rsidTr="00262D31">
        <w:trPr>
          <w:trHeight w:val="184"/>
        </w:trPr>
        <w:tc>
          <w:tcPr>
            <w:tcW w:w="2143" w:type="pct"/>
            <w:tcBorders>
              <w:top w:val="nil"/>
              <w:left w:val="nil"/>
              <w:bottom w:val="nil"/>
              <w:right w:val="nil"/>
            </w:tcBorders>
            <w:shd w:val="clear" w:color="auto" w:fill="auto"/>
            <w:noWrap/>
            <w:vAlign w:val="bottom"/>
            <w:hideMark/>
          </w:tcPr>
          <w:p w14:paraId="27B02E19"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Úrad jadrového dozoru SR</w:t>
            </w:r>
          </w:p>
        </w:tc>
        <w:tc>
          <w:tcPr>
            <w:tcW w:w="635" w:type="pct"/>
            <w:tcBorders>
              <w:top w:val="nil"/>
              <w:left w:val="nil"/>
              <w:bottom w:val="nil"/>
              <w:right w:val="nil"/>
            </w:tcBorders>
            <w:shd w:val="clear" w:color="auto" w:fill="auto"/>
            <w:noWrap/>
            <w:vAlign w:val="center"/>
            <w:hideMark/>
          </w:tcPr>
          <w:p w14:paraId="2CE53D9D"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6%</w:t>
            </w:r>
          </w:p>
        </w:tc>
        <w:tc>
          <w:tcPr>
            <w:tcW w:w="558" w:type="pct"/>
            <w:tcBorders>
              <w:top w:val="nil"/>
              <w:left w:val="nil"/>
              <w:bottom w:val="nil"/>
              <w:right w:val="nil"/>
            </w:tcBorders>
            <w:shd w:val="clear" w:color="auto" w:fill="auto"/>
            <w:noWrap/>
            <w:vAlign w:val="center"/>
            <w:hideMark/>
          </w:tcPr>
          <w:p w14:paraId="71798347"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w:t>
            </w:r>
          </w:p>
        </w:tc>
        <w:tc>
          <w:tcPr>
            <w:tcW w:w="554" w:type="pct"/>
            <w:tcBorders>
              <w:top w:val="nil"/>
              <w:left w:val="nil"/>
              <w:bottom w:val="nil"/>
              <w:right w:val="nil"/>
            </w:tcBorders>
            <w:shd w:val="clear" w:color="auto" w:fill="auto"/>
            <w:noWrap/>
            <w:vAlign w:val="center"/>
            <w:hideMark/>
          </w:tcPr>
          <w:p w14:paraId="5DAE336D"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35</w:t>
            </w:r>
          </w:p>
        </w:tc>
        <w:tc>
          <w:tcPr>
            <w:tcW w:w="555" w:type="pct"/>
            <w:tcBorders>
              <w:top w:val="nil"/>
              <w:left w:val="nil"/>
              <w:bottom w:val="nil"/>
              <w:right w:val="nil"/>
            </w:tcBorders>
            <w:shd w:val="clear" w:color="auto" w:fill="auto"/>
            <w:noWrap/>
            <w:vAlign w:val="center"/>
            <w:hideMark/>
          </w:tcPr>
          <w:p w14:paraId="7EF7C784"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4</w:t>
            </w:r>
          </w:p>
        </w:tc>
        <w:tc>
          <w:tcPr>
            <w:tcW w:w="555" w:type="pct"/>
            <w:tcBorders>
              <w:top w:val="nil"/>
              <w:left w:val="nil"/>
              <w:bottom w:val="nil"/>
              <w:right w:val="nil"/>
            </w:tcBorders>
            <w:shd w:val="clear" w:color="auto" w:fill="auto"/>
            <w:noWrap/>
            <w:vAlign w:val="center"/>
            <w:hideMark/>
          </w:tcPr>
          <w:p w14:paraId="02AE1AE1"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85</w:t>
            </w:r>
          </w:p>
        </w:tc>
      </w:tr>
      <w:tr w:rsidR="00AF421B" w:rsidRPr="000939E3" w14:paraId="7D1EDEC9" w14:textId="77777777" w:rsidTr="00262D31">
        <w:trPr>
          <w:trHeight w:val="184"/>
        </w:trPr>
        <w:tc>
          <w:tcPr>
            <w:tcW w:w="2143" w:type="pct"/>
            <w:tcBorders>
              <w:top w:val="nil"/>
              <w:left w:val="nil"/>
              <w:bottom w:val="nil"/>
              <w:right w:val="nil"/>
            </w:tcBorders>
            <w:shd w:val="clear" w:color="auto" w:fill="auto"/>
            <w:noWrap/>
            <w:vAlign w:val="bottom"/>
            <w:hideMark/>
          </w:tcPr>
          <w:p w14:paraId="65D879C3"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Generálna prokuratúra SR</w:t>
            </w:r>
          </w:p>
        </w:tc>
        <w:tc>
          <w:tcPr>
            <w:tcW w:w="635" w:type="pct"/>
            <w:tcBorders>
              <w:top w:val="nil"/>
              <w:left w:val="nil"/>
              <w:bottom w:val="nil"/>
              <w:right w:val="nil"/>
            </w:tcBorders>
            <w:shd w:val="clear" w:color="auto" w:fill="auto"/>
            <w:noWrap/>
            <w:vAlign w:val="center"/>
            <w:hideMark/>
          </w:tcPr>
          <w:p w14:paraId="3CC40B20"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6%</w:t>
            </w:r>
          </w:p>
        </w:tc>
        <w:tc>
          <w:tcPr>
            <w:tcW w:w="558" w:type="pct"/>
            <w:tcBorders>
              <w:top w:val="nil"/>
              <w:left w:val="nil"/>
              <w:bottom w:val="nil"/>
              <w:right w:val="nil"/>
            </w:tcBorders>
            <w:shd w:val="clear" w:color="auto" w:fill="auto"/>
            <w:noWrap/>
            <w:vAlign w:val="center"/>
            <w:hideMark/>
          </w:tcPr>
          <w:p w14:paraId="47EBA9EF"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20</w:t>
            </w:r>
          </w:p>
        </w:tc>
        <w:tc>
          <w:tcPr>
            <w:tcW w:w="554" w:type="pct"/>
            <w:tcBorders>
              <w:top w:val="nil"/>
              <w:left w:val="nil"/>
              <w:bottom w:val="nil"/>
              <w:right w:val="nil"/>
            </w:tcBorders>
            <w:shd w:val="clear" w:color="auto" w:fill="auto"/>
            <w:noWrap/>
            <w:vAlign w:val="center"/>
            <w:hideMark/>
          </w:tcPr>
          <w:p w14:paraId="36E31176"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27</w:t>
            </w:r>
          </w:p>
        </w:tc>
        <w:tc>
          <w:tcPr>
            <w:tcW w:w="555" w:type="pct"/>
            <w:tcBorders>
              <w:top w:val="nil"/>
              <w:left w:val="nil"/>
              <w:bottom w:val="nil"/>
              <w:right w:val="nil"/>
            </w:tcBorders>
            <w:shd w:val="clear" w:color="auto" w:fill="auto"/>
            <w:noWrap/>
            <w:vAlign w:val="center"/>
            <w:hideMark/>
          </w:tcPr>
          <w:p w14:paraId="4021BB53"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61</w:t>
            </w:r>
          </w:p>
        </w:tc>
        <w:tc>
          <w:tcPr>
            <w:tcW w:w="555" w:type="pct"/>
            <w:tcBorders>
              <w:top w:val="nil"/>
              <w:left w:val="nil"/>
              <w:bottom w:val="nil"/>
              <w:right w:val="nil"/>
            </w:tcBorders>
            <w:shd w:val="clear" w:color="auto" w:fill="auto"/>
            <w:noWrap/>
            <w:vAlign w:val="center"/>
            <w:hideMark/>
          </w:tcPr>
          <w:p w14:paraId="691C48B9"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81</w:t>
            </w:r>
          </w:p>
        </w:tc>
      </w:tr>
      <w:tr w:rsidR="00AF421B" w:rsidRPr="000939E3" w14:paraId="2FC9B09E" w14:textId="77777777" w:rsidTr="00262D31">
        <w:trPr>
          <w:trHeight w:val="184"/>
        </w:trPr>
        <w:tc>
          <w:tcPr>
            <w:tcW w:w="2143" w:type="pct"/>
            <w:tcBorders>
              <w:top w:val="nil"/>
              <w:left w:val="nil"/>
              <w:bottom w:val="nil"/>
              <w:right w:val="nil"/>
            </w:tcBorders>
            <w:shd w:val="clear" w:color="auto" w:fill="auto"/>
            <w:noWrap/>
            <w:vAlign w:val="bottom"/>
            <w:hideMark/>
          </w:tcPr>
          <w:p w14:paraId="2455AF58" w14:textId="77777777" w:rsidR="00AF421B" w:rsidRPr="000939E3" w:rsidRDefault="00AF421B" w:rsidP="00AF421B">
            <w:pPr>
              <w:spacing w:after="0" w:line="240" w:lineRule="auto"/>
              <w:jc w:val="left"/>
              <w:rPr>
                <w:rFonts w:eastAsia="Times New Roman" w:cs="Times New Roman"/>
                <w:sz w:val="20"/>
                <w:szCs w:val="20"/>
                <w:lang w:eastAsia="sk-SK"/>
              </w:rPr>
            </w:pPr>
            <w:r w:rsidRPr="000939E3">
              <w:rPr>
                <w:rFonts w:eastAsia="Times New Roman" w:cs="Times New Roman"/>
                <w:sz w:val="20"/>
                <w:szCs w:val="20"/>
                <w:lang w:eastAsia="sk-SK"/>
              </w:rPr>
              <w:t>Ministerstvo vnútra SR</w:t>
            </w:r>
          </w:p>
        </w:tc>
        <w:tc>
          <w:tcPr>
            <w:tcW w:w="635" w:type="pct"/>
            <w:tcBorders>
              <w:top w:val="nil"/>
              <w:left w:val="nil"/>
              <w:bottom w:val="nil"/>
              <w:right w:val="nil"/>
            </w:tcBorders>
            <w:shd w:val="clear" w:color="auto" w:fill="auto"/>
            <w:noWrap/>
            <w:vAlign w:val="center"/>
            <w:hideMark/>
          </w:tcPr>
          <w:p w14:paraId="06349339"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6%</w:t>
            </w:r>
          </w:p>
        </w:tc>
        <w:tc>
          <w:tcPr>
            <w:tcW w:w="558" w:type="pct"/>
            <w:tcBorders>
              <w:top w:val="nil"/>
              <w:left w:val="nil"/>
              <w:bottom w:val="nil"/>
              <w:right w:val="nil"/>
            </w:tcBorders>
            <w:shd w:val="clear" w:color="auto" w:fill="auto"/>
            <w:noWrap/>
            <w:vAlign w:val="center"/>
            <w:hideMark/>
          </w:tcPr>
          <w:p w14:paraId="2A00936D"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354</w:t>
            </w:r>
          </w:p>
        </w:tc>
        <w:tc>
          <w:tcPr>
            <w:tcW w:w="554" w:type="pct"/>
            <w:tcBorders>
              <w:top w:val="nil"/>
              <w:left w:val="nil"/>
              <w:bottom w:val="nil"/>
              <w:right w:val="nil"/>
            </w:tcBorders>
            <w:shd w:val="clear" w:color="auto" w:fill="auto"/>
            <w:noWrap/>
            <w:vAlign w:val="center"/>
            <w:hideMark/>
          </w:tcPr>
          <w:p w14:paraId="73248C65"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19</w:t>
            </w:r>
          </w:p>
        </w:tc>
        <w:tc>
          <w:tcPr>
            <w:tcW w:w="555" w:type="pct"/>
            <w:tcBorders>
              <w:top w:val="nil"/>
              <w:left w:val="nil"/>
              <w:bottom w:val="nil"/>
              <w:right w:val="nil"/>
            </w:tcBorders>
            <w:shd w:val="clear" w:color="auto" w:fill="auto"/>
            <w:noWrap/>
            <w:vAlign w:val="center"/>
            <w:hideMark/>
          </w:tcPr>
          <w:p w14:paraId="5C2AE9B0"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1 425</w:t>
            </w:r>
          </w:p>
        </w:tc>
        <w:tc>
          <w:tcPr>
            <w:tcW w:w="555" w:type="pct"/>
            <w:tcBorders>
              <w:top w:val="nil"/>
              <w:left w:val="nil"/>
              <w:bottom w:val="nil"/>
              <w:right w:val="nil"/>
            </w:tcBorders>
            <w:shd w:val="clear" w:color="auto" w:fill="auto"/>
            <w:noWrap/>
            <w:vAlign w:val="center"/>
            <w:hideMark/>
          </w:tcPr>
          <w:p w14:paraId="7553ED76"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78</w:t>
            </w:r>
          </w:p>
        </w:tc>
      </w:tr>
      <w:tr w:rsidR="00AF421B" w:rsidRPr="000939E3" w14:paraId="253D1822" w14:textId="77777777" w:rsidTr="00262D31">
        <w:trPr>
          <w:trHeight w:val="184"/>
        </w:trPr>
        <w:tc>
          <w:tcPr>
            <w:tcW w:w="2143" w:type="pct"/>
            <w:tcBorders>
              <w:top w:val="nil"/>
              <w:left w:val="nil"/>
              <w:bottom w:val="nil"/>
              <w:right w:val="nil"/>
            </w:tcBorders>
            <w:shd w:val="clear" w:color="auto" w:fill="auto"/>
            <w:noWrap/>
            <w:vAlign w:val="bottom"/>
            <w:hideMark/>
          </w:tcPr>
          <w:p w14:paraId="678974D6" w14:textId="77777777" w:rsidR="00AF421B" w:rsidRPr="000939E3" w:rsidRDefault="00AF421B" w:rsidP="00AF421B">
            <w:pPr>
              <w:spacing w:after="0" w:line="240" w:lineRule="auto"/>
              <w:ind w:firstLineChars="200" w:firstLine="400"/>
              <w:jc w:val="left"/>
              <w:rPr>
                <w:rFonts w:eastAsia="Times New Roman" w:cs="Times New Roman"/>
                <w:sz w:val="20"/>
                <w:szCs w:val="20"/>
                <w:lang w:eastAsia="sk-SK"/>
              </w:rPr>
            </w:pPr>
            <w:r w:rsidRPr="000939E3">
              <w:rPr>
                <w:rFonts w:eastAsia="Times New Roman" w:cs="Times New Roman"/>
                <w:sz w:val="20"/>
                <w:szCs w:val="20"/>
                <w:lang w:eastAsia="sk-SK"/>
              </w:rPr>
              <w:t>z toho policajti</w:t>
            </w:r>
          </w:p>
        </w:tc>
        <w:tc>
          <w:tcPr>
            <w:tcW w:w="635" w:type="pct"/>
            <w:tcBorders>
              <w:top w:val="nil"/>
              <w:left w:val="nil"/>
              <w:bottom w:val="nil"/>
              <w:right w:val="nil"/>
            </w:tcBorders>
            <w:shd w:val="clear" w:color="auto" w:fill="auto"/>
            <w:noWrap/>
            <w:vAlign w:val="center"/>
            <w:hideMark/>
          </w:tcPr>
          <w:p w14:paraId="1F5434F9"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10%</w:t>
            </w:r>
          </w:p>
        </w:tc>
        <w:tc>
          <w:tcPr>
            <w:tcW w:w="558" w:type="pct"/>
            <w:tcBorders>
              <w:top w:val="nil"/>
              <w:left w:val="nil"/>
              <w:bottom w:val="nil"/>
              <w:right w:val="nil"/>
            </w:tcBorders>
            <w:shd w:val="clear" w:color="auto" w:fill="auto"/>
            <w:noWrap/>
            <w:vAlign w:val="center"/>
            <w:hideMark/>
          </w:tcPr>
          <w:p w14:paraId="7C80F844"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1 325</w:t>
            </w:r>
          </w:p>
        </w:tc>
        <w:tc>
          <w:tcPr>
            <w:tcW w:w="554" w:type="pct"/>
            <w:tcBorders>
              <w:top w:val="nil"/>
              <w:left w:val="nil"/>
              <w:bottom w:val="nil"/>
              <w:right w:val="nil"/>
            </w:tcBorders>
            <w:shd w:val="clear" w:color="auto" w:fill="auto"/>
            <w:noWrap/>
            <w:vAlign w:val="center"/>
            <w:hideMark/>
          </w:tcPr>
          <w:p w14:paraId="7AC1314D"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85</w:t>
            </w:r>
          </w:p>
        </w:tc>
        <w:tc>
          <w:tcPr>
            <w:tcW w:w="555" w:type="pct"/>
            <w:tcBorders>
              <w:top w:val="nil"/>
              <w:left w:val="nil"/>
              <w:bottom w:val="nil"/>
              <w:right w:val="nil"/>
            </w:tcBorders>
            <w:shd w:val="clear" w:color="auto" w:fill="auto"/>
            <w:noWrap/>
            <w:vAlign w:val="center"/>
            <w:hideMark/>
          </w:tcPr>
          <w:p w14:paraId="608D46B0"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1 796</w:t>
            </w:r>
          </w:p>
        </w:tc>
        <w:tc>
          <w:tcPr>
            <w:tcW w:w="555" w:type="pct"/>
            <w:tcBorders>
              <w:top w:val="nil"/>
              <w:left w:val="nil"/>
              <w:bottom w:val="nil"/>
              <w:right w:val="nil"/>
            </w:tcBorders>
            <w:shd w:val="clear" w:color="auto" w:fill="auto"/>
            <w:noWrap/>
            <w:vAlign w:val="center"/>
            <w:hideMark/>
          </w:tcPr>
          <w:p w14:paraId="26DDC78C"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117</w:t>
            </w:r>
          </w:p>
        </w:tc>
      </w:tr>
      <w:tr w:rsidR="00AF421B" w:rsidRPr="000939E3" w14:paraId="2C0CCADC" w14:textId="77777777" w:rsidTr="00262D31">
        <w:trPr>
          <w:trHeight w:val="184"/>
        </w:trPr>
        <w:tc>
          <w:tcPr>
            <w:tcW w:w="2143" w:type="pct"/>
            <w:tcBorders>
              <w:top w:val="nil"/>
              <w:left w:val="nil"/>
              <w:bottom w:val="nil"/>
              <w:right w:val="nil"/>
            </w:tcBorders>
            <w:shd w:val="clear" w:color="auto" w:fill="auto"/>
            <w:noWrap/>
            <w:vAlign w:val="bottom"/>
            <w:hideMark/>
          </w:tcPr>
          <w:p w14:paraId="33D394C3" w14:textId="77777777" w:rsidR="00AF421B" w:rsidRPr="000939E3" w:rsidRDefault="00AF421B" w:rsidP="00AF421B">
            <w:pPr>
              <w:spacing w:after="0" w:line="240" w:lineRule="auto"/>
              <w:ind w:firstLineChars="200" w:firstLine="400"/>
              <w:jc w:val="left"/>
              <w:rPr>
                <w:rFonts w:eastAsia="Times New Roman" w:cs="Times New Roman"/>
                <w:sz w:val="20"/>
                <w:szCs w:val="20"/>
                <w:lang w:eastAsia="sk-SK"/>
              </w:rPr>
            </w:pPr>
            <w:r w:rsidRPr="000939E3">
              <w:rPr>
                <w:rFonts w:eastAsia="Times New Roman" w:cs="Times New Roman"/>
                <w:sz w:val="20"/>
                <w:szCs w:val="20"/>
                <w:lang w:eastAsia="sk-SK"/>
              </w:rPr>
              <w:t>z toho hasiči</w:t>
            </w:r>
          </w:p>
        </w:tc>
        <w:tc>
          <w:tcPr>
            <w:tcW w:w="635" w:type="pct"/>
            <w:tcBorders>
              <w:top w:val="nil"/>
              <w:left w:val="nil"/>
              <w:bottom w:val="nil"/>
              <w:right w:val="nil"/>
            </w:tcBorders>
            <w:shd w:val="clear" w:color="auto" w:fill="auto"/>
            <w:noWrap/>
            <w:vAlign w:val="center"/>
            <w:hideMark/>
          </w:tcPr>
          <w:p w14:paraId="56FED075"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w:t>
            </w:r>
          </w:p>
        </w:tc>
        <w:tc>
          <w:tcPr>
            <w:tcW w:w="558" w:type="pct"/>
            <w:tcBorders>
              <w:top w:val="nil"/>
              <w:left w:val="nil"/>
              <w:bottom w:val="nil"/>
              <w:right w:val="nil"/>
            </w:tcBorders>
            <w:shd w:val="clear" w:color="auto" w:fill="auto"/>
            <w:noWrap/>
            <w:vAlign w:val="center"/>
            <w:hideMark/>
          </w:tcPr>
          <w:p w14:paraId="08900D9F" w14:textId="77777777" w:rsidR="00AF421B" w:rsidRPr="000939E3" w:rsidRDefault="00AF421B" w:rsidP="00721CC9">
            <w:pPr>
              <w:spacing w:after="0" w:line="240" w:lineRule="auto"/>
              <w:jc w:val="right"/>
              <w:rPr>
                <w:rFonts w:eastAsia="Times New Roman" w:cs="Times New Roman"/>
                <w:sz w:val="20"/>
                <w:szCs w:val="20"/>
                <w:lang w:eastAsia="sk-SK"/>
              </w:rPr>
            </w:pPr>
          </w:p>
        </w:tc>
        <w:tc>
          <w:tcPr>
            <w:tcW w:w="554" w:type="pct"/>
            <w:tcBorders>
              <w:top w:val="nil"/>
              <w:left w:val="nil"/>
              <w:bottom w:val="nil"/>
              <w:right w:val="nil"/>
            </w:tcBorders>
            <w:shd w:val="clear" w:color="auto" w:fill="auto"/>
            <w:noWrap/>
            <w:vAlign w:val="center"/>
            <w:hideMark/>
          </w:tcPr>
          <w:p w14:paraId="19673C92" w14:textId="77777777" w:rsidR="00AF421B" w:rsidRPr="000939E3" w:rsidRDefault="00AF421B" w:rsidP="00721CC9">
            <w:pPr>
              <w:spacing w:after="0" w:line="240" w:lineRule="auto"/>
              <w:jc w:val="right"/>
              <w:rPr>
                <w:rFonts w:eastAsia="Times New Roman" w:cs="Times New Roman"/>
                <w:sz w:val="20"/>
                <w:szCs w:val="20"/>
                <w:lang w:eastAsia="sk-SK"/>
              </w:rPr>
            </w:pPr>
          </w:p>
        </w:tc>
        <w:tc>
          <w:tcPr>
            <w:tcW w:w="555" w:type="pct"/>
            <w:tcBorders>
              <w:top w:val="nil"/>
              <w:left w:val="nil"/>
              <w:bottom w:val="nil"/>
              <w:right w:val="nil"/>
            </w:tcBorders>
            <w:shd w:val="clear" w:color="auto" w:fill="auto"/>
            <w:noWrap/>
            <w:vAlign w:val="center"/>
            <w:hideMark/>
          </w:tcPr>
          <w:p w14:paraId="288B5C2C" w14:textId="77777777" w:rsidR="00AF421B" w:rsidRPr="000939E3" w:rsidRDefault="00AF421B" w:rsidP="00721CC9">
            <w:pPr>
              <w:spacing w:after="0" w:line="240" w:lineRule="auto"/>
              <w:jc w:val="right"/>
              <w:rPr>
                <w:rFonts w:eastAsia="Times New Roman" w:cs="Times New Roman"/>
                <w:sz w:val="20"/>
                <w:szCs w:val="20"/>
                <w:lang w:eastAsia="sk-SK"/>
              </w:rPr>
            </w:pPr>
          </w:p>
        </w:tc>
        <w:tc>
          <w:tcPr>
            <w:tcW w:w="555" w:type="pct"/>
            <w:tcBorders>
              <w:top w:val="nil"/>
              <w:left w:val="nil"/>
              <w:bottom w:val="nil"/>
              <w:right w:val="nil"/>
            </w:tcBorders>
            <w:shd w:val="clear" w:color="auto" w:fill="auto"/>
            <w:noWrap/>
            <w:vAlign w:val="center"/>
            <w:hideMark/>
          </w:tcPr>
          <w:p w14:paraId="055BC121" w14:textId="77777777" w:rsidR="00AF421B" w:rsidRPr="000939E3" w:rsidRDefault="00AF421B" w:rsidP="00721CC9">
            <w:pPr>
              <w:spacing w:after="0" w:line="240" w:lineRule="auto"/>
              <w:jc w:val="right"/>
              <w:rPr>
                <w:rFonts w:eastAsia="Times New Roman" w:cs="Times New Roman"/>
                <w:sz w:val="20"/>
                <w:szCs w:val="20"/>
                <w:lang w:eastAsia="sk-SK"/>
              </w:rPr>
            </w:pPr>
          </w:p>
        </w:tc>
      </w:tr>
      <w:tr w:rsidR="00AF421B" w:rsidRPr="000939E3" w14:paraId="726E4046" w14:textId="77777777" w:rsidTr="00262D31">
        <w:trPr>
          <w:trHeight w:val="184"/>
        </w:trPr>
        <w:tc>
          <w:tcPr>
            <w:tcW w:w="2143" w:type="pct"/>
            <w:tcBorders>
              <w:top w:val="nil"/>
              <w:left w:val="nil"/>
              <w:bottom w:val="nil"/>
              <w:right w:val="nil"/>
            </w:tcBorders>
            <w:shd w:val="clear" w:color="auto" w:fill="auto"/>
            <w:noWrap/>
            <w:vAlign w:val="bottom"/>
            <w:hideMark/>
          </w:tcPr>
          <w:p w14:paraId="01CF126C" w14:textId="7649CA69" w:rsidR="00AF421B" w:rsidRPr="000939E3" w:rsidRDefault="00AF421B" w:rsidP="00AF421B">
            <w:pPr>
              <w:spacing w:after="0" w:line="240" w:lineRule="auto"/>
              <w:ind w:firstLineChars="200" w:firstLine="400"/>
              <w:jc w:val="left"/>
              <w:rPr>
                <w:rFonts w:eastAsia="Times New Roman" w:cs="Times New Roman"/>
                <w:sz w:val="20"/>
                <w:szCs w:val="20"/>
                <w:lang w:eastAsia="sk-SK"/>
              </w:rPr>
            </w:pPr>
            <w:r w:rsidRPr="000939E3">
              <w:rPr>
                <w:rFonts w:eastAsia="Times New Roman" w:cs="Times New Roman"/>
                <w:sz w:val="20"/>
                <w:szCs w:val="20"/>
                <w:lang w:eastAsia="sk-SK"/>
              </w:rPr>
              <w:t>z toho regio</w:t>
            </w:r>
            <w:r w:rsidR="00035426" w:rsidRPr="000939E3">
              <w:rPr>
                <w:rFonts w:eastAsia="Times New Roman" w:cs="Times New Roman"/>
                <w:sz w:val="20"/>
                <w:szCs w:val="20"/>
                <w:lang w:eastAsia="sk-SK"/>
              </w:rPr>
              <w:t>nálne</w:t>
            </w:r>
            <w:r w:rsidRPr="000939E3">
              <w:rPr>
                <w:rFonts w:eastAsia="Times New Roman" w:cs="Times New Roman"/>
                <w:sz w:val="20"/>
                <w:szCs w:val="20"/>
                <w:lang w:eastAsia="sk-SK"/>
              </w:rPr>
              <w:t xml:space="preserve"> školstvo</w:t>
            </w:r>
          </w:p>
        </w:tc>
        <w:tc>
          <w:tcPr>
            <w:tcW w:w="635" w:type="pct"/>
            <w:tcBorders>
              <w:top w:val="nil"/>
              <w:left w:val="nil"/>
              <w:bottom w:val="nil"/>
              <w:right w:val="nil"/>
            </w:tcBorders>
            <w:shd w:val="clear" w:color="auto" w:fill="auto"/>
            <w:noWrap/>
            <w:vAlign w:val="center"/>
            <w:hideMark/>
          </w:tcPr>
          <w:p w14:paraId="00026B11"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1%</w:t>
            </w:r>
          </w:p>
        </w:tc>
        <w:tc>
          <w:tcPr>
            <w:tcW w:w="558" w:type="pct"/>
            <w:tcBorders>
              <w:top w:val="nil"/>
              <w:left w:val="nil"/>
              <w:bottom w:val="nil"/>
              <w:right w:val="nil"/>
            </w:tcBorders>
            <w:shd w:val="clear" w:color="auto" w:fill="auto"/>
            <w:noWrap/>
            <w:vAlign w:val="center"/>
            <w:hideMark/>
          </w:tcPr>
          <w:p w14:paraId="77D216A2" w14:textId="77777777" w:rsidR="00AF421B" w:rsidRPr="000939E3" w:rsidRDefault="00AF421B" w:rsidP="00721CC9">
            <w:pPr>
              <w:spacing w:after="0" w:line="240" w:lineRule="auto"/>
              <w:jc w:val="right"/>
              <w:rPr>
                <w:rFonts w:eastAsia="Times New Roman" w:cs="Times New Roman"/>
                <w:sz w:val="20"/>
                <w:szCs w:val="20"/>
                <w:lang w:eastAsia="sk-SK"/>
              </w:rPr>
            </w:pPr>
          </w:p>
        </w:tc>
        <w:tc>
          <w:tcPr>
            <w:tcW w:w="554" w:type="pct"/>
            <w:tcBorders>
              <w:top w:val="nil"/>
              <w:left w:val="nil"/>
              <w:bottom w:val="nil"/>
              <w:right w:val="nil"/>
            </w:tcBorders>
            <w:shd w:val="clear" w:color="auto" w:fill="auto"/>
            <w:noWrap/>
            <w:vAlign w:val="center"/>
            <w:hideMark/>
          </w:tcPr>
          <w:p w14:paraId="51BB432D" w14:textId="77777777" w:rsidR="00AF421B" w:rsidRPr="000939E3" w:rsidRDefault="00AF421B" w:rsidP="00721CC9">
            <w:pPr>
              <w:spacing w:after="0" w:line="240" w:lineRule="auto"/>
              <w:jc w:val="right"/>
              <w:rPr>
                <w:rFonts w:eastAsia="Times New Roman" w:cs="Times New Roman"/>
                <w:sz w:val="20"/>
                <w:szCs w:val="20"/>
                <w:lang w:eastAsia="sk-SK"/>
              </w:rPr>
            </w:pPr>
          </w:p>
        </w:tc>
        <w:tc>
          <w:tcPr>
            <w:tcW w:w="555" w:type="pct"/>
            <w:tcBorders>
              <w:top w:val="nil"/>
              <w:left w:val="nil"/>
              <w:bottom w:val="nil"/>
              <w:right w:val="nil"/>
            </w:tcBorders>
            <w:shd w:val="clear" w:color="auto" w:fill="auto"/>
            <w:noWrap/>
            <w:vAlign w:val="center"/>
            <w:hideMark/>
          </w:tcPr>
          <w:p w14:paraId="180CE7D9" w14:textId="77777777" w:rsidR="00AF421B" w:rsidRPr="000939E3" w:rsidRDefault="00AF421B" w:rsidP="00721CC9">
            <w:pPr>
              <w:spacing w:after="0" w:line="240" w:lineRule="auto"/>
              <w:jc w:val="right"/>
              <w:rPr>
                <w:rFonts w:eastAsia="Times New Roman" w:cs="Times New Roman"/>
                <w:sz w:val="20"/>
                <w:szCs w:val="20"/>
                <w:lang w:eastAsia="sk-SK"/>
              </w:rPr>
            </w:pPr>
          </w:p>
        </w:tc>
        <w:tc>
          <w:tcPr>
            <w:tcW w:w="555" w:type="pct"/>
            <w:tcBorders>
              <w:top w:val="nil"/>
              <w:left w:val="nil"/>
              <w:bottom w:val="nil"/>
              <w:right w:val="nil"/>
            </w:tcBorders>
            <w:shd w:val="clear" w:color="auto" w:fill="auto"/>
            <w:noWrap/>
            <w:vAlign w:val="center"/>
            <w:hideMark/>
          </w:tcPr>
          <w:p w14:paraId="422722C9" w14:textId="77777777" w:rsidR="00AF421B" w:rsidRPr="000939E3" w:rsidRDefault="00AF421B" w:rsidP="00721CC9">
            <w:pPr>
              <w:spacing w:after="0" w:line="240" w:lineRule="auto"/>
              <w:jc w:val="right"/>
              <w:rPr>
                <w:rFonts w:eastAsia="Times New Roman" w:cs="Times New Roman"/>
                <w:sz w:val="20"/>
                <w:szCs w:val="20"/>
                <w:lang w:eastAsia="sk-SK"/>
              </w:rPr>
            </w:pPr>
          </w:p>
        </w:tc>
      </w:tr>
      <w:tr w:rsidR="00AF421B" w:rsidRPr="000939E3" w14:paraId="52C47EBE" w14:textId="77777777" w:rsidTr="00262D31">
        <w:trPr>
          <w:trHeight w:val="184"/>
        </w:trPr>
        <w:tc>
          <w:tcPr>
            <w:tcW w:w="2143" w:type="pct"/>
            <w:tcBorders>
              <w:top w:val="nil"/>
              <w:left w:val="nil"/>
              <w:bottom w:val="single" w:sz="4" w:space="0" w:color="auto"/>
              <w:right w:val="nil"/>
            </w:tcBorders>
            <w:shd w:val="clear" w:color="auto" w:fill="auto"/>
            <w:noWrap/>
            <w:vAlign w:val="bottom"/>
            <w:hideMark/>
          </w:tcPr>
          <w:p w14:paraId="0AA4B3AC" w14:textId="6F046955" w:rsidR="00AF421B" w:rsidRPr="000939E3" w:rsidRDefault="00AF421B" w:rsidP="009036B1">
            <w:pPr>
              <w:spacing w:after="0" w:line="240" w:lineRule="auto"/>
              <w:ind w:firstLineChars="200" w:firstLine="400"/>
              <w:jc w:val="left"/>
              <w:rPr>
                <w:rFonts w:eastAsia="Times New Roman" w:cs="Times New Roman"/>
                <w:sz w:val="20"/>
                <w:szCs w:val="20"/>
                <w:lang w:eastAsia="sk-SK"/>
              </w:rPr>
            </w:pPr>
            <w:r w:rsidRPr="000939E3">
              <w:rPr>
                <w:rFonts w:eastAsia="Times New Roman" w:cs="Times New Roman"/>
                <w:sz w:val="20"/>
                <w:szCs w:val="20"/>
                <w:lang w:eastAsia="sk-SK"/>
              </w:rPr>
              <w:t xml:space="preserve">vnútro </w:t>
            </w:r>
            <w:r w:rsidR="0089405B" w:rsidRPr="000939E3">
              <w:rPr>
                <w:rFonts w:eastAsia="Times New Roman" w:cs="Times New Roman"/>
                <w:sz w:val="20"/>
                <w:szCs w:val="20"/>
                <w:lang w:eastAsia="sk-SK"/>
              </w:rPr>
              <w:t>ostatné</w:t>
            </w:r>
          </w:p>
        </w:tc>
        <w:tc>
          <w:tcPr>
            <w:tcW w:w="635" w:type="pct"/>
            <w:tcBorders>
              <w:top w:val="nil"/>
              <w:left w:val="nil"/>
              <w:bottom w:val="single" w:sz="4" w:space="0" w:color="auto"/>
              <w:right w:val="nil"/>
            </w:tcBorders>
            <w:shd w:val="clear" w:color="auto" w:fill="auto"/>
            <w:noWrap/>
            <w:vAlign w:val="center"/>
            <w:hideMark/>
          </w:tcPr>
          <w:p w14:paraId="6B8D72DF"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2%</w:t>
            </w:r>
          </w:p>
        </w:tc>
        <w:tc>
          <w:tcPr>
            <w:tcW w:w="558" w:type="pct"/>
            <w:tcBorders>
              <w:top w:val="nil"/>
              <w:left w:val="nil"/>
              <w:bottom w:val="single" w:sz="4" w:space="0" w:color="auto"/>
              <w:right w:val="nil"/>
            </w:tcBorders>
            <w:shd w:val="clear" w:color="auto" w:fill="auto"/>
            <w:noWrap/>
            <w:vAlign w:val="center"/>
            <w:hideMark/>
          </w:tcPr>
          <w:p w14:paraId="2C7CC75B"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 </w:t>
            </w:r>
          </w:p>
        </w:tc>
        <w:tc>
          <w:tcPr>
            <w:tcW w:w="554" w:type="pct"/>
            <w:tcBorders>
              <w:top w:val="nil"/>
              <w:left w:val="nil"/>
              <w:bottom w:val="single" w:sz="4" w:space="0" w:color="auto"/>
              <w:right w:val="nil"/>
            </w:tcBorders>
            <w:shd w:val="clear" w:color="auto" w:fill="auto"/>
            <w:noWrap/>
            <w:vAlign w:val="center"/>
            <w:hideMark/>
          </w:tcPr>
          <w:p w14:paraId="49F8A8BA"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 </w:t>
            </w:r>
          </w:p>
        </w:tc>
        <w:tc>
          <w:tcPr>
            <w:tcW w:w="555" w:type="pct"/>
            <w:tcBorders>
              <w:top w:val="nil"/>
              <w:left w:val="nil"/>
              <w:bottom w:val="single" w:sz="4" w:space="0" w:color="auto"/>
              <w:right w:val="nil"/>
            </w:tcBorders>
            <w:shd w:val="clear" w:color="auto" w:fill="auto"/>
            <w:noWrap/>
            <w:vAlign w:val="center"/>
            <w:hideMark/>
          </w:tcPr>
          <w:p w14:paraId="636DCA06"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 </w:t>
            </w:r>
          </w:p>
        </w:tc>
        <w:tc>
          <w:tcPr>
            <w:tcW w:w="555" w:type="pct"/>
            <w:tcBorders>
              <w:top w:val="nil"/>
              <w:left w:val="nil"/>
              <w:bottom w:val="single" w:sz="4" w:space="0" w:color="auto"/>
              <w:right w:val="nil"/>
            </w:tcBorders>
            <w:shd w:val="clear" w:color="auto" w:fill="auto"/>
            <w:noWrap/>
            <w:vAlign w:val="center"/>
            <w:hideMark/>
          </w:tcPr>
          <w:p w14:paraId="05EC3BF3" w14:textId="77777777" w:rsidR="00AF421B" w:rsidRPr="000939E3" w:rsidRDefault="00AF421B" w:rsidP="00721CC9">
            <w:pPr>
              <w:spacing w:after="0" w:line="240" w:lineRule="auto"/>
              <w:jc w:val="right"/>
              <w:rPr>
                <w:rFonts w:eastAsia="Times New Roman" w:cs="Times New Roman"/>
                <w:sz w:val="20"/>
                <w:szCs w:val="20"/>
                <w:lang w:eastAsia="sk-SK"/>
              </w:rPr>
            </w:pPr>
            <w:r w:rsidRPr="000939E3">
              <w:rPr>
                <w:rFonts w:eastAsia="Times New Roman" w:cs="Times New Roman"/>
                <w:sz w:val="20"/>
                <w:szCs w:val="20"/>
                <w:lang w:eastAsia="sk-SK"/>
              </w:rPr>
              <w:t> </w:t>
            </w:r>
          </w:p>
        </w:tc>
      </w:tr>
      <w:tr w:rsidR="00AF421B" w:rsidRPr="000939E3" w14:paraId="408C031F" w14:textId="77777777" w:rsidTr="00262D31">
        <w:trPr>
          <w:trHeight w:val="184"/>
        </w:trPr>
        <w:tc>
          <w:tcPr>
            <w:tcW w:w="2143" w:type="pct"/>
            <w:tcBorders>
              <w:top w:val="single" w:sz="4" w:space="0" w:color="auto"/>
              <w:left w:val="nil"/>
              <w:bottom w:val="single" w:sz="4" w:space="0" w:color="auto"/>
              <w:right w:val="nil"/>
            </w:tcBorders>
            <w:shd w:val="clear" w:color="auto" w:fill="auto"/>
            <w:noWrap/>
            <w:vAlign w:val="bottom"/>
            <w:hideMark/>
          </w:tcPr>
          <w:p w14:paraId="573F11F8" w14:textId="77777777" w:rsidR="00AF421B" w:rsidRPr="000939E3" w:rsidRDefault="00AF421B" w:rsidP="00AF421B">
            <w:pPr>
              <w:spacing w:after="0" w:line="240" w:lineRule="auto"/>
              <w:jc w:val="left"/>
              <w:rPr>
                <w:rFonts w:eastAsia="Times New Roman" w:cs="Times New Roman"/>
                <w:b/>
                <w:bCs/>
                <w:sz w:val="20"/>
                <w:szCs w:val="20"/>
                <w:lang w:eastAsia="sk-SK"/>
              </w:rPr>
            </w:pPr>
            <w:r w:rsidRPr="000939E3">
              <w:rPr>
                <w:rFonts w:eastAsia="Times New Roman" w:cs="Times New Roman"/>
                <w:b/>
                <w:bCs/>
                <w:sz w:val="20"/>
                <w:szCs w:val="20"/>
                <w:lang w:eastAsia="sk-SK"/>
              </w:rPr>
              <w:t>SPOLU</w:t>
            </w:r>
          </w:p>
        </w:tc>
        <w:tc>
          <w:tcPr>
            <w:tcW w:w="635" w:type="pct"/>
            <w:tcBorders>
              <w:top w:val="single" w:sz="4" w:space="0" w:color="auto"/>
              <w:left w:val="nil"/>
              <w:bottom w:val="single" w:sz="4" w:space="0" w:color="auto"/>
              <w:right w:val="nil"/>
            </w:tcBorders>
            <w:shd w:val="clear" w:color="auto" w:fill="auto"/>
            <w:noWrap/>
            <w:vAlign w:val="bottom"/>
            <w:hideMark/>
          </w:tcPr>
          <w:p w14:paraId="29A133DB" w14:textId="77777777" w:rsidR="00AF421B" w:rsidRPr="000939E3" w:rsidRDefault="00AF421B" w:rsidP="00AF421B">
            <w:pPr>
              <w:spacing w:after="0" w:line="240" w:lineRule="auto"/>
              <w:jc w:val="left"/>
              <w:rPr>
                <w:rFonts w:eastAsia="Times New Roman" w:cs="Times New Roman"/>
                <w:b/>
                <w:bCs/>
                <w:sz w:val="20"/>
                <w:szCs w:val="20"/>
                <w:lang w:eastAsia="sk-SK"/>
              </w:rPr>
            </w:pPr>
          </w:p>
        </w:tc>
        <w:tc>
          <w:tcPr>
            <w:tcW w:w="558" w:type="pct"/>
            <w:tcBorders>
              <w:top w:val="single" w:sz="4" w:space="0" w:color="auto"/>
              <w:left w:val="nil"/>
              <w:bottom w:val="single" w:sz="4" w:space="0" w:color="auto"/>
              <w:right w:val="nil"/>
            </w:tcBorders>
            <w:shd w:val="clear" w:color="auto" w:fill="auto"/>
            <w:noWrap/>
            <w:vAlign w:val="bottom"/>
            <w:hideMark/>
          </w:tcPr>
          <w:p w14:paraId="284F2D74" w14:textId="77777777" w:rsidR="00AF421B" w:rsidRPr="000939E3" w:rsidRDefault="00AF421B" w:rsidP="00AF421B">
            <w:pPr>
              <w:spacing w:after="0" w:line="240" w:lineRule="auto"/>
              <w:jc w:val="right"/>
              <w:rPr>
                <w:rFonts w:eastAsia="Times New Roman" w:cs="Times New Roman"/>
                <w:b/>
                <w:sz w:val="20"/>
                <w:szCs w:val="20"/>
                <w:lang w:eastAsia="sk-SK"/>
              </w:rPr>
            </w:pPr>
            <w:r w:rsidRPr="000939E3">
              <w:rPr>
                <w:rFonts w:eastAsia="Times New Roman" w:cs="Times New Roman"/>
                <w:b/>
                <w:sz w:val="20"/>
                <w:szCs w:val="20"/>
                <w:lang w:eastAsia="sk-SK"/>
              </w:rPr>
              <w:t>1 107</w:t>
            </w:r>
          </w:p>
        </w:tc>
        <w:tc>
          <w:tcPr>
            <w:tcW w:w="554" w:type="pct"/>
            <w:tcBorders>
              <w:top w:val="single" w:sz="4" w:space="0" w:color="auto"/>
              <w:left w:val="nil"/>
              <w:bottom w:val="single" w:sz="4" w:space="0" w:color="auto"/>
              <w:right w:val="nil"/>
            </w:tcBorders>
            <w:shd w:val="clear" w:color="auto" w:fill="auto"/>
            <w:noWrap/>
            <w:vAlign w:val="bottom"/>
            <w:hideMark/>
          </w:tcPr>
          <w:p w14:paraId="008F8D44" w14:textId="77777777" w:rsidR="00AF421B" w:rsidRPr="000939E3" w:rsidRDefault="00AF421B" w:rsidP="00AF421B">
            <w:pPr>
              <w:spacing w:after="0" w:line="240" w:lineRule="auto"/>
              <w:jc w:val="right"/>
              <w:rPr>
                <w:rFonts w:eastAsia="Times New Roman" w:cs="Times New Roman"/>
                <w:b/>
                <w:sz w:val="20"/>
                <w:szCs w:val="20"/>
                <w:lang w:eastAsia="sk-SK"/>
              </w:rPr>
            </w:pPr>
            <w:r w:rsidRPr="000939E3">
              <w:rPr>
                <w:rFonts w:eastAsia="Times New Roman" w:cs="Times New Roman"/>
                <w:b/>
                <w:sz w:val="20"/>
                <w:szCs w:val="20"/>
                <w:lang w:eastAsia="sk-SK"/>
              </w:rPr>
              <w:t>140</w:t>
            </w:r>
          </w:p>
        </w:tc>
        <w:tc>
          <w:tcPr>
            <w:tcW w:w="555" w:type="pct"/>
            <w:tcBorders>
              <w:top w:val="single" w:sz="4" w:space="0" w:color="auto"/>
              <w:left w:val="nil"/>
              <w:bottom w:val="single" w:sz="4" w:space="0" w:color="auto"/>
              <w:right w:val="nil"/>
            </w:tcBorders>
            <w:shd w:val="clear" w:color="auto" w:fill="auto"/>
            <w:noWrap/>
            <w:vAlign w:val="bottom"/>
            <w:hideMark/>
          </w:tcPr>
          <w:p w14:paraId="1E2B202E" w14:textId="77777777" w:rsidR="00AF421B" w:rsidRPr="000939E3" w:rsidRDefault="00AF421B" w:rsidP="00AF421B">
            <w:pPr>
              <w:spacing w:after="0" w:line="240" w:lineRule="auto"/>
              <w:jc w:val="right"/>
              <w:rPr>
                <w:rFonts w:eastAsia="Times New Roman" w:cs="Times New Roman"/>
                <w:b/>
                <w:sz w:val="20"/>
                <w:szCs w:val="20"/>
                <w:lang w:eastAsia="sk-SK"/>
              </w:rPr>
            </w:pPr>
            <w:r w:rsidRPr="000939E3">
              <w:rPr>
                <w:rFonts w:eastAsia="Times New Roman" w:cs="Times New Roman"/>
                <w:b/>
                <w:sz w:val="20"/>
                <w:szCs w:val="20"/>
                <w:lang w:eastAsia="sk-SK"/>
              </w:rPr>
              <w:t>2 762</w:t>
            </w:r>
          </w:p>
        </w:tc>
        <w:tc>
          <w:tcPr>
            <w:tcW w:w="555" w:type="pct"/>
            <w:tcBorders>
              <w:top w:val="single" w:sz="4" w:space="0" w:color="auto"/>
              <w:left w:val="nil"/>
              <w:bottom w:val="single" w:sz="4" w:space="0" w:color="auto"/>
              <w:right w:val="nil"/>
            </w:tcBorders>
            <w:shd w:val="clear" w:color="auto" w:fill="auto"/>
            <w:noWrap/>
            <w:vAlign w:val="bottom"/>
            <w:hideMark/>
          </w:tcPr>
          <w:p w14:paraId="777E3A35" w14:textId="77777777" w:rsidR="00AF421B" w:rsidRPr="000939E3" w:rsidRDefault="00AF421B" w:rsidP="00AF421B">
            <w:pPr>
              <w:spacing w:after="0" w:line="240" w:lineRule="auto"/>
              <w:jc w:val="right"/>
              <w:rPr>
                <w:rFonts w:eastAsia="Times New Roman" w:cs="Times New Roman"/>
                <w:b/>
                <w:sz w:val="20"/>
                <w:szCs w:val="20"/>
                <w:lang w:eastAsia="sk-SK"/>
              </w:rPr>
            </w:pPr>
            <w:r w:rsidRPr="000939E3">
              <w:rPr>
                <w:rFonts w:eastAsia="Times New Roman" w:cs="Times New Roman"/>
                <w:b/>
                <w:sz w:val="20"/>
                <w:szCs w:val="20"/>
                <w:lang w:eastAsia="sk-SK"/>
              </w:rPr>
              <w:t>179</w:t>
            </w:r>
          </w:p>
        </w:tc>
      </w:tr>
      <w:tr w:rsidR="00FF458D" w:rsidRPr="000939E3" w14:paraId="68EA91DC" w14:textId="77777777" w:rsidTr="00262D31">
        <w:trPr>
          <w:trHeight w:val="184"/>
        </w:trPr>
        <w:tc>
          <w:tcPr>
            <w:tcW w:w="2143" w:type="pct"/>
            <w:tcBorders>
              <w:top w:val="single" w:sz="4" w:space="0" w:color="auto"/>
              <w:left w:val="nil"/>
              <w:right w:val="nil"/>
            </w:tcBorders>
            <w:shd w:val="clear" w:color="auto" w:fill="auto"/>
            <w:noWrap/>
            <w:vAlign w:val="bottom"/>
          </w:tcPr>
          <w:p w14:paraId="5E16E376" w14:textId="77777777" w:rsidR="00FF458D" w:rsidRPr="000939E3" w:rsidRDefault="00FF458D" w:rsidP="00AF421B">
            <w:pPr>
              <w:spacing w:after="0" w:line="240" w:lineRule="auto"/>
              <w:jc w:val="left"/>
              <w:rPr>
                <w:rFonts w:eastAsia="Times New Roman" w:cs="Times New Roman"/>
                <w:b/>
                <w:bCs/>
                <w:sz w:val="20"/>
                <w:szCs w:val="20"/>
                <w:lang w:eastAsia="sk-SK"/>
              </w:rPr>
            </w:pPr>
          </w:p>
        </w:tc>
        <w:tc>
          <w:tcPr>
            <w:tcW w:w="635" w:type="pct"/>
            <w:tcBorders>
              <w:top w:val="single" w:sz="4" w:space="0" w:color="auto"/>
              <w:left w:val="nil"/>
              <w:right w:val="nil"/>
            </w:tcBorders>
            <w:shd w:val="clear" w:color="auto" w:fill="auto"/>
            <w:noWrap/>
            <w:vAlign w:val="bottom"/>
          </w:tcPr>
          <w:p w14:paraId="2F211B82" w14:textId="77777777" w:rsidR="00FF458D" w:rsidRPr="000939E3" w:rsidRDefault="00FF458D" w:rsidP="00AF421B">
            <w:pPr>
              <w:spacing w:after="0" w:line="240" w:lineRule="auto"/>
              <w:jc w:val="left"/>
              <w:rPr>
                <w:rFonts w:eastAsia="Times New Roman" w:cs="Times New Roman"/>
                <w:b/>
                <w:bCs/>
                <w:sz w:val="20"/>
                <w:szCs w:val="20"/>
                <w:lang w:eastAsia="sk-SK"/>
              </w:rPr>
            </w:pPr>
          </w:p>
        </w:tc>
        <w:tc>
          <w:tcPr>
            <w:tcW w:w="2222" w:type="pct"/>
            <w:gridSpan w:val="4"/>
            <w:tcBorders>
              <w:top w:val="single" w:sz="4" w:space="0" w:color="auto"/>
              <w:left w:val="nil"/>
              <w:right w:val="nil"/>
            </w:tcBorders>
            <w:shd w:val="clear" w:color="auto" w:fill="auto"/>
            <w:noWrap/>
            <w:vAlign w:val="bottom"/>
          </w:tcPr>
          <w:p w14:paraId="455F025D" w14:textId="326D74A3" w:rsidR="00FF458D" w:rsidRPr="000939E3" w:rsidRDefault="0025366A" w:rsidP="0025366A">
            <w:pPr>
              <w:spacing w:after="0"/>
              <w:jc w:val="right"/>
              <w:rPr>
                <w:rFonts w:eastAsia="Times New Roman" w:cs="Times New Roman"/>
                <w:b/>
                <w:sz w:val="20"/>
                <w:szCs w:val="20"/>
                <w:lang w:eastAsia="sk-SK"/>
              </w:rPr>
            </w:pPr>
            <w:r w:rsidRPr="000939E3">
              <w:rPr>
                <w:i/>
                <w:sz w:val="18"/>
              </w:rPr>
              <w:t>Zdroj: prepočet ÚHP podľa údajov z RIS, MF SR</w:t>
            </w:r>
          </w:p>
        </w:tc>
      </w:tr>
    </w:tbl>
    <w:p w14:paraId="43C95C34" w14:textId="77777777" w:rsidR="00FF458D" w:rsidRPr="000939E3" w:rsidRDefault="00FF458D" w:rsidP="00507F3A">
      <w:pPr>
        <w:pStyle w:val="Odsekzoznamu"/>
        <w:tabs>
          <w:tab w:val="left" w:pos="284"/>
        </w:tabs>
        <w:ind w:left="0"/>
        <w:rPr>
          <w:b/>
          <w:sz w:val="18"/>
        </w:rPr>
      </w:pPr>
      <w:bookmarkStart w:id="29" w:name="Riadenie_4"/>
    </w:p>
    <w:p w14:paraId="20450799" w14:textId="4C274C5F" w:rsidR="001214BE" w:rsidRPr="000939E3" w:rsidRDefault="00763702" w:rsidP="00763702">
      <w:pPr>
        <w:pStyle w:val="Odsekzoznamu"/>
        <w:numPr>
          <w:ilvl w:val="0"/>
          <w:numId w:val="33"/>
        </w:numPr>
        <w:tabs>
          <w:tab w:val="left" w:pos="284"/>
        </w:tabs>
        <w:ind w:left="0" w:firstLine="0"/>
        <w:jc w:val="both"/>
      </w:pPr>
      <w:r w:rsidRPr="000939E3">
        <w:rPr>
          <w:b/>
        </w:rPr>
        <w:t xml:space="preserve">Opatrenie: </w:t>
      </w:r>
      <w:r w:rsidR="001214BE" w:rsidRPr="000939E3">
        <w:rPr>
          <w:b/>
        </w:rPr>
        <w:t xml:space="preserve">Efektívnejšie odmeňovať v ústavnej zdravotnej starostlivosti. Naviazať valorizáciu miezd na výšku inflácie a posilnenie variabilnej zložky odmeňovania. </w:t>
      </w:r>
    </w:p>
    <w:p w14:paraId="13414529" w14:textId="77777777" w:rsidR="001214BE" w:rsidRPr="000939E3" w:rsidRDefault="001214BE" w:rsidP="001214BE">
      <w:pPr>
        <w:rPr>
          <w:rFonts w:ascii="Calibri" w:hAnsi="Calibri"/>
        </w:rPr>
      </w:pPr>
      <w:r w:rsidRPr="000939E3">
        <w:rPr>
          <w:b/>
        </w:rPr>
        <w:t>Slovenské výdavky na zdravotníctvo sú síce nad priemerom krajín V3, avšak pod priemerom krajín EÚ 15.</w:t>
      </w:r>
      <w:r w:rsidRPr="000939E3">
        <w:t xml:space="preserve"> S rastom bohatstva sa vo vyspelých krajinách podiel výdavkov do zdravotníctva zväčšuje, aj na Slovensku sa preto dá očakávať ich nárast. Ten bude navyše podporený aj starnutím obyvateľstva. Je pritom ale dôležité, aby nielen dodatočné, ale aj súčasné zdroje v zdravotníctve boli investované efektívnejšie.</w:t>
      </w:r>
    </w:p>
    <w:p w14:paraId="4A0701CC" w14:textId="77777777" w:rsidR="001214BE" w:rsidRPr="000939E3" w:rsidRDefault="001214BE" w:rsidP="001214BE">
      <w:pPr>
        <w:pStyle w:val="Odsekzoznamu"/>
        <w:tabs>
          <w:tab w:val="left" w:pos="284"/>
        </w:tabs>
        <w:spacing w:before="120"/>
        <w:ind w:left="0"/>
        <w:contextualSpacing w:val="0"/>
        <w:jc w:val="both"/>
      </w:pPr>
      <w:r w:rsidRPr="000939E3">
        <w:rPr>
          <w:b/>
        </w:rPr>
        <w:t>Súčasné nastavenie tzv. zdravotníckeho automatu zvyšuje mzdy všetkým lekárom a sestrám rovnakým tempom a neponecháva tak nemocniciam dostatočnú flexibilitu pri ich odmeňovaní.</w:t>
      </w:r>
      <w:r w:rsidRPr="000939E3">
        <w:t xml:space="preserve"> Rozpočty nemocníc každoročne rastú, ale dodatočné prostriedky míňajú na plošný rast miezd pre všetkých zamestnancov a nezostáva priestor na diferencované odmeňovanie najlepších, alebo vyššie využívanie odmeňovania kvality a výkonnosti. </w:t>
      </w:r>
    </w:p>
    <w:p w14:paraId="09DCC907" w14:textId="1AA9BCFE" w:rsidR="001214BE" w:rsidRPr="000939E3" w:rsidRDefault="001214BE" w:rsidP="001214BE">
      <w:pPr>
        <w:pStyle w:val="Odsekzoznamu"/>
        <w:tabs>
          <w:tab w:val="left" w:pos="284"/>
        </w:tabs>
        <w:spacing w:before="120"/>
        <w:ind w:left="0"/>
        <w:contextualSpacing w:val="0"/>
        <w:jc w:val="both"/>
      </w:pPr>
      <w:r w:rsidRPr="000939E3">
        <w:rPr>
          <w:b/>
        </w:rPr>
        <w:t xml:space="preserve">Revízia navrhuje úpravu naviazania rastových koeficientov z priemernej mzdy v hospodárstve na infláciu, pri zachovaní rastu </w:t>
      </w:r>
      <w:r w:rsidR="0025366A" w:rsidRPr="000939E3">
        <w:rPr>
          <w:b/>
        </w:rPr>
        <w:t xml:space="preserve">prostriedkov na mzdy </w:t>
      </w:r>
      <w:r w:rsidRPr="000939E3">
        <w:rPr>
          <w:b/>
        </w:rPr>
        <w:t>na súčasnej úrovni</w:t>
      </w:r>
      <w:r w:rsidRPr="000939E3">
        <w:t xml:space="preserve">. Opatrenie by zabezpečilo zachovanie celkových výdavkov na mzdy, s posilnením dôrazu na variabilné zložky mzdy, ktoré môžu lepšie zohľadniť výkon a iné individuálne potreby v nemocniciach. </w:t>
      </w:r>
    </w:p>
    <w:p w14:paraId="323018B1" w14:textId="77777777" w:rsidR="00581E0E" w:rsidRPr="000939E3" w:rsidRDefault="00581E0E" w:rsidP="001214BE">
      <w:pPr>
        <w:pStyle w:val="Odsekzoznamu"/>
        <w:tabs>
          <w:tab w:val="left" w:pos="284"/>
        </w:tabs>
        <w:spacing w:before="120"/>
        <w:ind w:left="0"/>
        <w:contextualSpacing w:val="0"/>
        <w:jc w:val="both"/>
      </w:pPr>
    </w:p>
    <w:p w14:paraId="7A2FFE10" w14:textId="77777777" w:rsidR="00581E0E" w:rsidRPr="000939E3" w:rsidRDefault="00581E0E" w:rsidP="001214BE">
      <w:pPr>
        <w:pStyle w:val="Odsekzoznamu"/>
        <w:tabs>
          <w:tab w:val="left" w:pos="284"/>
        </w:tabs>
        <w:spacing w:before="120"/>
        <w:ind w:left="0"/>
        <w:contextualSpacing w:val="0"/>
        <w:jc w:val="both"/>
      </w:pPr>
    </w:p>
    <w:p w14:paraId="5DF5798F" w14:textId="7633607F" w:rsidR="00116ECB" w:rsidRPr="000939E3" w:rsidRDefault="00921EF6" w:rsidP="00507F3A">
      <w:pPr>
        <w:pStyle w:val="Odsekzoznamu"/>
        <w:numPr>
          <w:ilvl w:val="0"/>
          <w:numId w:val="33"/>
        </w:numPr>
        <w:tabs>
          <w:tab w:val="left" w:pos="284"/>
        </w:tabs>
        <w:ind w:left="0" w:firstLine="0"/>
        <w:jc w:val="both"/>
        <w:rPr>
          <w:b/>
        </w:rPr>
      </w:pPr>
      <w:r w:rsidRPr="000939E3">
        <w:rPr>
          <w:b/>
        </w:rPr>
        <w:lastRenderedPageBreak/>
        <w:t xml:space="preserve">Opatrenie: </w:t>
      </w:r>
      <w:r w:rsidR="00116ECB" w:rsidRPr="000939E3">
        <w:rPr>
          <w:b/>
        </w:rPr>
        <w:t>Zruš</w:t>
      </w:r>
      <w:r w:rsidRPr="000939E3">
        <w:rPr>
          <w:b/>
        </w:rPr>
        <w:t>iť</w:t>
      </w:r>
      <w:r w:rsidR="00116ECB" w:rsidRPr="000939E3">
        <w:rPr>
          <w:b/>
        </w:rPr>
        <w:t xml:space="preserve"> špecifick</w:t>
      </w:r>
      <w:r w:rsidRPr="000939E3">
        <w:rPr>
          <w:b/>
        </w:rPr>
        <w:t>é</w:t>
      </w:r>
      <w:r w:rsidR="00116ECB" w:rsidRPr="000939E3">
        <w:rPr>
          <w:b/>
        </w:rPr>
        <w:t xml:space="preserve"> platov</w:t>
      </w:r>
      <w:r w:rsidRPr="000939E3">
        <w:rPr>
          <w:b/>
        </w:rPr>
        <w:t xml:space="preserve">é </w:t>
      </w:r>
      <w:r w:rsidR="00116ECB" w:rsidRPr="000939E3">
        <w:rPr>
          <w:b/>
        </w:rPr>
        <w:t>koeficien</w:t>
      </w:r>
      <w:r w:rsidR="00C2358B" w:rsidRPr="000939E3">
        <w:rPr>
          <w:b/>
        </w:rPr>
        <w:t>t</w:t>
      </w:r>
      <w:r w:rsidRPr="000939E3">
        <w:rPr>
          <w:b/>
        </w:rPr>
        <w:t>y</w:t>
      </w:r>
      <w:r w:rsidR="00116ECB" w:rsidRPr="000939E3">
        <w:rPr>
          <w:b/>
        </w:rPr>
        <w:t xml:space="preserve"> vybraných inštitúcií</w:t>
      </w:r>
      <w:bookmarkEnd w:id="29"/>
      <w:r w:rsidR="00116ECB" w:rsidRPr="000939E3">
        <w:rPr>
          <w:b/>
        </w:rPr>
        <w:t xml:space="preserve">. Opatrenie </w:t>
      </w:r>
      <w:r w:rsidR="004E7349" w:rsidRPr="000939E3">
        <w:rPr>
          <w:b/>
        </w:rPr>
        <w:t>realokuje</w:t>
      </w:r>
      <w:r w:rsidR="00116ECB" w:rsidRPr="000939E3">
        <w:rPr>
          <w:b/>
        </w:rPr>
        <w:t xml:space="preserve"> približne 2,</w:t>
      </w:r>
      <w:r w:rsidR="009919B2" w:rsidRPr="000939E3">
        <w:rPr>
          <w:b/>
        </w:rPr>
        <w:t>7</w:t>
      </w:r>
      <w:r w:rsidR="00490315" w:rsidRPr="000939E3">
        <w:rPr>
          <w:b/>
        </w:rPr>
        <w:t> </w:t>
      </w:r>
      <w:r w:rsidR="00116ECB" w:rsidRPr="000939E3">
        <w:rPr>
          <w:b/>
        </w:rPr>
        <w:t>mil.</w:t>
      </w:r>
      <w:r w:rsidR="00490315" w:rsidRPr="000939E3">
        <w:rPr>
          <w:b/>
        </w:rPr>
        <w:t> </w:t>
      </w:r>
      <w:r w:rsidR="00116ECB" w:rsidRPr="000939E3">
        <w:rPr>
          <w:b/>
        </w:rPr>
        <w:t>eur ročne.</w:t>
      </w:r>
    </w:p>
    <w:p w14:paraId="610EE0B0" w14:textId="44A21956" w:rsidR="00F104B1" w:rsidRPr="000939E3" w:rsidRDefault="00F104B1" w:rsidP="00E77ECE">
      <w:pPr>
        <w:tabs>
          <w:tab w:val="center" w:pos="0"/>
        </w:tabs>
        <w:spacing w:before="120"/>
      </w:pPr>
      <w:r w:rsidRPr="000939E3">
        <w:rPr>
          <w:b/>
        </w:rPr>
        <w:t>Zamestnanci Kancelárie Národnej rady SR, Kancelárie prezidenta SR, Najvyššieho kontrolného úradu SR, Kancelárie verejného ochrancu práv, Kancelárie Ústavného súdu SR a vybraní zamestnanci Úradu vlády SR majú oproti ostatným štátnym zamestnancom vyššie tarifné mzdy</w:t>
      </w:r>
      <w:r w:rsidRPr="000939E3">
        <w:t xml:space="preserve"> – niektoré z nich majú samostatné tabuľky, iné majú tarifné mzdy násobené špecifickým koeficientom. Vykonávajú pritom technicky rovnakú činnosť ako na iných ministerstvách. Revízia navrhuje odstránenie špecifických platových koeficientov pri zachovaní súčasného objemu prostriedkov.</w:t>
      </w:r>
    </w:p>
    <w:p w14:paraId="53B5A901" w14:textId="7CC42600" w:rsidR="00116ECB" w:rsidRPr="000939E3" w:rsidRDefault="00D26F62" w:rsidP="00116ECB">
      <w:pPr>
        <w:pStyle w:val="Odsekzoznamu"/>
        <w:tabs>
          <w:tab w:val="center" w:pos="0"/>
        </w:tabs>
        <w:spacing w:before="120"/>
        <w:ind w:left="0"/>
        <w:contextualSpacing w:val="0"/>
        <w:jc w:val="both"/>
      </w:pPr>
      <w:r w:rsidRPr="000939E3">
        <w:rPr>
          <w:b/>
        </w:rPr>
        <w:t>Zrušenie zvýhodnenia v </w:t>
      </w:r>
      <w:r w:rsidR="00116ECB" w:rsidRPr="000939E3">
        <w:rPr>
          <w:b/>
        </w:rPr>
        <w:t xml:space="preserve">prípade nezavedenia </w:t>
      </w:r>
      <w:r w:rsidR="00BA0EC7" w:rsidRPr="000939E3">
        <w:rPr>
          <w:b/>
        </w:rPr>
        <w:t>väčšej flexibility v odmeňovaní</w:t>
      </w:r>
      <w:r w:rsidR="00116ECB" w:rsidRPr="000939E3">
        <w:rPr>
          <w:b/>
        </w:rPr>
        <w:t xml:space="preserve"> </w:t>
      </w:r>
      <w:r w:rsidRPr="000939E3">
        <w:rPr>
          <w:b/>
        </w:rPr>
        <w:t xml:space="preserve">(Opatrenie </w:t>
      </w:r>
      <w:r w:rsidR="0025366A" w:rsidRPr="000939E3">
        <w:rPr>
          <w:b/>
        </w:rPr>
        <w:t>8</w:t>
      </w:r>
      <w:r w:rsidRPr="000939E3">
        <w:rPr>
          <w:b/>
        </w:rPr>
        <w:t xml:space="preserve">) </w:t>
      </w:r>
      <w:r w:rsidR="00116ECB" w:rsidRPr="000939E3">
        <w:rPr>
          <w:b/>
        </w:rPr>
        <w:t>odstráni možnú diskrimináciu.</w:t>
      </w:r>
      <w:r w:rsidR="00116ECB" w:rsidRPr="000939E3">
        <w:t xml:space="preserve"> Samostatné tabuľky aj pre zamestnancov vo verejnom záujme majú Kancelária Národnej rady SR</w:t>
      </w:r>
      <w:r w:rsidRPr="000939E3">
        <w:t>,</w:t>
      </w:r>
      <w:r w:rsidR="002A5DCF" w:rsidRPr="000939E3">
        <w:t xml:space="preserve"> </w:t>
      </w:r>
      <w:r w:rsidR="00116ECB" w:rsidRPr="000939E3">
        <w:t>Kancelária verejného ochrancu práv</w:t>
      </w:r>
      <w:r w:rsidRPr="000939E3">
        <w:t xml:space="preserve"> a Úrad vlády SR</w:t>
      </w:r>
      <w:r w:rsidR="00116ECB" w:rsidRPr="000939E3">
        <w:t>.</w:t>
      </w:r>
    </w:p>
    <w:p w14:paraId="7B216280" w14:textId="77777777" w:rsidR="00116ECB" w:rsidRPr="000939E3" w:rsidRDefault="00116ECB" w:rsidP="00116ECB">
      <w:pPr>
        <w:pStyle w:val="Popis"/>
        <w:keepNext/>
      </w:pPr>
      <w:r w:rsidRPr="000939E3">
        <w:t>Špeciálne tabuľky v štátnej správe, 2017</w:t>
      </w:r>
    </w:p>
    <w:tbl>
      <w:tblPr>
        <w:tblW w:w="5000" w:type="pct"/>
        <w:tblCellMar>
          <w:left w:w="70" w:type="dxa"/>
          <w:right w:w="70" w:type="dxa"/>
        </w:tblCellMar>
        <w:tblLook w:val="04A0" w:firstRow="1" w:lastRow="0" w:firstColumn="1" w:lastColumn="0" w:noHBand="0" w:noVBand="1"/>
      </w:tblPr>
      <w:tblGrid>
        <w:gridCol w:w="2909"/>
        <w:gridCol w:w="1228"/>
        <w:gridCol w:w="1406"/>
        <w:gridCol w:w="1277"/>
        <w:gridCol w:w="1212"/>
        <w:gridCol w:w="1040"/>
      </w:tblGrid>
      <w:tr w:rsidR="00116ECB" w:rsidRPr="000939E3" w14:paraId="0F9C79B8" w14:textId="77777777" w:rsidTr="00E6027A">
        <w:trPr>
          <w:trHeight w:val="20"/>
        </w:trPr>
        <w:tc>
          <w:tcPr>
            <w:tcW w:w="1603" w:type="pct"/>
            <w:tcBorders>
              <w:top w:val="single" w:sz="4" w:space="0" w:color="auto"/>
              <w:bottom w:val="single" w:sz="4" w:space="0" w:color="auto"/>
            </w:tcBorders>
            <w:shd w:val="clear" w:color="auto" w:fill="auto"/>
            <w:vAlign w:val="center"/>
            <w:hideMark/>
          </w:tcPr>
          <w:p w14:paraId="4ACCD238" w14:textId="77777777" w:rsidR="00116ECB" w:rsidRPr="000939E3" w:rsidRDefault="00116ECB" w:rsidP="000939E3">
            <w:pPr>
              <w:spacing w:after="0" w:line="240" w:lineRule="auto"/>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Inštitúcia</w:t>
            </w:r>
          </w:p>
        </w:tc>
        <w:tc>
          <w:tcPr>
            <w:tcW w:w="677" w:type="pct"/>
            <w:tcBorders>
              <w:top w:val="single" w:sz="4" w:space="0" w:color="auto"/>
              <w:bottom w:val="single" w:sz="4" w:space="0" w:color="auto"/>
            </w:tcBorders>
            <w:shd w:val="clear" w:color="auto" w:fill="auto"/>
            <w:vAlign w:val="center"/>
            <w:hideMark/>
          </w:tcPr>
          <w:p w14:paraId="2EA982CA" w14:textId="77777777" w:rsidR="00116ECB" w:rsidRPr="000939E3" w:rsidRDefault="00116ECB" w:rsidP="000939E3">
            <w:pPr>
              <w:spacing w:after="0" w:line="240" w:lineRule="auto"/>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Priemerné zvýšenie tabuliek</w:t>
            </w:r>
          </w:p>
        </w:tc>
        <w:tc>
          <w:tcPr>
            <w:tcW w:w="775" w:type="pct"/>
            <w:tcBorders>
              <w:top w:val="single" w:sz="4" w:space="0" w:color="auto"/>
              <w:bottom w:val="single" w:sz="4" w:space="0" w:color="auto"/>
            </w:tcBorders>
            <w:shd w:val="clear" w:color="auto" w:fill="auto"/>
            <w:vAlign w:val="center"/>
            <w:hideMark/>
          </w:tcPr>
          <w:p w14:paraId="380B4E0F" w14:textId="77777777" w:rsidR="00116ECB" w:rsidRPr="000939E3" w:rsidRDefault="00116ECB" w:rsidP="000939E3">
            <w:pPr>
              <w:spacing w:after="0" w:line="240" w:lineRule="auto"/>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Počet zamestnancov</w:t>
            </w:r>
          </w:p>
        </w:tc>
        <w:tc>
          <w:tcPr>
            <w:tcW w:w="704" w:type="pct"/>
            <w:tcBorders>
              <w:top w:val="single" w:sz="4" w:space="0" w:color="auto"/>
              <w:bottom w:val="single" w:sz="4" w:space="0" w:color="auto"/>
            </w:tcBorders>
            <w:shd w:val="clear" w:color="auto" w:fill="auto"/>
            <w:vAlign w:val="center"/>
            <w:hideMark/>
          </w:tcPr>
          <w:p w14:paraId="24BE64A7" w14:textId="77777777" w:rsidR="00116ECB" w:rsidRPr="000939E3" w:rsidRDefault="00116ECB" w:rsidP="000939E3">
            <w:pPr>
              <w:spacing w:after="0" w:line="240" w:lineRule="auto"/>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Priemerná mzda (eur)</w:t>
            </w:r>
          </w:p>
        </w:tc>
        <w:tc>
          <w:tcPr>
            <w:tcW w:w="668" w:type="pct"/>
            <w:tcBorders>
              <w:top w:val="single" w:sz="4" w:space="0" w:color="auto"/>
              <w:bottom w:val="single" w:sz="4" w:space="0" w:color="auto"/>
            </w:tcBorders>
            <w:shd w:val="clear" w:color="auto" w:fill="auto"/>
            <w:vAlign w:val="center"/>
            <w:hideMark/>
          </w:tcPr>
          <w:p w14:paraId="37280DEB" w14:textId="77777777" w:rsidR="00116ECB" w:rsidRPr="000939E3" w:rsidRDefault="00116ECB" w:rsidP="000939E3">
            <w:pPr>
              <w:spacing w:after="0" w:line="240" w:lineRule="auto"/>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 xml:space="preserve">Ročné osobné náklady </w:t>
            </w:r>
          </w:p>
          <w:p w14:paraId="16AAD381" w14:textId="77777777" w:rsidR="00116ECB" w:rsidRPr="000939E3" w:rsidRDefault="00116ECB" w:rsidP="000939E3">
            <w:pPr>
              <w:spacing w:after="0" w:line="240" w:lineRule="auto"/>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(v mil. eur)</w:t>
            </w:r>
          </w:p>
        </w:tc>
        <w:tc>
          <w:tcPr>
            <w:tcW w:w="573" w:type="pct"/>
            <w:tcBorders>
              <w:top w:val="single" w:sz="4" w:space="0" w:color="auto"/>
              <w:bottom w:val="single" w:sz="4" w:space="0" w:color="auto"/>
            </w:tcBorders>
            <w:shd w:val="clear" w:color="auto" w:fill="auto"/>
            <w:vAlign w:val="center"/>
            <w:hideMark/>
          </w:tcPr>
          <w:p w14:paraId="3280BB41" w14:textId="77777777" w:rsidR="00116ECB" w:rsidRPr="000939E3" w:rsidRDefault="00116ECB" w:rsidP="000939E3">
            <w:pPr>
              <w:spacing w:after="0" w:line="240" w:lineRule="auto"/>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 xml:space="preserve">Uvoľnené prostriedky </w:t>
            </w:r>
            <w:r w:rsidRPr="000939E3">
              <w:rPr>
                <w:rFonts w:eastAsia="Times New Roman" w:cs="Times New Roman"/>
                <w:b/>
                <w:bCs/>
                <w:color w:val="000000"/>
                <w:sz w:val="20"/>
                <w:szCs w:val="20"/>
                <w:lang w:eastAsia="sk-SK"/>
              </w:rPr>
              <w:br/>
              <w:t>(odhad v mil. eur)</w:t>
            </w:r>
          </w:p>
        </w:tc>
      </w:tr>
      <w:tr w:rsidR="00116ECB" w:rsidRPr="000939E3" w14:paraId="17D07BA2" w14:textId="77777777" w:rsidTr="00E6027A">
        <w:trPr>
          <w:trHeight w:val="20"/>
        </w:trPr>
        <w:tc>
          <w:tcPr>
            <w:tcW w:w="1603" w:type="pct"/>
            <w:tcBorders>
              <w:top w:val="single" w:sz="4" w:space="0" w:color="auto"/>
            </w:tcBorders>
            <w:shd w:val="clear" w:color="auto" w:fill="auto"/>
            <w:vAlign w:val="center"/>
            <w:hideMark/>
          </w:tcPr>
          <w:p w14:paraId="00F637CD" w14:textId="77777777" w:rsidR="00116ECB" w:rsidRPr="000939E3" w:rsidRDefault="00116ECB" w:rsidP="000939E3">
            <w:pPr>
              <w:spacing w:after="0" w:line="240" w:lineRule="auto"/>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Kancelária prezidenta SR</w:t>
            </w:r>
          </w:p>
        </w:tc>
        <w:tc>
          <w:tcPr>
            <w:tcW w:w="677" w:type="pct"/>
            <w:tcBorders>
              <w:top w:val="single" w:sz="4" w:space="0" w:color="auto"/>
            </w:tcBorders>
            <w:shd w:val="clear" w:color="auto" w:fill="auto"/>
            <w:vAlign w:val="center"/>
          </w:tcPr>
          <w:p w14:paraId="00C7708B" w14:textId="39773478" w:rsidR="00116ECB" w:rsidRPr="000939E3" w:rsidRDefault="008F74F5"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7</w:t>
            </w:r>
            <w:r w:rsidR="00116ECB" w:rsidRPr="000939E3">
              <w:rPr>
                <w:rFonts w:eastAsia="Times New Roman" w:cs="Times New Roman"/>
                <w:color w:val="000000"/>
                <w:sz w:val="20"/>
                <w:szCs w:val="20"/>
                <w:lang w:eastAsia="sk-SK"/>
              </w:rPr>
              <w:t>%</w:t>
            </w:r>
          </w:p>
        </w:tc>
        <w:tc>
          <w:tcPr>
            <w:tcW w:w="775" w:type="pct"/>
            <w:tcBorders>
              <w:top w:val="single" w:sz="4" w:space="0" w:color="auto"/>
            </w:tcBorders>
            <w:shd w:val="clear" w:color="auto" w:fill="auto"/>
            <w:vAlign w:val="center"/>
            <w:hideMark/>
          </w:tcPr>
          <w:p w14:paraId="7E353965" w14:textId="77777777" w:rsidR="00116ECB" w:rsidRPr="000939E3" w:rsidRDefault="00116ECB"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61</w:t>
            </w:r>
          </w:p>
        </w:tc>
        <w:tc>
          <w:tcPr>
            <w:tcW w:w="704" w:type="pct"/>
            <w:tcBorders>
              <w:top w:val="single" w:sz="4" w:space="0" w:color="auto"/>
            </w:tcBorders>
            <w:shd w:val="clear" w:color="auto" w:fill="auto"/>
            <w:vAlign w:val="center"/>
            <w:hideMark/>
          </w:tcPr>
          <w:p w14:paraId="5AE7C62B" w14:textId="77777777" w:rsidR="00116ECB" w:rsidRPr="000939E3" w:rsidRDefault="00116ECB"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2 379</w:t>
            </w:r>
          </w:p>
        </w:tc>
        <w:tc>
          <w:tcPr>
            <w:tcW w:w="668" w:type="pct"/>
            <w:tcBorders>
              <w:top w:val="single" w:sz="4" w:space="0" w:color="auto"/>
            </w:tcBorders>
            <w:shd w:val="clear" w:color="auto" w:fill="auto"/>
            <w:vAlign w:val="center"/>
            <w:hideMark/>
          </w:tcPr>
          <w:p w14:paraId="08AA557D" w14:textId="77777777" w:rsidR="00116ECB" w:rsidRPr="000939E3" w:rsidRDefault="00116ECB"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2,3</w:t>
            </w:r>
          </w:p>
        </w:tc>
        <w:tc>
          <w:tcPr>
            <w:tcW w:w="573" w:type="pct"/>
            <w:tcBorders>
              <w:top w:val="single" w:sz="4" w:space="0" w:color="auto"/>
            </w:tcBorders>
            <w:shd w:val="clear" w:color="auto" w:fill="auto"/>
            <w:vAlign w:val="center"/>
            <w:hideMark/>
          </w:tcPr>
          <w:p w14:paraId="099E452D" w14:textId="77777777" w:rsidR="00116ECB" w:rsidRPr="000939E3" w:rsidRDefault="00116ECB"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0,2</w:t>
            </w:r>
          </w:p>
        </w:tc>
      </w:tr>
      <w:tr w:rsidR="00116ECB" w:rsidRPr="000939E3" w14:paraId="35092D19" w14:textId="77777777" w:rsidTr="00E6027A">
        <w:trPr>
          <w:trHeight w:val="20"/>
        </w:trPr>
        <w:tc>
          <w:tcPr>
            <w:tcW w:w="1603" w:type="pct"/>
            <w:shd w:val="clear" w:color="auto" w:fill="auto"/>
            <w:vAlign w:val="center"/>
            <w:hideMark/>
          </w:tcPr>
          <w:p w14:paraId="3423B6BE" w14:textId="77777777" w:rsidR="00116ECB" w:rsidRPr="000939E3" w:rsidRDefault="00116ECB" w:rsidP="000939E3">
            <w:pPr>
              <w:spacing w:after="0" w:line="240" w:lineRule="auto"/>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Kancelária Národnej rady SR</w:t>
            </w:r>
          </w:p>
        </w:tc>
        <w:tc>
          <w:tcPr>
            <w:tcW w:w="677" w:type="pct"/>
            <w:shd w:val="clear" w:color="auto" w:fill="auto"/>
            <w:vAlign w:val="center"/>
          </w:tcPr>
          <w:p w14:paraId="59265609" w14:textId="77777777" w:rsidR="00116ECB" w:rsidRPr="000939E3" w:rsidRDefault="00116ECB" w:rsidP="000939E3">
            <w:pPr>
              <w:spacing w:after="0" w:line="240" w:lineRule="auto"/>
              <w:contextualSpacing/>
              <w:rPr>
                <w:rFonts w:eastAsia="Times New Roman" w:cs="Times New Roman"/>
                <w:color w:val="000000"/>
                <w:sz w:val="20"/>
                <w:szCs w:val="20"/>
                <w:lang w:eastAsia="sk-SK"/>
              </w:rPr>
            </w:pPr>
          </w:p>
        </w:tc>
        <w:tc>
          <w:tcPr>
            <w:tcW w:w="775" w:type="pct"/>
            <w:shd w:val="clear" w:color="auto" w:fill="auto"/>
            <w:vAlign w:val="center"/>
          </w:tcPr>
          <w:p w14:paraId="2EBF8E42" w14:textId="156D2A0C" w:rsidR="00116ECB" w:rsidRPr="000939E3" w:rsidRDefault="00116ECB" w:rsidP="000939E3">
            <w:pPr>
              <w:spacing w:after="0" w:line="240" w:lineRule="auto"/>
              <w:contextualSpacing/>
              <w:jc w:val="right"/>
              <w:rPr>
                <w:rFonts w:eastAsia="Times New Roman" w:cs="Times New Roman"/>
                <w:color w:val="000000"/>
                <w:sz w:val="20"/>
                <w:szCs w:val="20"/>
                <w:lang w:eastAsia="sk-SK"/>
              </w:rPr>
            </w:pPr>
          </w:p>
        </w:tc>
        <w:tc>
          <w:tcPr>
            <w:tcW w:w="704" w:type="pct"/>
            <w:shd w:val="clear" w:color="auto" w:fill="auto"/>
            <w:vAlign w:val="center"/>
          </w:tcPr>
          <w:p w14:paraId="05C13E8A" w14:textId="17F2C7FB" w:rsidR="00116ECB" w:rsidRPr="000939E3" w:rsidRDefault="00116ECB" w:rsidP="000939E3">
            <w:pPr>
              <w:spacing w:after="0" w:line="240" w:lineRule="auto"/>
              <w:contextualSpacing/>
              <w:jc w:val="right"/>
              <w:rPr>
                <w:rFonts w:eastAsia="Times New Roman" w:cs="Times New Roman"/>
                <w:color w:val="000000"/>
                <w:sz w:val="20"/>
                <w:szCs w:val="20"/>
                <w:lang w:eastAsia="sk-SK"/>
              </w:rPr>
            </w:pPr>
          </w:p>
        </w:tc>
        <w:tc>
          <w:tcPr>
            <w:tcW w:w="668" w:type="pct"/>
            <w:shd w:val="clear" w:color="auto" w:fill="auto"/>
            <w:vAlign w:val="center"/>
          </w:tcPr>
          <w:p w14:paraId="6188EF53" w14:textId="57EEB5CF" w:rsidR="00116ECB" w:rsidRPr="000939E3" w:rsidRDefault="00116ECB" w:rsidP="000939E3">
            <w:pPr>
              <w:spacing w:after="0" w:line="240" w:lineRule="auto"/>
              <w:contextualSpacing/>
              <w:jc w:val="right"/>
              <w:rPr>
                <w:rFonts w:eastAsia="Times New Roman" w:cs="Times New Roman"/>
                <w:color w:val="000000"/>
                <w:sz w:val="20"/>
                <w:szCs w:val="20"/>
                <w:lang w:eastAsia="sk-SK"/>
              </w:rPr>
            </w:pPr>
          </w:p>
        </w:tc>
        <w:tc>
          <w:tcPr>
            <w:tcW w:w="573" w:type="pct"/>
            <w:shd w:val="clear" w:color="auto" w:fill="auto"/>
            <w:vAlign w:val="center"/>
          </w:tcPr>
          <w:p w14:paraId="5D523006" w14:textId="7BC1A6EE" w:rsidR="00116ECB" w:rsidRPr="000939E3" w:rsidRDefault="00116ECB" w:rsidP="000939E3">
            <w:pPr>
              <w:spacing w:after="0" w:line="240" w:lineRule="auto"/>
              <w:contextualSpacing/>
              <w:jc w:val="right"/>
              <w:rPr>
                <w:rFonts w:eastAsia="Times New Roman" w:cs="Times New Roman"/>
                <w:color w:val="000000"/>
                <w:sz w:val="20"/>
                <w:szCs w:val="20"/>
                <w:lang w:eastAsia="sk-SK"/>
              </w:rPr>
            </w:pPr>
          </w:p>
        </w:tc>
      </w:tr>
      <w:tr w:rsidR="00116ECB" w:rsidRPr="000939E3" w14:paraId="699F50D0" w14:textId="77777777" w:rsidTr="00E6027A">
        <w:trPr>
          <w:trHeight w:val="20"/>
        </w:trPr>
        <w:tc>
          <w:tcPr>
            <w:tcW w:w="1603" w:type="pct"/>
            <w:shd w:val="clear" w:color="auto" w:fill="auto"/>
            <w:vAlign w:val="center"/>
            <w:hideMark/>
          </w:tcPr>
          <w:p w14:paraId="3C13E688" w14:textId="77777777" w:rsidR="00116ECB" w:rsidRPr="000939E3" w:rsidRDefault="00116ECB" w:rsidP="000939E3">
            <w:pPr>
              <w:spacing w:after="0" w:line="240" w:lineRule="auto"/>
              <w:ind w:firstLineChars="200" w:firstLine="360"/>
              <w:contextualSpacing/>
              <w:jc w:val="lef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z toho štátna služba</w:t>
            </w:r>
          </w:p>
        </w:tc>
        <w:tc>
          <w:tcPr>
            <w:tcW w:w="677" w:type="pct"/>
            <w:shd w:val="clear" w:color="auto" w:fill="auto"/>
            <w:vAlign w:val="center"/>
          </w:tcPr>
          <w:p w14:paraId="627FD010" w14:textId="73B9F6B4" w:rsidR="00116ECB" w:rsidRPr="000939E3" w:rsidRDefault="008F74F5"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20</w:t>
            </w:r>
            <w:r w:rsidR="00116ECB" w:rsidRPr="000939E3">
              <w:rPr>
                <w:rFonts w:eastAsia="Times New Roman" w:cs="Times New Roman"/>
                <w:i/>
                <w:iCs/>
                <w:color w:val="000000"/>
                <w:sz w:val="18"/>
                <w:szCs w:val="18"/>
                <w:lang w:eastAsia="sk-SK"/>
              </w:rPr>
              <w:t>%</w:t>
            </w:r>
          </w:p>
        </w:tc>
        <w:tc>
          <w:tcPr>
            <w:tcW w:w="775" w:type="pct"/>
            <w:shd w:val="clear" w:color="auto" w:fill="auto"/>
            <w:vAlign w:val="center"/>
            <w:hideMark/>
          </w:tcPr>
          <w:p w14:paraId="5C5DDBCA"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137</w:t>
            </w:r>
          </w:p>
        </w:tc>
        <w:tc>
          <w:tcPr>
            <w:tcW w:w="704" w:type="pct"/>
            <w:shd w:val="clear" w:color="auto" w:fill="auto"/>
            <w:vAlign w:val="center"/>
            <w:hideMark/>
          </w:tcPr>
          <w:p w14:paraId="17C5B664"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2 042</w:t>
            </w:r>
          </w:p>
        </w:tc>
        <w:tc>
          <w:tcPr>
            <w:tcW w:w="668" w:type="pct"/>
            <w:shd w:val="clear" w:color="auto" w:fill="auto"/>
            <w:vAlign w:val="center"/>
            <w:hideMark/>
          </w:tcPr>
          <w:p w14:paraId="16F2E449"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4,5</w:t>
            </w:r>
          </w:p>
        </w:tc>
        <w:tc>
          <w:tcPr>
            <w:tcW w:w="573" w:type="pct"/>
            <w:shd w:val="clear" w:color="auto" w:fill="auto"/>
            <w:vAlign w:val="center"/>
            <w:hideMark/>
          </w:tcPr>
          <w:p w14:paraId="7F2C82B5"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0,8</w:t>
            </w:r>
          </w:p>
        </w:tc>
      </w:tr>
      <w:tr w:rsidR="00116ECB" w:rsidRPr="000939E3" w14:paraId="1DE1810B" w14:textId="77777777" w:rsidTr="00E6027A">
        <w:trPr>
          <w:trHeight w:val="20"/>
        </w:trPr>
        <w:tc>
          <w:tcPr>
            <w:tcW w:w="1603" w:type="pct"/>
            <w:shd w:val="clear" w:color="auto" w:fill="auto"/>
            <w:vAlign w:val="center"/>
            <w:hideMark/>
          </w:tcPr>
          <w:p w14:paraId="1FEC2D88" w14:textId="77777777" w:rsidR="00116ECB" w:rsidRPr="000939E3" w:rsidRDefault="00116ECB" w:rsidP="000939E3">
            <w:pPr>
              <w:spacing w:after="0" w:line="240" w:lineRule="auto"/>
              <w:ind w:firstLineChars="200" w:firstLine="360"/>
              <w:contextualSpacing/>
              <w:jc w:val="lef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z toho verejná služba</w:t>
            </w:r>
          </w:p>
        </w:tc>
        <w:tc>
          <w:tcPr>
            <w:tcW w:w="677" w:type="pct"/>
            <w:shd w:val="clear" w:color="auto" w:fill="auto"/>
            <w:vAlign w:val="center"/>
          </w:tcPr>
          <w:p w14:paraId="429B7872" w14:textId="15A75D5A" w:rsidR="00116ECB" w:rsidRPr="000939E3" w:rsidRDefault="008F74F5"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12</w:t>
            </w:r>
            <w:r w:rsidR="00116ECB" w:rsidRPr="000939E3">
              <w:rPr>
                <w:rFonts w:eastAsia="Times New Roman" w:cs="Times New Roman"/>
                <w:i/>
                <w:iCs/>
                <w:color w:val="000000"/>
                <w:sz w:val="18"/>
                <w:szCs w:val="18"/>
                <w:lang w:eastAsia="sk-SK"/>
              </w:rPr>
              <w:t>%</w:t>
            </w:r>
          </w:p>
        </w:tc>
        <w:tc>
          <w:tcPr>
            <w:tcW w:w="775" w:type="pct"/>
            <w:shd w:val="clear" w:color="auto" w:fill="auto"/>
            <w:vAlign w:val="center"/>
            <w:hideMark/>
          </w:tcPr>
          <w:p w14:paraId="61689689"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227</w:t>
            </w:r>
          </w:p>
        </w:tc>
        <w:tc>
          <w:tcPr>
            <w:tcW w:w="704" w:type="pct"/>
            <w:shd w:val="clear" w:color="auto" w:fill="auto"/>
            <w:vAlign w:val="center"/>
            <w:hideMark/>
          </w:tcPr>
          <w:p w14:paraId="0463FFE8"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1 299</w:t>
            </w:r>
          </w:p>
        </w:tc>
        <w:tc>
          <w:tcPr>
            <w:tcW w:w="668" w:type="pct"/>
            <w:shd w:val="clear" w:color="auto" w:fill="auto"/>
            <w:vAlign w:val="center"/>
            <w:hideMark/>
          </w:tcPr>
          <w:p w14:paraId="0B5D1D9C"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4,8</w:t>
            </w:r>
          </w:p>
        </w:tc>
        <w:tc>
          <w:tcPr>
            <w:tcW w:w="573" w:type="pct"/>
            <w:shd w:val="clear" w:color="auto" w:fill="auto"/>
            <w:vAlign w:val="center"/>
            <w:hideMark/>
          </w:tcPr>
          <w:p w14:paraId="0E45913D"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0,5</w:t>
            </w:r>
          </w:p>
        </w:tc>
      </w:tr>
      <w:tr w:rsidR="00116ECB" w:rsidRPr="000939E3" w14:paraId="458EC6D6" w14:textId="77777777" w:rsidTr="00E6027A">
        <w:trPr>
          <w:trHeight w:val="20"/>
        </w:trPr>
        <w:tc>
          <w:tcPr>
            <w:tcW w:w="1603" w:type="pct"/>
            <w:shd w:val="clear" w:color="auto" w:fill="auto"/>
            <w:vAlign w:val="center"/>
            <w:hideMark/>
          </w:tcPr>
          <w:p w14:paraId="6F203917" w14:textId="77777777" w:rsidR="00116ECB" w:rsidRPr="000939E3" w:rsidRDefault="00116ECB" w:rsidP="000939E3">
            <w:pPr>
              <w:spacing w:after="0" w:line="240" w:lineRule="auto"/>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Kancelária Ústavného súdu SR</w:t>
            </w:r>
          </w:p>
        </w:tc>
        <w:tc>
          <w:tcPr>
            <w:tcW w:w="677" w:type="pct"/>
            <w:shd w:val="clear" w:color="auto" w:fill="auto"/>
            <w:vAlign w:val="center"/>
          </w:tcPr>
          <w:p w14:paraId="423B2D1A" w14:textId="4CE9DA93" w:rsidR="00116ECB" w:rsidRPr="000939E3" w:rsidRDefault="008F74F5"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7</w:t>
            </w:r>
            <w:r w:rsidR="00116ECB" w:rsidRPr="000939E3">
              <w:rPr>
                <w:rFonts w:eastAsia="Times New Roman" w:cs="Times New Roman"/>
                <w:color w:val="000000"/>
                <w:sz w:val="20"/>
                <w:szCs w:val="20"/>
                <w:lang w:eastAsia="sk-SK"/>
              </w:rPr>
              <w:t>%</w:t>
            </w:r>
          </w:p>
        </w:tc>
        <w:tc>
          <w:tcPr>
            <w:tcW w:w="775" w:type="pct"/>
            <w:shd w:val="clear" w:color="auto" w:fill="auto"/>
            <w:vAlign w:val="center"/>
            <w:hideMark/>
          </w:tcPr>
          <w:p w14:paraId="733E2120" w14:textId="77777777" w:rsidR="00116ECB" w:rsidRPr="000939E3" w:rsidRDefault="00116ECB"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77</w:t>
            </w:r>
          </w:p>
        </w:tc>
        <w:tc>
          <w:tcPr>
            <w:tcW w:w="704" w:type="pct"/>
            <w:shd w:val="clear" w:color="auto" w:fill="auto"/>
            <w:vAlign w:val="center"/>
            <w:hideMark/>
          </w:tcPr>
          <w:p w14:paraId="3189AAEF" w14:textId="77777777" w:rsidR="00116ECB" w:rsidRPr="000939E3" w:rsidRDefault="00116ECB"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1 543</w:t>
            </w:r>
          </w:p>
        </w:tc>
        <w:tc>
          <w:tcPr>
            <w:tcW w:w="668" w:type="pct"/>
            <w:shd w:val="clear" w:color="auto" w:fill="auto"/>
            <w:vAlign w:val="center"/>
            <w:hideMark/>
          </w:tcPr>
          <w:p w14:paraId="096F524B" w14:textId="77777777" w:rsidR="00116ECB" w:rsidRPr="000939E3" w:rsidRDefault="00116ECB"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1,9</w:t>
            </w:r>
          </w:p>
        </w:tc>
        <w:tc>
          <w:tcPr>
            <w:tcW w:w="573" w:type="pct"/>
            <w:shd w:val="clear" w:color="auto" w:fill="auto"/>
            <w:vAlign w:val="center"/>
            <w:hideMark/>
          </w:tcPr>
          <w:p w14:paraId="0EB4B4F5" w14:textId="77777777" w:rsidR="00116ECB" w:rsidRPr="000939E3" w:rsidRDefault="00116ECB"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0,1</w:t>
            </w:r>
          </w:p>
        </w:tc>
      </w:tr>
      <w:tr w:rsidR="00116ECB" w:rsidRPr="000939E3" w14:paraId="28A02C57" w14:textId="77777777" w:rsidTr="00E6027A">
        <w:trPr>
          <w:trHeight w:val="20"/>
        </w:trPr>
        <w:tc>
          <w:tcPr>
            <w:tcW w:w="1603" w:type="pct"/>
            <w:shd w:val="clear" w:color="auto" w:fill="auto"/>
            <w:vAlign w:val="center"/>
            <w:hideMark/>
          </w:tcPr>
          <w:p w14:paraId="116EE38D" w14:textId="77777777" w:rsidR="00116ECB" w:rsidRPr="000939E3" w:rsidRDefault="00116ECB" w:rsidP="000939E3">
            <w:pPr>
              <w:spacing w:after="0" w:line="240" w:lineRule="auto"/>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Úrad vlády SR</w:t>
            </w:r>
          </w:p>
        </w:tc>
        <w:tc>
          <w:tcPr>
            <w:tcW w:w="677" w:type="pct"/>
            <w:shd w:val="clear" w:color="auto" w:fill="auto"/>
            <w:vAlign w:val="center"/>
          </w:tcPr>
          <w:p w14:paraId="661C4999" w14:textId="4F2DE568" w:rsidR="00116ECB" w:rsidRPr="000939E3" w:rsidRDefault="00116ECB" w:rsidP="000939E3">
            <w:pPr>
              <w:spacing w:after="0" w:line="240" w:lineRule="auto"/>
              <w:contextualSpacing/>
              <w:jc w:val="right"/>
              <w:rPr>
                <w:rFonts w:eastAsia="Times New Roman" w:cs="Times New Roman"/>
                <w:color w:val="000000"/>
                <w:sz w:val="20"/>
                <w:szCs w:val="20"/>
                <w:lang w:eastAsia="sk-SK"/>
              </w:rPr>
            </w:pPr>
          </w:p>
        </w:tc>
        <w:tc>
          <w:tcPr>
            <w:tcW w:w="775" w:type="pct"/>
            <w:shd w:val="clear" w:color="auto" w:fill="auto"/>
            <w:vAlign w:val="center"/>
          </w:tcPr>
          <w:p w14:paraId="66406751" w14:textId="2EC6A4D1" w:rsidR="00116ECB" w:rsidRPr="000939E3" w:rsidRDefault="00116ECB" w:rsidP="000939E3">
            <w:pPr>
              <w:spacing w:after="0" w:line="240" w:lineRule="auto"/>
              <w:contextualSpacing/>
              <w:jc w:val="right"/>
              <w:rPr>
                <w:rFonts w:eastAsia="Times New Roman" w:cs="Times New Roman"/>
                <w:color w:val="000000"/>
                <w:sz w:val="20"/>
                <w:szCs w:val="20"/>
                <w:lang w:eastAsia="sk-SK"/>
              </w:rPr>
            </w:pPr>
          </w:p>
        </w:tc>
        <w:tc>
          <w:tcPr>
            <w:tcW w:w="704" w:type="pct"/>
            <w:shd w:val="clear" w:color="auto" w:fill="auto"/>
            <w:vAlign w:val="center"/>
          </w:tcPr>
          <w:p w14:paraId="4FC88E7A" w14:textId="15ADBE32" w:rsidR="00116ECB" w:rsidRPr="000939E3" w:rsidRDefault="00116ECB" w:rsidP="000939E3">
            <w:pPr>
              <w:spacing w:after="0" w:line="240" w:lineRule="auto"/>
              <w:contextualSpacing/>
              <w:jc w:val="right"/>
              <w:rPr>
                <w:rFonts w:eastAsia="Times New Roman" w:cs="Times New Roman"/>
                <w:color w:val="000000"/>
                <w:sz w:val="20"/>
                <w:szCs w:val="20"/>
                <w:lang w:eastAsia="sk-SK"/>
              </w:rPr>
            </w:pPr>
          </w:p>
        </w:tc>
        <w:tc>
          <w:tcPr>
            <w:tcW w:w="668" w:type="pct"/>
            <w:shd w:val="clear" w:color="auto" w:fill="auto"/>
            <w:vAlign w:val="center"/>
          </w:tcPr>
          <w:p w14:paraId="5C0EC86B" w14:textId="45663697" w:rsidR="00116ECB" w:rsidRPr="000939E3" w:rsidRDefault="00116ECB" w:rsidP="000939E3">
            <w:pPr>
              <w:spacing w:after="0" w:line="240" w:lineRule="auto"/>
              <w:contextualSpacing/>
              <w:jc w:val="right"/>
              <w:rPr>
                <w:rFonts w:eastAsia="Times New Roman" w:cs="Times New Roman"/>
                <w:color w:val="000000"/>
                <w:sz w:val="20"/>
                <w:szCs w:val="20"/>
                <w:lang w:eastAsia="sk-SK"/>
              </w:rPr>
            </w:pPr>
          </w:p>
        </w:tc>
        <w:tc>
          <w:tcPr>
            <w:tcW w:w="573" w:type="pct"/>
            <w:shd w:val="clear" w:color="auto" w:fill="auto"/>
            <w:vAlign w:val="center"/>
          </w:tcPr>
          <w:p w14:paraId="3E2B9281" w14:textId="7D49220F" w:rsidR="00116ECB" w:rsidRPr="000939E3" w:rsidRDefault="00116ECB" w:rsidP="000939E3">
            <w:pPr>
              <w:spacing w:after="0" w:line="240" w:lineRule="auto"/>
              <w:contextualSpacing/>
              <w:jc w:val="right"/>
              <w:rPr>
                <w:rFonts w:eastAsia="Times New Roman" w:cs="Times New Roman"/>
                <w:color w:val="000000"/>
                <w:sz w:val="20"/>
                <w:szCs w:val="20"/>
                <w:lang w:eastAsia="sk-SK"/>
              </w:rPr>
            </w:pPr>
          </w:p>
        </w:tc>
      </w:tr>
      <w:tr w:rsidR="002478C0" w:rsidRPr="000939E3" w14:paraId="688AB2D7" w14:textId="77777777" w:rsidTr="00E6027A">
        <w:trPr>
          <w:trHeight w:val="20"/>
        </w:trPr>
        <w:tc>
          <w:tcPr>
            <w:tcW w:w="1603" w:type="pct"/>
            <w:shd w:val="clear" w:color="auto" w:fill="auto"/>
            <w:vAlign w:val="center"/>
          </w:tcPr>
          <w:p w14:paraId="42ACF5CB" w14:textId="70034ACC" w:rsidR="002478C0" w:rsidRPr="000939E3" w:rsidRDefault="002478C0" w:rsidP="000939E3">
            <w:pPr>
              <w:spacing w:after="0" w:line="240" w:lineRule="auto"/>
              <w:ind w:left="356"/>
              <w:contextualSpacing/>
              <w:rPr>
                <w:rFonts w:eastAsia="Times New Roman" w:cs="Times New Roman"/>
                <w:color w:val="000000"/>
                <w:sz w:val="20"/>
                <w:szCs w:val="20"/>
                <w:lang w:eastAsia="sk-SK"/>
              </w:rPr>
            </w:pPr>
            <w:r w:rsidRPr="000939E3">
              <w:rPr>
                <w:i/>
                <w:iCs/>
                <w:color w:val="000000"/>
                <w:sz w:val="18"/>
                <w:szCs w:val="18"/>
              </w:rPr>
              <w:t>z toho štátna služba</w:t>
            </w:r>
          </w:p>
        </w:tc>
        <w:tc>
          <w:tcPr>
            <w:tcW w:w="677" w:type="pct"/>
            <w:shd w:val="clear" w:color="auto" w:fill="auto"/>
            <w:vAlign w:val="center"/>
          </w:tcPr>
          <w:p w14:paraId="005E3834" w14:textId="49596061" w:rsidR="002478C0" w:rsidRPr="000939E3" w:rsidRDefault="002478C0" w:rsidP="000939E3">
            <w:pPr>
              <w:spacing w:after="0" w:line="240" w:lineRule="auto"/>
              <w:contextualSpacing/>
              <w:jc w:val="right"/>
              <w:rPr>
                <w:rFonts w:eastAsia="Times New Roman" w:cs="Times New Roman"/>
                <w:color w:val="000000"/>
                <w:sz w:val="20"/>
                <w:szCs w:val="20"/>
                <w:lang w:eastAsia="sk-SK"/>
              </w:rPr>
            </w:pPr>
            <w:r w:rsidRPr="000939E3">
              <w:rPr>
                <w:color w:val="000000"/>
                <w:sz w:val="20"/>
                <w:szCs w:val="20"/>
              </w:rPr>
              <w:t>20%</w:t>
            </w:r>
          </w:p>
        </w:tc>
        <w:tc>
          <w:tcPr>
            <w:tcW w:w="775" w:type="pct"/>
            <w:shd w:val="clear" w:color="auto" w:fill="auto"/>
            <w:vAlign w:val="center"/>
          </w:tcPr>
          <w:p w14:paraId="399ED2FF" w14:textId="04D35537" w:rsidR="002478C0" w:rsidRPr="000939E3" w:rsidRDefault="002478C0" w:rsidP="000939E3">
            <w:pPr>
              <w:spacing w:after="0" w:line="240" w:lineRule="auto"/>
              <w:contextualSpacing/>
              <w:jc w:val="right"/>
              <w:rPr>
                <w:rFonts w:eastAsia="Times New Roman" w:cs="Times New Roman"/>
                <w:color w:val="000000"/>
                <w:sz w:val="20"/>
                <w:szCs w:val="20"/>
                <w:lang w:eastAsia="sk-SK"/>
              </w:rPr>
            </w:pPr>
            <w:r w:rsidRPr="000939E3">
              <w:rPr>
                <w:color w:val="000000"/>
                <w:sz w:val="20"/>
                <w:szCs w:val="20"/>
              </w:rPr>
              <w:t>99</w:t>
            </w:r>
          </w:p>
        </w:tc>
        <w:tc>
          <w:tcPr>
            <w:tcW w:w="704" w:type="pct"/>
            <w:shd w:val="clear" w:color="auto" w:fill="auto"/>
            <w:vAlign w:val="center"/>
          </w:tcPr>
          <w:p w14:paraId="1D114BA5" w14:textId="3A78C8A4" w:rsidR="002478C0" w:rsidRPr="000939E3" w:rsidRDefault="002478C0" w:rsidP="000939E3">
            <w:pPr>
              <w:spacing w:after="0" w:line="240" w:lineRule="auto"/>
              <w:contextualSpacing/>
              <w:jc w:val="right"/>
              <w:rPr>
                <w:rFonts w:eastAsia="Times New Roman" w:cs="Times New Roman"/>
                <w:color w:val="000000"/>
                <w:sz w:val="20"/>
                <w:szCs w:val="20"/>
                <w:lang w:eastAsia="sk-SK"/>
              </w:rPr>
            </w:pPr>
            <w:r w:rsidRPr="000939E3">
              <w:rPr>
                <w:color w:val="000000"/>
                <w:sz w:val="20"/>
                <w:szCs w:val="20"/>
              </w:rPr>
              <w:t>1 958</w:t>
            </w:r>
          </w:p>
        </w:tc>
        <w:tc>
          <w:tcPr>
            <w:tcW w:w="668" w:type="pct"/>
            <w:shd w:val="clear" w:color="auto" w:fill="auto"/>
            <w:vAlign w:val="center"/>
          </w:tcPr>
          <w:p w14:paraId="3B8FB3FC" w14:textId="6F903FD9" w:rsidR="002478C0" w:rsidRPr="000939E3" w:rsidRDefault="002478C0" w:rsidP="000939E3">
            <w:pPr>
              <w:spacing w:after="0" w:line="240" w:lineRule="auto"/>
              <w:contextualSpacing/>
              <w:jc w:val="right"/>
              <w:rPr>
                <w:rFonts w:eastAsia="Times New Roman" w:cs="Times New Roman"/>
                <w:color w:val="000000"/>
                <w:sz w:val="20"/>
                <w:szCs w:val="20"/>
                <w:lang w:eastAsia="sk-SK"/>
              </w:rPr>
            </w:pPr>
            <w:r w:rsidRPr="000939E3">
              <w:rPr>
                <w:color w:val="000000"/>
                <w:sz w:val="20"/>
                <w:szCs w:val="20"/>
              </w:rPr>
              <w:t>3,1</w:t>
            </w:r>
          </w:p>
        </w:tc>
        <w:tc>
          <w:tcPr>
            <w:tcW w:w="573" w:type="pct"/>
            <w:shd w:val="clear" w:color="auto" w:fill="auto"/>
            <w:vAlign w:val="center"/>
          </w:tcPr>
          <w:p w14:paraId="12F8A97C" w14:textId="0BEE5D2D" w:rsidR="002478C0" w:rsidRPr="000939E3" w:rsidRDefault="002478C0" w:rsidP="000939E3">
            <w:pPr>
              <w:spacing w:after="0" w:line="240" w:lineRule="auto"/>
              <w:contextualSpacing/>
              <w:jc w:val="right"/>
              <w:rPr>
                <w:rFonts w:eastAsia="Times New Roman" w:cs="Times New Roman"/>
                <w:color w:val="000000"/>
                <w:sz w:val="20"/>
                <w:szCs w:val="20"/>
                <w:lang w:eastAsia="sk-SK"/>
              </w:rPr>
            </w:pPr>
            <w:r w:rsidRPr="000939E3">
              <w:rPr>
                <w:color w:val="000000"/>
                <w:sz w:val="20"/>
                <w:szCs w:val="20"/>
              </w:rPr>
              <w:t>0,5</w:t>
            </w:r>
          </w:p>
        </w:tc>
      </w:tr>
      <w:tr w:rsidR="002478C0" w:rsidRPr="000939E3" w14:paraId="2B1F4960" w14:textId="77777777" w:rsidTr="00E6027A">
        <w:trPr>
          <w:trHeight w:val="20"/>
        </w:trPr>
        <w:tc>
          <w:tcPr>
            <w:tcW w:w="1603" w:type="pct"/>
            <w:shd w:val="clear" w:color="auto" w:fill="auto"/>
            <w:vAlign w:val="center"/>
          </w:tcPr>
          <w:p w14:paraId="34C87308" w14:textId="2156B553" w:rsidR="002478C0" w:rsidRPr="000939E3" w:rsidRDefault="002478C0" w:rsidP="000939E3">
            <w:pPr>
              <w:spacing w:after="0" w:line="240" w:lineRule="auto"/>
              <w:ind w:left="356"/>
              <w:contextualSpacing/>
              <w:rPr>
                <w:rFonts w:eastAsia="Times New Roman" w:cs="Times New Roman"/>
                <w:color w:val="000000"/>
                <w:sz w:val="20"/>
                <w:szCs w:val="20"/>
                <w:lang w:eastAsia="sk-SK"/>
              </w:rPr>
            </w:pPr>
            <w:r w:rsidRPr="000939E3">
              <w:rPr>
                <w:i/>
                <w:iCs/>
                <w:color w:val="000000"/>
                <w:sz w:val="18"/>
                <w:szCs w:val="18"/>
              </w:rPr>
              <w:t>z toho verejná služba</w:t>
            </w:r>
          </w:p>
        </w:tc>
        <w:tc>
          <w:tcPr>
            <w:tcW w:w="677" w:type="pct"/>
            <w:shd w:val="clear" w:color="auto" w:fill="auto"/>
            <w:vAlign w:val="center"/>
          </w:tcPr>
          <w:p w14:paraId="08F1D8EB" w14:textId="1676FDE2" w:rsidR="002478C0" w:rsidRPr="000939E3" w:rsidRDefault="002478C0" w:rsidP="000939E3">
            <w:pPr>
              <w:spacing w:after="0" w:line="240" w:lineRule="auto"/>
              <w:contextualSpacing/>
              <w:jc w:val="right"/>
              <w:rPr>
                <w:rFonts w:eastAsia="Times New Roman" w:cs="Times New Roman"/>
                <w:color w:val="000000"/>
                <w:sz w:val="20"/>
                <w:szCs w:val="20"/>
                <w:lang w:eastAsia="sk-SK"/>
              </w:rPr>
            </w:pPr>
            <w:r w:rsidRPr="000939E3">
              <w:rPr>
                <w:color w:val="000000"/>
                <w:sz w:val="20"/>
                <w:szCs w:val="20"/>
              </w:rPr>
              <w:t>20%</w:t>
            </w:r>
          </w:p>
        </w:tc>
        <w:tc>
          <w:tcPr>
            <w:tcW w:w="775" w:type="pct"/>
            <w:shd w:val="clear" w:color="auto" w:fill="auto"/>
            <w:vAlign w:val="center"/>
          </w:tcPr>
          <w:p w14:paraId="411B6F23" w14:textId="6DF67A93" w:rsidR="002478C0" w:rsidRPr="000939E3" w:rsidRDefault="002478C0" w:rsidP="000939E3">
            <w:pPr>
              <w:spacing w:after="0" w:line="240" w:lineRule="auto"/>
              <w:contextualSpacing/>
              <w:jc w:val="right"/>
              <w:rPr>
                <w:rFonts w:eastAsia="Times New Roman" w:cs="Times New Roman"/>
                <w:color w:val="000000"/>
                <w:sz w:val="20"/>
                <w:szCs w:val="20"/>
                <w:lang w:eastAsia="sk-SK"/>
              </w:rPr>
            </w:pPr>
            <w:r w:rsidRPr="000939E3">
              <w:rPr>
                <w:color w:val="000000"/>
                <w:sz w:val="20"/>
                <w:szCs w:val="20"/>
              </w:rPr>
              <w:t>34</w:t>
            </w:r>
          </w:p>
        </w:tc>
        <w:tc>
          <w:tcPr>
            <w:tcW w:w="704" w:type="pct"/>
            <w:shd w:val="clear" w:color="auto" w:fill="auto"/>
            <w:vAlign w:val="center"/>
          </w:tcPr>
          <w:p w14:paraId="54835B4B" w14:textId="23C95171" w:rsidR="002478C0" w:rsidRPr="000939E3" w:rsidRDefault="002478C0" w:rsidP="000939E3">
            <w:pPr>
              <w:spacing w:after="0" w:line="240" w:lineRule="auto"/>
              <w:contextualSpacing/>
              <w:jc w:val="right"/>
              <w:rPr>
                <w:rFonts w:eastAsia="Times New Roman" w:cs="Times New Roman"/>
                <w:color w:val="000000"/>
                <w:sz w:val="20"/>
                <w:szCs w:val="20"/>
                <w:lang w:eastAsia="sk-SK"/>
              </w:rPr>
            </w:pPr>
            <w:r w:rsidRPr="000939E3">
              <w:rPr>
                <w:color w:val="000000"/>
                <w:sz w:val="20"/>
                <w:szCs w:val="20"/>
              </w:rPr>
              <w:t>1 106</w:t>
            </w:r>
          </w:p>
        </w:tc>
        <w:tc>
          <w:tcPr>
            <w:tcW w:w="668" w:type="pct"/>
            <w:shd w:val="clear" w:color="auto" w:fill="auto"/>
            <w:vAlign w:val="center"/>
          </w:tcPr>
          <w:p w14:paraId="4E523452" w14:textId="5279313B" w:rsidR="002478C0" w:rsidRPr="000939E3" w:rsidRDefault="002478C0" w:rsidP="000939E3">
            <w:pPr>
              <w:spacing w:after="0" w:line="240" w:lineRule="auto"/>
              <w:contextualSpacing/>
              <w:jc w:val="right"/>
              <w:rPr>
                <w:rFonts w:eastAsia="Times New Roman" w:cs="Times New Roman"/>
                <w:color w:val="000000"/>
                <w:sz w:val="20"/>
                <w:szCs w:val="20"/>
                <w:lang w:eastAsia="sk-SK"/>
              </w:rPr>
            </w:pPr>
            <w:r w:rsidRPr="000939E3">
              <w:rPr>
                <w:color w:val="000000"/>
                <w:sz w:val="20"/>
                <w:szCs w:val="20"/>
              </w:rPr>
              <w:t>0,6</w:t>
            </w:r>
          </w:p>
        </w:tc>
        <w:tc>
          <w:tcPr>
            <w:tcW w:w="573" w:type="pct"/>
            <w:shd w:val="clear" w:color="auto" w:fill="auto"/>
            <w:vAlign w:val="center"/>
          </w:tcPr>
          <w:p w14:paraId="42AE1318" w14:textId="0E6292E2" w:rsidR="002478C0" w:rsidRPr="000939E3" w:rsidRDefault="002478C0" w:rsidP="000939E3">
            <w:pPr>
              <w:spacing w:after="0" w:line="240" w:lineRule="auto"/>
              <w:contextualSpacing/>
              <w:jc w:val="right"/>
              <w:rPr>
                <w:rFonts w:eastAsia="Times New Roman" w:cs="Times New Roman"/>
                <w:color w:val="000000"/>
                <w:sz w:val="20"/>
                <w:szCs w:val="20"/>
                <w:lang w:eastAsia="sk-SK"/>
              </w:rPr>
            </w:pPr>
            <w:r w:rsidRPr="000939E3">
              <w:rPr>
                <w:color w:val="000000"/>
                <w:sz w:val="20"/>
                <w:szCs w:val="20"/>
              </w:rPr>
              <w:t>0,1</w:t>
            </w:r>
          </w:p>
        </w:tc>
      </w:tr>
      <w:tr w:rsidR="00116ECB" w:rsidRPr="000939E3" w14:paraId="6D79EBDB" w14:textId="77777777" w:rsidTr="00E6027A">
        <w:trPr>
          <w:trHeight w:val="20"/>
        </w:trPr>
        <w:tc>
          <w:tcPr>
            <w:tcW w:w="1603" w:type="pct"/>
            <w:shd w:val="clear" w:color="auto" w:fill="auto"/>
            <w:vAlign w:val="center"/>
            <w:hideMark/>
          </w:tcPr>
          <w:p w14:paraId="23D1D867" w14:textId="77777777" w:rsidR="00116ECB" w:rsidRPr="000939E3" w:rsidRDefault="00116ECB" w:rsidP="000939E3">
            <w:pPr>
              <w:spacing w:after="0" w:line="240" w:lineRule="auto"/>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Najvyšší kontrolný úrad SR</w:t>
            </w:r>
          </w:p>
        </w:tc>
        <w:tc>
          <w:tcPr>
            <w:tcW w:w="677" w:type="pct"/>
            <w:shd w:val="clear" w:color="auto" w:fill="auto"/>
            <w:vAlign w:val="center"/>
          </w:tcPr>
          <w:p w14:paraId="4467B63E" w14:textId="53CFE208" w:rsidR="00116ECB" w:rsidRPr="000939E3" w:rsidRDefault="008F74F5"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7</w:t>
            </w:r>
            <w:r w:rsidR="00116ECB" w:rsidRPr="000939E3">
              <w:rPr>
                <w:rFonts w:eastAsia="Times New Roman" w:cs="Times New Roman"/>
                <w:color w:val="000000"/>
                <w:sz w:val="20"/>
                <w:szCs w:val="20"/>
                <w:lang w:eastAsia="sk-SK"/>
              </w:rPr>
              <w:t>%</w:t>
            </w:r>
          </w:p>
        </w:tc>
        <w:tc>
          <w:tcPr>
            <w:tcW w:w="775" w:type="pct"/>
            <w:shd w:val="clear" w:color="auto" w:fill="auto"/>
            <w:vAlign w:val="center"/>
            <w:hideMark/>
          </w:tcPr>
          <w:p w14:paraId="59C745A8" w14:textId="77777777" w:rsidR="00116ECB" w:rsidRPr="000939E3" w:rsidRDefault="00116ECB"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284</w:t>
            </w:r>
          </w:p>
        </w:tc>
        <w:tc>
          <w:tcPr>
            <w:tcW w:w="704" w:type="pct"/>
            <w:shd w:val="clear" w:color="auto" w:fill="auto"/>
            <w:vAlign w:val="center"/>
            <w:hideMark/>
          </w:tcPr>
          <w:p w14:paraId="4CC835C4" w14:textId="77777777" w:rsidR="00116ECB" w:rsidRPr="000939E3" w:rsidRDefault="00116ECB"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1 550</w:t>
            </w:r>
          </w:p>
        </w:tc>
        <w:tc>
          <w:tcPr>
            <w:tcW w:w="668" w:type="pct"/>
            <w:shd w:val="clear" w:color="auto" w:fill="auto"/>
            <w:vAlign w:val="center"/>
            <w:hideMark/>
          </w:tcPr>
          <w:p w14:paraId="37C38415" w14:textId="77777777" w:rsidR="00116ECB" w:rsidRPr="000939E3" w:rsidRDefault="00116ECB"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7,1</w:t>
            </w:r>
          </w:p>
        </w:tc>
        <w:tc>
          <w:tcPr>
            <w:tcW w:w="573" w:type="pct"/>
            <w:shd w:val="clear" w:color="auto" w:fill="auto"/>
            <w:vAlign w:val="center"/>
            <w:hideMark/>
          </w:tcPr>
          <w:p w14:paraId="62AEF856" w14:textId="77777777" w:rsidR="00116ECB" w:rsidRPr="000939E3" w:rsidRDefault="00116ECB" w:rsidP="000939E3">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0,5</w:t>
            </w:r>
          </w:p>
        </w:tc>
      </w:tr>
      <w:tr w:rsidR="00116ECB" w:rsidRPr="000939E3" w14:paraId="0F3AD8F0" w14:textId="77777777" w:rsidTr="00E6027A">
        <w:trPr>
          <w:trHeight w:val="20"/>
        </w:trPr>
        <w:tc>
          <w:tcPr>
            <w:tcW w:w="1603" w:type="pct"/>
            <w:shd w:val="clear" w:color="auto" w:fill="auto"/>
            <w:vAlign w:val="center"/>
            <w:hideMark/>
          </w:tcPr>
          <w:p w14:paraId="795A30FC" w14:textId="77777777" w:rsidR="00116ECB" w:rsidRPr="000939E3" w:rsidRDefault="00116ECB" w:rsidP="000939E3">
            <w:pPr>
              <w:spacing w:after="0" w:line="240" w:lineRule="auto"/>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Kancelária verejného ochrancu práv</w:t>
            </w:r>
          </w:p>
        </w:tc>
        <w:tc>
          <w:tcPr>
            <w:tcW w:w="677" w:type="pct"/>
            <w:shd w:val="clear" w:color="auto" w:fill="auto"/>
            <w:vAlign w:val="center"/>
          </w:tcPr>
          <w:p w14:paraId="14161A47" w14:textId="77777777" w:rsidR="00116ECB" w:rsidRPr="000939E3" w:rsidRDefault="00116ECB" w:rsidP="000939E3">
            <w:pPr>
              <w:spacing w:after="0" w:line="240" w:lineRule="auto"/>
              <w:contextualSpacing/>
              <w:rPr>
                <w:rFonts w:eastAsia="Times New Roman" w:cs="Times New Roman"/>
                <w:color w:val="000000"/>
                <w:sz w:val="20"/>
                <w:szCs w:val="20"/>
                <w:lang w:eastAsia="sk-SK"/>
              </w:rPr>
            </w:pPr>
          </w:p>
        </w:tc>
        <w:tc>
          <w:tcPr>
            <w:tcW w:w="775" w:type="pct"/>
            <w:shd w:val="clear" w:color="auto" w:fill="auto"/>
            <w:vAlign w:val="center"/>
          </w:tcPr>
          <w:p w14:paraId="2EFACA78" w14:textId="79AC862B" w:rsidR="00116ECB" w:rsidRPr="000939E3" w:rsidRDefault="00116ECB" w:rsidP="000939E3">
            <w:pPr>
              <w:spacing w:after="0" w:line="240" w:lineRule="auto"/>
              <w:contextualSpacing/>
              <w:jc w:val="right"/>
              <w:rPr>
                <w:rFonts w:eastAsia="Times New Roman" w:cs="Times New Roman"/>
                <w:color w:val="000000"/>
                <w:sz w:val="20"/>
                <w:szCs w:val="20"/>
                <w:lang w:eastAsia="sk-SK"/>
              </w:rPr>
            </w:pPr>
          </w:p>
        </w:tc>
        <w:tc>
          <w:tcPr>
            <w:tcW w:w="704" w:type="pct"/>
            <w:shd w:val="clear" w:color="auto" w:fill="auto"/>
            <w:vAlign w:val="center"/>
          </w:tcPr>
          <w:p w14:paraId="66362BAB" w14:textId="6AA40F0A" w:rsidR="00116ECB" w:rsidRPr="000939E3" w:rsidRDefault="00116ECB" w:rsidP="000939E3">
            <w:pPr>
              <w:spacing w:after="0" w:line="240" w:lineRule="auto"/>
              <w:contextualSpacing/>
              <w:jc w:val="right"/>
              <w:rPr>
                <w:rFonts w:eastAsia="Times New Roman" w:cs="Times New Roman"/>
                <w:color w:val="000000"/>
                <w:sz w:val="20"/>
                <w:szCs w:val="20"/>
                <w:lang w:eastAsia="sk-SK"/>
              </w:rPr>
            </w:pPr>
          </w:p>
        </w:tc>
        <w:tc>
          <w:tcPr>
            <w:tcW w:w="668" w:type="pct"/>
            <w:shd w:val="clear" w:color="auto" w:fill="auto"/>
            <w:vAlign w:val="center"/>
          </w:tcPr>
          <w:p w14:paraId="4736234D" w14:textId="32E1D05F" w:rsidR="00116ECB" w:rsidRPr="000939E3" w:rsidRDefault="00116ECB" w:rsidP="000939E3">
            <w:pPr>
              <w:spacing w:after="0" w:line="240" w:lineRule="auto"/>
              <w:contextualSpacing/>
              <w:jc w:val="right"/>
              <w:rPr>
                <w:rFonts w:eastAsia="Times New Roman" w:cs="Times New Roman"/>
                <w:color w:val="000000"/>
                <w:sz w:val="20"/>
                <w:szCs w:val="20"/>
                <w:lang w:eastAsia="sk-SK"/>
              </w:rPr>
            </w:pPr>
          </w:p>
        </w:tc>
        <w:tc>
          <w:tcPr>
            <w:tcW w:w="573" w:type="pct"/>
            <w:shd w:val="clear" w:color="auto" w:fill="auto"/>
            <w:vAlign w:val="center"/>
          </w:tcPr>
          <w:p w14:paraId="02F51532" w14:textId="1C0388E8" w:rsidR="00116ECB" w:rsidRPr="000939E3" w:rsidRDefault="00116ECB" w:rsidP="000939E3">
            <w:pPr>
              <w:spacing w:after="0" w:line="240" w:lineRule="auto"/>
              <w:contextualSpacing/>
              <w:jc w:val="right"/>
              <w:rPr>
                <w:rFonts w:eastAsia="Times New Roman" w:cs="Times New Roman"/>
                <w:color w:val="000000"/>
                <w:sz w:val="20"/>
                <w:szCs w:val="20"/>
                <w:lang w:eastAsia="sk-SK"/>
              </w:rPr>
            </w:pPr>
          </w:p>
        </w:tc>
      </w:tr>
      <w:tr w:rsidR="00116ECB" w:rsidRPr="000939E3" w14:paraId="2717DE76" w14:textId="77777777" w:rsidTr="00E6027A">
        <w:trPr>
          <w:trHeight w:val="20"/>
        </w:trPr>
        <w:tc>
          <w:tcPr>
            <w:tcW w:w="1603" w:type="pct"/>
            <w:shd w:val="clear" w:color="auto" w:fill="auto"/>
            <w:vAlign w:val="center"/>
            <w:hideMark/>
          </w:tcPr>
          <w:p w14:paraId="5FA12463" w14:textId="77777777" w:rsidR="00116ECB" w:rsidRPr="000939E3" w:rsidRDefault="00116ECB" w:rsidP="000939E3">
            <w:pPr>
              <w:spacing w:after="0" w:line="240" w:lineRule="auto"/>
              <w:ind w:firstLineChars="200" w:firstLine="360"/>
              <w:contextualSpacing/>
              <w:jc w:val="lef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z toho štátna služba</w:t>
            </w:r>
          </w:p>
        </w:tc>
        <w:tc>
          <w:tcPr>
            <w:tcW w:w="677" w:type="pct"/>
            <w:shd w:val="clear" w:color="auto" w:fill="auto"/>
            <w:vAlign w:val="center"/>
          </w:tcPr>
          <w:p w14:paraId="43FDD975" w14:textId="6B3DDDA2" w:rsidR="00116ECB" w:rsidRPr="000939E3" w:rsidRDefault="008F74F5"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7</w:t>
            </w:r>
            <w:r w:rsidR="00116ECB" w:rsidRPr="000939E3">
              <w:rPr>
                <w:rFonts w:eastAsia="Times New Roman" w:cs="Times New Roman"/>
                <w:i/>
                <w:iCs/>
                <w:color w:val="000000"/>
                <w:sz w:val="18"/>
                <w:szCs w:val="18"/>
                <w:lang w:eastAsia="sk-SK"/>
              </w:rPr>
              <w:t>%</w:t>
            </w:r>
          </w:p>
        </w:tc>
        <w:tc>
          <w:tcPr>
            <w:tcW w:w="775" w:type="pct"/>
            <w:shd w:val="clear" w:color="auto" w:fill="auto"/>
            <w:vAlign w:val="center"/>
            <w:hideMark/>
          </w:tcPr>
          <w:p w14:paraId="7C8C4221"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23</w:t>
            </w:r>
          </w:p>
        </w:tc>
        <w:tc>
          <w:tcPr>
            <w:tcW w:w="704" w:type="pct"/>
            <w:shd w:val="clear" w:color="auto" w:fill="auto"/>
            <w:vAlign w:val="center"/>
            <w:hideMark/>
          </w:tcPr>
          <w:p w14:paraId="2BD1EA05"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1 631</w:t>
            </w:r>
          </w:p>
        </w:tc>
        <w:tc>
          <w:tcPr>
            <w:tcW w:w="668" w:type="pct"/>
            <w:shd w:val="clear" w:color="auto" w:fill="auto"/>
            <w:vAlign w:val="center"/>
            <w:hideMark/>
          </w:tcPr>
          <w:p w14:paraId="2F0B8960"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0,6</w:t>
            </w:r>
          </w:p>
        </w:tc>
        <w:tc>
          <w:tcPr>
            <w:tcW w:w="573" w:type="pct"/>
            <w:shd w:val="clear" w:color="auto" w:fill="auto"/>
            <w:vAlign w:val="center"/>
            <w:hideMark/>
          </w:tcPr>
          <w:p w14:paraId="68A1ED42"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0,04</w:t>
            </w:r>
          </w:p>
        </w:tc>
      </w:tr>
      <w:tr w:rsidR="00116ECB" w:rsidRPr="000939E3" w14:paraId="3A86D230" w14:textId="77777777" w:rsidTr="00E6027A">
        <w:trPr>
          <w:trHeight w:val="20"/>
        </w:trPr>
        <w:tc>
          <w:tcPr>
            <w:tcW w:w="1603" w:type="pct"/>
            <w:tcBorders>
              <w:bottom w:val="single" w:sz="4" w:space="0" w:color="auto"/>
            </w:tcBorders>
            <w:shd w:val="clear" w:color="auto" w:fill="auto"/>
            <w:vAlign w:val="center"/>
            <w:hideMark/>
          </w:tcPr>
          <w:p w14:paraId="59BE1468" w14:textId="77777777" w:rsidR="00116ECB" w:rsidRPr="000939E3" w:rsidRDefault="00116ECB" w:rsidP="000939E3">
            <w:pPr>
              <w:spacing w:after="0" w:line="240" w:lineRule="auto"/>
              <w:ind w:firstLineChars="200" w:firstLine="360"/>
              <w:contextualSpacing/>
              <w:jc w:val="lef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z toho verejná služba</w:t>
            </w:r>
          </w:p>
        </w:tc>
        <w:tc>
          <w:tcPr>
            <w:tcW w:w="677" w:type="pct"/>
            <w:tcBorders>
              <w:bottom w:val="single" w:sz="4" w:space="0" w:color="auto"/>
            </w:tcBorders>
            <w:shd w:val="clear" w:color="auto" w:fill="auto"/>
            <w:vAlign w:val="center"/>
          </w:tcPr>
          <w:p w14:paraId="6C21B4D1" w14:textId="41C2A790" w:rsidR="00116ECB" w:rsidRPr="000939E3" w:rsidRDefault="008F74F5"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7</w:t>
            </w:r>
            <w:r w:rsidR="00116ECB" w:rsidRPr="000939E3">
              <w:rPr>
                <w:rFonts w:eastAsia="Times New Roman" w:cs="Times New Roman"/>
                <w:i/>
                <w:iCs/>
                <w:color w:val="000000"/>
                <w:sz w:val="18"/>
                <w:szCs w:val="18"/>
                <w:lang w:eastAsia="sk-SK"/>
              </w:rPr>
              <w:t>%</w:t>
            </w:r>
          </w:p>
        </w:tc>
        <w:tc>
          <w:tcPr>
            <w:tcW w:w="775" w:type="pct"/>
            <w:tcBorders>
              <w:bottom w:val="single" w:sz="4" w:space="0" w:color="auto"/>
            </w:tcBorders>
            <w:shd w:val="clear" w:color="auto" w:fill="auto"/>
            <w:vAlign w:val="center"/>
            <w:hideMark/>
          </w:tcPr>
          <w:p w14:paraId="6422AA5D"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11</w:t>
            </w:r>
          </w:p>
        </w:tc>
        <w:tc>
          <w:tcPr>
            <w:tcW w:w="704" w:type="pct"/>
            <w:tcBorders>
              <w:bottom w:val="single" w:sz="4" w:space="0" w:color="auto"/>
            </w:tcBorders>
            <w:shd w:val="clear" w:color="auto" w:fill="auto"/>
            <w:vAlign w:val="center"/>
            <w:hideMark/>
          </w:tcPr>
          <w:p w14:paraId="20EE961E"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1 124</w:t>
            </w:r>
          </w:p>
        </w:tc>
        <w:tc>
          <w:tcPr>
            <w:tcW w:w="668" w:type="pct"/>
            <w:tcBorders>
              <w:bottom w:val="single" w:sz="4" w:space="0" w:color="auto"/>
            </w:tcBorders>
            <w:shd w:val="clear" w:color="auto" w:fill="auto"/>
            <w:vAlign w:val="center"/>
            <w:hideMark/>
          </w:tcPr>
          <w:p w14:paraId="7C01B8B0"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0,2</w:t>
            </w:r>
          </w:p>
        </w:tc>
        <w:tc>
          <w:tcPr>
            <w:tcW w:w="573" w:type="pct"/>
            <w:tcBorders>
              <w:bottom w:val="single" w:sz="4" w:space="0" w:color="auto"/>
            </w:tcBorders>
            <w:shd w:val="clear" w:color="auto" w:fill="auto"/>
            <w:vAlign w:val="center"/>
            <w:hideMark/>
          </w:tcPr>
          <w:p w14:paraId="69173631" w14:textId="77777777" w:rsidR="00116ECB" w:rsidRPr="000939E3" w:rsidRDefault="00116ECB" w:rsidP="000939E3">
            <w:pPr>
              <w:spacing w:after="0" w:line="240" w:lineRule="auto"/>
              <w:contextualSpacing/>
              <w:jc w:val="right"/>
              <w:rPr>
                <w:rFonts w:eastAsia="Times New Roman" w:cs="Times New Roman"/>
                <w:i/>
                <w:iCs/>
                <w:color w:val="000000"/>
                <w:sz w:val="18"/>
                <w:szCs w:val="18"/>
                <w:lang w:eastAsia="sk-SK"/>
              </w:rPr>
            </w:pPr>
            <w:r w:rsidRPr="000939E3">
              <w:rPr>
                <w:rFonts w:eastAsia="Times New Roman" w:cs="Times New Roman"/>
                <w:i/>
                <w:iCs/>
                <w:color w:val="000000"/>
                <w:sz w:val="18"/>
                <w:szCs w:val="18"/>
                <w:lang w:eastAsia="sk-SK"/>
              </w:rPr>
              <w:t>0,01</w:t>
            </w:r>
          </w:p>
        </w:tc>
      </w:tr>
      <w:tr w:rsidR="00116ECB" w:rsidRPr="000939E3" w14:paraId="4F27C952" w14:textId="77777777" w:rsidTr="008E4B7A">
        <w:trPr>
          <w:trHeight w:val="20"/>
        </w:trPr>
        <w:tc>
          <w:tcPr>
            <w:tcW w:w="1603" w:type="pct"/>
            <w:tcBorders>
              <w:top w:val="single" w:sz="4" w:space="0" w:color="auto"/>
              <w:bottom w:val="single" w:sz="4" w:space="0" w:color="auto"/>
            </w:tcBorders>
            <w:shd w:val="clear" w:color="auto" w:fill="auto"/>
            <w:vAlign w:val="center"/>
            <w:hideMark/>
          </w:tcPr>
          <w:p w14:paraId="613A53DA" w14:textId="77777777" w:rsidR="00116ECB" w:rsidRPr="000939E3" w:rsidRDefault="00116ECB" w:rsidP="000939E3">
            <w:pPr>
              <w:spacing w:after="0" w:line="240" w:lineRule="auto"/>
              <w:contextualSpacing/>
              <w:rPr>
                <w:rFonts w:eastAsia="Times New Roman" w:cs="Times New Roman"/>
                <w:b/>
                <w:iCs/>
                <w:color w:val="000000"/>
                <w:sz w:val="20"/>
                <w:szCs w:val="20"/>
                <w:lang w:eastAsia="sk-SK"/>
              </w:rPr>
            </w:pPr>
            <w:r w:rsidRPr="000939E3">
              <w:rPr>
                <w:rFonts w:eastAsia="Times New Roman" w:cs="Times New Roman"/>
                <w:b/>
                <w:iCs/>
                <w:color w:val="000000"/>
                <w:sz w:val="20"/>
                <w:szCs w:val="20"/>
                <w:lang w:eastAsia="sk-SK"/>
              </w:rPr>
              <w:t>Spolu</w:t>
            </w:r>
          </w:p>
        </w:tc>
        <w:tc>
          <w:tcPr>
            <w:tcW w:w="677" w:type="pct"/>
            <w:tcBorders>
              <w:top w:val="single" w:sz="4" w:space="0" w:color="auto"/>
              <w:bottom w:val="single" w:sz="4" w:space="0" w:color="auto"/>
            </w:tcBorders>
            <w:shd w:val="clear" w:color="auto" w:fill="auto"/>
            <w:vAlign w:val="center"/>
            <w:hideMark/>
          </w:tcPr>
          <w:p w14:paraId="15AFB8ED" w14:textId="77777777" w:rsidR="00116ECB" w:rsidRPr="000939E3" w:rsidRDefault="00116ECB" w:rsidP="000939E3">
            <w:pPr>
              <w:spacing w:after="0" w:line="240" w:lineRule="auto"/>
              <w:contextualSpacing/>
              <w:jc w:val="right"/>
              <w:rPr>
                <w:rFonts w:eastAsia="Times New Roman" w:cs="Times New Roman"/>
                <w:b/>
                <w:iCs/>
                <w:color w:val="000000"/>
                <w:sz w:val="20"/>
                <w:szCs w:val="20"/>
                <w:lang w:eastAsia="sk-SK"/>
              </w:rPr>
            </w:pPr>
            <w:r w:rsidRPr="000939E3">
              <w:rPr>
                <w:rFonts w:eastAsia="Times New Roman" w:cs="Times New Roman"/>
                <w:b/>
                <w:iCs/>
                <w:color w:val="000000"/>
                <w:sz w:val="20"/>
                <w:szCs w:val="20"/>
                <w:lang w:eastAsia="sk-SK"/>
              </w:rPr>
              <w:t> </w:t>
            </w:r>
          </w:p>
        </w:tc>
        <w:tc>
          <w:tcPr>
            <w:tcW w:w="775" w:type="pct"/>
            <w:tcBorders>
              <w:top w:val="single" w:sz="4" w:space="0" w:color="auto"/>
              <w:bottom w:val="single" w:sz="4" w:space="0" w:color="auto"/>
            </w:tcBorders>
            <w:shd w:val="clear" w:color="auto" w:fill="auto"/>
            <w:vAlign w:val="center"/>
            <w:hideMark/>
          </w:tcPr>
          <w:p w14:paraId="115610B3" w14:textId="4EA7EF31" w:rsidR="00116ECB" w:rsidRPr="000939E3" w:rsidRDefault="002478C0" w:rsidP="000939E3">
            <w:pPr>
              <w:spacing w:after="0" w:line="240" w:lineRule="auto"/>
              <w:contextualSpacing/>
              <w:jc w:val="right"/>
              <w:rPr>
                <w:rFonts w:eastAsia="Times New Roman" w:cs="Times New Roman"/>
                <w:b/>
                <w:iCs/>
                <w:color w:val="000000"/>
                <w:sz w:val="20"/>
                <w:szCs w:val="20"/>
                <w:lang w:eastAsia="sk-SK"/>
              </w:rPr>
            </w:pPr>
            <w:r w:rsidRPr="000939E3">
              <w:rPr>
                <w:rFonts w:eastAsia="Times New Roman" w:cs="Times New Roman"/>
                <w:b/>
                <w:iCs/>
                <w:color w:val="000000"/>
                <w:sz w:val="20"/>
                <w:szCs w:val="20"/>
                <w:lang w:eastAsia="sk-SK"/>
              </w:rPr>
              <w:t>953</w:t>
            </w:r>
          </w:p>
        </w:tc>
        <w:tc>
          <w:tcPr>
            <w:tcW w:w="704" w:type="pct"/>
            <w:tcBorders>
              <w:top w:val="single" w:sz="4" w:space="0" w:color="auto"/>
              <w:bottom w:val="single" w:sz="4" w:space="0" w:color="auto"/>
            </w:tcBorders>
            <w:shd w:val="clear" w:color="auto" w:fill="auto"/>
            <w:vAlign w:val="center"/>
            <w:hideMark/>
          </w:tcPr>
          <w:p w14:paraId="2DCB6A23" w14:textId="77777777" w:rsidR="00116ECB" w:rsidRPr="000939E3" w:rsidRDefault="00116ECB" w:rsidP="000939E3">
            <w:pPr>
              <w:spacing w:after="0" w:line="240" w:lineRule="auto"/>
              <w:contextualSpacing/>
              <w:jc w:val="right"/>
              <w:rPr>
                <w:rFonts w:eastAsia="Times New Roman" w:cs="Times New Roman"/>
                <w:b/>
                <w:iCs/>
                <w:color w:val="000000"/>
                <w:sz w:val="20"/>
                <w:szCs w:val="20"/>
                <w:lang w:eastAsia="sk-SK"/>
              </w:rPr>
            </w:pPr>
            <w:r w:rsidRPr="000939E3">
              <w:rPr>
                <w:rFonts w:eastAsia="Times New Roman" w:cs="Times New Roman"/>
                <w:b/>
                <w:iCs/>
                <w:color w:val="000000"/>
                <w:sz w:val="20"/>
                <w:szCs w:val="20"/>
                <w:lang w:eastAsia="sk-SK"/>
              </w:rPr>
              <w:t>1 873</w:t>
            </w:r>
          </w:p>
        </w:tc>
        <w:tc>
          <w:tcPr>
            <w:tcW w:w="668" w:type="pct"/>
            <w:tcBorders>
              <w:top w:val="single" w:sz="4" w:space="0" w:color="auto"/>
              <w:bottom w:val="single" w:sz="4" w:space="0" w:color="auto"/>
            </w:tcBorders>
            <w:shd w:val="clear" w:color="auto" w:fill="auto"/>
            <w:vAlign w:val="center"/>
            <w:hideMark/>
          </w:tcPr>
          <w:p w14:paraId="6FB382A6" w14:textId="003CABAD" w:rsidR="00116ECB" w:rsidRPr="000939E3" w:rsidRDefault="000D1502" w:rsidP="000939E3">
            <w:pPr>
              <w:spacing w:after="0" w:line="240" w:lineRule="auto"/>
              <w:contextualSpacing/>
              <w:jc w:val="right"/>
              <w:rPr>
                <w:rFonts w:eastAsia="Times New Roman" w:cs="Times New Roman"/>
                <w:b/>
                <w:iCs/>
                <w:color w:val="000000"/>
                <w:sz w:val="20"/>
                <w:szCs w:val="20"/>
                <w:lang w:eastAsia="sk-SK"/>
              </w:rPr>
            </w:pPr>
            <w:r w:rsidRPr="000939E3">
              <w:rPr>
                <w:rFonts w:eastAsia="Times New Roman" w:cs="Times New Roman"/>
                <w:b/>
                <w:iCs/>
                <w:color w:val="000000"/>
                <w:sz w:val="20"/>
                <w:szCs w:val="20"/>
                <w:lang w:eastAsia="sk-SK"/>
              </w:rPr>
              <w:t>25,3</w:t>
            </w:r>
          </w:p>
        </w:tc>
        <w:tc>
          <w:tcPr>
            <w:tcW w:w="573" w:type="pct"/>
            <w:tcBorders>
              <w:top w:val="single" w:sz="4" w:space="0" w:color="auto"/>
              <w:bottom w:val="single" w:sz="4" w:space="0" w:color="auto"/>
            </w:tcBorders>
            <w:shd w:val="clear" w:color="auto" w:fill="auto"/>
            <w:vAlign w:val="center"/>
            <w:hideMark/>
          </w:tcPr>
          <w:p w14:paraId="54A81483" w14:textId="3292B429" w:rsidR="00116ECB" w:rsidRPr="000939E3" w:rsidRDefault="00116ECB" w:rsidP="000939E3">
            <w:pPr>
              <w:spacing w:after="0" w:line="240" w:lineRule="auto"/>
              <w:contextualSpacing/>
              <w:jc w:val="right"/>
              <w:rPr>
                <w:rFonts w:eastAsia="Times New Roman" w:cs="Times New Roman"/>
                <w:b/>
                <w:iCs/>
                <w:color w:val="000000"/>
                <w:sz w:val="20"/>
                <w:szCs w:val="20"/>
                <w:lang w:eastAsia="sk-SK"/>
              </w:rPr>
            </w:pPr>
            <w:r w:rsidRPr="000939E3">
              <w:rPr>
                <w:rFonts w:eastAsia="Times New Roman" w:cs="Times New Roman"/>
                <w:b/>
                <w:iCs/>
                <w:color w:val="000000"/>
                <w:sz w:val="20"/>
                <w:szCs w:val="20"/>
                <w:lang w:eastAsia="sk-SK"/>
              </w:rPr>
              <w:t>2,</w:t>
            </w:r>
            <w:r w:rsidR="002478C0" w:rsidRPr="000939E3">
              <w:rPr>
                <w:rFonts w:eastAsia="Times New Roman" w:cs="Times New Roman"/>
                <w:b/>
                <w:iCs/>
                <w:color w:val="000000"/>
                <w:sz w:val="20"/>
                <w:szCs w:val="20"/>
                <w:lang w:eastAsia="sk-SK"/>
              </w:rPr>
              <w:t>7</w:t>
            </w:r>
          </w:p>
        </w:tc>
      </w:tr>
      <w:tr w:rsidR="008E4B7A" w:rsidRPr="000939E3" w14:paraId="0C1E2400" w14:textId="77777777" w:rsidTr="008E4B7A">
        <w:trPr>
          <w:trHeight w:val="20"/>
        </w:trPr>
        <w:tc>
          <w:tcPr>
            <w:tcW w:w="1603" w:type="pct"/>
            <w:tcBorders>
              <w:top w:val="single" w:sz="4" w:space="0" w:color="auto"/>
            </w:tcBorders>
            <w:shd w:val="clear" w:color="auto" w:fill="auto"/>
            <w:vAlign w:val="center"/>
          </w:tcPr>
          <w:p w14:paraId="7CD30126" w14:textId="77777777" w:rsidR="008E4B7A" w:rsidRPr="000939E3" w:rsidRDefault="008E4B7A" w:rsidP="000939E3">
            <w:pPr>
              <w:spacing w:after="0" w:line="240" w:lineRule="auto"/>
              <w:contextualSpacing/>
              <w:rPr>
                <w:rFonts w:eastAsia="Times New Roman" w:cs="Times New Roman"/>
                <w:b/>
                <w:iCs/>
                <w:color w:val="000000"/>
                <w:sz w:val="20"/>
                <w:szCs w:val="20"/>
                <w:lang w:eastAsia="sk-SK"/>
              </w:rPr>
            </w:pPr>
          </w:p>
        </w:tc>
        <w:tc>
          <w:tcPr>
            <w:tcW w:w="677" w:type="pct"/>
            <w:tcBorders>
              <w:top w:val="single" w:sz="4" w:space="0" w:color="auto"/>
            </w:tcBorders>
            <w:shd w:val="clear" w:color="auto" w:fill="auto"/>
            <w:vAlign w:val="center"/>
          </w:tcPr>
          <w:p w14:paraId="45DFFE5F" w14:textId="77777777" w:rsidR="008E4B7A" w:rsidRPr="000939E3" w:rsidRDefault="008E4B7A" w:rsidP="000939E3">
            <w:pPr>
              <w:spacing w:after="0" w:line="240" w:lineRule="auto"/>
              <w:contextualSpacing/>
              <w:jc w:val="right"/>
              <w:rPr>
                <w:rFonts w:eastAsia="Times New Roman" w:cs="Times New Roman"/>
                <w:b/>
                <w:iCs/>
                <w:color w:val="000000"/>
                <w:sz w:val="20"/>
                <w:szCs w:val="20"/>
                <w:lang w:eastAsia="sk-SK"/>
              </w:rPr>
            </w:pPr>
          </w:p>
        </w:tc>
        <w:tc>
          <w:tcPr>
            <w:tcW w:w="775" w:type="pct"/>
            <w:tcBorders>
              <w:top w:val="single" w:sz="4" w:space="0" w:color="auto"/>
            </w:tcBorders>
            <w:shd w:val="clear" w:color="auto" w:fill="auto"/>
            <w:vAlign w:val="center"/>
          </w:tcPr>
          <w:p w14:paraId="3D2E6E2F" w14:textId="77777777" w:rsidR="008E4B7A" w:rsidRPr="000939E3" w:rsidRDefault="008E4B7A" w:rsidP="000939E3">
            <w:pPr>
              <w:spacing w:after="0" w:line="240" w:lineRule="auto"/>
              <w:contextualSpacing/>
              <w:jc w:val="right"/>
              <w:rPr>
                <w:rFonts w:eastAsia="Times New Roman" w:cs="Times New Roman"/>
                <w:b/>
                <w:iCs/>
                <w:color w:val="000000"/>
                <w:sz w:val="20"/>
                <w:szCs w:val="20"/>
                <w:lang w:eastAsia="sk-SK"/>
              </w:rPr>
            </w:pPr>
          </w:p>
        </w:tc>
        <w:tc>
          <w:tcPr>
            <w:tcW w:w="704" w:type="pct"/>
            <w:tcBorders>
              <w:top w:val="single" w:sz="4" w:space="0" w:color="auto"/>
            </w:tcBorders>
            <w:shd w:val="clear" w:color="auto" w:fill="auto"/>
            <w:vAlign w:val="center"/>
          </w:tcPr>
          <w:p w14:paraId="3945DB97" w14:textId="77777777" w:rsidR="008E4B7A" w:rsidRPr="000939E3" w:rsidRDefault="008E4B7A" w:rsidP="000939E3">
            <w:pPr>
              <w:spacing w:after="0" w:line="240" w:lineRule="auto"/>
              <w:contextualSpacing/>
              <w:jc w:val="right"/>
              <w:rPr>
                <w:rFonts w:eastAsia="Times New Roman" w:cs="Times New Roman"/>
                <w:b/>
                <w:iCs/>
                <w:color w:val="000000"/>
                <w:sz w:val="20"/>
                <w:szCs w:val="20"/>
                <w:lang w:eastAsia="sk-SK"/>
              </w:rPr>
            </w:pPr>
          </w:p>
        </w:tc>
        <w:tc>
          <w:tcPr>
            <w:tcW w:w="1241" w:type="pct"/>
            <w:gridSpan w:val="2"/>
            <w:tcBorders>
              <w:top w:val="single" w:sz="4" w:space="0" w:color="auto"/>
            </w:tcBorders>
            <w:shd w:val="clear" w:color="auto" w:fill="auto"/>
            <w:vAlign w:val="center"/>
          </w:tcPr>
          <w:p w14:paraId="275BE99E" w14:textId="43FA0586" w:rsidR="008E4B7A" w:rsidRPr="008E4B7A" w:rsidRDefault="008E4B7A" w:rsidP="000939E3">
            <w:pPr>
              <w:spacing w:after="0" w:line="240" w:lineRule="auto"/>
              <w:contextualSpacing/>
              <w:jc w:val="right"/>
              <w:rPr>
                <w:rFonts w:eastAsia="Times New Roman" w:cs="Times New Roman"/>
                <w:i/>
                <w:iCs/>
                <w:color w:val="000000"/>
                <w:sz w:val="20"/>
                <w:szCs w:val="20"/>
                <w:lang w:eastAsia="sk-SK"/>
              </w:rPr>
            </w:pPr>
            <w:r w:rsidRPr="008E4B7A">
              <w:rPr>
                <w:rFonts w:eastAsia="Times New Roman" w:cs="Times New Roman"/>
                <w:i/>
                <w:iCs/>
                <w:color w:val="000000"/>
                <w:sz w:val="18"/>
                <w:szCs w:val="20"/>
                <w:lang w:eastAsia="sk-SK"/>
              </w:rPr>
              <w:t>Zdroj: MF SR</w:t>
            </w:r>
          </w:p>
        </w:tc>
      </w:tr>
    </w:tbl>
    <w:p w14:paraId="035F17ED" w14:textId="2BA2FBDE" w:rsidR="00116ECB" w:rsidRPr="000939E3" w:rsidRDefault="00921EF6" w:rsidP="00777BBA">
      <w:pPr>
        <w:pStyle w:val="Odsekzoznamu"/>
        <w:numPr>
          <w:ilvl w:val="0"/>
          <w:numId w:val="33"/>
        </w:numPr>
        <w:tabs>
          <w:tab w:val="left" w:pos="284"/>
        </w:tabs>
        <w:ind w:left="0" w:firstLine="0"/>
        <w:rPr>
          <w:b/>
        </w:rPr>
      </w:pPr>
      <w:bookmarkStart w:id="30" w:name="Riadenie_8"/>
      <w:r w:rsidRPr="000939E3">
        <w:rPr>
          <w:b/>
        </w:rPr>
        <w:t xml:space="preserve">Opatrenie: </w:t>
      </w:r>
      <w:r w:rsidR="00116ECB" w:rsidRPr="000939E3">
        <w:rPr>
          <w:b/>
        </w:rPr>
        <w:t>Rozpočt</w:t>
      </w:r>
      <w:r w:rsidRPr="000939E3">
        <w:rPr>
          <w:b/>
        </w:rPr>
        <w:t>ovať</w:t>
      </w:r>
      <w:r w:rsidR="00116ECB" w:rsidRPr="000939E3">
        <w:rPr>
          <w:b/>
        </w:rPr>
        <w:t xml:space="preserve"> EÚ fond</w:t>
      </w:r>
      <w:r w:rsidRPr="000939E3">
        <w:rPr>
          <w:b/>
        </w:rPr>
        <w:t>y</w:t>
      </w:r>
      <w:r w:rsidR="00116ECB" w:rsidRPr="000939E3">
        <w:rPr>
          <w:b/>
        </w:rPr>
        <w:t xml:space="preserve"> na mzdy</w:t>
      </w:r>
      <w:bookmarkEnd w:id="30"/>
    </w:p>
    <w:p w14:paraId="0E2C9B18" w14:textId="60D01212" w:rsidR="00921EF6" w:rsidRPr="000939E3" w:rsidRDefault="00116ECB" w:rsidP="008F74F5">
      <w:r w:rsidRPr="000939E3">
        <w:rPr>
          <w:b/>
        </w:rPr>
        <w:t xml:space="preserve">Mzdy hradené z eurofondov sa na mzdových položkách v schválenom rozpočte nenachádzajú vôbec, </w:t>
      </w:r>
      <w:r w:rsidR="009E105E" w:rsidRPr="000939E3">
        <w:rPr>
          <w:b/>
        </w:rPr>
        <w:t>časť je do </w:t>
      </w:r>
      <w:r w:rsidR="0037526B" w:rsidRPr="000939E3">
        <w:rPr>
          <w:b/>
        </w:rPr>
        <w:t>rozpočtu presunutá</w:t>
      </w:r>
      <w:r w:rsidRPr="000939E3">
        <w:rPr>
          <w:b/>
        </w:rPr>
        <w:t xml:space="preserve"> až v upravenom rozpočte v januári </w:t>
      </w:r>
      <w:r w:rsidRPr="000939E3">
        <w:t>(</w:t>
      </w:r>
      <w:r w:rsidR="00E6027A">
        <w:t>k</w:t>
      </w:r>
      <w:r w:rsidRPr="000939E3">
        <w:t xml:space="preserve">apitola </w:t>
      </w:r>
      <w:r w:rsidR="00D26F62" w:rsidRPr="000939E3">
        <w:t>4</w:t>
      </w:r>
      <w:r w:rsidRPr="000939E3">
        <w:t>.3). Napriek nízkej predvídateľnosti celkových mzdových výdavkov z EÚ fondov je možné pomerne presne odhadnúť počty a výdavky na</w:t>
      </w:r>
      <w:r w:rsidR="008F74F5" w:rsidRPr="000939E3">
        <w:t> </w:t>
      </w:r>
      <w:r w:rsidRPr="000939E3">
        <w:rPr>
          <w:i/>
        </w:rPr>
        <w:t>administratívne kapacity osobitne sledované</w:t>
      </w:r>
      <w:r w:rsidRPr="000939E3">
        <w:rPr>
          <w:rStyle w:val="Odkaznapoznmkupodiarou"/>
        </w:rPr>
        <w:footnoteReference w:id="16"/>
      </w:r>
      <w:r w:rsidRPr="000939E3">
        <w:t>. Pri súčasnom nastavení by však bola tvorba rozpočtu technicky ťažko realizovateľná (časový nesúlad pri refundácii, rozdiel poskytovateľa a prij</w:t>
      </w:r>
      <w:r w:rsidR="008F74F5" w:rsidRPr="000939E3">
        <w:t>ímateľa EÚ fondov). Vzhľadom na </w:t>
      </w:r>
      <w:r w:rsidRPr="000939E3">
        <w:t xml:space="preserve">nevyhnutné systémové zmeny v procesoch, ktoré </w:t>
      </w:r>
      <w:r w:rsidR="003803C7" w:rsidRPr="000939E3">
        <w:t>si zmena vyžaduje</w:t>
      </w:r>
      <w:r w:rsidRPr="000939E3">
        <w:t xml:space="preserve">, </w:t>
      </w:r>
      <w:r w:rsidR="003803C7" w:rsidRPr="000939E3">
        <w:t xml:space="preserve">je </w:t>
      </w:r>
      <w:r w:rsidRPr="000939E3">
        <w:t>vhodné zásadnejšie zmeny realizovať až od nasledujúceho programového obdobia.</w:t>
      </w:r>
      <w:r w:rsidR="001F6D32" w:rsidRPr="000939E3">
        <w:t xml:space="preserve"> </w:t>
      </w:r>
    </w:p>
    <w:p w14:paraId="264AC9AF" w14:textId="6667BCB6" w:rsidR="00DB4633" w:rsidRPr="000939E3" w:rsidRDefault="001F6D32" w:rsidP="000969DB">
      <w:r w:rsidRPr="000939E3">
        <w:t>Revízia odporúča vypracovať analýzu alternatív rozpočtovania mzdových výdavkov zo zdroj</w:t>
      </w:r>
      <w:r w:rsidR="006B1E54" w:rsidRPr="000939E3">
        <w:t>ov</w:t>
      </w:r>
      <w:r w:rsidRPr="000939E3">
        <w:t xml:space="preserve"> EÚ pre programové obdobie 2021-2027, a počas tvorby </w:t>
      </w:r>
      <w:r w:rsidR="00F53F73" w:rsidRPr="000939E3">
        <w:t>n</w:t>
      </w:r>
      <w:r w:rsidRPr="000939E3">
        <w:t xml:space="preserve">ávrhu </w:t>
      </w:r>
      <w:r w:rsidR="00F53F73" w:rsidRPr="000939E3">
        <w:t>rozpočtu verejnej správy</w:t>
      </w:r>
      <w:r w:rsidRPr="000939E3">
        <w:t xml:space="preserve"> rozpočtovať EÚ výdavky na mzdy administratívnych kapacít.</w:t>
      </w:r>
      <w:bookmarkStart w:id="31" w:name="Riadenie_7"/>
    </w:p>
    <w:p w14:paraId="6BDB2468" w14:textId="19DAD88F" w:rsidR="00116ECB" w:rsidRPr="000939E3" w:rsidRDefault="00921EF6" w:rsidP="00347667">
      <w:pPr>
        <w:pStyle w:val="Odsekzoznamu"/>
        <w:numPr>
          <w:ilvl w:val="0"/>
          <w:numId w:val="33"/>
        </w:numPr>
        <w:tabs>
          <w:tab w:val="left" w:pos="284"/>
        </w:tabs>
        <w:ind w:left="0" w:firstLine="0"/>
        <w:rPr>
          <w:b/>
        </w:rPr>
      </w:pPr>
      <w:r w:rsidRPr="000939E3">
        <w:rPr>
          <w:b/>
        </w:rPr>
        <w:t>Opatrenie: R</w:t>
      </w:r>
      <w:r w:rsidR="00116ECB" w:rsidRPr="000939E3">
        <w:rPr>
          <w:b/>
        </w:rPr>
        <w:t>ozpočtova</w:t>
      </w:r>
      <w:r w:rsidRPr="000939E3">
        <w:rPr>
          <w:b/>
        </w:rPr>
        <w:t>ť</w:t>
      </w:r>
      <w:r w:rsidR="00116ECB" w:rsidRPr="000939E3">
        <w:rPr>
          <w:b/>
        </w:rPr>
        <w:t xml:space="preserve"> odmen</w:t>
      </w:r>
      <w:r w:rsidRPr="000939E3">
        <w:rPr>
          <w:b/>
        </w:rPr>
        <w:t>y</w:t>
      </w:r>
      <w:r w:rsidR="00116ECB" w:rsidRPr="000939E3">
        <w:rPr>
          <w:b/>
        </w:rPr>
        <w:t xml:space="preserve"> </w:t>
      </w:r>
      <w:r w:rsidRPr="000939E3">
        <w:rPr>
          <w:b/>
        </w:rPr>
        <w:t>v rozpočte verejn</w:t>
      </w:r>
      <w:r w:rsidR="00FD138B" w:rsidRPr="000939E3">
        <w:rPr>
          <w:b/>
        </w:rPr>
        <w:t>ej správy</w:t>
      </w:r>
      <w:bookmarkEnd w:id="31"/>
    </w:p>
    <w:p w14:paraId="5110AC9B" w14:textId="50C64FA8" w:rsidR="00116ECB" w:rsidRPr="000939E3" w:rsidRDefault="00116ECB" w:rsidP="000969DB">
      <w:pPr>
        <w:rPr>
          <w:rFonts w:eastAsia="Calibri" w:cs="Times New Roman"/>
          <w:color w:val="000000"/>
        </w:rPr>
      </w:pPr>
      <w:r w:rsidRPr="000939E3">
        <w:rPr>
          <w:b/>
        </w:rPr>
        <w:t>V</w:t>
      </w:r>
      <w:r w:rsidRPr="000939E3">
        <w:rPr>
          <w:rFonts w:eastAsia="Calibri" w:cs="Times New Roman"/>
          <w:b/>
          <w:color w:val="000000"/>
        </w:rPr>
        <w:t> štruktúre mzdových výdavkov dochádza k výrazným zmenám z dôvodu nerozpočtovania položiek, ktoré sú každoročne vyplácané.</w:t>
      </w:r>
      <w:r w:rsidRPr="000939E3">
        <w:rPr>
          <w:rFonts w:eastAsia="Calibri" w:cs="Times New Roman"/>
          <w:color w:val="000000"/>
        </w:rPr>
        <w:t xml:space="preserve"> V porovnaní so schváleným rozpočtom výrazne rastú najmä odmeny, ktoré sú dlhodobo rozpočtované na 0,5 % rozpočtu celkových mzdových kompenzácií, avšak skutočné vyplatené odmeny </w:t>
      </w:r>
      <w:r w:rsidRPr="000939E3">
        <w:rPr>
          <w:rFonts w:eastAsia="Calibri" w:cs="Times New Roman"/>
          <w:color w:val="000000"/>
        </w:rPr>
        <w:lastRenderedPageBreak/>
        <w:t xml:space="preserve">predstavujú 6 % celkových miezd. </w:t>
      </w:r>
      <w:r w:rsidRPr="000939E3">
        <w:t xml:space="preserve">Nerozpočtovanie odmien znižuje predvídateľnosť rozpočtu a je prekážkou </w:t>
      </w:r>
      <w:r w:rsidR="003803C7" w:rsidRPr="000939E3">
        <w:t xml:space="preserve">lepšieho </w:t>
      </w:r>
      <w:r w:rsidR="002017AA" w:rsidRPr="000939E3">
        <w:t>riadenia</w:t>
      </w:r>
      <w:r w:rsidRPr="000939E3">
        <w:t xml:space="preserve"> ľudských zdrojov (</w:t>
      </w:r>
      <w:r w:rsidR="00E6027A">
        <w:t>k</w:t>
      </w:r>
      <w:r w:rsidRPr="000939E3">
        <w:t xml:space="preserve">apitola </w:t>
      </w:r>
      <w:r w:rsidR="00D26F62" w:rsidRPr="000939E3">
        <w:t>4</w:t>
      </w:r>
      <w:r w:rsidRPr="000939E3">
        <w:t>.3).</w:t>
      </w:r>
    </w:p>
    <w:p w14:paraId="573D5876" w14:textId="4C9230D0" w:rsidR="009919B2" w:rsidRPr="000939E3" w:rsidRDefault="00116ECB" w:rsidP="000969DB">
      <w:r w:rsidRPr="000939E3">
        <w:rPr>
          <w:b/>
        </w:rPr>
        <w:t>Odmeny sú štandardným nástrojom vykonávania odmeňovacej (personálnej) politiky, a preto ich plánované vyplatenie by malo byť uvedené už v rozpočte.</w:t>
      </w:r>
      <w:r w:rsidRPr="000939E3">
        <w:t xml:space="preserve"> Objem prostriedkov určený na odmeny by tak nebol podmienený nesúvisiacimi faktormi, ktoré nie sú plne pod kontrolou zamestnávateľa (napríklad práceneschopnosť zamestnancov, či neobsadené pracovné miesta). Stanovenie prostriedkov na odmeny by navyše zvýšilo transparentnosť odmeňovacieho procesu. Na zvýšenie predvídateľnosti mzdových výdavkov je vhodné spolu s odmenami presnejšie rozpočtovať všetky zložky mzdy podľa položiek ekonomickej klasifikácie, najmä tarifný (základný) plat a príplatky.</w:t>
      </w:r>
      <w:r w:rsidR="00DB4633" w:rsidRPr="000939E3" w:rsidDel="00DB4633">
        <w:t xml:space="preserve"> </w:t>
      </w:r>
    </w:p>
    <w:bookmarkEnd w:id="28"/>
    <w:p w14:paraId="35D69137" w14:textId="755FE144" w:rsidR="00E77ECE" w:rsidRPr="000939E3" w:rsidRDefault="00921EF6" w:rsidP="000969DB">
      <w:pPr>
        <w:pStyle w:val="Odsekzoznamu"/>
        <w:numPr>
          <w:ilvl w:val="0"/>
          <w:numId w:val="33"/>
        </w:numPr>
        <w:tabs>
          <w:tab w:val="left" w:pos="284"/>
        </w:tabs>
        <w:spacing w:before="120"/>
        <w:ind w:left="0" w:firstLine="0"/>
        <w:contextualSpacing w:val="0"/>
        <w:jc w:val="both"/>
      </w:pPr>
      <w:r w:rsidRPr="000939E3">
        <w:rPr>
          <w:b/>
        </w:rPr>
        <w:t xml:space="preserve">Opatrenie: </w:t>
      </w:r>
      <w:r w:rsidR="00E77ECE" w:rsidRPr="000939E3">
        <w:rPr>
          <w:b/>
        </w:rPr>
        <w:t>Zvýš</w:t>
      </w:r>
      <w:r w:rsidRPr="000939E3">
        <w:rPr>
          <w:b/>
        </w:rPr>
        <w:t>iť</w:t>
      </w:r>
      <w:r w:rsidR="00E77ECE" w:rsidRPr="000939E3">
        <w:rPr>
          <w:b/>
        </w:rPr>
        <w:t xml:space="preserve"> </w:t>
      </w:r>
      <w:r w:rsidRPr="000939E3">
        <w:rPr>
          <w:b/>
        </w:rPr>
        <w:t xml:space="preserve">flexibilitu </w:t>
      </w:r>
      <w:r w:rsidR="00E77ECE" w:rsidRPr="000939E3">
        <w:rPr>
          <w:b/>
        </w:rPr>
        <w:t xml:space="preserve">v odmeňovaní štátnych a verejných zamestnancov s dôrazom na ich výkon </w:t>
      </w:r>
    </w:p>
    <w:p w14:paraId="0F2BD08A" w14:textId="47B00002" w:rsidR="007F392B" w:rsidRPr="000939E3" w:rsidRDefault="007F392B" w:rsidP="007F392B">
      <w:pPr>
        <w:pStyle w:val="Odsekzoznamu"/>
        <w:tabs>
          <w:tab w:val="left" w:pos="284"/>
        </w:tabs>
        <w:spacing w:before="120"/>
        <w:ind w:left="0"/>
        <w:contextualSpacing w:val="0"/>
        <w:jc w:val="both"/>
      </w:pPr>
      <w:r w:rsidRPr="000939E3">
        <w:rPr>
          <w:b/>
        </w:rPr>
        <w:t>Odmeňovanie štátnych a verejných zamestnancov by malo prejsť výraznej</w:t>
      </w:r>
      <w:r w:rsidR="001436B2" w:rsidRPr="000939E3">
        <w:rPr>
          <w:b/>
        </w:rPr>
        <w:t>šo</w:t>
      </w:r>
      <w:r w:rsidRPr="000939E3">
        <w:rPr>
          <w:b/>
        </w:rPr>
        <w:t>u zmenou smerom k flexibilnejšiemu a pružnejšiemu systému,</w:t>
      </w:r>
      <w:r w:rsidRPr="000939E3">
        <w:t xml:space="preserve"> ktorý by bol schopný reagovať na trh práce a prilákať kvalifikovaných ľudí. Viac ako formálne zaradenie a počet rokov praxe</w:t>
      </w:r>
      <w:r w:rsidRPr="000939E3">
        <w:rPr>
          <w:rStyle w:val="Odkaznapoznmkupodiarou"/>
        </w:rPr>
        <w:footnoteReference w:id="17"/>
      </w:r>
      <w:r w:rsidRPr="000939E3">
        <w:t xml:space="preserve"> by malo odmeňovanie zohľadňovať výkon a kvalitu práce. Súčasný systém to umožňuje len čiastočne.</w:t>
      </w:r>
    </w:p>
    <w:p w14:paraId="55DD11BE" w14:textId="604E642D" w:rsidR="00320981" w:rsidRPr="000939E3" w:rsidRDefault="007F392B" w:rsidP="00777BBA">
      <w:pPr>
        <w:pStyle w:val="Odsekzoznamu"/>
        <w:tabs>
          <w:tab w:val="left" w:pos="284"/>
        </w:tabs>
        <w:spacing w:before="120"/>
        <w:ind w:left="0"/>
        <w:contextualSpacing w:val="0"/>
        <w:jc w:val="both"/>
        <w:rPr>
          <w:b/>
        </w:rPr>
      </w:pPr>
      <w:r w:rsidRPr="000939E3">
        <w:rPr>
          <w:b/>
        </w:rPr>
        <w:t>Jednou z </w:t>
      </w:r>
      <w:r w:rsidR="00347667" w:rsidRPr="000939E3">
        <w:rPr>
          <w:b/>
        </w:rPr>
        <w:t xml:space="preserve">možností </w:t>
      </w:r>
      <w:r w:rsidR="005B71EC" w:rsidRPr="000939E3">
        <w:rPr>
          <w:b/>
        </w:rPr>
        <w:t>je</w:t>
      </w:r>
      <w:r w:rsidRPr="000939E3">
        <w:rPr>
          <w:b/>
        </w:rPr>
        <w:t xml:space="preserve"> zavedenie systému odmeňovania na základe platových pá</w:t>
      </w:r>
      <w:r w:rsidR="009E105E" w:rsidRPr="000939E3">
        <w:rPr>
          <w:b/>
        </w:rPr>
        <w:t>siem, ktoré by boli prepojené s </w:t>
      </w:r>
      <w:r w:rsidRPr="000939E3">
        <w:rPr>
          <w:b/>
        </w:rPr>
        <w:t xml:space="preserve">relevantnou praxou a schopnosťami </w:t>
      </w:r>
      <w:r w:rsidR="00347667" w:rsidRPr="000939E3">
        <w:rPr>
          <w:b/>
        </w:rPr>
        <w:t>zamestnanca</w:t>
      </w:r>
      <w:r w:rsidRPr="000939E3">
        <w:rPr>
          <w:b/>
        </w:rPr>
        <w:t xml:space="preserve">. </w:t>
      </w:r>
      <w:r w:rsidRPr="000939E3">
        <w:t>Vhodne nastavené platové pásma kladú dôraz na rozvoj individuálnej kariéry, flexibilné role a rast schopností štátneho zamestnanca. Potrebu zavedenia p</w:t>
      </w:r>
      <w:r w:rsidR="00E21636" w:rsidRPr="000939E3">
        <w:t>l</w:t>
      </w:r>
      <w:r w:rsidRPr="000939E3">
        <w:t xml:space="preserve">atových pásiem definoval aj ÚV SR - ako centrálny koordinačný orgán pre ľudské zdroje v štátnej správe, ktorý sa v Stratégii riadenia ľudských zdrojov v štátnej službe na roky 2015 - 2020 zaviazal do roku 2020 vypracovať Koncepciou odmeňovania, ktorá by bola zameraná na vytvorenie platových pásiem. </w:t>
      </w:r>
      <w:r w:rsidR="009570FB" w:rsidRPr="000939E3">
        <w:t xml:space="preserve">Cieľom by mala byť novela Zákona o štátnej službe zavádzajúca väčšiu flexibilitu do odmeňovania. </w:t>
      </w:r>
      <w:r w:rsidRPr="000939E3">
        <w:t>Revízia odporúč</w:t>
      </w:r>
      <w:r w:rsidR="00E6027A">
        <w:t>a vypracovať podobnú analýzu aj </w:t>
      </w:r>
      <w:r w:rsidRPr="000939E3">
        <w:t>pre zamestnancov vo verejnom záujme.</w:t>
      </w:r>
      <w:bookmarkStart w:id="32" w:name="Riadenie_14"/>
    </w:p>
    <w:p w14:paraId="59264346" w14:textId="2ADC2ACC" w:rsidR="00E77ECE" w:rsidRPr="000939E3" w:rsidRDefault="00347667" w:rsidP="00777BBA">
      <w:pPr>
        <w:pStyle w:val="Odsekzoznamu"/>
        <w:numPr>
          <w:ilvl w:val="0"/>
          <w:numId w:val="33"/>
        </w:numPr>
        <w:tabs>
          <w:tab w:val="left" w:pos="284"/>
        </w:tabs>
        <w:spacing w:before="120"/>
        <w:ind w:left="0" w:hanging="11"/>
        <w:contextualSpacing w:val="0"/>
        <w:jc w:val="both"/>
        <w:rPr>
          <w:b/>
        </w:rPr>
      </w:pPr>
      <w:r w:rsidRPr="000939E3">
        <w:rPr>
          <w:b/>
        </w:rPr>
        <w:t>Opatrenie: Z</w:t>
      </w:r>
      <w:bookmarkEnd w:id="32"/>
      <w:r w:rsidR="00E77ECE" w:rsidRPr="000939E3">
        <w:rPr>
          <w:b/>
        </w:rPr>
        <w:t>výš</w:t>
      </w:r>
      <w:r w:rsidRPr="000939E3">
        <w:rPr>
          <w:b/>
        </w:rPr>
        <w:t>iť</w:t>
      </w:r>
      <w:r w:rsidR="00E77ECE" w:rsidRPr="000939E3">
        <w:rPr>
          <w:b/>
        </w:rPr>
        <w:t xml:space="preserve"> možnosti zamestnávania bakalárov</w:t>
      </w:r>
      <w:r w:rsidR="001E5D1C">
        <w:rPr>
          <w:b/>
        </w:rPr>
        <w:t xml:space="preserve"> v štátnej správe a prehodnotiť uznávanie</w:t>
      </w:r>
      <w:r w:rsidR="00E77ECE" w:rsidRPr="000939E3">
        <w:rPr>
          <w:b/>
        </w:rPr>
        <w:t xml:space="preserve"> </w:t>
      </w:r>
      <w:r w:rsidR="00A8259C" w:rsidRPr="000939E3">
        <w:rPr>
          <w:b/>
        </w:rPr>
        <w:t>praxe.</w:t>
      </w:r>
    </w:p>
    <w:p w14:paraId="0D8BDB04" w14:textId="40973BCD" w:rsidR="00E12DAC" w:rsidRPr="000939E3" w:rsidRDefault="00977D9B" w:rsidP="00E12DAC">
      <w:pPr>
        <w:tabs>
          <w:tab w:val="left" w:pos="284"/>
        </w:tabs>
        <w:spacing w:before="120"/>
      </w:pPr>
      <w:r w:rsidRPr="000939E3">
        <w:rPr>
          <w:b/>
        </w:rPr>
        <w:t>V porovnaní s</w:t>
      </w:r>
      <w:r w:rsidR="00834D65" w:rsidRPr="000939E3">
        <w:rPr>
          <w:b/>
        </w:rPr>
        <w:t xml:space="preserve"> inými krajinami OECD má Slovensko nízky podiel </w:t>
      </w:r>
      <w:r w:rsidR="00182530" w:rsidRPr="000939E3">
        <w:rPr>
          <w:b/>
        </w:rPr>
        <w:t>absolventov</w:t>
      </w:r>
      <w:r w:rsidR="00834D65" w:rsidRPr="000939E3">
        <w:rPr>
          <w:b/>
        </w:rPr>
        <w:t xml:space="preserve"> končiacich vzdelávani</w:t>
      </w:r>
      <w:r w:rsidR="001436B2" w:rsidRPr="000939E3">
        <w:rPr>
          <w:b/>
        </w:rPr>
        <w:t>e</w:t>
      </w:r>
      <w:r w:rsidR="00834D65" w:rsidRPr="000939E3">
        <w:rPr>
          <w:b/>
        </w:rPr>
        <w:t xml:space="preserve"> s titulom bakalára.</w:t>
      </w:r>
      <w:r w:rsidR="00EE098F" w:rsidRPr="000939E3">
        <w:rPr>
          <w:b/>
        </w:rPr>
        <w:t xml:space="preserve"> </w:t>
      </w:r>
      <w:r w:rsidR="00EE098F" w:rsidRPr="000939E3">
        <w:t xml:space="preserve">V magisterských programoch pokračuje takmer 80 % študentov, priemer OECD je </w:t>
      </w:r>
      <w:r w:rsidR="00204B48" w:rsidRPr="000939E3">
        <w:t xml:space="preserve">40 </w:t>
      </w:r>
      <w:r w:rsidR="00EE098F" w:rsidRPr="000939E3">
        <w:t xml:space="preserve">%. </w:t>
      </w:r>
      <w:r w:rsidR="00E12DAC" w:rsidRPr="000939E3">
        <w:t xml:space="preserve">Príliš dlhé štúdium tak jednak viaže zdroje (finančné aj personálne), a tiež zdržiava študentov pri prechode do praxe. </w:t>
      </w:r>
      <w:r w:rsidRPr="000939E3">
        <w:t>Už</w:t>
      </w:r>
      <w:r w:rsidR="008F74F5" w:rsidRPr="000939E3">
        <w:t> </w:t>
      </w:r>
      <w:r w:rsidRPr="000939E3">
        <w:t>Revízia výdavkov na vzdelávanie (IVP, ÚHP 2017) odporúčala, aby väčší po</w:t>
      </w:r>
      <w:r w:rsidR="008F74F5" w:rsidRPr="000939E3">
        <w:t>diel študentov ukončil školu po </w:t>
      </w:r>
      <w:r w:rsidRPr="000939E3">
        <w:t xml:space="preserve">prvom stupni VŠ, bez pokračovania v štúdiu. </w:t>
      </w:r>
    </w:p>
    <w:p w14:paraId="251FDE32" w14:textId="4E8F4A15" w:rsidR="00977D9B" w:rsidRPr="000939E3" w:rsidRDefault="00977D9B" w:rsidP="00E12DAC">
      <w:pPr>
        <w:tabs>
          <w:tab w:val="left" w:pos="284"/>
        </w:tabs>
        <w:spacing w:before="120"/>
      </w:pPr>
      <w:r w:rsidRPr="000939E3">
        <w:rPr>
          <w:b/>
        </w:rPr>
        <w:t>Podobne aj slovenskí úradníci majú vo väčšej miere ako je zvykom v EÚ ukončený druhý stupeň VŠ vzdelania.</w:t>
      </w:r>
      <w:r w:rsidRPr="000939E3">
        <w:t xml:space="preserve"> V podiele pracovníkov s VŠ vzdelaním druhého či tretieho stupňa predbiehajú slovenskí úradníci aj ČR. Naopak, vysokoškolské vzdelanie prvého stupňa zatiaľ medzi úradníkmi nie je obvyklé.</w:t>
      </w:r>
    </w:p>
    <w:tbl>
      <w:tblPr>
        <w:tblW w:w="5000" w:type="pct"/>
        <w:tblLayout w:type="fixed"/>
        <w:tblCellMar>
          <w:left w:w="30" w:type="dxa"/>
          <w:right w:w="30" w:type="dxa"/>
        </w:tblCellMar>
        <w:tblLook w:val="0000" w:firstRow="0" w:lastRow="0" w:firstColumn="0" w:lastColumn="0" w:noHBand="0" w:noVBand="0"/>
      </w:tblPr>
      <w:tblGrid>
        <w:gridCol w:w="993"/>
        <w:gridCol w:w="946"/>
        <w:gridCol w:w="945"/>
        <w:gridCol w:w="945"/>
        <w:gridCol w:w="945"/>
        <w:gridCol w:w="945"/>
        <w:gridCol w:w="236"/>
        <w:gridCol w:w="709"/>
        <w:gridCol w:w="802"/>
        <w:gridCol w:w="804"/>
        <w:gridCol w:w="802"/>
      </w:tblGrid>
      <w:tr w:rsidR="00977D9B" w:rsidRPr="000939E3" w14:paraId="4183EB0A" w14:textId="77777777" w:rsidTr="00F528BF">
        <w:trPr>
          <w:trHeight w:val="113"/>
        </w:trPr>
        <w:tc>
          <w:tcPr>
            <w:tcW w:w="5000" w:type="pct"/>
            <w:gridSpan w:val="11"/>
            <w:tcBorders>
              <w:top w:val="nil"/>
              <w:left w:val="nil"/>
              <w:bottom w:val="single" w:sz="6" w:space="0" w:color="auto"/>
              <w:right w:val="nil"/>
            </w:tcBorders>
          </w:tcPr>
          <w:p w14:paraId="529BE3ED" w14:textId="77777777" w:rsidR="00977D9B" w:rsidRPr="000939E3" w:rsidRDefault="00977D9B" w:rsidP="00977D9B">
            <w:pPr>
              <w:autoSpaceDE w:val="0"/>
              <w:autoSpaceDN w:val="0"/>
              <w:adjustRightInd w:val="0"/>
              <w:spacing w:after="0" w:line="240" w:lineRule="auto"/>
              <w:rPr>
                <w:rFonts w:cs="Calibri"/>
                <w:b/>
                <w:bCs/>
                <w:color w:val="000000"/>
                <w:sz w:val="20"/>
                <w:szCs w:val="20"/>
              </w:rPr>
            </w:pPr>
            <w:r w:rsidRPr="000939E3">
              <w:rPr>
                <w:rFonts w:cs="Calibri"/>
                <w:b/>
                <w:bCs/>
                <w:color w:val="000000"/>
                <w:sz w:val="20"/>
                <w:szCs w:val="20"/>
              </w:rPr>
              <w:t>Podiel dosiahnutého vzdelania úradníkov* (SES 2014)</w:t>
            </w:r>
          </w:p>
        </w:tc>
      </w:tr>
      <w:tr w:rsidR="00F528BF" w:rsidRPr="000939E3" w14:paraId="6DBF7097" w14:textId="77777777" w:rsidTr="00E6027A">
        <w:trPr>
          <w:trHeight w:val="113"/>
        </w:trPr>
        <w:tc>
          <w:tcPr>
            <w:tcW w:w="547" w:type="pct"/>
            <w:vMerge w:val="restart"/>
            <w:tcBorders>
              <w:top w:val="nil"/>
              <w:left w:val="nil"/>
              <w:right w:val="single" w:sz="6" w:space="0" w:color="auto"/>
            </w:tcBorders>
          </w:tcPr>
          <w:p w14:paraId="7CDCC6B4" w14:textId="77777777" w:rsidR="00F528BF" w:rsidRPr="00E6027A" w:rsidRDefault="00F528BF" w:rsidP="009E105E">
            <w:pPr>
              <w:autoSpaceDE w:val="0"/>
              <w:autoSpaceDN w:val="0"/>
              <w:adjustRightInd w:val="0"/>
              <w:spacing w:after="0" w:line="240" w:lineRule="auto"/>
              <w:jc w:val="left"/>
              <w:rPr>
                <w:rFonts w:cs="Calibri"/>
                <w:color w:val="000000"/>
                <w:sz w:val="18"/>
                <w:szCs w:val="18"/>
              </w:rPr>
            </w:pPr>
          </w:p>
        </w:tc>
        <w:tc>
          <w:tcPr>
            <w:tcW w:w="1563" w:type="pct"/>
            <w:gridSpan w:val="3"/>
            <w:tcBorders>
              <w:top w:val="nil"/>
              <w:left w:val="single" w:sz="6" w:space="0" w:color="auto"/>
              <w:bottom w:val="single" w:sz="6" w:space="0" w:color="auto"/>
              <w:right w:val="single" w:sz="6" w:space="0" w:color="auto"/>
            </w:tcBorders>
            <w:vAlign w:val="center"/>
          </w:tcPr>
          <w:p w14:paraId="3CBFF30F" w14:textId="77777777" w:rsidR="00F528BF" w:rsidRPr="00E6027A" w:rsidRDefault="00F528BF" w:rsidP="00977D9B">
            <w:pPr>
              <w:autoSpaceDE w:val="0"/>
              <w:autoSpaceDN w:val="0"/>
              <w:adjustRightInd w:val="0"/>
              <w:spacing w:after="0" w:line="240" w:lineRule="auto"/>
              <w:jc w:val="center"/>
              <w:rPr>
                <w:rFonts w:cs="Calibri"/>
                <w:b/>
                <w:bCs/>
                <w:color w:val="000000"/>
                <w:sz w:val="18"/>
                <w:szCs w:val="18"/>
              </w:rPr>
            </w:pPr>
            <w:r w:rsidRPr="00E6027A">
              <w:rPr>
                <w:rFonts w:cs="Calibri"/>
                <w:b/>
                <w:bCs/>
                <w:color w:val="000000"/>
                <w:sz w:val="18"/>
                <w:szCs w:val="18"/>
              </w:rPr>
              <w:t>Zákonodarcovia, riadiaci pracovníci</w:t>
            </w:r>
          </w:p>
        </w:tc>
        <w:tc>
          <w:tcPr>
            <w:tcW w:w="1563" w:type="pct"/>
            <w:gridSpan w:val="4"/>
            <w:tcBorders>
              <w:top w:val="nil"/>
              <w:left w:val="single" w:sz="6" w:space="0" w:color="auto"/>
              <w:bottom w:val="single" w:sz="6" w:space="0" w:color="auto"/>
              <w:right w:val="single" w:sz="6" w:space="0" w:color="auto"/>
            </w:tcBorders>
            <w:vAlign w:val="center"/>
          </w:tcPr>
          <w:p w14:paraId="2ADC501B" w14:textId="77777777" w:rsidR="00F528BF" w:rsidRPr="00E6027A" w:rsidRDefault="00F528BF" w:rsidP="00977D9B">
            <w:pPr>
              <w:autoSpaceDE w:val="0"/>
              <w:autoSpaceDN w:val="0"/>
              <w:adjustRightInd w:val="0"/>
              <w:spacing w:after="0" w:line="240" w:lineRule="auto"/>
              <w:jc w:val="center"/>
              <w:rPr>
                <w:rFonts w:cs="Calibri"/>
                <w:b/>
                <w:bCs/>
                <w:color w:val="000000"/>
                <w:sz w:val="18"/>
                <w:szCs w:val="18"/>
              </w:rPr>
            </w:pPr>
            <w:r w:rsidRPr="00E6027A">
              <w:rPr>
                <w:rFonts w:cs="Calibri"/>
                <w:b/>
                <w:bCs/>
                <w:color w:val="000000"/>
                <w:sz w:val="18"/>
                <w:szCs w:val="18"/>
              </w:rPr>
              <w:t>Špecialisti, technici a odborní pracovníci</w:t>
            </w:r>
          </w:p>
        </w:tc>
        <w:tc>
          <w:tcPr>
            <w:tcW w:w="1327" w:type="pct"/>
            <w:gridSpan w:val="3"/>
            <w:tcBorders>
              <w:top w:val="nil"/>
              <w:left w:val="nil"/>
              <w:bottom w:val="single" w:sz="6" w:space="0" w:color="auto"/>
              <w:right w:val="nil"/>
            </w:tcBorders>
            <w:vAlign w:val="center"/>
          </w:tcPr>
          <w:p w14:paraId="60F9E47D" w14:textId="77777777" w:rsidR="00F528BF" w:rsidRPr="00E6027A" w:rsidRDefault="00F528BF" w:rsidP="00977D9B">
            <w:pPr>
              <w:autoSpaceDE w:val="0"/>
              <w:autoSpaceDN w:val="0"/>
              <w:adjustRightInd w:val="0"/>
              <w:spacing w:after="0" w:line="240" w:lineRule="auto"/>
              <w:jc w:val="center"/>
              <w:rPr>
                <w:rFonts w:cs="Calibri"/>
                <w:b/>
                <w:bCs/>
                <w:color w:val="000000"/>
                <w:sz w:val="18"/>
                <w:szCs w:val="18"/>
              </w:rPr>
            </w:pPr>
            <w:r w:rsidRPr="00E6027A">
              <w:rPr>
                <w:rFonts w:cs="Calibri"/>
                <w:b/>
                <w:bCs/>
                <w:color w:val="000000"/>
                <w:sz w:val="18"/>
                <w:szCs w:val="18"/>
              </w:rPr>
              <w:t>Administratívni pracovníci</w:t>
            </w:r>
          </w:p>
        </w:tc>
      </w:tr>
      <w:tr w:rsidR="00F528BF" w:rsidRPr="000939E3" w14:paraId="55B26AB1" w14:textId="77777777" w:rsidTr="00E6027A">
        <w:trPr>
          <w:trHeight w:val="113"/>
        </w:trPr>
        <w:tc>
          <w:tcPr>
            <w:tcW w:w="547" w:type="pct"/>
            <w:vMerge/>
            <w:tcBorders>
              <w:left w:val="nil"/>
              <w:bottom w:val="single" w:sz="6" w:space="0" w:color="auto"/>
              <w:right w:val="single" w:sz="6" w:space="0" w:color="auto"/>
            </w:tcBorders>
          </w:tcPr>
          <w:p w14:paraId="644F413F" w14:textId="77777777" w:rsidR="00F528BF" w:rsidRPr="00E6027A" w:rsidRDefault="00F528BF" w:rsidP="009E105E">
            <w:pPr>
              <w:autoSpaceDE w:val="0"/>
              <w:autoSpaceDN w:val="0"/>
              <w:adjustRightInd w:val="0"/>
              <w:spacing w:after="0" w:line="240" w:lineRule="auto"/>
              <w:jc w:val="left"/>
              <w:rPr>
                <w:rFonts w:cs="Calibri"/>
                <w:color w:val="000000"/>
                <w:sz w:val="18"/>
                <w:szCs w:val="18"/>
              </w:rPr>
            </w:pPr>
          </w:p>
        </w:tc>
        <w:tc>
          <w:tcPr>
            <w:tcW w:w="521" w:type="pct"/>
            <w:tcBorders>
              <w:top w:val="single" w:sz="6" w:space="0" w:color="auto"/>
              <w:left w:val="single" w:sz="6" w:space="0" w:color="auto"/>
              <w:bottom w:val="single" w:sz="6" w:space="0" w:color="auto"/>
              <w:right w:val="nil"/>
            </w:tcBorders>
            <w:vAlign w:val="center"/>
          </w:tcPr>
          <w:p w14:paraId="4F86F968" w14:textId="77777777" w:rsidR="00F528BF" w:rsidRPr="00E6027A" w:rsidRDefault="00F528BF" w:rsidP="00977D9B">
            <w:pPr>
              <w:autoSpaceDE w:val="0"/>
              <w:autoSpaceDN w:val="0"/>
              <w:adjustRightInd w:val="0"/>
              <w:spacing w:after="0" w:line="240" w:lineRule="auto"/>
              <w:jc w:val="center"/>
              <w:rPr>
                <w:rFonts w:cs="Calibri"/>
                <w:b/>
                <w:bCs/>
                <w:color w:val="000000"/>
                <w:sz w:val="18"/>
                <w:szCs w:val="18"/>
              </w:rPr>
            </w:pPr>
            <w:r w:rsidRPr="00E6027A">
              <w:rPr>
                <w:rFonts w:cs="Calibri"/>
                <w:b/>
                <w:bCs/>
                <w:color w:val="000000"/>
                <w:sz w:val="18"/>
                <w:szCs w:val="18"/>
              </w:rPr>
              <w:t>SK</w:t>
            </w:r>
          </w:p>
        </w:tc>
        <w:tc>
          <w:tcPr>
            <w:tcW w:w="521" w:type="pct"/>
            <w:tcBorders>
              <w:top w:val="single" w:sz="6" w:space="0" w:color="auto"/>
              <w:left w:val="nil"/>
              <w:bottom w:val="single" w:sz="6" w:space="0" w:color="auto"/>
              <w:right w:val="nil"/>
            </w:tcBorders>
            <w:vAlign w:val="center"/>
          </w:tcPr>
          <w:p w14:paraId="081AFDBA" w14:textId="77777777" w:rsidR="00F528BF" w:rsidRPr="00E6027A" w:rsidRDefault="00F528BF" w:rsidP="00977D9B">
            <w:pPr>
              <w:autoSpaceDE w:val="0"/>
              <w:autoSpaceDN w:val="0"/>
              <w:adjustRightInd w:val="0"/>
              <w:spacing w:after="0" w:line="240" w:lineRule="auto"/>
              <w:jc w:val="center"/>
              <w:rPr>
                <w:rFonts w:cs="Calibri"/>
                <w:b/>
                <w:bCs/>
                <w:color w:val="000000"/>
                <w:sz w:val="18"/>
                <w:szCs w:val="18"/>
              </w:rPr>
            </w:pPr>
            <w:r w:rsidRPr="00E6027A">
              <w:rPr>
                <w:rFonts w:cs="Calibri"/>
                <w:b/>
                <w:bCs/>
                <w:color w:val="000000"/>
                <w:sz w:val="18"/>
                <w:szCs w:val="18"/>
              </w:rPr>
              <w:t>CZ</w:t>
            </w:r>
          </w:p>
        </w:tc>
        <w:tc>
          <w:tcPr>
            <w:tcW w:w="521" w:type="pct"/>
            <w:tcBorders>
              <w:top w:val="single" w:sz="6" w:space="0" w:color="auto"/>
              <w:left w:val="nil"/>
              <w:bottom w:val="single" w:sz="6" w:space="0" w:color="auto"/>
              <w:right w:val="single" w:sz="6" w:space="0" w:color="auto"/>
            </w:tcBorders>
            <w:vAlign w:val="center"/>
          </w:tcPr>
          <w:p w14:paraId="0E846E1D" w14:textId="77777777" w:rsidR="00F528BF" w:rsidRPr="00E6027A" w:rsidRDefault="00F528BF" w:rsidP="00977D9B">
            <w:pPr>
              <w:autoSpaceDE w:val="0"/>
              <w:autoSpaceDN w:val="0"/>
              <w:adjustRightInd w:val="0"/>
              <w:spacing w:after="0" w:line="240" w:lineRule="auto"/>
              <w:jc w:val="center"/>
              <w:rPr>
                <w:rFonts w:cs="Calibri"/>
                <w:b/>
                <w:bCs/>
                <w:color w:val="000000"/>
                <w:sz w:val="18"/>
                <w:szCs w:val="18"/>
              </w:rPr>
            </w:pPr>
            <w:r w:rsidRPr="00E6027A">
              <w:rPr>
                <w:rFonts w:cs="Calibri"/>
                <w:b/>
                <w:bCs/>
                <w:color w:val="000000"/>
                <w:sz w:val="18"/>
                <w:szCs w:val="18"/>
              </w:rPr>
              <w:t>EÚ</w:t>
            </w:r>
          </w:p>
        </w:tc>
        <w:tc>
          <w:tcPr>
            <w:tcW w:w="521" w:type="pct"/>
            <w:tcBorders>
              <w:top w:val="single" w:sz="6" w:space="0" w:color="auto"/>
              <w:left w:val="single" w:sz="6" w:space="0" w:color="auto"/>
              <w:bottom w:val="single" w:sz="6" w:space="0" w:color="auto"/>
              <w:right w:val="nil"/>
            </w:tcBorders>
            <w:vAlign w:val="center"/>
          </w:tcPr>
          <w:p w14:paraId="09810217" w14:textId="77777777" w:rsidR="00F528BF" w:rsidRPr="00E6027A" w:rsidRDefault="00F528BF" w:rsidP="00977D9B">
            <w:pPr>
              <w:autoSpaceDE w:val="0"/>
              <w:autoSpaceDN w:val="0"/>
              <w:adjustRightInd w:val="0"/>
              <w:spacing w:after="0" w:line="240" w:lineRule="auto"/>
              <w:jc w:val="center"/>
              <w:rPr>
                <w:rFonts w:cs="Calibri"/>
                <w:b/>
                <w:bCs/>
                <w:color w:val="000000"/>
                <w:sz w:val="18"/>
                <w:szCs w:val="18"/>
              </w:rPr>
            </w:pPr>
            <w:r w:rsidRPr="00E6027A">
              <w:rPr>
                <w:rFonts w:cs="Calibri"/>
                <w:b/>
                <w:bCs/>
                <w:color w:val="000000"/>
                <w:sz w:val="18"/>
                <w:szCs w:val="18"/>
              </w:rPr>
              <w:t>SK</w:t>
            </w:r>
          </w:p>
        </w:tc>
        <w:tc>
          <w:tcPr>
            <w:tcW w:w="521" w:type="pct"/>
            <w:tcBorders>
              <w:top w:val="single" w:sz="6" w:space="0" w:color="auto"/>
              <w:left w:val="nil"/>
              <w:bottom w:val="single" w:sz="6" w:space="0" w:color="auto"/>
              <w:right w:val="nil"/>
            </w:tcBorders>
            <w:vAlign w:val="center"/>
          </w:tcPr>
          <w:p w14:paraId="3539DEA2" w14:textId="77777777" w:rsidR="00F528BF" w:rsidRPr="00E6027A" w:rsidRDefault="00F528BF" w:rsidP="00977D9B">
            <w:pPr>
              <w:autoSpaceDE w:val="0"/>
              <w:autoSpaceDN w:val="0"/>
              <w:adjustRightInd w:val="0"/>
              <w:spacing w:after="0" w:line="240" w:lineRule="auto"/>
              <w:jc w:val="center"/>
              <w:rPr>
                <w:rFonts w:cs="Calibri"/>
                <w:b/>
                <w:bCs/>
                <w:color w:val="000000"/>
                <w:sz w:val="18"/>
                <w:szCs w:val="18"/>
              </w:rPr>
            </w:pPr>
            <w:r w:rsidRPr="00E6027A">
              <w:rPr>
                <w:rFonts w:cs="Calibri"/>
                <w:b/>
                <w:bCs/>
                <w:color w:val="000000"/>
                <w:sz w:val="18"/>
                <w:szCs w:val="18"/>
              </w:rPr>
              <w:t>CZ</w:t>
            </w:r>
          </w:p>
        </w:tc>
        <w:tc>
          <w:tcPr>
            <w:tcW w:w="521" w:type="pct"/>
            <w:gridSpan w:val="2"/>
            <w:tcBorders>
              <w:top w:val="single" w:sz="6" w:space="0" w:color="auto"/>
              <w:left w:val="nil"/>
              <w:bottom w:val="single" w:sz="6" w:space="0" w:color="auto"/>
              <w:right w:val="single" w:sz="6" w:space="0" w:color="auto"/>
            </w:tcBorders>
            <w:vAlign w:val="center"/>
          </w:tcPr>
          <w:p w14:paraId="081EC220" w14:textId="77777777" w:rsidR="00F528BF" w:rsidRPr="00E6027A" w:rsidRDefault="00F528BF" w:rsidP="00977D9B">
            <w:pPr>
              <w:autoSpaceDE w:val="0"/>
              <w:autoSpaceDN w:val="0"/>
              <w:adjustRightInd w:val="0"/>
              <w:spacing w:after="0" w:line="240" w:lineRule="auto"/>
              <w:jc w:val="center"/>
              <w:rPr>
                <w:rFonts w:cs="Calibri"/>
                <w:b/>
                <w:bCs/>
                <w:color w:val="000000"/>
                <w:sz w:val="18"/>
                <w:szCs w:val="18"/>
              </w:rPr>
            </w:pPr>
            <w:r w:rsidRPr="00E6027A">
              <w:rPr>
                <w:rFonts w:cs="Calibri"/>
                <w:b/>
                <w:bCs/>
                <w:color w:val="000000"/>
                <w:sz w:val="18"/>
                <w:szCs w:val="18"/>
              </w:rPr>
              <w:t>EÚ</w:t>
            </w:r>
          </w:p>
        </w:tc>
        <w:tc>
          <w:tcPr>
            <w:tcW w:w="442" w:type="pct"/>
            <w:tcBorders>
              <w:top w:val="single" w:sz="6" w:space="0" w:color="auto"/>
              <w:left w:val="nil"/>
              <w:bottom w:val="single" w:sz="6" w:space="0" w:color="auto"/>
              <w:right w:val="nil"/>
            </w:tcBorders>
            <w:vAlign w:val="center"/>
          </w:tcPr>
          <w:p w14:paraId="1F09EDDD" w14:textId="77777777" w:rsidR="00F528BF" w:rsidRPr="00E6027A" w:rsidRDefault="00F528BF" w:rsidP="00977D9B">
            <w:pPr>
              <w:autoSpaceDE w:val="0"/>
              <w:autoSpaceDN w:val="0"/>
              <w:adjustRightInd w:val="0"/>
              <w:spacing w:after="0" w:line="240" w:lineRule="auto"/>
              <w:jc w:val="center"/>
              <w:rPr>
                <w:rFonts w:cs="Calibri"/>
                <w:b/>
                <w:bCs/>
                <w:color w:val="000000"/>
                <w:sz w:val="18"/>
                <w:szCs w:val="18"/>
              </w:rPr>
            </w:pPr>
            <w:r w:rsidRPr="00E6027A">
              <w:rPr>
                <w:rFonts w:cs="Calibri"/>
                <w:b/>
                <w:bCs/>
                <w:color w:val="000000"/>
                <w:sz w:val="18"/>
                <w:szCs w:val="18"/>
              </w:rPr>
              <w:t>SK</w:t>
            </w:r>
          </w:p>
        </w:tc>
        <w:tc>
          <w:tcPr>
            <w:tcW w:w="443" w:type="pct"/>
            <w:tcBorders>
              <w:top w:val="single" w:sz="6" w:space="0" w:color="auto"/>
              <w:left w:val="nil"/>
              <w:bottom w:val="single" w:sz="6" w:space="0" w:color="auto"/>
              <w:right w:val="nil"/>
            </w:tcBorders>
            <w:vAlign w:val="center"/>
          </w:tcPr>
          <w:p w14:paraId="5AF6FF84" w14:textId="77777777" w:rsidR="00F528BF" w:rsidRPr="00E6027A" w:rsidRDefault="00F528BF" w:rsidP="00977D9B">
            <w:pPr>
              <w:autoSpaceDE w:val="0"/>
              <w:autoSpaceDN w:val="0"/>
              <w:adjustRightInd w:val="0"/>
              <w:spacing w:after="0" w:line="240" w:lineRule="auto"/>
              <w:jc w:val="center"/>
              <w:rPr>
                <w:rFonts w:cs="Calibri"/>
                <w:b/>
                <w:bCs/>
                <w:color w:val="000000"/>
                <w:sz w:val="18"/>
                <w:szCs w:val="18"/>
              </w:rPr>
            </w:pPr>
            <w:r w:rsidRPr="00E6027A">
              <w:rPr>
                <w:rFonts w:cs="Calibri"/>
                <w:b/>
                <w:bCs/>
                <w:color w:val="000000"/>
                <w:sz w:val="18"/>
                <w:szCs w:val="18"/>
              </w:rPr>
              <w:t>CZ</w:t>
            </w:r>
          </w:p>
        </w:tc>
        <w:tc>
          <w:tcPr>
            <w:tcW w:w="443" w:type="pct"/>
            <w:tcBorders>
              <w:top w:val="single" w:sz="6" w:space="0" w:color="auto"/>
              <w:left w:val="nil"/>
              <w:bottom w:val="single" w:sz="6" w:space="0" w:color="auto"/>
              <w:right w:val="nil"/>
            </w:tcBorders>
            <w:vAlign w:val="center"/>
          </w:tcPr>
          <w:p w14:paraId="50B548B0" w14:textId="77777777" w:rsidR="00F528BF" w:rsidRPr="00E6027A" w:rsidRDefault="00F528BF" w:rsidP="00977D9B">
            <w:pPr>
              <w:autoSpaceDE w:val="0"/>
              <w:autoSpaceDN w:val="0"/>
              <w:adjustRightInd w:val="0"/>
              <w:spacing w:after="0" w:line="240" w:lineRule="auto"/>
              <w:jc w:val="center"/>
              <w:rPr>
                <w:rFonts w:cs="Calibri"/>
                <w:b/>
                <w:bCs/>
                <w:color w:val="000000"/>
                <w:sz w:val="18"/>
                <w:szCs w:val="18"/>
              </w:rPr>
            </w:pPr>
            <w:r w:rsidRPr="00E6027A">
              <w:rPr>
                <w:rFonts w:cs="Calibri"/>
                <w:b/>
                <w:bCs/>
                <w:color w:val="000000"/>
                <w:sz w:val="18"/>
                <w:szCs w:val="18"/>
              </w:rPr>
              <w:t>EÚ</w:t>
            </w:r>
          </w:p>
        </w:tc>
      </w:tr>
      <w:tr w:rsidR="00490315" w:rsidRPr="000939E3" w14:paraId="6AC4D6DD" w14:textId="77777777" w:rsidTr="00E6027A">
        <w:trPr>
          <w:trHeight w:val="113"/>
        </w:trPr>
        <w:tc>
          <w:tcPr>
            <w:tcW w:w="547" w:type="pct"/>
            <w:tcBorders>
              <w:top w:val="nil"/>
              <w:left w:val="nil"/>
              <w:bottom w:val="nil"/>
              <w:right w:val="single" w:sz="6" w:space="0" w:color="auto"/>
            </w:tcBorders>
          </w:tcPr>
          <w:p w14:paraId="38B3F193" w14:textId="77777777" w:rsidR="00977D9B" w:rsidRPr="00E6027A" w:rsidRDefault="00977D9B" w:rsidP="00977D9B">
            <w:pPr>
              <w:autoSpaceDE w:val="0"/>
              <w:autoSpaceDN w:val="0"/>
              <w:adjustRightInd w:val="0"/>
              <w:spacing w:after="0" w:line="240" w:lineRule="auto"/>
              <w:rPr>
                <w:rFonts w:cs="Calibri"/>
                <w:b/>
                <w:color w:val="000000"/>
                <w:sz w:val="18"/>
                <w:szCs w:val="18"/>
              </w:rPr>
            </w:pPr>
            <w:r w:rsidRPr="00E6027A">
              <w:rPr>
                <w:rFonts w:cs="Calibri"/>
                <w:b/>
                <w:color w:val="000000"/>
                <w:sz w:val="18"/>
                <w:szCs w:val="18"/>
              </w:rPr>
              <w:t>ZŠ</w:t>
            </w:r>
          </w:p>
        </w:tc>
        <w:tc>
          <w:tcPr>
            <w:tcW w:w="521" w:type="pct"/>
            <w:tcBorders>
              <w:top w:val="nil"/>
              <w:left w:val="single" w:sz="6" w:space="0" w:color="auto"/>
              <w:bottom w:val="nil"/>
              <w:right w:val="nil"/>
            </w:tcBorders>
          </w:tcPr>
          <w:p w14:paraId="6A47761B"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0%</w:t>
            </w:r>
          </w:p>
        </w:tc>
        <w:tc>
          <w:tcPr>
            <w:tcW w:w="521" w:type="pct"/>
            <w:tcBorders>
              <w:top w:val="nil"/>
              <w:left w:val="nil"/>
              <w:bottom w:val="nil"/>
              <w:right w:val="nil"/>
            </w:tcBorders>
          </w:tcPr>
          <w:p w14:paraId="528AE49E"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0%</w:t>
            </w:r>
          </w:p>
        </w:tc>
        <w:tc>
          <w:tcPr>
            <w:tcW w:w="521" w:type="pct"/>
            <w:tcBorders>
              <w:top w:val="nil"/>
              <w:left w:val="nil"/>
              <w:bottom w:val="nil"/>
              <w:right w:val="single" w:sz="6" w:space="0" w:color="auto"/>
            </w:tcBorders>
          </w:tcPr>
          <w:p w14:paraId="35715013"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3%</w:t>
            </w:r>
          </w:p>
        </w:tc>
        <w:tc>
          <w:tcPr>
            <w:tcW w:w="521" w:type="pct"/>
            <w:tcBorders>
              <w:top w:val="nil"/>
              <w:left w:val="single" w:sz="6" w:space="0" w:color="auto"/>
              <w:bottom w:val="nil"/>
              <w:right w:val="nil"/>
            </w:tcBorders>
          </w:tcPr>
          <w:p w14:paraId="5719B81A"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0%</w:t>
            </w:r>
          </w:p>
        </w:tc>
        <w:tc>
          <w:tcPr>
            <w:tcW w:w="521" w:type="pct"/>
            <w:tcBorders>
              <w:top w:val="nil"/>
              <w:left w:val="nil"/>
              <w:bottom w:val="nil"/>
              <w:right w:val="nil"/>
            </w:tcBorders>
          </w:tcPr>
          <w:p w14:paraId="10B89710"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0%</w:t>
            </w:r>
          </w:p>
        </w:tc>
        <w:tc>
          <w:tcPr>
            <w:tcW w:w="521" w:type="pct"/>
            <w:gridSpan w:val="2"/>
            <w:tcBorders>
              <w:top w:val="nil"/>
              <w:left w:val="nil"/>
              <w:bottom w:val="nil"/>
              <w:right w:val="single" w:sz="6" w:space="0" w:color="auto"/>
            </w:tcBorders>
          </w:tcPr>
          <w:p w14:paraId="1487FD95"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6%</w:t>
            </w:r>
          </w:p>
        </w:tc>
        <w:tc>
          <w:tcPr>
            <w:tcW w:w="442" w:type="pct"/>
            <w:tcBorders>
              <w:top w:val="nil"/>
              <w:left w:val="nil"/>
              <w:bottom w:val="nil"/>
              <w:right w:val="nil"/>
            </w:tcBorders>
          </w:tcPr>
          <w:p w14:paraId="4017FC85"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3%</w:t>
            </w:r>
          </w:p>
        </w:tc>
        <w:tc>
          <w:tcPr>
            <w:tcW w:w="443" w:type="pct"/>
            <w:tcBorders>
              <w:top w:val="nil"/>
              <w:left w:val="nil"/>
              <w:bottom w:val="nil"/>
              <w:right w:val="nil"/>
            </w:tcBorders>
          </w:tcPr>
          <w:p w14:paraId="733F476A"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2%</w:t>
            </w:r>
          </w:p>
        </w:tc>
        <w:tc>
          <w:tcPr>
            <w:tcW w:w="443" w:type="pct"/>
            <w:tcBorders>
              <w:top w:val="nil"/>
              <w:left w:val="nil"/>
              <w:bottom w:val="nil"/>
              <w:right w:val="nil"/>
            </w:tcBorders>
          </w:tcPr>
          <w:p w14:paraId="5DA3AA30"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19%</w:t>
            </w:r>
          </w:p>
        </w:tc>
      </w:tr>
      <w:tr w:rsidR="00490315" w:rsidRPr="000939E3" w14:paraId="6CB6C36C" w14:textId="77777777" w:rsidTr="00E6027A">
        <w:trPr>
          <w:trHeight w:val="113"/>
        </w:trPr>
        <w:tc>
          <w:tcPr>
            <w:tcW w:w="547" w:type="pct"/>
            <w:tcBorders>
              <w:top w:val="nil"/>
              <w:left w:val="nil"/>
              <w:bottom w:val="nil"/>
              <w:right w:val="single" w:sz="6" w:space="0" w:color="auto"/>
            </w:tcBorders>
          </w:tcPr>
          <w:p w14:paraId="1C73DDEA" w14:textId="77777777" w:rsidR="00977D9B" w:rsidRPr="00E6027A" w:rsidRDefault="00977D9B" w:rsidP="00977D9B">
            <w:pPr>
              <w:autoSpaceDE w:val="0"/>
              <w:autoSpaceDN w:val="0"/>
              <w:adjustRightInd w:val="0"/>
              <w:spacing w:after="0" w:line="240" w:lineRule="auto"/>
              <w:rPr>
                <w:rFonts w:cs="Calibri"/>
                <w:b/>
                <w:color w:val="000000"/>
                <w:sz w:val="18"/>
                <w:szCs w:val="18"/>
              </w:rPr>
            </w:pPr>
            <w:r w:rsidRPr="00E6027A">
              <w:rPr>
                <w:rFonts w:cs="Calibri"/>
                <w:b/>
                <w:color w:val="000000"/>
                <w:sz w:val="18"/>
                <w:szCs w:val="18"/>
              </w:rPr>
              <w:t>SŠ</w:t>
            </w:r>
          </w:p>
        </w:tc>
        <w:tc>
          <w:tcPr>
            <w:tcW w:w="521" w:type="pct"/>
            <w:tcBorders>
              <w:top w:val="nil"/>
              <w:left w:val="single" w:sz="6" w:space="0" w:color="auto"/>
              <w:bottom w:val="nil"/>
              <w:right w:val="nil"/>
            </w:tcBorders>
          </w:tcPr>
          <w:p w14:paraId="241516C7"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17%</w:t>
            </w:r>
          </w:p>
        </w:tc>
        <w:tc>
          <w:tcPr>
            <w:tcW w:w="521" w:type="pct"/>
            <w:tcBorders>
              <w:top w:val="nil"/>
              <w:left w:val="nil"/>
              <w:bottom w:val="nil"/>
              <w:right w:val="nil"/>
            </w:tcBorders>
          </w:tcPr>
          <w:p w14:paraId="58178FAE"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14%</w:t>
            </w:r>
          </w:p>
        </w:tc>
        <w:tc>
          <w:tcPr>
            <w:tcW w:w="521" w:type="pct"/>
            <w:tcBorders>
              <w:top w:val="nil"/>
              <w:left w:val="nil"/>
              <w:bottom w:val="nil"/>
              <w:right w:val="single" w:sz="6" w:space="0" w:color="auto"/>
            </w:tcBorders>
          </w:tcPr>
          <w:p w14:paraId="1AEFF9AE"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14%</w:t>
            </w:r>
          </w:p>
        </w:tc>
        <w:tc>
          <w:tcPr>
            <w:tcW w:w="521" w:type="pct"/>
            <w:tcBorders>
              <w:top w:val="nil"/>
              <w:left w:val="single" w:sz="6" w:space="0" w:color="auto"/>
              <w:bottom w:val="nil"/>
              <w:right w:val="nil"/>
            </w:tcBorders>
          </w:tcPr>
          <w:p w14:paraId="034A382B"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42%</w:t>
            </w:r>
          </w:p>
        </w:tc>
        <w:tc>
          <w:tcPr>
            <w:tcW w:w="521" w:type="pct"/>
            <w:tcBorders>
              <w:top w:val="nil"/>
              <w:left w:val="nil"/>
              <w:bottom w:val="nil"/>
              <w:right w:val="nil"/>
            </w:tcBorders>
          </w:tcPr>
          <w:p w14:paraId="515986B0"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59%</w:t>
            </w:r>
          </w:p>
        </w:tc>
        <w:tc>
          <w:tcPr>
            <w:tcW w:w="521" w:type="pct"/>
            <w:gridSpan w:val="2"/>
            <w:tcBorders>
              <w:top w:val="nil"/>
              <w:left w:val="nil"/>
              <w:bottom w:val="nil"/>
              <w:right w:val="single" w:sz="6" w:space="0" w:color="auto"/>
            </w:tcBorders>
          </w:tcPr>
          <w:p w14:paraId="7290E933"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33%</w:t>
            </w:r>
          </w:p>
        </w:tc>
        <w:tc>
          <w:tcPr>
            <w:tcW w:w="442" w:type="pct"/>
            <w:tcBorders>
              <w:top w:val="nil"/>
              <w:left w:val="nil"/>
              <w:bottom w:val="nil"/>
              <w:right w:val="nil"/>
            </w:tcBorders>
          </w:tcPr>
          <w:p w14:paraId="3C4F4383"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68%</w:t>
            </w:r>
          </w:p>
        </w:tc>
        <w:tc>
          <w:tcPr>
            <w:tcW w:w="443" w:type="pct"/>
            <w:tcBorders>
              <w:top w:val="nil"/>
              <w:left w:val="nil"/>
              <w:bottom w:val="nil"/>
              <w:right w:val="nil"/>
            </w:tcBorders>
          </w:tcPr>
          <w:p w14:paraId="47DDC757"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73%</w:t>
            </w:r>
          </w:p>
        </w:tc>
        <w:tc>
          <w:tcPr>
            <w:tcW w:w="443" w:type="pct"/>
            <w:tcBorders>
              <w:top w:val="nil"/>
              <w:left w:val="nil"/>
              <w:bottom w:val="nil"/>
              <w:right w:val="nil"/>
            </w:tcBorders>
          </w:tcPr>
          <w:p w14:paraId="22352AC6"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56%</w:t>
            </w:r>
          </w:p>
        </w:tc>
      </w:tr>
      <w:tr w:rsidR="00490315" w:rsidRPr="000939E3" w14:paraId="3504157F" w14:textId="77777777" w:rsidTr="00E6027A">
        <w:trPr>
          <w:trHeight w:val="113"/>
        </w:trPr>
        <w:tc>
          <w:tcPr>
            <w:tcW w:w="547" w:type="pct"/>
            <w:tcBorders>
              <w:top w:val="nil"/>
              <w:left w:val="nil"/>
              <w:bottom w:val="nil"/>
              <w:right w:val="single" w:sz="6" w:space="0" w:color="auto"/>
            </w:tcBorders>
          </w:tcPr>
          <w:p w14:paraId="3A73E9BD" w14:textId="46E81E78" w:rsidR="00977D9B" w:rsidRPr="00E6027A" w:rsidRDefault="00977D9B" w:rsidP="00977D9B">
            <w:pPr>
              <w:autoSpaceDE w:val="0"/>
              <w:autoSpaceDN w:val="0"/>
              <w:adjustRightInd w:val="0"/>
              <w:spacing w:after="0" w:line="240" w:lineRule="auto"/>
              <w:rPr>
                <w:rFonts w:cs="Calibri"/>
                <w:b/>
                <w:color w:val="000000"/>
                <w:sz w:val="18"/>
                <w:szCs w:val="18"/>
              </w:rPr>
            </w:pPr>
            <w:r w:rsidRPr="00E6027A">
              <w:rPr>
                <w:rFonts w:cs="Calibri"/>
                <w:b/>
                <w:color w:val="000000"/>
                <w:sz w:val="18"/>
                <w:szCs w:val="18"/>
              </w:rPr>
              <w:t>VŠ do 4</w:t>
            </w:r>
            <w:r w:rsidR="008638F6" w:rsidRPr="00E6027A">
              <w:rPr>
                <w:rFonts w:cs="Calibri"/>
                <w:b/>
                <w:color w:val="000000"/>
                <w:sz w:val="18"/>
                <w:szCs w:val="18"/>
              </w:rPr>
              <w:t xml:space="preserve"> </w:t>
            </w:r>
            <w:r w:rsidRPr="00E6027A">
              <w:rPr>
                <w:rFonts w:cs="Calibri"/>
                <w:b/>
                <w:color w:val="000000"/>
                <w:sz w:val="18"/>
                <w:szCs w:val="18"/>
              </w:rPr>
              <w:t>r.</w:t>
            </w:r>
          </w:p>
        </w:tc>
        <w:tc>
          <w:tcPr>
            <w:tcW w:w="521" w:type="pct"/>
            <w:tcBorders>
              <w:top w:val="nil"/>
              <w:left w:val="single" w:sz="6" w:space="0" w:color="auto"/>
              <w:bottom w:val="nil"/>
              <w:right w:val="nil"/>
            </w:tcBorders>
          </w:tcPr>
          <w:p w14:paraId="0BDAD9E5"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3%</w:t>
            </w:r>
          </w:p>
        </w:tc>
        <w:tc>
          <w:tcPr>
            <w:tcW w:w="521" w:type="pct"/>
            <w:tcBorders>
              <w:top w:val="nil"/>
              <w:left w:val="nil"/>
              <w:bottom w:val="nil"/>
              <w:right w:val="nil"/>
            </w:tcBorders>
          </w:tcPr>
          <w:p w14:paraId="65E5DEAF"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13%</w:t>
            </w:r>
          </w:p>
        </w:tc>
        <w:tc>
          <w:tcPr>
            <w:tcW w:w="521" w:type="pct"/>
            <w:tcBorders>
              <w:top w:val="nil"/>
              <w:left w:val="nil"/>
              <w:bottom w:val="nil"/>
              <w:right w:val="single" w:sz="6" w:space="0" w:color="auto"/>
            </w:tcBorders>
          </w:tcPr>
          <w:p w14:paraId="3E9CDE21"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32%</w:t>
            </w:r>
          </w:p>
        </w:tc>
        <w:tc>
          <w:tcPr>
            <w:tcW w:w="521" w:type="pct"/>
            <w:tcBorders>
              <w:top w:val="nil"/>
              <w:left w:val="single" w:sz="6" w:space="0" w:color="auto"/>
              <w:bottom w:val="nil"/>
              <w:right w:val="nil"/>
            </w:tcBorders>
          </w:tcPr>
          <w:p w14:paraId="230269D0"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7%</w:t>
            </w:r>
          </w:p>
        </w:tc>
        <w:tc>
          <w:tcPr>
            <w:tcW w:w="521" w:type="pct"/>
            <w:tcBorders>
              <w:top w:val="nil"/>
              <w:left w:val="nil"/>
              <w:bottom w:val="nil"/>
              <w:right w:val="nil"/>
            </w:tcBorders>
          </w:tcPr>
          <w:p w14:paraId="2EA21187"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11%</w:t>
            </w:r>
          </w:p>
        </w:tc>
        <w:tc>
          <w:tcPr>
            <w:tcW w:w="521" w:type="pct"/>
            <w:gridSpan w:val="2"/>
            <w:tcBorders>
              <w:top w:val="nil"/>
              <w:left w:val="nil"/>
              <w:bottom w:val="nil"/>
              <w:right w:val="single" w:sz="6" w:space="0" w:color="auto"/>
            </w:tcBorders>
          </w:tcPr>
          <w:p w14:paraId="1A872E07"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31%</w:t>
            </w:r>
          </w:p>
        </w:tc>
        <w:tc>
          <w:tcPr>
            <w:tcW w:w="442" w:type="pct"/>
            <w:tcBorders>
              <w:top w:val="nil"/>
              <w:left w:val="nil"/>
              <w:bottom w:val="nil"/>
              <w:right w:val="nil"/>
            </w:tcBorders>
          </w:tcPr>
          <w:p w14:paraId="4EFD8F0B"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8%</w:t>
            </w:r>
          </w:p>
        </w:tc>
        <w:tc>
          <w:tcPr>
            <w:tcW w:w="443" w:type="pct"/>
            <w:tcBorders>
              <w:top w:val="nil"/>
              <w:left w:val="nil"/>
              <w:bottom w:val="nil"/>
              <w:right w:val="nil"/>
            </w:tcBorders>
          </w:tcPr>
          <w:p w14:paraId="7065844A"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6%</w:t>
            </w:r>
          </w:p>
        </w:tc>
        <w:tc>
          <w:tcPr>
            <w:tcW w:w="443" w:type="pct"/>
            <w:tcBorders>
              <w:top w:val="nil"/>
              <w:left w:val="nil"/>
              <w:bottom w:val="nil"/>
              <w:right w:val="nil"/>
            </w:tcBorders>
          </w:tcPr>
          <w:p w14:paraId="01910F49"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16%</w:t>
            </w:r>
          </w:p>
        </w:tc>
      </w:tr>
      <w:tr w:rsidR="00490315" w:rsidRPr="000939E3" w14:paraId="062BB493" w14:textId="77777777" w:rsidTr="00E6027A">
        <w:trPr>
          <w:trHeight w:val="113"/>
        </w:trPr>
        <w:tc>
          <w:tcPr>
            <w:tcW w:w="547" w:type="pct"/>
            <w:tcBorders>
              <w:top w:val="nil"/>
              <w:left w:val="nil"/>
              <w:bottom w:val="single" w:sz="4" w:space="0" w:color="auto"/>
              <w:right w:val="single" w:sz="6" w:space="0" w:color="auto"/>
            </w:tcBorders>
          </w:tcPr>
          <w:p w14:paraId="78B988E5" w14:textId="51E5CDA4" w:rsidR="00977D9B" w:rsidRPr="00E6027A" w:rsidRDefault="00977D9B" w:rsidP="00977D9B">
            <w:pPr>
              <w:autoSpaceDE w:val="0"/>
              <w:autoSpaceDN w:val="0"/>
              <w:adjustRightInd w:val="0"/>
              <w:spacing w:after="0" w:line="240" w:lineRule="auto"/>
              <w:rPr>
                <w:rFonts w:cs="Calibri"/>
                <w:b/>
                <w:color w:val="000000"/>
                <w:sz w:val="18"/>
                <w:szCs w:val="18"/>
              </w:rPr>
            </w:pPr>
            <w:r w:rsidRPr="00E6027A">
              <w:rPr>
                <w:rFonts w:cs="Calibri"/>
                <w:b/>
                <w:color w:val="000000"/>
                <w:sz w:val="18"/>
                <w:szCs w:val="18"/>
              </w:rPr>
              <w:t>VŠ nad 4</w:t>
            </w:r>
            <w:r w:rsidR="008638F6" w:rsidRPr="00E6027A">
              <w:rPr>
                <w:rFonts w:cs="Calibri"/>
                <w:b/>
                <w:color w:val="000000"/>
                <w:sz w:val="18"/>
                <w:szCs w:val="18"/>
              </w:rPr>
              <w:t xml:space="preserve"> </w:t>
            </w:r>
            <w:r w:rsidRPr="00E6027A">
              <w:rPr>
                <w:rFonts w:cs="Calibri"/>
                <w:b/>
                <w:color w:val="000000"/>
                <w:sz w:val="18"/>
                <w:szCs w:val="18"/>
              </w:rPr>
              <w:t>r.</w:t>
            </w:r>
          </w:p>
        </w:tc>
        <w:tc>
          <w:tcPr>
            <w:tcW w:w="521" w:type="pct"/>
            <w:tcBorders>
              <w:top w:val="nil"/>
              <w:left w:val="single" w:sz="6" w:space="0" w:color="auto"/>
              <w:bottom w:val="single" w:sz="4" w:space="0" w:color="auto"/>
              <w:right w:val="nil"/>
            </w:tcBorders>
          </w:tcPr>
          <w:p w14:paraId="00C5A3C8"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79%</w:t>
            </w:r>
          </w:p>
        </w:tc>
        <w:tc>
          <w:tcPr>
            <w:tcW w:w="521" w:type="pct"/>
            <w:tcBorders>
              <w:top w:val="nil"/>
              <w:left w:val="nil"/>
              <w:bottom w:val="single" w:sz="4" w:space="0" w:color="auto"/>
              <w:right w:val="nil"/>
            </w:tcBorders>
          </w:tcPr>
          <w:p w14:paraId="3928DEC9"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74%</w:t>
            </w:r>
          </w:p>
        </w:tc>
        <w:tc>
          <w:tcPr>
            <w:tcW w:w="521" w:type="pct"/>
            <w:tcBorders>
              <w:top w:val="nil"/>
              <w:left w:val="nil"/>
              <w:bottom w:val="single" w:sz="4" w:space="0" w:color="auto"/>
              <w:right w:val="single" w:sz="6" w:space="0" w:color="auto"/>
            </w:tcBorders>
          </w:tcPr>
          <w:p w14:paraId="6FF7A886"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50%</w:t>
            </w:r>
          </w:p>
        </w:tc>
        <w:tc>
          <w:tcPr>
            <w:tcW w:w="521" w:type="pct"/>
            <w:tcBorders>
              <w:top w:val="nil"/>
              <w:left w:val="single" w:sz="6" w:space="0" w:color="auto"/>
              <w:bottom w:val="single" w:sz="4" w:space="0" w:color="auto"/>
              <w:right w:val="nil"/>
            </w:tcBorders>
          </w:tcPr>
          <w:p w14:paraId="0B090A61"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52%</w:t>
            </w:r>
          </w:p>
        </w:tc>
        <w:tc>
          <w:tcPr>
            <w:tcW w:w="521" w:type="pct"/>
            <w:tcBorders>
              <w:top w:val="nil"/>
              <w:left w:val="nil"/>
              <w:bottom w:val="single" w:sz="4" w:space="0" w:color="auto"/>
              <w:right w:val="nil"/>
            </w:tcBorders>
          </w:tcPr>
          <w:p w14:paraId="74DFDBB7"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29%</w:t>
            </w:r>
          </w:p>
        </w:tc>
        <w:tc>
          <w:tcPr>
            <w:tcW w:w="521" w:type="pct"/>
            <w:gridSpan w:val="2"/>
            <w:tcBorders>
              <w:top w:val="nil"/>
              <w:left w:val="nil"/>
              <w:bottom w:val="single" w:sz="4" w:space="0" w:color="auto"/>
              <w:right w:val="single" w:sz="6" w:space="0" w:color="auto"/>
            </w:tcBorders>
          </w:tcPr>
          <w:p w14:paraId="4AFCE953"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30%</w:t>
            </w:r>
          </w:p>
        </w:tc>
        <w:tc>
          <w:tcPr>
            <w:tcW w:w="442" w:type="pct"/>
            <w:tcBorders>
              <w:top w:val="nil"/>
              <w:left w:val="nil"/>
              <w:bottom w:val="single" w:sz="4" w:space="0" w:color="auto"/>
              <w:right w:val="nil"/>
            </w:tcBorders>
          </w:tcPr>
          <w:p w14:paraId="638FFA14"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22%</w:t>
            </w:r>
          </w:p>
        </w:tc>
        <w:tc>
          <w:tcPr>
            <w:tcW w:w="443" w:type="pct"/>
            <w:tcBorders>
              <w:top w:val="nil"/>
              <w:left w:val="nil"/>
              <w:bottom w:val="single" w:sz="4" w:space="0" w:color="auto"/>
              <w:right w:val="nil"/>
            </w:tcBorders>
          </w:tcPr>
          <w:p w14:paraId="2579C4CF"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19%</w:t>
            </w:r>
          </w:p>
        </w:tc>
        <w:tc>
          <w:tcPr>
            <w:tcW w:w="443" w:type="pct"/>
            <w:tcBorders>
              <w:top w:val="nil"/>
              <w:left w:val="nil"/>
              <w:bottom w:val="single" w:sz="4" w:space="0" w:color="auto"/>
              <w:right w:val="nil"/>
            </w:tcBorders>
          </w:tcPr>
          <w:p w14:paraId="4B7FF01F" w14:textId="77777777" w:rsidR="00977D9B" w:rsidRPr="00E6027A" w:rsidRDefault="00977D9B" w:rsidP="00977D9B">
            <w:pPr>
              <w:autoSpaceDE w:val="0"/>
              <w:autoSpaceDN w:val="0"/>
              <w:adjustRightInd w:val="0"/>
              <w:spacing w:after="0" w:line="240" w:lineRule="auto"/>
              <w:jc w:val="right"/>
              <w:rPr>
                <w:rFonts w:cs="Calibri"/>
                <w:color w:val="000000"/>
                <w:sz w:val="18"/>
                <w:szCs w:val="18"/>
              </w:rPr>
            </w:pPr>
            <w:r w:rsidRPr="00E6027A">
              <w:rPr>
                <w:rFonts w:cs="Calibri"/>
                <w:color w:val="000000"/>
                <w:sz w:val="18"/>
                <w:szCs w:val="18"/>
              </w:rPr>
              <w:t>9%</w:t>
            </w:r>
          </w:p>
        </w:tc>
      </w:tr>
      <w:tr w:rsidR="00977D9B" w:rsidRPr="000939E3" w14:paraId="1104D5EA" w14:textId="77777777" w:rsidTr="00F528BF">
        <w:trPr>
          <w:trHeight w:val="113"/>
        </w:trPr>
        <w:tc>
          <w:tcPr>
            <w:tcW w:w="3282" w:type="pct"/>
            <w:gridSpan w:val="7"/>
            <w:tcBorders>
              <w:top w:val="single" w:sz="4" w:space="0" w:color="auto"/>
              <w:left w:val="nil"/>
            </w:tcBorders>
            <w:vAlign w:val="center"/>
          </w:tcPr>
          <w:p w14:paraId="55BB20AD" w14:textId="6A19D7CD" w:rsidR="00977D9B" w:rsidRPr="00E6027A" w:rsidRDefault="00977D9B" w:rsidP="00E12DAC">
            <w:pPr>
              <w:autoSpaceDE w:val="0"/>
              <w:autoSpaceDN w:val="0"/>
              <w:adjustRightInd w:val="0"/>
              <w:spacing w:after="0" w:line="240" w:lineRule="auto"/>
              <w:rPr>
                <w:rFonts w:cs="Calibri"/>
                <w:i/>
                <w:color w:val="000000"/>
                <w:sz w:val="18"/>
                <w:szCs w:val="20"/>
              </w:rPr>
            </w:pPr>
            <w:r w:rsidRPr="00E6027A">
              <w:rPr>
                <w:rFonts w:cs="Calibri"/>
                <w:i/>
                <w:color w:val="000000"/>
                <w:sz w:val="18"/>
                <w:szCs w:val="20"/>
              </w:rPr>
              <w:t xml:space="preserve">*Pracovník v sektore O, pracujúci ako riadiaci pracovník, špecialista, technický či odborný pracovník alebo administratívny pracovník. </w:t>
            </w:r>
          </w:p>
        </w:tc>
        <w:tc>
          <w:tcPr>
            <w:tcW w:w="1718" w:type="pct"/>
            <w:gridSpan w:val="4"/>
            <w:tcBorders>
              <w:top w:val="single" w:sz="4" w:space="0" w:color="auto"/>
            </w:tcBorders>
          </w:tcPr>
          <w:p w14:paraId="06E16C4F" w14:textId="77777777" w:rsidR="00977D9B" w:rsidRPr="00E6027A" w:rsidRDefault="00977D9B" w:rsidP="00977D9B">
            <w:pPr>
              <w:autoSpaceDE w:val="0"/>
              <w:autoSpaceDN w:val="0"/>
              <w:adjustRightInd w:val="0"/>
              <w:spacing w:after="0" w:line="240" w:lineRule="auto"/>
              <w:jc w:val="right"/>
              <w:rPr>
                <w:rFonts w:cs="Calibri"/>
                <w:i/>
                <w:color w:val="000000"/>
                <w:sz w:val="18"/>
                <w:szCs w:val="20"/>
              </w:rPr>
            </w:pPr>
            <w:r w:rsidRPr="00E6027A">
              <w:rPr>
                <w:rFonts w:cs="Calibri"/>
                <w:i/>
                <w:color w:val="000000"/>
                <w:sz w:val="18"/>
                <w:szCs w:val="20"/>
              </w:rPr>
              <w:t>Zdroj: prepočty ÚHP z dát Eurostatu</w:t>
            </w:r>
          </w:p>
        </w:tc>
      </w:tr>
    </w:tbl>
    <w:p w14:paraId="1205935B" w14:textId="00EC3FDF" w:rsidR="009E105E" w:rsidRPr="000939E3" w:rsidRDefault="00977D9B" w:rsidP="00F528BF">
      <w:pPr>
        <w:spacing w:before="240"/>
      </w:pPr>
      <w:r w:rsidRPr="000939E3">
        <w:rPr>
          <w:b/>
        </w:rPr>
        <w:lastRenderedPageBreak/>
        <w:t>Jedným z</w:t>
      </w:r>
      <w:r w:rsidR="00E12DAC" w:rsidRPr="000939E3">
        <w:rPr>
          <w:b/>
        </w:rPr>
        <w:t xml:space="preserve"> hlavných </w:t>
      </w:r>
      <w:r w:rsidRPr="000939E3">
        <w:rPr>
          <w:b/>
        </w:rPr>
        <w:t>dôvodov pokračovania v štúdiu je nízka akceptácia absolventov prvého stupňa VŠ na</w:t>
      </w:r>
      <w:r w:rsidR="00490315" w:rsidRPr="000939E3">
        <w:rPr>
          <w:b/>
        </w:rPr>
        <w:t> </w:t>
      </w:r>
      <w:r w:rsidRPr="000939E3">
        <w:rPr>
          <w:b/>
        </w:rPr>
        <w:t xml:space="preserve">trhu práce, štát ako zamestnávateľ môže ísť </w:t>
      </w:r>
      <w:r w:rsidR="00DE4713" w:rsidRPr="000939E3">
        <w:rPr>
          <w:b/>
        </w:rPr>
        <w:t xml:space="preserve">pri zamestnávaní bakalárov </w:t>
      </w:r>
      <w:r w:rsidRPr="000939E3">
        <w:rPr>
          <w:b/>
        </w:rPr>
        <w:t>príkladom.</w:t>
      </w:r>
      <w:r w:rsidRPr="000939E3">
        <w:t xml:space="preserve"> </w:t>
      </w:r>
      <w:r w:rsidR="00F53F73" w:rsidRPr="000939E3">
        <w:t>Revízia odporúča</w:t>
      </w:r>
      <w:r w:rsidRPr="000939E3">
        <w:t xml:space="preserve"> zvýšenie počtu pozícií vo verejnom sektore, na ktoré stačí prvý stupeň vysokoškolského vzdelania, prípadne doplnený niekoľkými rokmi praxe. Možnosť uznania praxe pre účely naplnenia kvalifikačného predpokladu vzdelania dnes neexistuje</w:t>
      </w:r>
      <w:r w:rsidR="007618AD" w:rsidRPr="000939E3">
        <w:t xml:space="preserve">, preskúma ho pripravovaná koncepcia odmeňovania </w:t>
      </w:r>
      <w:r w:rsidR="007B5899" w:rsidRPr="000939E3">
        <w:t>zamestnancov v štátnej službe.</w:t>
      </w:r>
    </w:p>
    <w:p w14:paraId="53EABE22" w14:textId="76B9B33D" w:rsidR="0097185B" w:rsidRPr="000939E3" w:rsidRDefault="00347667" w:rsidP="00777BBA">
      <w:pPr>
        <w:pStyle w:val="Odsekzoznamu"/>
        <w:numPr>
          <w:ilvl w:val="0"/>
          <w:numId w:val="33"/>
        </w:numPr>
        <w:tabs>
          <w:tab w:val="left" w:pos="284"/>
        </w:tabs>
        <w:ind w:left="0" w:hanging="11"/>
        <w:rPr>
          <w:b/>
        </w:rPr>
      </w:pPr>
      <w:r w:rsidRPr="000939E3">
        <w:rPr>
          <w:b/>
        </w:rPr>
        <w:t xml:space="preserve">Opatrenie: Posilniť </w:t>
      </w:r>
      <w:r w:rsidR="00D43975" w:rsidRPr="000939E3">
        <w:rPr>
          <w:b/>
        </w:rPr>
        <w:t>centrálne riadeni</w:t>
      </w:r>
      <w:r w:rsidRPr="000939E3">
        <w:rPr>
          <w:b/>
        </w:rPr>
        <w:t>e</w:t>
      </w:r>
      <w:r w:rsidR="00D43975" w:rsidRPr="000939E3">
        <w:rPr>
          <w:b/>
        </w:rPr>
        <w:t xml:space="preserve"> ľudských zdrojov</w:t>
      </w:r>
    </w:p>
    <w:p w14:paraId="2B27270A" w14:textId="77777777" w:rsidR="00C666AA" w:rsidRPr="000939E3" w:rsidRDefault="00C666AA" w:rsidP="00C666AA">
      <w:r w:rsidRPr="000939E3">
        <w:rPr>
          <w:b/>
        </w:rPr>
        <w:t xml:space="preserve">Centralizácia riadenia ľudských zdrojov v štátnej službe prebehla na úrovni procesov a nástrojov, strategické riadenie a plánovanie ľudských zdrojov je naďalej decentralizované. </w:t>
      </w:r>
      <w:r w:rsidRPr="000939E3">
        <w:t>Za koordináciu a riadenie ľudských zdrojov v štátnej správe je zodpovedný ÚV SR, ktorý tieto aktivity vykonáva iba čiastočne. Neprebieha tak dlhodobé plánovanie počtov pracovníkov, analýza konzistentnosti a horizontálneho súladu rôznych odmeňovacích predpisov, programy pre talentovaných úradníkov a podpora rotácie úradníkov medzi služobnými úradmi prípadne náročnejšie otázky pomenované aj revíziou (systém regionálneho odmeňovania, organizácia kolektívneho vyjednávania atď.). Koordinácia a strategické riadenie si vyžadujú definície pracovných pozícii porovnateľné so súkromným sektorom.</w:t>
      </w:r>
    </w:p>
    <w:p w14:paraId="181162D5" w14:textId="17DFF2A4" w:rsidR="00C666AA" w:rsidRPr="000939E3" w:rsidRDefault="00C666AA" w:rsidP="00C666AA">
      <w:pPr>
        <w:rPr>
          <w:sz w:val="24"/>
        </w:rPr>
      </w:pPr>
      <w:r w:rsidRPr="000939E3">
        <w:t xml:space="preserve">Revízia preto navrhuje vypracovať analýzu inštitucionálneho usporiadania plánovania a riadenia ľudských zdrojov v štátnej službe, ktorá by pomenovala úlohy jednotlivých aktérov. Z pohľadu plánovania a financovania mzdových výdavkov sa jedná predovšetkým o MF SR a ÚV SR. Z pohľadu odmeňovacích predpisov sa jedná o ÚV SR a gestorov zákonov, podľa ktorých </w:t>
      </w:r>
      <w:r w:rsidR="00E36977" w:rsidRPr="000939E3">
        <w:t xml:space="preserve">verejný sektor </w:t>
      </w:r>
      <w:r w:rsidRPr="000939E3">
        <w:t>zamestnáva, predovšetkým MŠVVaŠ SR, MZ SR a MPSVaR SR. Analýza by mala pomenovať aj vzťah centra riadenia ľudských zdrojov k jednotlivým služobným úradom, ktorým naďalej ostane autonómia v personálnych otázkach a nastavení mzdovej politiky.</w:t>
      </w:r>
      <w:r w:rsidR="00E36977" w:rsidRPr="000939E3">
        <w:t xml:space="preserve"> Cieľom by mala byť novela Zákona o štátnej službe, ktorá </w:t>
      </w:r>
      <w:r w:rsidR="00E36977" w:rsidRPr="000939E3">
        <w:rPr>
          <w:szCs w:val="20"/>
        </w:rPr>
        <w:t>posilní systemizáciu a dlhodobé plánovanie štátnozamestnaneckých miest. Neskôr by mal prebehnúť podobný proces aj pre zamestnávanie vo verejnom záujme.</w:t>
      </w:r>
    </w:p>
    <w:p w14:paraId="43C96AE3" w14:textId="0AB677AF" w:rsidR="00DB4633" w:rsidRPr="000939E3" w:rsidRDefault="00C666AA" w:rsidP="009036B1">
      <w:pPr>
        <w:pStyle w:val="Odsekzoznamu"/>
        <w:tabs>
          <w:tab w:val="left" w:pos="284"/>
        </w:tabs>
        <w:spacing w:before="120"/>
        <w:ind w:left="0"/>
        <w:contextualSpacing w:val="0"/>
        <w:jc w:val="both"/>
        <w:rPr>
          <w:rStyle w:val="Opatrenie9Char"/>
          <w:b w:val="0"/>
        </w:rPr>
      </w:pPr>
      <w:r w:rsidRPr="000939E3">
        <w:rPr>
          <w:b/>
        </w:rPr>
        <w:t xml:space="preserve">Dôležitou súčasťou plánovania je tiež prístup k centralizovaným dátam o zamestnancoch a mzdách. </w:t>
      </w:r>
      <w:r w:rsidRPr="000939E3">
        <w:t xml:space="preserve">Dáta o zamestnancoch v štátnej službe zabezpečí Centrálny informačný systém štátnej služby, centralizovaná databáza o ostatných verejných </w:t>
      </w:r>
      <w:r w:rsidR="00E36977" w:rsidRPr="000939E3">
        <w:t xml:space="preserve">zamestnancoch </w:t>
      </w:r>
      <w:r w:rsidRPr="000939E3">
        <w:t xml:space="preserve">neexistuje. Jej úlohu najviac plní všeobecné zisťovanie o pracovnom trhu vykonávané pre MPSVaR SR (ISCP). </w:t>
      </w:r>
      <w:r w:rsidR="00264DFC" w:rsidRPr="000939E3">
        <w:t xml:space="preserve">Verejné </w:t>
      </w:r>
      <w:r w:rsidRPr="000939E3">
        <w:t>inštitúcie však majú iba obmedzené možnosti k dátam pristupovať a analyticky ich využívať, čo prináša problémy pri kvantifikácii dopadov navrhovaných zmien. Vládne inštitúcie totiž nemajú k dispozícii údaje o zamestnancoch, ktorých mzdy priamo alebo nepriamo určuje štát</w:t>
      </w:r>
      <w:r w:rsidRPr="000939E3">
        <w:rPr>
          <w:rStyle w:val="Odkaznapoznmkupodiarou"/>
        </w:rPr>
        <w:footnoteReference w:id="18"/>
      </w:r>
      <w:r w:rsidRPr="000939E3">
        <w:t xml:space="preserve"> ako napríklad zamestnanci samospráv alebo zdravotnícki pracovníci v súkromných zariadeniach. Revízia navrhuje zabezpečiť, aby analytické útvary verejného sektora mali v primeranej miere právo prístupu k anonymizovaným údajom z týchto zberov. V strednodobom horizonte navrhuje, aby si podobné štatistické zbery zabezpečoval štát samostatne, napríklad prostredníctvom ŠÚ SR.</w:t>
      </w:r>
      <w:r w:rsidR="00DB4633" w:rsidRPr="000939E3" w:rsidDel="00DB4633">
        <w:t xml:space="preserve"> </w:t>
      </w:r>
      <w:bookmarkStart w:id="33" w:name="Riadenie_9"/>
    </w:p>
    <w:p w14:paraId="0041C3CF" w14:textId="69562D04" w:rsidR="00116ECB" w:rsidRPr="000939E3" w:rsidRDefault="00347667" w:rsidP="00777BBA">
      <w:pPr>
        <w:pStyle w:val="Odsekzoznamu"/>
        <w:numPr>
          <w:ilvl w:val="0"/>
          <w:numId w:val="33"/>
        </w:numPr>
        <w:tabs>
          <w:tab w:val="left" w:pos="426"/>
        </w:tabs>
        <w:spacing w:before="120"/>
        <w:ind w:left="0" w:firstLine="0"/>
        <w:contextualSpacing w:val="0"/>
        <w:jc w:val="both"/>
        <w:rPr>
          <w:rStyle w:val="Opatrenie9Char"/>
          <w:b w:val="0"/>
        </w:rPr>
      </w:pPr>
      <w:r w:rsidRPr="000939E3">
        <w:rPr>
          <w:rStyle w:val="Opatrenie9Char"/>
        </w:rPr>
        <w:t xml:space="preserve">Opatrenie: </w:t>
      </w:r>
      <w:r w:rsidR="002D02D6" w:rsidRPr="000939E3">
        <w:rPr>
          <w:rStyle w:val="Opatrenie9Char"/>
        </w:rPr>
        <w:t>Prehodnot</w:t>
      </w:r>
      <w:r w:rsidRPr="000939E3">
        <w:rPr>
          <w:rStyle w:val="Opatrenie9Char"/>
        </w:rPr>
        <w:t>iť</w:t>
      </w:r>
      <w:r w:rsidR="002D02D6" w:rsidRPr="000939E3">
        <w:rPr>
          <w:rStyle w:val="Opatrenie9Char"/>
        </w:rPr>
        <w:t xml:space="preserve"> inštitucionálne usporiadani</w:t>
      </w:r>
      <w:r w:rsidRPr="000939E3">
        <w:rPr>
          <w:rStyle w:val="Opatrenie9Char"/>
        </w:rPr>
        <w:t>e</w:t>
      </w:r>
      <w:r w:rsidR="002D02D6" w:rsidRPr="000939E3">
        <w:rPr>
          <w:rStyle w:val="Opatrenie9Char"/>
        </w:rPr>
        <w:t xml:space="preserve"> kolektívneho vyjednávania</w:t>
      </w:r>
      <w:r w:rsidR="002D02D6" w:rsidRPr="000939E3" w:rsidDel="002D02D6">
        <w:rPr>
          <w:rStyle w:val="Opatrenie9Char"/>
        </w:rPr>
        <w:t xml:space="preserve"> </w:t>
      </w:r>
      <w:bookmarkEnd w:id="33"/>
    </w:p>
    <w:p w14:paraId="1B7322B9" w14:textId="471A5BEA" w:rsidR="002D02D6" w:rsidRPr="000939E3" w:rsidRDefault="002D02D6" w:rsidP="002D02D6">
      <w:pPr>
        <w:pStyle w:val="Odsekzoznamu"/>
        <w:tabs>
          <w:tab w:val="left" w:pos="284"/>
        </w:tabs>
        <w:spacing w:before="120"/>
        <w:ind w:left="0"/>
        <w:contextualSpacing w:val="0"/>
        <w:jc w:val="both"/>
      </w:pPr>
      <w:r w:rsidRPr="000939E3">
        <w:rPr>
          <w:b/>
          <w:bCs/>
        </w:rPr>
        <w:t xml:space="preserve">Prax kolektívneho vyjednávania vo verejnom sektore na Slovensku vytvára rovnakú relatívnu valorizáciu pre väčšinu profesií napriek ich rozdielnej konkurencieschopnosti v odmeňovaní. </w:t>
      </w:r>
      <w:r w:rsidRPr="000939E3">
        <w:t>Na úrovni vlády prebieha iba jedno rokovanie, ktorého výsledkom sú dve kolektívne zmluvy upravujúce mzdovú valorizáciu a pracovné podmienky pre štátnych zamestnancov a zamestnancov vo verejnom záujme. Samostatnou otázkou sú skupiny formálne nezačlenené do kolektívneho vyjednávania na úrovni vlády (policajti, vojaci), ktorých valorizácie však v minulosti často kopírovali</w:t>
      </w:r>
      <w:r w:rsidRPr="000939E3" w:rsidDel="00854FF4">
        <w:t xml:space="preserve"> </w:t>
      </w:r>
      <w:r w:rsidRPr="000939E3">
        <w:t xml:space="preserve">výsledky celoštátneho vyjednávania. </w:t>
      </w:r>
    </w:p>
    <w:p w14:paraId="5831096A" w14:textId="04F0BF0C" w:rsidR="00DB4633" w:rsidRPr="000939E3" w:rsidRDefault="002D02D6" w:rsidP="009036B1">
      <w:pPr>
        <w:pStyle w:val="Odsekzoznamu"/>
        <w:tabs>
          <w:tab w:val="left" w:pos="284"/>
        </w:tabs>
        <w:spacing w:before="120"/>
        <w:ind w:left="0"/>
        <w:contextualSpacing w:val="0"/>
        <w:jc w:val="both"/>
      </w:pPr>
      <w:r w:rsidRPr="000939E3">
        <w:rPr>
          <w:b/>
        </w:rPr>
        <w:lastRenderedPageBreak/>
        <w:t>Riešením by mohli byť zmeny vedúce k oddeleniu vyjednávania o jednotlivých profesiách alebo zavedenie špecifickej sektorovej minimálnej mzdy alebo p</w:t>
      </w:r>
      <w:r w:rsidRPr="000939E3">
        <w:rPr>
          <w:b/>
          <w:bCs/>
        </w:rPr>
        <w:t xml:space="preserve">renesenie vyjednávaní na odvetvovú alebo lokálnu úroveň podľa odporúčaní OECD. </w:t>
      </w:r>
      <w:r w:rsidRPr="000939E3">
        <w:rPr>
          <w:bCs/>
        </w:rPr>
        <w:t xml:space="preserve">Revízia odporúča vypracovanie samostatnej analýzy </w:t>
      </w:r>
      <w:r w:rsidRPr="000939E3">
        <w:t>inštitucionálneho usporiadania kolektívneho vyjednávania vrátane jeho naviazania na harmonogram prípravy rozpočtu verejnej správy.</w:t>
      </w:r>
      <w:r w:rsidR="00DB4633" w:rsidRPr="000939E3" w:rsidDel="00DB4633">
        <w:t xml:space="preserve"> </w:t>
      </w:r>
    </w:p>
    <w:p w14:paraId="0ABE7626" w14:textId="7D96FD47" w:rsidR="001948DF" w:rsidRPr="000939E3" w:rsidRDefault="00347667" w:rsidP="00777BBA">
      <w:pPr>
        <w:pStyle w:val="Odsekzoznamu"/>
        <w:numPr>
          <w:ilvl w:val="0"/>
          <w:numId w:val="33"/>
        </w:numPr>
        <w:tabs>
          <w:tab w:val="left" w:pos="426"/>
        </w:tabs>
        <w:spacing w:before="120"/>
        <w:ind w:left="0" w:firstLine="0"/>
        <w:contextualSpacing w:val="0"/>
        <w:jc w:val="both"/>
      </w:pPr>
      <w:r w:rsidRPr="000939E3">
        <w:rPr>
          <w:b/>
        </w:rPr>
        <w:t xml:space="preserve">Opatrenie: </w:t>
      </w:r>
      <w:r w:rsidR="00884876" w:rsidRPr="000939E3">
        <w:rPr>
          <w:b/>
        </w:rPr>
        <w:t>Anal</w:t>
      </w:r>
      <w:r w:rsidR="00FD138B" w:rsidRPr="000939E3">
        <w:rPr>
          <w:b/>
        </w:rPr>
        <w:t>y</w:t>
      </w:r>
      <w:r w:rsidR="00884876" w:rsidRPr="000939E3">
        <w:rPr>
          <w:b/>
        </w:rPr>
        <w:t>z</w:t>
      </w:r>
      <w:r w:rsidR="00FD138B" w:rsidRPr="000939E3">
        <w:rPr>
          <w:b/>
        </w:rPr>
        <w:t>ovať</w:t>
      </w:r>
      <w:r w:rsidR="00884876" w:rsidRPr="000939E3">
        <w:rPr>
          <w:b/>
        </w:rPr>
        <w:t xml:space="preserve"> z</w:t>
      </w:r>
      <w:r w:rsidR="00586FC6" w:rsidRPr="000939E3">
        <w:rPr>
          <w:b/>
        </w:rPr>
        <w:t>avedeni</w:t>
      </w:r>
      <w:r w:rsidR="00FD138B" w:rsidRPr="000939E3">
        <w:rPr>
          <w:b/>
        </w:rPr>
        <w:t>e</w:t>
      </w:r>
      <w:r w:rsidR="00586FC6" w:rsidRPr="000939E3">
        <w:rPr>
          <w:b/>
        </w:rPr>
        <w:t xml:space="preserve"> </w:t>
      </w:r>
      <w:r w:rsidR="001948DF" w:rsidRPr="000939E3">
        <w:rPr>
          <w:b/>
        </w:rPr>
        <w:t xml:space="preserve">príspevkov zohľadňujúcich regionálne rozdielnu mzdovú úroveň. </w:t>
      </w:r>
    </w:p>
    <w:p w14:paraId="47C73844" w14:textId="03DCCC9C" w:rsidR="001948DF" w:rsidRPr="000939E3" w:rsidRDefault="001948DF" w:rsidP="001948DF">
      <w:pPr>
        <w:tabs>
          <w:tab w:val="left" w:pos="284"/>
        </w:tabs>
        <w:spacing w:before="160"/>
      </w:pPr>
      <w:r w:rsidRPr="000939E3">
        <w:rPr>
          <w:b/>
        </w:rPr>
        <w:t xml:space="preserve">Viac ako </w:t>
      </w:r>
      <w:r w:rsidRPr="000939E3">
        <w:rPr>
          <w:b/>
          <w:bCs/>
        </w:rPr>
        <w:t>22 tisíc verejných zamestnancov</w:t>
      </w:r>
      <w:r w:rsidRPr="000939E3">
        <w:rPr>
          <w:b/>
        </w:rPr>
        <w:t xml:space="preserve"> má dnes z dôvodu regionálnych rozdielov nereflektovaných v odmeňovaní výrazne nižší príjem než je referenčná medzinárodná hodnota.</w:t>
      </w:r>
      <w:r w:rsidRPr="000939E3">
        <w:t xml:space="preserve"> </w:t>
      </w:r>
      <w:r w:rsidRPr="000939E3">
        <w:rPr>
          <w:bCs/>
        </w:rPr>
        <w:t xml:space="preserve">Rozdiel v ich relatívnom príjme môže dosahovať až </w:t>
      </w:r>
      <w:r w:rsidRPr="000939E3">
        <w:t xml:space="preserve">50 %. Regionálne nekonkurencieschopná odmena sa podľa zahraničných štúdií môže premietnuť do rozdielnej kvality verejných služieb (Kapitola </w:t>
      </w:r>
      <w:r w:rsidR="009A073C" w:rsidRPr="000939E3">
        <w:t>3</w:t>
      </w:r>
      <w:r w:rsidRPr="000939E3">
        <w:t xml:space="preserve">.5). Revízia v prípade preukázania vplyvu na kvalitu odporúča na základe zahraničnej praxe zabezpečiť väčšiu citlivosť miezd vo verejnom sektore na podmienky miestneho trhu práce pomocou systému príspevkov k platu a systému stimulov na riešenie problémov s náborom a udržaním zamestnancov. </w:t>
      </w:r>
    </w:p>
    <w:p w14:paraId="40C665D7" w14:textId="77777777" w:rsidR="001948DF" w:rsidRPr="000939E3" w:rsidRDefault="001948DF" w:rsidP="001948DF">
      <w:r w:rsidRPr="000939E3">
        <w:rPr>
          <w:b/>
        </w:rPr>
        <w:t>Systém príspevkov by mohol byť založený na rozdelení Slovenska do troch až štyroch platových zón na základe analýzy platových pomerov na úrovni okresov</w:t>
      </w:r>
      <w:r w:rsidRPr="000939E3">
        <w:t>. Cieľom je relatívne jednoduchý a prehľadný systém, ktorý by zároveň zabezpečoval postupne klesajúcu výšku príspevku v okolí Bratislavy a znížil tak deformácie blízko hraníc platových zón. Zaradenie okresov do jednotlivých platových zón by malo byť každoročne prehodnocované. Časť príspevku by mohla byť nahradená nefinančnými benefitmi, ak za dané náklady pre štát tieto ponúkajú vyššiu hodnotu pre prijímateľov.</w:t>
      </w:r>
    </w:p>
    <w:p w14:paraId="163DBA7B" w14:textId="03342C06" w:rsidR="001948DF" w:rsidRPr="000939E3" w:rsidRDefault="001948DF" w:rsidP="001948DF">
      <w:r w:rsidRPr="000939E3">
        <w:rPr>
          <w:b/>
        </w:rPr>
        <w:t>Systém stimulov na riešenie problémov s náborom a udržaním by mal reagovať na dôvody problémov, ktoré nemusia v každom prípade byť dôsledkom nekonkurenčných miezd.</w:t>
      </w:r>
      <w:r w:rsidRPr="000939E3">
        <w:rPr>
          <w:rStyle w:val="Odkaznapoznmkupodiarou"/>
          <w:b/>
        </w:rPr>
        <w:footnoteReference w:id="19"/>
      </w:r>
      <w:r w:rsidRPr="000939E3">
        <w:t xml:space="preserve"> Stimuly by mali byť viazané na pozície v rámci profesie</w:t>
      </w:r>
      <w:r w:rsidR="00D65486" w:rsidRPr="000939E3">
        <w:t>,</w:t>
      </w:r>
      <w:r w:rsidRPr="000939E3">
        <w:t> nie na konkrétnych zamestnancov a ich pokračujúce opodstatnenie by malo byť vyhodnocované, aby nedochádzalo k nezdôvodniteľným rozdielom v mzdác</w:t>
      </w:r>
      <w:r w:rsidR="00CF399C">
        <w:t>h za rovnakú prácu. Dôležité je </w:t>
      </w:r>
      <w:r w:rsidRPr="000939E3">
        <w:t xml:space="preserve">organizačne zabezpečiť monitorovanie problémov s náborom a fluktuácie zamestnancov a ich dôvodov. Zavedenie mechanizmu regionálnych príspevkov si vyžaduje okrem analýz (právnej a analýzy vplyvu) aj politickú a širšiu verejnú diskusiu, vrátane sociálneho dialógu s KOZ. </w:t>
      </w:r>
    </w:p>
    <w:p w14:paraId="53960CD2" w14:textId="0A8EA464" w:rsidR="00B01B5E" w:rsidRPr="000939E3" w:rsidRDefault="00B845A6" w:rsidP="005D4F1B">
      <w:pPr>
        <w:pStyle w:val="Nadpis1"/>
      </w:pPr>
      <w:bookmarkStart w:id="34" w:name="_Toc34050692"/>
      <w:bookmarkStart w:id="35" w:name="_Ref526967534"/>
      <w:r w:rsidRPr="000939E3">
        <w:lastRenderedPageBreak/>
        <w:t>Z</w:t>
      </w:r>
      <w:r w:rsidR="003E779B" w:rsidRPr="000939E3">
        <w:t>amestnanosť a mzdy vo verejnom sektore</w:t>
      </w:r>
      <w:bookmarkEnd w:id="34"/>
      <w:r w:rsidR="003E779B" w:rsidRPr="000939E3">
        <w:t xml:space="preserve"> </w:t>
      </w:r>
      <w:bookmarkEnd w:id="11"/>
      <w:bookmarkEnd w:id="35"/>
    </w:p>
    <w:p w14:paraId="3E76B2D9" w14:textId="411B7671" w:rsidR="002861C2" w:rsidRPr="000939E3" w:rsidRDefault="00554770" w:rsidP="00B41924">
      <w:pPr>
        <w:pStyle w:val="Odsekzoznamu"/>
        <w:numPr>
          <w:ilvl w:val="0"/>
          <w:numId w:val="8"/>
        </w:numPr>
        <w:spacing w:before="240"/>
        <w:ind w:left="426" w:hanging="426"/>
        <w:jc w:val="both"/>
        <w:rPr>
          <w:b/>
        </w:rPr>
      </w:pPr>
      <w:r w:rsidRPr="000939E3">
        <w:rPr>
          <w:b/>
        </w:rPr>
        <w:t>Slovensk</w:t>
      </w:r>
      <w:r w:rsidR="00D85956" w:rsidRPr="000939E3">
        <w:rPr>
          <w:b/>
        </w:rPr>
        <w:t>ý</w:t>
      </w:r>
      <w:r w:rsidRPr="000939E3">
        <w:rPr>
          <w:b/>
        </w:rPr>
        <w:t xml:space="preserve"> verejn</w:t>
      </w:r>
      <w:r w:rsidR="00AC727D" w:rsidRPr="000939E3">
        <w:rPr>
          <w:b/>
        </w:rPr>
        <w:t xml:space="preserve">ý </w:t>
      </w:r>
      <w:r w:rsidRPr="000939E3">
        <w:rPr>
          <w:b/>
        </w:rPr>
        <w:t>sektor</w:t>
      </w:r>
      <w:r w:rsidR="00AC727D" w:rsidRPr="000939E3">
        <w:rPr>
          <w:b/>
        </w:rPr>
        <w:t xml:space="preserve"> zamestnáva</w:t>
      </w:r>
      <w:r w:rsidRPr="000939E3">
        <w:rPr>
          <w:b/>
        </w:rPr>
        <w:t xml:space="preserve"> </w:t>
      </w:r>
      <w:r w:rsidR="00E52AFD" w:rsidRPr="000939E3">
        <w:rPr>
          <w:b/>
        </w:rPr>
        <w:t>mierne menší</w:t>
      </w:r>
      <w:r w:rsidR="00465E6B" w:rsidRPr="000939E3">
        <w:rPr>
          <w:b/>
        </w:rPr>
        <w:t xml:space="preserve"> počet</w:t>
      </w:r>
      <w:r w:rsidRPr="000939E3">
        <w:rPr>
          <w:b/>
        </w:rPr>
        <w:t xml:space="preserve"> zamestnancov ako priemer EÚ</w:t>
      </w:r>
      <w:r w:rsidR="00AC727D" w:rsidRPr="000939E3">
        <w:rPr>
          <w:b/>
        </w:rPr>
        <w:t>.</w:t>
      </w:r>
      <w:r w:rsidR="00615581" w:rsidRPr="000939E3">
        <w:rPr>
          <w:b/>
        </w:rPr>
        <w:t xml:space="preserve"> </w:t>
      </w:r>
      <w:r w:rsidR="00B62F54" w:rsidRPr="000939E3">
        <w:rPr>
          <w:b/>
        </w:rPr>
        <w:t xml:space="preserve">V roku </w:t>
      </w:r>
      <w:r w:rsidR="008F33AC" w:rsidRPr="000939E3">
        <w:rPr>
          <w:b/>
        </w:rPr>
        <w:t>201</w:t>
      </w:r>
      <w:r w:rsidR="0025366A" w:rsidRPr="000939E3">
        <w:rPr>
          <w:b/>
        </w:rPr>
        <w:t>8</w:t>
      </w:r>
      <w:r w:rsidR="008F33AC" w:rsidRPr="000939E3">
        <w:rPr>
          <w:b/>
        </w:rPr>
        <w:t xml:space="preserve"> </w:t>
      </w:r>
      <w:r w:rsidR="005575CB" w:rsidRPr="000939E3">
        <w:rPr>
          <w:b/>
        </w:rPr>
        <w:t>pre š</w:t>
      </w:r>
      <w:r w:rsidR="003B4C57" w:rsidRPr="000939E3">
        <w:rPr>
          <w:b/>
        </w:rPr>
        <w:t>t</w:t>
      </w:r>
      <w:r w:rsidR="005575CB" w:rsidRPr="000939E3">
        <w:rPr>
          <w:b/>
        </w:rPr>
        <w:t>á</w:t>
      </w:r>
      <w:r w:rsidR="003B4C57" w:rsidRPr="000939E3">
        <w:rPr>
          <w:b/>
        </w:rPr>
        <w:t>t</w:t>
      </w:r>
      <w:r w:rsidR="005575CB" w:rsidRPr="000939E3">
        <w:rPr>
          <w:b/>
        </w:rPr>
        <w:t>, vrátane samospráv</w:t>
      </w:r>
      <w:r w:rsidR="00465E6B" w:rsidRPr="000939E3">
        <w:rPr>
          <w:b/>
        </w:rPr>
        <w:t>,</w:t>
      </w:r>
      <w:r w:rsidR="005575CB" w:rsidRPr="000939E3">
        <w:rPr>
          <w:b/>
        </w:rPr>
        <w:t xml:space="preserve"> pracovalo</w:t>
      </w:r>
      <w:r w:rsidR="00820790" w:rsidRPr="000939E3">
        <w:rPr>
          <w:b/>
        </w:rPr>
        <w:t xml:space="preserve"> </w:t>
      </w:r>
      <w:r w:rsidR="0025366A" w:rsidRPr="000939E3">
        <w:rPr>
          <w:b/>
        </w:rPr>
        <w:t>416</w:t>
      </w:r>
      <w:r w:rsidR="00BF38DB" w:rsidRPr="000939E3">
        <w:rPr>
          <w:b/>
        </w:rPr>
        <w:t>-</w:t>
      </w:r>
      <w:r w:rsidR="00B62F54" w:rsidRPr="000939E3">
        <w:rPr>
          <w:b/>
        </w:rPr>
        <w:t>tis. zamestnancov. Tretina prac</w:t>
      </w:r>
      <w:r w:rsidR="005575CB" w:rsidRPr="000939E3">
        <w:rPr>
          <w:b/>
        </w:rPr>
        <w:t>uje</w:t>
      </w:r>
      <w:r w:rsidR="00B62F54" w:rsidRPr="000939E3">
        <w:rPr>
          <w:b/>
        </w:rPr>
        <w:t xml:space="preserve"> v školstve, </w:t>
      </w:r>
      <w:r w:rsidR="00E75336" w:rsidRPr="000939E3">
        <w:rPr>
          <w:b/>
        </w:rPr>
        <w:t xml:space="preserve">desatina </w:t>
      </w:r>
      <w:r w:rsidR="00B62F54" w:rsidRPr="000939E3">
        <w:rPr>
          <w:b/>
        </w:rPr>
        <w:t xml:space="preserve">v zdravotníctve, desatina </w:t>
      </w:r>
      <w:r w:rsidR="00F675B6" w:rsidRPr="000939E3">
        <w:rPr>
          <w:b/>
        </w:rPr>
        <w:t xml:space="preserve">sú </w:t>
      </w:r>
      <w:r w:rsidR="00B62F54" w:rsidRPr="000939E3">
        <w:rPr>
          <w:b/>
        </w:rPr>
        <w:t>úradní</w:t>
      </w:r>
      <w:r w:rsidR="00F675B6" w:rsidRPr="000939E3">
        <w:rPr>
          <w:b/>
        </w:rPr>
        <w:t>c</w:t>
      </w:r>
      <w:r w:rsidR="00B62F54" w:rsidRPr="000939E3">
        <w:rPr>
          <w:b/>
        </w:rPr>
        <w:t>i</w:t>
      </w:r>
      <w:r w:rsidR="00F675B6" w:rsidRPr="000939E3">
        <w:rPr>
          <w:b/>
        </w:rPr>
        <w:t xml:space="preserve"> </w:t>
      </w:r>
      <w:r w:rsidR="005752D5" w:rsidRPr="000939E3">
        <w:rPr>
          <w:b/>
        </w:rPr>
        <w:t xml:space="preserve">zamestnaní </w:t>
      </w:r>
      <w:r w:rsidR="00F675B6" w:rsidRPr="000939E3">
        <w:rPr>
          <w:b/>
        </w:rPr>
        <w:t>v štátnej službe</w:t>
      </w:r>
      <w:r w:rsidR="00B62F54" w:rsidRPr="000939E3">
        <w:rPr>
          <w:b/>
        </w:rPr>
        <w:t>.</w:t>
      </w:r>
    </w:p>
    <w:p w14:paraId="6AB81183" w14:textId="6AC86ED1" w:rsidR="002861C2" w:rsidRPr="000939E3" w:rsidRDefault="00B62F54" w:rsidP="00B41924">
      <w:pPr>
        <w:pStyle w:val="Odsekzoznamu"/>
        <w:numPr>
          <w:ilvl w:val="0"/>
          <w:numId w:val="8"/>
        </w:numPr>
        <w:spacing w:before="240"/>
        <w:ind w:left="426" w:hanging="426"/>
        <w:jc w:val="both"/>
        <w:rPr>
          <w:b/>
        </w:rPr>
      </w:pPr>
      <w:r w:rsidRPr="000939E3">
        <w:rPr>
          <w:b/>
        </w:rPr>
        <w:t>Verejná zamestnanosť</w:t>
      </w:r>
      <w:r w:rsidR="00E364F4" w:rsidRPr="000939E3">
        <w:rPr>
          <w:b/>
        </w:rPr>
        <w:t>, vrátane počtu úradníkov,</w:t>
      </w:r>
      <w:r w:rsidRPr="000939E3">
        <w:rPr>
          <w:b/>
        </w:rPr>
        <w:t xml:space="preserve"> sa výrazne nevymyká z priemeru krajín EÚ</w:t>
      </w:r>
      <w:r w:rsidR="00191338" w:rsidRPr="000939E3">
        <w:rPr>
          <w:b/>
        </w:rPr>
        <w:t>.</w:t>
      </w:r>
      <w:r w:rsidRPr="000939E3">
        <w:rPr>
          <w:b/>
        </w:rPr>
        <w:t xml:space="preserve"> </w:t>
      </w:r>
    </w:p>
    <w:p w14:paraId="3284B0E6" w14:textId="51FCABA9" w:rsidR="002861C2" w:rsidRPr="000939E3" w:rsidRDefault="0090163A" w:rsidP="00B41924">
      <w:pPr>
        <w:pStyle w:val="Odsekzoznamu"/>
        <w:numPr>
          <w:ilvl w:val="0"/>
          <w:numId w:val="8"/>
        </w:numPr>
        <w:spacing w:before="240"/>
        <w:ind w:left="426" w:hanging="426"/>
        <w:jc w:val="both"/>
        <w:rPr>
          <w:b/>
        </w:rPr>
      </w:pPr>
      <w:r w:rsidRPr="000939E3">
        <w:rPr>
          <w:b/>
        </w:rPr>
        <w:t>V</w:t>
      </w:r>
      <w:r w:rsidR="00615581" w:rsidRPr="000939E3">
        <w:rPr>
          <w:b/>
        </w:rPr>
        <w:t xml:space="preserve"> roku </w:t>
      </w:r>
      <w:r w:rsidR="008F33AC" w:rsidRPr="000939E3">
        <w:rPr>
          <w:b/>
        </w:rPr>
        <w:t xml:space="preserve">2018 </w:t>
      </w:r>
      <w:r w:rsidR="009F1DCA" w:rsidRPr="000939E3">
        <w:rPr>
          <w:b/>
        </w:rPr>
        <w:t xml:space="preserve">sa </w:t>
      </w:r>
      <w:r w:rsidR="00554770" w:rsidRPr="000939E3">
        <w:rPr>
          <w:b/>
        </w:rPr>
        <w:t xml:space="preserve">na kompenzácie </w:t>
      </w:r>
      <w:r w:rsidR="009B61E9" w:rsidRPr="000939E3">
        <w:rPr>
          <w:b/>
        </w:rPr>
        <w:t xml:space="preserve">zamestnancov </w:t>
      </w:r>
      <w:r w:rsidR="00554770" w:rsidRPr="000939E3">
        <w:rPr>
          <w:b/>
        </w:rPr>
        <w:t>minulo 9,</w:t>
      </w:r>
      <w:r w:rsidR="008F33AC" w:rsidRPr="000939E3">
        <w:rPr>
          <w:b/>
        </w:rPr>
        <w:t xml:space="preserve">3 </w:t>
      </w:r>
      <w:r w:rsidR="00554770" w:rsidRPr="000939E3">
        <w:rPr>
          <w:b/>
        </w:rPr>
        <w:t>% HDP, čo je menej ako priemer EÚ (10,6</w:t>
      </w:r>
      <w:r w:rsidR="009B61E9" w:rsidRPr="000939E3">
        <w:rPr>
          <w:b/>
        </w:rPr>
        <w:t> </w:t>
      </w:r>
      <w:r w:rsidR="00CF399C">
        <w:rPr>
          <w:b/>
        </w:rPr>
        <w:t>% </w:t>
      </w:r>
      <w:r w:rsidR="00554770" w:rsidRPr="000939E3">
        <w:rPr>
          <w:b/>
        </w:rPr>
        <w:t>HDP).</w:t>
      </w:r>
    </w:p>
    <w:p w14:paraId="27832705" w14:textId="77777777" w:rsidR="002861C2" w:rsidRPr="000939E3" w:rsidRDefault="00554770" w:rsidP="00B41924">
      <w:pPr>
        <w:pStyle w:val="Odsekzoznamu"/>
        <w:numPr>
          <w:ilvl w:val="0"/>
          <w:numId w:val="8"/>
        </w:numPr>
        <w:spacing w:before="240"/>
        <w:ind w:left="426" w:hanging="426"/>
        <w:jc w:val="both"/>
        <w:rPr>
          <w:b/>
        </w:rPr>
      </w:pPr>
      <w:r w:rsidRPr="000939E3">
        <w:rPr>
          <w:b/>
        </w:rPr>
        <w:t>Príjmy zamestnancov vo verejnom sektore sú nižšie ako v krajinách EÚ. Priemerná mzda vo verejnom sektore je v EÚ 1,19 násobok priemerného príjmu, na Slovensku 1,07 násobok.</w:t>
      </w:r>
    </w:p>
    <w:p w14:paraId="6D7CBEE2" w14:textId="021CB225" w:rsidR="00FF1373" w:rsidRPr="000939E3" w:rsidRDefault="00FF1373" w:rsidP="00B41924">
      <w:pPr>
        <w:pStyle w:val="Odsekzoznamu"/>
        <w:numPr>
          <w:ilvl w:val="0"/>
          <w:numId w:val="8"/>
        </w:numPr>
        <w:spacing w:before="240"/>
        <w:ind w:left="426" w:hanging="426"/>
        <w:jc w:val="both"/>
        <w:rPr>
          <w:b/>
        </w:rPr>
      </w:pPr>
      <w:r w:rsidRPr="000939E3">
        <w:rPr>
          <w:b/>
        </w:rPr>
        <w:t xml:space="preserve">Navýšenie miezd verejných zamestnancov v rokoch 2019-2020 zmenší zaostávanie </w:t>
      </w:r>
      <w:r w:rsidR="00465E6B" w:rsidRPr="000939E3">
        <w:rPr>
          <w:b/>
        </w:rPr>
        <w:t>n</w:t>
      </w:r>
      <w:r w:rsidRPr="000939E3">
        <w:rPr>
          <w:b/>
        </w:rPr>
        <w:t>a približne polovicu, podiel výdavkov na kompenzácie zamestnancov k celkovým verejným výdavkom stúpne na</w:t>
      </w:r>
      <w:r w:rsidR="000C148F" w:rsidRPr="000939E3">
        <w:rPr>
          <w:b/>
        </w:rPr>
        <w:t> </w:t>
      </w:r>
      <w:r w:rsidRPr="000939E3">
        <w:rPr>
          <w:b/>
        </w:rPr>
        <w:t>priemer EÚ.</w:t>
      </w:r>
    </w:p>
    <w:p w14:paraId="65B3DCA9" w14:textId="5F048B7E" w:rsidR="00E65502" w:rsidRPr="000939E3" w:rsidRDefault="00560D4A" w:rsidP="00B41924">
      <w:pPr>
        <w:pStyle w:val="Odsekzoznamu"/>
        <w:numPr>
          <w:ilvl w:val="0"/>
          <w:numId w:val="8"/>
        </w:numPr>
        <w:ind w:left="426" w:hanging="426"/>
        <w:jc w:val="both"/>
        <w:rPr>
          <w:b/>
        </w:rPr>
      </w:pPr>
      <w:r w:rsidRPr="000939E3">
        <w:rPr>
          <w:b/>
        </w:rPr>
        <w:t>Indikatívne medzinárodné porovnania na základe rôznych dátových zdrojov naznačujú, že</w:t>
      </w:r>
      <w:r w:rsidR="00E65502" w:rsidRPr="000939E3">
        <w:rPr>
          <w:b/>
        </w:rPr>
        <w:t xml:space="preserve"> Slovensko </w:t>
      </w:r>
      <w:r w:rsidRPr="000939E3">
        <w:rPr>
          <w:b/>
        </w:rPr>
        <w:t xml:space="preserve">má </w:t>
      </w:r>
      <w:r w:rsidR="00E65502" w:rsidRPr="000939E3">
        <w:rPr>
          <w:b/>
        </w:rPr>
        <w:t>na počet obyvateľov menej zdravotných sestier</w:t>
      </w:r>
      <w:r w:rsidR="003632F1" w:rsidRPr="000939E3">
        <w:rPr>
          <w:b/>
        </w:rPr>
        <w:t xml:space="preserve"> a</w:t>
      </w:r>
      <w:r w:rsidR="0071431A" w:rsidRPr="000939E3">
        <w:rPr>
          <w:b/>
        </w:rPr>
        <w:t xml:space="preserve"> v porovnaní s ČR aj </w:t>
      </w:r>
      <w:r w:rsidR="003632F1" w:rsidRPr="000939E3">
        <w:rPr>
          <w:b/>
        </w:rPr>
        <w:t>pracovníkov v sociálnych službách</w:t>
      </w:r>
      <w:r w:rsidR="00E65502" w:rsidRPr="000939E3">
        <w:rPr>
          <w:b/>
        </w:rPr>
        <w:t>. Naopak</w:t>
      </w:r>
      <w:r w:rsidR="001046C4" w:rsidRPr="000939E3">
        <w:rPr>
          <w:b/>
        </w:rPr>
        <w:t>,</w:t>
      </w:r>
      <w:r w:rsidR="00C13312" w:rsidRPr="000939E3">
        <w:rPr>
          <w:b/>
        </w:rPr>
        <w:t xml:space="preserve"> </w:t>
      </w:r>
      <w:r w:rsidR="00E56848" w:rsidRPr="000939E3">
        <w:rPr>
          <w:b/>
        </w:rPr>
        <w:t xml:space="preserve">má </w:t>
      </w:r>
      <w:r w:rsidR="00C13312" w:rsidRPr="000939E3">
        <w:rPr>
          <w:b/>
        </w:rPr>
        <w:t xml:space="preserve">viac </w:t>
      </w:r>
      <w:r w:rsidR="00E65502" w:rsidRPr="000939E3">
        <w:rPr>
          <w:b/>
        </w:rPr>
        <w:t>policajtov a</w:t>
      </w:r>
      <w:r w:rsidR="003632F1" w:rsidRPr="000939E3">
        <w:rPr>
          <w:b/>
        </w:rPr>
        <w:t xml:space="preserve"> vysokoškolských </w:t>
      </w:r>
      <w:r w:rsidR="00E65502" w:rsidRPr="000939E3">
        <w:rPr>
          <w:b/>
        </w:rPr>
        <w:t xml:space="preserve">učiteľov. </w:t>
      </w:r>
      <w:r w:rsidR="001046C4" w:rsidRPr="000939E3">
        <w:rPr>
          <w:b/>
        </w:rPr>
        <w:t>Relatívnymi m</w:t>
      </w:r>
      <w:r w:rsidR="00E65502" w:rsidRPr="000939E3">
        <w:rPr>
          <w:b/>
        </w:rPr>
        <w:t>zdami najviac zaostávajú učitelia v regionálnom školstve</w:t>
      </w:r>
      <w:r w:rsidR="00A410D6" w:rsidRPr="000939E3">
        <w:rPr>
          <w:b/>
        </w:rPr>
        <w:t>, naopak viac ako v </w:t>
      </w:r>
      <w:r w:rsidR="00CB38E9" w:rsidRPr="000939E3">
        <w:rPr>
          <w:b/>
        </w:rPr>
        <w:t>zahraničí</w:t>
      </w:r>
      <w:r w:rsidR="00A410D6" w:rsidRPr="000939E3">
        <w:rPr>
          <w:b/>
        </w:rPr>
        <w:t xml:space="preserve"> zarábajú</w:t>
      </w:r>
      <w:r w:rsidR="00E30216" w:rsidRPr="000939E3">
        <w:rPr>
          <w:b/>
        </w:rPr>
        <w:t xml:space="preserve"> najmä</w:t>
      </w:r>
      <w:r w:rsidR="00A410D6" w:rsidRPr="000939E3">
        <w:rPr>
          <w:b/>
        </w:rPr>
        <w:t xml:space="preserve"> prokurátori</w:t>
      </w:r>
      <w:r w:rsidR="00E65502" w:rsidRPr="000939E3">
        <w:rPr>
          <w:b/>
        </w:rPr>
        <w:t>.</w:t>
      </w:r>
    </w:p>
    <w:p w14:paraId="5D693A51" w14:textId="007B2908" w:rsidR="00560D4A" w:rsidRPr="000939E3" w:rsidRDefault="00560D4A" w:rsidP="00B41924">
      <w:pPr>
        <w:pStyle w:val="Odsekzoznamu"/>
        <w:numPr>
          <w:ilvl w:val="0"/>
          <w:numId w:val="8"/>
        </w:numPr>
        <w:ind w:left="426" w:hanging="426"/>
        <w:jc w:val="both"/>
        <w:rPr>
          <w:b/>
        </w:rPr>
      </w:pPr>
      <w:r w:rsidRPr="000939E3">
        <w:rPr>
          <w:b/>
        </w:rPr>
        <w:t xml:space="preserve">Starnutie obyvateľstva so sebou prinesie rastúci dopyt po niektorých profesiách z dôvodu odchodu časti existujúcich zamestnancov do dôchodku a rastúceho počtu klientov. </w:t>
      </w:r>
      <w:r w:rsidR="00556242" w:rsidRPr="000939E3">
        <w:rPr>
          <w:b/>
        </w:rPr>
        <w:t>Po zohľadnení prognózovaného počtu absolventov relevantných vzdelávacích odborov bude do roku 2023 ročne chýbať približne 580 učiteľov regionálneho školstva, 250 zdravotných sestier a 1 250 opatrovateľov a vychovávateľov.</w:t>
      </w:r>
    </w:p>
    <w:p w14:paraId="6BC71323" w14:textId="01026425" w:rsidR="00676982" w:rsidRPr="000939E3" w:rsidRDefault="001B2AB8" w:rsidP="00315263">
      <w:pPr>
        <w:pStyle w:val="Nadpis2"/>
      </w:pPr>
      <w:bookmarkStart w:id="36" w:name="_Ref532832177"/>
      <w:bookmarkStart w:id="37" w:name="_Toc34050693"/>
      <w:r w:rsidRPr="000939E3">
        <w:t>Výdavky na verejnú zamestnanosť</w:t>
      </w:r>
      <w:bookmarkEnd w:id="36"/>
      <w:bookmarkEnd w:id="37"/>
      <w:r w:rsidRPr="000939E3">
        <w:t xml:space="preserve"> </w:t>
      </w:r>
    </w:p>
    <w:tbl>
      <w:tblPr>
        <w:tblStyle w:val="Mriekatabu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5"/>
        <w:gridCol w:w="237"/>
        <w:gridCol w:w="4410"/>
      </w:tblGrid>
      <w:tr w:rsidR="00757C44" w:rsidRPr="000939E3" w14:paraId="5A23F07D" w14:textId="77777777" w:rsidTr="006E19C5">
        <w:tc>
          <w:tcPr>
            <w:tcW w:w="4409" w:type="dxa"/>
            <w:tcBorders>
              <w:bottom w:val="single" w:sz="4" w:space="0" w:color="auto"/>
            </w:tcBorders>
          </w:tcPr>
          <w:p w14:paraId="4064598A" w14:textId="587FB505" w:rsidR="00315263" w:rsidRPr="000939E3" w:rsidRDefault="00315263" w:rsidP="00750D9D">
            <w:pPr>
              <w:pStyle w:val="Popis"/>
              <w:jc w:val="left"/>
            </w:pPr>
            <w:bookmarkStart w:id="38" w:name="_Ref4054309"/>
            <w:bookmarkStart w:id="39" w:name="_Toc34226872"/>
            <w:r w:rsidRPr="000939E3">
              <w:t xml:space="preserve">Graf </w:t>
            </w:r>
            <w:r w:rsidR="00E30BD2" w:rsidRPr="000939E3">
              <w:rPr>
                <w:noProof/>
              </w:rPr>
              <w:fldChar w:fldCharType="begin"/>
            </w:r>
            <w:r w:rsidR="00E30BD2" w:rsidRPr="000939E3">
              <w:rPr>
                <w:noProof/>
              </w:rPr>
              <w:instrText xml:space="preserve"> SEQ Graf \* ARABIC </w:instrText>
            </w:r>
            <w:r w:rsidR="00E30BD2" w:rsidRPr="000939E3">
              <w:rPr>
                <w:noProof/>
              </w:rPr>
              <w:fldChar w:fldCharType="separate"/>
            </w:r>
            <w:r w:rsidR="00BF69CA">
              <w:rPr>
                <w:noProof/>
              </w:rPr>
              <w:t>1</w:t>
            </w:r>
            <w:r w:rsidR="00E30BD2" w:rsidRPr="000939E3">
              <w:rPr>
                <w:noProof/>
              </w:rPr>
              <w:fldChar w:fldCharType="end"/>
            </w:r>
            <w:bookmarkEnd w:id="38"/>
            <w:r w:rsidRPr="000939E3">
              <w:t xml:space="preserve">: Celkový objem kompenzácií zamestnancov sektora VS (% HDP, </w:t>
            </w:r>
            <w:r w:rsidR="00750D9D" w:rsidRPr="000939E3">
              <w:t>2018</w:t>
            </w:r>
            <w:r w:rsidRPr="000939E3">
              <w:t>)</w:t>
            </w:r>
            <w:bookmarkEnd w:id="39"/>
          </w:p>
        </w:tc>
        <w:tc>
          <w:tcPr>
            <w:tcW w:w="0" w:type="dxa"/>
          </w:tcPr>
          <w:p w14:paraId="64CBE1B1" w14:textId="77777777" w:rsidR="00315263" w:rsidRPr="000939E3" w:rsidRDefault="00315263" w:rsidP="005F3CB6">
            <w:pPr>
              <w:keepNext/>
              <w:spacing w:after="0"/>
              <w:rPr>
                <w:b/>
                <w:sz w:val="20"/>
              </w:rPr>
            </w:pPr>
          </w:p>
        </w:tc>
        <w:tc>
          <w:tcPr>
            <w:tcW w:w="4394" w:type="dxa"/>
            <w:tcBorders>
              <w:bottom w:val="single" w:sz="4" w:space="0" w:color="auto"/>
            </w:tcBorders>
          </w:tcPr>
          <w:p w14:paraId="7C9E25FA" w14:textId="3650715C" w:rsidR="00315263" w:rsidRPr="000939E3" w:rsidRDefault="00315263" w:rsidP="00750D9D">
            <w:pPr>
              <w:pStyle w:val="Popis"/>
              <w:jc w:val="left"/>
            </w:pPr>
            <w:bookmarkStart w:id="40" w:name="_Ref4054335"/>
            <w:bookmarkStart w:id="41" w:name="_Toc34226873"/>
            <w:r w:rsidRPr="000939E3">
              <w:t xml:space="preserve">Graf </w:t>
            </w:r>
            <w:r w:rsidR="00E30BD2" w:rsidRPr="000939E3">
              <w:rPr>
                <w:noProof/>
              </w:rPr>
              <w:fldChar w:fldCharType="begin"/>
            </w:r>
            <w:r w:rsidR="00E30BD2" w:rsidRPr="000939E3">
              <w:rPr>
                <w:noProof/>
              </w:rPr>
              <w:instrText xml:space="preserve"> SEQ Graf \* ARABIC </w:instrText>
            </w:r>
            <w:r w:rsidR="00E30BD2" w:rsidRPr="000939E3">
              <w:rPr>
                <w:noProof/>
              </w:rPr>
              <w:fldChar w:fldCharType="separate"/>
            </w:r>
            <w:r w:rsidR="00BF69CA">
              <w:rPr>
                <w:noProof/>
              </w:rPr>
              <w:t>2</w:t>
            </w:r>
            <w:r w:rsidR="00E30BD2" w:rsidRPr="000939E3">
              <w:rPr>
                <w:noProof/>
              </w:rPr>
              <w:fldChar w:fldCharType="end"/>
            </w:r>
            <w:bookmarkEnd w:id="40"/>
            <w:r w:rsidRPr="000939E3">
              <w:rPr>
                <w:noProof/>
              </w:rPr>
              <w:t>:</w:t>
            </w:r>
            <w:r w:rsidRPr="000939E3">
              <w:t xml:space="preserve"> </w:t>
            </w:r>
            <w:r w:rsidR="000C4F87" w:rsidRPr="000939E3">
              <w:t>Kompenzácie VS ako podiel celkových kompenzácií v ekonomike (%</w:t>
            </w:r>
            <w:r w:rsidR="008E1413" w:rsidRPr="000939E3">
              <w:t xml:space="preserve">, </w:t>
            </w:r>
            <w:r w:rsidR="00750D9D" w:rsidRPr="000939E3">
              <w:t>2018</w:t>
            </w:r>
            <w:r w:rsidR="000C4F87" w:rsidRPr="000939E3">
              <w:t>)</w:t>
            </w:r>
            <w:bookmarkEnd w:id="41"/>
          </w:p>
        </w:tc>
      </w:tr>
      <w:tr w:rsidR="00757C44" w:rsidRPr="000939E3" w14:paraId="2ABE364B" w14:textId="77777777" w:rsidTr="006E19C5">
        <w:tc>
          <w:tcPr>
            <w:tcW w:w="4409" w:type="dxa"/>
            <w:tcBorders>
              <w:top w:val="single" w:sz="4" w:space="0" w:color="auto"/>
              <w:bottom w:val="single" w:sz="4" w:space="0" w:color="auto"/>
            </w:tcBorders>
          </w:tcPr>
          <w:p w14:paraId="2FCDD13D" w14:textId="3E1CA4A7" w:rsidR="00315263" w:rsidRPr="000939E3" w:rsidRDefault="00757C44" w:rsidP="006E19C5">
            <w:pPr>
              <w:spacing w:after="0"/>
              <w:ind w:left="-108"/>
            </w:pPr>
            <w:r w:rsidRPr="000939E3">
              <w:rPr>
                <w:noProof/>
                <w:lang w:eastAsia="sk-SK"/>
              </w:rPr>
              <w:drawing>
                <wp:inline distT="0" distB="0" distL="0" distR="0" wp14:anchorId="6BE55E67" wp14:editId="77D96AF7">
                  <wp:extent cx="2772383" cy="2533650"/>
                  <wp:effectExtent l="0" t="0" r="0" b="0"/>
                  <wp:docPr id="238" name="Graf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0" w:type="dxa"/>
          </w:tcPr>
          <w:p w14:paraId="05E0E53C" w14:textId="77777777" w:rsidR="00315263" w:rsidRPr="000939E3" w:rsidRDefault="00315263" w:rsidP="005F3CB6">
            <w:pPr>
              <w:spacing w:after="0"/>
              <w:rPr>
                <w:noProof/>
                <w:lang w:eastAsia="sk-SK"/>
              </w:rPr>
            </w:pPr>
          </w:p>
        </w:tc>
        <w:tc>
          <w:tcPr>
            <w:tcW w:w="4394" w:type="dxa"/>
            <w:tcBorders>
              <w:top w:val="single" w:sz="4" w:space="0" w:color="auto"/>
              <w:bottom w:val="single" w:sz="4" w:space="0" w:color="auto"/>
            </w:tcBorders>
          </w:tcPr>
          <w:p w14:paraId="1FC6DAA2" w14:textId="35D4D196" w:rsidR="00315263" w:rsidRPr="000939E3" w:rsidRDefault="00757C44" w:rsidP="006E19C5">
            <w:pPr>
              <w:spacing w:after="0"/>
              <w:ind w:left="-75"/>
              <w:rPr>
                <w:noProof/>
                <w:lang w:eastAsia="sk-SK"/>
              </w:rPr>
            </w:pPr>
            <w:r w:rsidRPr="000939E3">
              <w:rPr>
                <w:noProof/>
                <w:lang w:eastAsia="sk-SK"/>
              </w:rPr>
              <w:drawing>
                <wp:inline distT="0" distB="0" distL="0" distR="0" wp14:anchorId="40793E56" wp14:editId="12FA3785">
                  <wp:extent cx="2723744" cy="2533650"/>
                  <wp:effectExtent l="0" t="0" r="635" b="0"/>
                  <wp:docPr id="242" name="Graf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757C44" w:rsidRPr="000939E3" w14:paraId="0F7C2F5B" w14:textId="77777777" w:rsidTr="006E19C5">
        <w:tc>
          <w:tcPr>
            <w:tcW w:w="4409" w:type="dxa"/>
            <w:tcBorders>
              <w:top w:val="single" w:sz="4" w:space="0" w:color="auto"/>
            </w:tcBorders>
          </w:tcPr>
          <w:p w14:paraId="5E35B2FC" w14:textId="452B0460" w:rsidR="00315263" w:rsidRPr="000939E3" w:rsidRDefault="00315263" w:rsidP="005F3CB6">
            <w:pPr>
              <w:spacing w:after="0"/>
              <w:jc w:val="right"/>
              <w:rPr>
                <w:i/>
                <w:sz w:val="18"/>
              </w:rPr>
            </w:pPr>
            <w:r w:rsidRPr="000939E3">
              <w:rPr>
                <w:i/>
                <w:sz w:val="18"/>
              </w:rPr>
              <w:t>Zdroj: Eurostat, Government finance statistics</w:t>
            </w:r>
          </w:p>
        </w:tc>
        <w:tc>
          <w:tcPr>
            <w:tcW w:w="0" w:type="dxa"/>
          </w:tcPr>
          <w:p w14:paraId="4D206249" w14:textId="77777777" w:rsidR="00315263" w:rsidRPr="000939E3" w:rsidRDefault="00315263" w:rsidP="005F3CB6">
            <w:pPr>
              <w:spacing w:after="0"/>
              <w:jc w:val="right"/>
              <w:rPr>
                <w:i/>
                <w:sz w:val="18"/>
              </w:rPr>
            </w:pPr>
          </w:p>
        </w:tc>
        <w:tc>
          <w:tcPr>
            <w:tcW w:w="4394" w:type="dxa"/>
            <w:tcBorders>
              <w:top w:val="single" w:sz="4" w:space="0" w:color="auto"/>
            </w:tcBorders>
          </w:tcPr>
          <w:p w14:paraId="6E676435" w14:textId="1D86068E" w:rsidR="00315263" w:rsidRPr="000939E3" w:rsidRDefault="008E1413" w:rsidP="008E1413">
            <w:pPr>
              <w:keepNext/>
              <w:spacing w:after="0"/>
              <w:jc w:val="right"/>
              <w:rPr>
                <w:i/>
                <w:sz w:val="18"/>
              </w:rPr>
            </w:pPr>
            <w:r w:rsidRPr="000939E3">
              <w:rPr>
                <w:i/>
                <w:sz w:val="18"/>
              </w:rPr>
              <w:t>Zdroj: Eurostat</w:t>
            </w:r>
          </w:p>
        </w:tc>
      </w:tr>
    </w:tbl>
    <w:p w14:paraId="00A25D2E" w14:textId="5E7DA08C" w:rsidR="000B3697" w:rsidRPr="000939E3" w:rsidRDefault="000B3697" w:rsidP="000B3697">
      <w:pPr>
        <w:spacing w:before="240"/>
      </w:pPr>
      <w:r w:rsidRPr="000939E3">
        <w:rPr>
          <w:b/>
        </w:rPr>
        <w:t xml:space="preserve">Slovensko v roku </w:t>
      </w:r>
      <w:r w:rsidR="006E19C5" w:rsidRPr="000939E3">
        <w:rPr>
          <w:b/>
        </w:rPr>
        <w:t xml:space="preserve">2018 </w:t>
      </w:r>
      <w:r w:rsidRPr="000939E3">
        <w:rPr>
          <w:b/>
        </w:rPr>
        <w:t>vynaložilo na kompenzácie</w:t>
      </w:r>
      <w:r w:rsidR="00A06019" w:rsidRPr="000939E3">
        <w:rPr>
          <w:rStyle w:val="Odkaznapoznmkupodiarou"/>
          <w:b/>
        </w:rPr>
        <w:footnoteReference w:id="20"/>
      </w:r>
      <w:r w:rsidRPr="000939E3">
        <w:rPr>
          <w:b/>
        </w:rPr>
        <w:t xml:space="preserve"> zamestnancov verejného sektora (VS)</w:t>
      </w:r>
      <w:r w:rsidR="00A06019" w:rsidRPr="000939E3">
        <w:rPr>
          <w:rStyle w:val="Odkaznapoznmkupodiarou"/>
          <w:b/>
        </w:rPr>
        <w:footnoteReference w:id="21"/>
      </w:r>
      <w:r w:rsidRPr="000939E3">
        <w:rPr>
          <w:b/>
        </w:rPr>
        <w:t xml:space="preserve"> </w:t>
      </w:r>
      <w:r w:rsidR="008F33AC" w:rsidRPr="000939E3">
        <w:rPr>
          <w:b/>
        </w:rPr>
        <w:t>8</w:t>
      </w:r>
      <w:r w:rsidR="00E56848" w:rsidRPr="000939E3">
        <w:rPr>
          <w:b/>
        </w:rPr>
        <w:t>,</w:t>
      </w:r>
      <w:r w:rsidR="008F33AC" w:rsidRPr="000939E3">
        <w:rPr>
          <w:b/>
        </w:rPr>
        <w:t>4</w:t>
      </w:r>
      <w:r w:rsidRPr="000939E3">
        <w:rPr>
          <w:b/>
        </w:rPr>
        <w:t xml:space="preserve"> mld. eur</w:t>
      </w:r>
      <w:r w:rsidR="008F33AC" w:rsidRPr="000939E3">
        <w:rPr>
          <w:b/>
        </w:rPr>
        <w:t xml:space="preserve"> </w:t>
      </w:r>
      <w:r w:rsidRPr="000939E3">
        <w:rPr>
          <w:b/>
        </w:rPr>
        <w:t>(9,</w:t>
      </w:r>
      <w:r w:rsidR="006E19C5" w:rsidRPr="000939E3">
        <w:rPr>
          <w:b/>
        </w:rPr>
        <w:t xml:space="preserve">3 </w:t>
      </w:r>
      <w:r w:rsidRPr="000939E3">
        <w:rPr>
          <w:b/>
        </w:rPr>
        <w:t>% HDP), o 1,</w:t>
      </w:r>
      <w:r w:rsidR="006E19C5" w:rsidRPr="000939E3">
        <w:rPr>
          <w:b/>
        </w:rPr>
        <w:t xml:space="preserve">3 </w:t>
      </w:r>
      <w:r w:rsidRPr="000939E3">
        <w:rPr>
          <w:b/>
        </w:rPr>
        <w:t>p.b. menej, ako je priemer krajín EÚ (</w:t>
      </w:r>
      <w:r w:rsidRPr="000939E3">
        <w:rPr>
          <w:b/>
        </w:rPr>
        <w:fldChar w:fldCharType="begin"/>
      </w:r>
      <w:r w:rsidRPr="000939E3">
        <w:rPr>
          <w:b/>
        </w:rPr>
        <w:instrText xml:space="preserve"> REF _Ref4054309 \h  \* MERGEFORMAT </w:instrText>
      </w:r>
      <w:r w:rsidRPr="000939E3">
        <w:rPr>
          <w:b/>
        </w:rPr>
      </w:r>
      <w:r w:rsidRPr="000939E3">
        <w:rPr>
          <w:b/>
        </w:rPr>
        <w:fldChar w:fldCharType="separate"/>
      </w:r>
      <w:r w:rsidR="00BF69CA" w:rsidRPr="00BF69CA">
        <w:rPr>
          <w:b/>
        </w:rPr>
        <w:t xml:space="preserve">Graf </w:t>
      </w:r>
      <w:r w:rsidR="00BF69CA" w:rsidRPr="00BF69CA">
        <w:rPr>
          <w:b/>
          <w:noProof/>
        </w:rPr>
        <w:t>1</w:t>
      </w:r>
      <w:r w:rsidRPr="000939E3">
        <w:rPr>
          <w:b/>
        </w:rPr>
        <w:fldChar w:fldCharType="end"/>
      </w:r>
      <w:r w:rsidRPr="000939E3">
        <w:rPr>
          <w:b/>
        </w:rPr>
        <w:t>).</w:t>
      </w:r>
      <w:r w:rsidRPr="000939E3">
        <w:t xml:space="preserve"> Viac na kompenzácie zamestnancov dávajú </w:t>
      </w:r>
      <w:r w:rsidRPr="000939E3">
        <w:lastRenderedPageBreak/>
        <w:t>aj</w:t>
      </w:r>
      <w:r w:rsidR="00CF399C">
        <w:t> </w:t>
      </w:r>
      <w:r w:rsidRPr="000939E3">
        <w:t>krajiny V3. Podiel verejných výdavkov na zamestnanosť od roku 2012 rastie</w:t>
      </w:r>
      <w:r w:rsidRPr="000939E3">
        <w:rPr>
          <w:rStyle w:val="Odkaznapoznmkupodiarou"/>
        </w:rPr>
        <w:footnoteReference w:id="22"/>
      </w:r>
      <w:r w:rsidRPr="000939E3">
        <w:t>, približne polovi</w:t>
      </w:r>
      <w:r w:rsidR="00CF399C">
        <w:t>ca nárastu je </w:t>
      </w:r>
      <w:r w:rsidRPr="000939E3">
        <w:t>spôsobená zaradením ďalších subjektov do sektora (</w:t>
      </w:r>
      <w:r w:rsidRPr="000939E3">
        <w:fldChar w:fldCharType="begin"/>
      </w:r>
      <w:r w:rsidRPr="000939E3">
        <w:instrText xml:space="preserve"> REF _Ref5870330 \h  \* MERGEFORMAT </w:instrText>
      </w:r>
      <w:r w:rsidRPr="000939E3">
        <w:fldChar w:fldCharType="separate"/>
      </w:r>
      <w:r w:rsidR="00BF69CA" w:rsidRPr="00BF69CA">
        <w:t xml:space="preserve">Box </w:t>
      </w:r>
      <w:r w:rsidR="00BF69CA" w:rsidRPr="00BF69CA">
        <w:rPr>
          <w:noProof/>
        </w:rPr>
        <w:t>3</w:t>
      </w:r>
      <w:r w:rsidRPr="000939E3">
        <w:fldChar w:fldCharType="end"/>
      </w:r>
      <w:r w:rsidRPr="000939E3">
        <w:t>). Slovensko zaostáva za priemerom EÚ aj v </w:t>
      </w:r>
      <w:r w:rsidR="00553B5E" w:rsidRPr="000939E3">
        <w:t>podiele</w:t>
      </w:r>
      <w:r w:rsidRPr="000939E3">
        <w:t xml:space="preserve"> kompenzácií sektora VS na celkových kompenzáciách v ekonomike (</w:t>
      </w:r>
      <w:r w:rsidRPr="000939E3">
        <w:fldChar w:fldCharType="begin"/>
      </w:r>
      <w:r w:rsidRPr="000939E3">
        <w:instrText xml:space="preserve"> REF _Ref4054335 \h  \* MERGEFORMAT </w:instrText>
      </w:r>
      <w:r w:rsidRPr="000939E3">
        <w:fldChar w:fldCharType="separate"/>
      </w:r>
      <w:r w:rsidR="00BF69CA" w:rsidRPr="000939E3">
        <w:t xml:space="preserve">Graf </w:t>
      </w:r>
      <w:r w:rsidR="00BF69CA">
        <w:rPr>
          <w:noProof/>
        </w:rPr>
        <w:t>2</w:t>
      </w:r>
      <w:r w:rsidRPr="000939E3">
        <w:fldChar w:fldCharType="end"/>
      </w:r>
      <w:r w:rsidRPr="000939E3">
        <w:t>).</w:t>
      </w:r>
    </w:p>
    <w:p w14:paraId="6FDD5E7D" w14:textId="7FB7971D" w:rsidR="000B3697" w:rsidRPr="000939E3" w:rsidRDefault="000B3697" w:rsidP="000B3697">
      <w:pPr>
        <w:spacing w:before="240"/>
      </w:pPr>
      <w:r w:rsidRPr="000939E3">
        <w:rPr>
          <w:b/>
        </w:rPr>
        <w:t xml:space="preserve">Jednou z príčin nižších výdavkov na kompenzácie zamestnancov oproti priemeru krajín EÚ je mierne nižší počet zamestnancov. </w:t>
      </w:r>
      <w:r w:rsidRPr="000939E3">
        <w:t xml:space="preserve">V roku </w:t>
      </w:r>
      <w:r w:rsidR="00750D9D" w:rsidRPr="000939E3">
        <w:t xml:space="preserve">2018 </w:t>
      </w:r>
      <w:r w:rsidRPr="000939E3">
        <w:t xml:space="preserve">pracovalo v slovenskom verejnom sektore </w:t>
      </w:r>
      <w:r w:rsidR="00750D9D" w:rsidRPr="000939E3">
        <w:t xml:space="preserve">82 </w:t>
      </w:r>
      <w:r w:rsidRPr="000939E3">
        <w:t>zamestnancov na 1 000 obyvateľov, priemer krajín EÚ bol o 4 zamestnancov vyšší</w:t>
      </w:r>
      <w:r w:rsidRPr="000939E3">
        <w:rPr>
          <w:rStyle w:val="Odkaznapoznmkupodiarou"/>
        </w:rPr>
        <w:footnoteReference w:id="23"/>
      </w:r>
      <w:r w:rsidRPr="000939E3">
        <w:t xml:space="preserve"> (</w:t>
      </w:r>
      <w:r w:rsidRPr="000939E3">
        <w:fldChar w:fldCharType="begin"/>
      </w:r>
      <w:r w:rsidRPr="000939E3">
        <w:instrText xml:space="preserve"> REF _Ref4054361 \h  \* MERGEFORMAT </w:instrText>
      </w:r>
      <w:r w:rsidRPr="000939E3">
        <w:fldChar w:fldCharType="separate"/>
      </w:r>
      <w:r w:rsidR="00BF69CA" w:rsidRPr="000939E3">
        <w:t xml:space="preserve">Graf </w:t>
      </w:r>
      <w:r w:rsidR="00BF69CA">
        <w:rPr>
          <w:noProof/>
        </w:rPr>
        <w:t>3</w:t>
      </w:r>
      <w:r w:rsidRPr="000939E3">
        <w:fldChar w:fldCharType="end"/>
      </w:r>
      <w:r w:rsidRPr="000939E3">
        <w:t>). Počet za</w:t>
      </w:r>
      <w:r w:rsidR="00CF399C">
        <w:t>mestnancov verejného sektora je </w:t>
      </w:r>
      <w:r w:rsidRPr="000939E3">
        <w:t>možné čiastočne vysvetliť rozsahom služieb, ktoré sa štát rozhodne poskytnúť pre svojich občanov. Mierne nižšia zamestnanosť vo verejnom sektore na Slovensku však pravdepodobne súvisí aj s nadpriemernou mierou dodávateľského zabezpečenia verejných statkov (napr. zdravotníctva, dopravy či výstavby). Na externé zabezpečenie verejných statkov Slovensko vynakladalo až 45 % z celých verejných výdavkov na produkciu</w:t>
      </w:r>
      <w:r w:rsidRPr="000939E3">
        <w:rPr>
          <w:rStyle w:val="Odkaznapoznmkupodiarou"/>
        </w:rPr>
        <w:footnoteReference w:id="24"/>
      </w:r>
      <w:r w:rsidR="00CF399C">
        <w:t>, čo je </w:t>
      </w:r>
      <w:r w:rsidRPr="000939E3">
        <w:t>o cca 3 p.b. viac v porovnaní s európskym priemerom</w:t>
      </w:r>
      <w:r w:rsidRPr="000939E3">
        <w:rPr>
          <w:vertAlign w:val="superscript"/>
        </w:rPr>
        <w:footnoteReference w:id="25"/>
      </w:r>
      <w:r w:rsidRPr="000939E3">
        <w:t xml:space="preserve"> (</w:t>
      </w:r>
      <w:r w:rsidRPr="000939E3">
        <w:fldChar w:fldCharType="begin"/>
      </w:r>
      <w:r w:rsidRPr="000939E3">
        <w:instrText xml:space="preserve"> REF _Ref4054457 \h  \* MERGEFORMAT </w:instrText>
      </w:r>
      <w:r w:rsidRPr="000939E3">
        <w:fldChar w:fldCharType="separate"/>
      </w:r>
      <w:r w:rsidR="00BF69CA" w:rsidRPr="000939E3">
        <w:t xml:space="preserve">Graf </w:t>
      </w:r>
      <w:r w:rsidR="00BF69CA">
        <w:rPr>
          <w:noProof/>
        </w:rPr>
        <w:t>4</w:t>
      </w:r>
      <w:r w:rsidRPr="000939E3">
        <w:fldChar w:fldCharType="end"/>
      </w:r>
      <w:r w:rsidRPr="000939E3">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423"/>
        <w:gridCol w:w="222"/>
        <w:gridCol w:w="4443"/>
      </w:tblGrid>
      <w:tr w:rsidR="000B3697" w:rsidRPr="000939E3" w14:paraId="2BE860C4" w14:textId="77777777" w:rsidTr="00E6027A">
        <w:tc>
          <w:tcPr>
            <w:tcW w:w="4409" w:type="dxa"/>
            <w:gridSpan w:val="2"/>
            <w:tcBorders>
              <w:bottom w:val="single" w:sz="4" w:space="0" w:color="auto"/>
            </w:tcBorders>
          </w:tcPr>
          <w:p w14:paraId="1A7EC4C5" w14:textId="2B0CE404" w:rsidR="000B3697" w:rsidRPr="000939E3" w:rsidRDefault="000B3697" w:rsidP="00750D9D">
            <w:pPr>
              <w:pStyle w:val="Popis"/>
              <w:jc w:val="left"/>
            </w:pPr>
            <w:bookmarkStart w:id="42" w:name="_Ref4054361"/>
            <w:bookmarkStart w:id="43" w:name="_Toc34226874"/>
            <w:r w:rsidRPr="000939E3">
              <w:t xml:space="preserve">Graf </w:t>
            </w:r>
            <w:r w:rsidRPr="000939E3">
              <w:rPr>
                <w:noProof/>
              </w:rPr>
              <w:fldChar w:fldCharType="begin"/>
            </w:r>
            <w:r w:rsidRPr="000939E3">
              <w:rPr>
                <w:noProof/>
              </w:rPr>
              <w:instrText xml:space="preserve"> SEQ Graf \* ARABIC </w:instrText>
            </w:r>
            <w:r w:rsidRPr="000939E3">
              <w:rPr>
                <w:noProof/>
              </w:rPr>
              <w:fldChar w:fldCharType="separate"/>
            </w:r>
            <w:r w:rsidR="00BF69CA">
              <w:rPr>
                <w:noProof/>
              </w:rPr>
              <w:t>3</w:t>
            </w:r>
            <w:r w:rsidRPr="000939E3">
              <w:rPr>
                <w:noProof/>
              </w:rPr>
              <w:fldChar w:fldCharType="end"/>
            </w:r>
            <w:bookmarkEnd w:id="42"/>
            <w:r w:rsidRPr="000939E3">
              <w:t>: Počet zamestnancov sektora VS na 1000 obyvateľov (</w:t>
            </w:r>
            <w:r w:rsidR="00750D9D" w:rsidRPr="000939E3">
              <w:t>2018</w:t>
            </w:r>
            <w:r w:rsidRPr="000939E3">
              <w:t>)</w:t>
            </w:r>
            <w:bookmarkEnd w:id="43"/>
          </w:p>
        </w:tc>
        <w:tc>
          <w:tcPr>
            <w:tcW w:w="222" w:type="dxa"/>
          </w:tcPr>
          <w:p w14:paraId="0C4F730A" w14:textId="77777777" w:rsidR="000B3697" w:rsidRPr="000939E3" w:rsidRDefault="000B3697" w:rsidP="007F1E69">
            <w:pPr>
              <w:keepNext/>
              <w:spacing w:after="0"/>
              <w:jc w:val="left"/>
              <w:rPr>
                <w:b/>
                <w:sz w:val="20"/>
              </w:rPr>
            </w:pPr>
          </w:p>
        </w:tc>
        <w:tc>
          <w:tcPr>
            <w:tcW w:w="4441" w:type="dxa"/>
            <w:tcBorders>
              <w:bottom w:val="single" w:sz="4" w:space="0" w:color="auto"/>
            </w:tcBorders>
          </w:tcPr>
          <w:p w14:paraId="5EFD0652" w14:textId="20212B87" w:rsidR="000B3697" w:rsidRPr="000939E3" w:rsidRDefault="000B3697" w:rsidP="007F1E69">
            <w:pPr>
              <w:pStyle w:val="Popis"/>
              <w:jc w:val="left"/>
            </w:pPr>
            <w:bookmarkStart w:id="44" w:name="_Ref4054457"/>
            <w:bookmarkStart w:id="45" w:name="_Toc34226875"/>
            <w:r w:rsidRPr="000939E3">
              <w:t xml:space="preserve">Graf </w:t>
            </w:r>
            <w:r w:rsidRPr="000939E3">
              <w:rPr>
                <w:noProof/>
              </w:rPr>
              <w:fldChar w:fldCharType="begin"/>
            </w:r>
            <w:r w:rsidRPr="000939E3">
              <w:rPr>
                <w:noProof/>
              </w:rPr>
              <w:instrText xml:space="preserve"> SEQ Graf \* ARABIC </w:instrText>
            </w:r>
            <w:r w:rsidRPr="000939E3">
              <w:rPr>
                <w:noProof/>
              </w:rPr>
              <w:fldChar w:fldCharType="separate"/>
            </w:r>
            <w:r w:rsidR="00BF69CA">
              <w:rPr>
                <w:noProof/>
              </w:rPr>
              <w:t>4</w:t>
            </w:r>
            <w:r w:rsidRPr="000939E3">
              <w:rPr>
                <w:noProof/>
              </w:rPr>
              <w:fldChar w:fldCharType="end"/>
            </w:r>
            <w:bookmarkEnd w:id="44"/>
            <w:r w:rsidRPr="000939E3">
              <w:t xml:space="preserve">: </w:t>
            </w:r>
            <w:r w:rsidRPr="000939E3">
              <w:rPr>
                <w:lang w:eastAsia="en-US"/>
              </w:rPr>
              <w:t>Rozdelenie produkčných nákladov verejného sektora</w:t>
            </w:r>
            <w:r w:rsidR="00E56848" w:rsidRPr="000939E3">
              <w:rPr>
                <w:lang w:eastAsia="en-US"/>
              </w:rPr>
              <w:t xml:space="preserve"> (2015)</w:t>
            </w:r>
            <w:bookmarkEnd w:id="45"/>
          </w:p>
        </w:tc>
      </w:tr>
      <w:tr w:rsidR="000B3697" w:rsidRPr="000939E3" w14:paraId="4960AAAD" w14:textId="77777777" w:rsidTr="00E6027A">
        <w:tc>
          <w:tcPr>
            <w:tcW w:w="4409" w:type="dxa"/>
            <w:gridSpan w:val="2"/>
            <w:tcBorders>
              <w:top w:val="single" w:sz="4" w:space="0" w:color="auto"/>
              <w:bottom w:val="single" w:sz="4" w:space="0" w:color="auto"/>
            </w:tcBorders>
          </w:tcPr>
          <w:p w14:paraId="0CD5050A" w14:textId="138BDDCD" w:rsidR="000B3697" w:rsidRPr="000939E3" w:rsidRDefault="008F33AC" w:rsidP="008F33AC">
            <w:pPr>
              <w:spacing w:after="0"/>
              <w:ind w:left="-108"/>
            </w:pPr>
            <w:r w:rsidRPr="000939E3">
              <w:rPr>
                <w:noProof/>
                <w:lang w:eastAsia="sk-SK"/>
              </w:rPr>
              <w:drawing>
                <wp:inline distT="0" distB="0" distL="0" distR="0" wp14:anchorId="77C8ABCE" wp14:editId="37FA57D3">
                  <wp:extent cx="2733472" cy="2869565"/>
                  <wp:effectExtent l="0" t="0" r="0" b="6985"/>
                  <wp:docPr id="249" name="Graf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22" w:type="dxa"/>
          </w:tcPr>
          <w:p w14:paraId="632F0F32" w14:textId="77777777" w:rsidR="000B3697" w:rsidRPr="000939E3" w:rsidRDefault="000B3697" w:rsidP="007F1E69">
            <w:pPr>
              <w:spacing w:after="0"/>
              <w:rPr>
                <w:noProof/>
                <w:lang w:eastAsia="sk-SK"/>
              </w:rPr>
            </w:pPr>
          </w:p>
        </w:tc>
        <w:tc>
          <w:tcPr>
            <w:tcW w:w="4441" w:type="dxa"/>
            <w:tcBorders>
              <w:top w:val="single" w:sz="4" w:space="0" w:color="auto"/>
              <w:bottom w:val="single" w:sz="4" w:space="0" w:color="auto"/>
            </w:tcBorders>
          </w:tcPr>
          <w:p w14:paraId="1F66E4B5" w14:textId="77777777" w:rsidR="000B3697" w:rsidRPr="000939E3" w:rsidRDefault="000B3697" w:rsidP="007F1E69">
            <w:pPr>
              <w:spacing w:after="0"/>
              <w:rPr>
                <w:noProof/>
                <w:lang w:eastAsia="sk-SK"/>
              </w:rPr>
            </w:pPr>
            <w:r w:rsidRPr="000939E3">
              <w:rPr>
                <w:noProof/>
                <w:lang w:eastAsia="sk-SK"/>
              </w:rPr>
              <w:drawing>
                <wp:inline distT="0" distB="0" distL="0" distR="0" wp14:anchorId="7FAD2439" wp14:editId="3EFCFC28">
                  <wp:extent cx="2686050" cy="285115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493FA5" w:rsidRPr="000939E3" w14:paraId="294C45D7" w14:textId="77777777" w:rsidTr="00E6027A">
        <w:trPr>
          <w:trHeight w:val="496"/>
        </w:trPr>
        <w:tc>
          <w:tcPr>
            <w:tcW w:w="1985" w:type="dxa"/>
            <w:tcBorders>
              <w:top w:val="single" w:sz="4" w:space="0" w:color="auto"/>
            </w:tcBorders>
            <w:tcMar>
              <w:left w:w="28" w:type="dxa"/>
              <w:right w:w="28" w:type="dxa"/>
            </w:tcMar>
          </w:tcPr>
          <w:p w14:paraId="5D383175" w14:textId="7D053BF2" w:rsidR="00493FA5" w:rsidRPr="000939E3" w:rsidRDefault="00493FA5" w:rsidP="00493FA5">
            <w:pPr>
              <w:spacing w:after="0" w:line="240" w:lineRule="auto"/>
              <w:contextualSpacing/>
              <w:jc w:val="left"/>
              <w:rPr>
                <w:i/>
                <w:sz w:val="18"/>
              </w:rPr>
            </w:pPr>
            <w:r w:rsidRPr="000939E3">
              <w:rPr>
                <w:i/>
                <w:iCs/>
                <w:color w:val="000000"/>
                <w:sz w:val="18"/>
                <w:szCs w:val="20"/>
              </w:rPr>
              <w:t>Poznámka: údaj za Estónsko je za rok 2017</w:t>
            </w:r>
          </w:p>
        </w:tc>
        <w:tc>
          <w:tcPr>
            <w:tcW w:w="2424" w:type="dxa"/>
            <w:tcBorders>
              <w:top w:val="single" w:sz="4" w:space="0" w:color="auto"/>
            </w:tcBorders>
          </w:tcPr>
          <w:p w14:paraId="1C808E29" w14:textId="4CC56185" w:rsidR="00493FA5" w:rsidRPr="000939E3" w:rsidRDefault="00493FA5" w:rsidP="007F1E69">
            <w:pPr>
              <w:spacing w:after="0"/>
              <w:contextualSpacing/>
              <w:jc w:val="right"/>
              <w:rPr>
                <w:i/>
                <w:sz w:val="18"/>
              </w:rPr>
            </w:pPr>
            <w:r w:rsidRPr="000939E3">
              <w:rPr>
                <w:i/>
                <w:sz w:val="18"/>
              </w:rPr>
              <w:t>Zdroj: Eurostat, Národné účty, Demografické štatistiky</w:t>
            </w:r>
          </w:p>
        </w:tc>
        <w:tc>
          <w:tcPr>
            <w:tcW w:w="222" w:type="dxa"/>
          </w:tcPr>
          <w:p w14:paraId="0ADA702C" w14:textId="77777777" w:rsidR="00493FA5" w:rsidRPr="000939E3" w:rsidRDefault="00493FA5" w:rsidP="007F1E69">
            <w:pPr>
              <w:spacing w:after="0"/>
              <w:contextualSpacing/>
              <w:jc w:val="right"/>
              <w:rPr>
                <w:i/>
                <w:sz w:val="18"/>
              </w:rPr>
            </w:pPr>
          </w:p>
        </w:tc>
        <w:tc>
          <w:tcPr>
            <w:tcW w:w="4441" w:type="dxa"/>
            <w:tcBorders>
              <w:top w:val="single" w:sz="4" w:space="0" w:color="auto"/>
            </w:tcBorders>
          </w:tcPr>
          <w:p w14:paraId="790E0114" w14:textId="77777777" w:rsidR="00493FA5" w:rsidRPr="000939E3" w:rsidRDefault="00493FA5" w:rsidP="007F1E69">
            <w:pPr>
              <w:keepNext/>
              <w:spacing w:after="0"/>
              <w:contextualSpacing/>
              <w:jc w:val="right"/>
              <w:rPr>
                <w:i/>
                <w:sz w:val="18"/>
              </w:rPr>
            </w:pPr>
            <w:r w:rsidRPr="000939E3">
              <w:rPr>
                <w:i/>
                <w:sz w:val="18"/>
              </w:rPr>
              <w:t>Zdroj: OECD, 2017a</w:t>
            </w:r>
          </w:p>
        </w:tc>
      </w:tr>
    </w:tbl>
    <w:p w14:paraId="6E202065" w14:textId="538B51F2" w:rsidR="000B3697" w:rsidRPr="000939E3" w:rsidRDefault="000B3697" w:rsidP="000B3697">
      <w:pPr>
        <w:spacing w:before="240"/>
      </w:pPr>
      <w:r w:rsidRPr="000939E3">
        <w:rPr>
          <w:b/>
        </w:rPr>
        <w:t xml:space="preserve">Ďalším dôvodom nižších výdavkov na kompenzácie verejných zamestnancov na Slovensku je nižšia mzdová prémia oproti súkromnému sektoru. </w:t>
      </w:r>
      <w:r w:rsidRPr="000939E3">
        <w:t xml:space="preserve">Mzdová prémia verejných zamestnancov – percentuálny rozdiel voči priemernej kompenzácii v súkromnom sektore – bola na úrovni 7 %, čo je podstatne menej ako priemer krajín </w:t>
      </w:r>
      <w:r w:rsidRPr="000939E3">
        <w:lastRenderedPageBreak/>
        <w:t>EÚ (</w:t>
      </w:r>
      <w:r w:rsidRPr="000939E3">
        <w:fldChar w:fldCharType="begin"/>
      </w:r>
      <w:r w:rsidRPr="000939E3">
        <w:instrText xml:space="preserve"> REF _Ref528322693 \h  \* MERGEFORMAT </w:instrText>
      </w:r>
      <w:r w:rsidRPr="000939E3">
        <w:fldChar w:fldCharType="separate"/>
      </w:r>
      <w:r w:rsidR="00BF69CA" w:rsidRPr="00BF69CA">
        <w:t xml:space="preserve">Graf </w:t>
      </w:r>
      <w:r w:rsidR="00BF69CA" w:rsidRPr="00BF69CA">
        <w:rPr>
          <w:noProof/>
        </w:rPr>
        <w:t>5</w:t>
      </w:r>
      <w:r w:rsidRPr="000939E3">
        <w:fldChar w:fldCharType="end"/>
      </w:r>
      <w:r w:rsidRPr="000939E3">
        <w:t>). Prémia za prácu vo verenom sektore odráža rozdielnu štruktúru zamestnancov a pracovných pozícii v porovnaní so súkromným sektorom (Kapitola 3).</w:t>
      </w:r>
    </w:p>
    <w:p w14:paraId="6187B3FB" w14:textId="571FB9FD" w:rsidR="000B3697" w:rsidRPr="000939E3" w:rsidRDefault="008F33AC" w:rsidP="000B3697">
      <w:pPr>
        <w:spacing w:before="240"/>
      </w:pPr>
      <w:r w:rsidRPr="000939E3">
        <w:rPr>
          <w:b/>
        </w:rPr>
        <w:t>R</w:t>
      </w:r>
      <w:r w:rsidR="000B3697" w:rsidRPr="000939E3">
        <w:rPr>
          <w:b/>
        </w:rPr>
        <w:t xml:space="preserve">azantné zvyšovanie miezd verejných zamestnancov v rokoch 2019 a 2020 prinesie zvýšenie mzdovej prémie na Slovensku a tým aj zníženie rozdielu oproti priemeru krajín EÚ. </w:t>
      </w:r>
      <w:r w:rsidR="00A55961">
        <w:t>Po </w:t>
      </w:r>
      <w:r w:rsidR="000B3697" w:rsidRPr="000939E3">
        <w:t>navýšení kompenzácií a predpokladanom raste priemernej mzdy v ekonomike</w:t>
      </w:r>
      <w:r w:rsidR="000B3697" w:rsidRPr="000939E3">
        <w:rPr>
          <w:rStyle w:val="Odkaznapoznmkupodiarou"/>
        </w:rPr>
        <w:footnoteReference w:id="26"/>
      </w:r>
      <w:r w:rsidR="000B3697" w:rsidRPr="000939E3">
        <w:t xml:space="preserve"> prémia zamestnancov verejného sektora vzrastie zo 7 % na približne 12 % (</w:t>
      </w:r>
      <w:r w:rsidR="000B3697" w:rsidRPr="000939E3">
        <w:fldChar w:fldCharType="begin"/>
      </w:r>
      <w:r w:rsidR="000B3697" w:rsidRPr="000939E3">
        <w:instrText xml:space="preserve"> REF _Ref528322693 \h  \* MERGEFORMAT </w:instrText>
      </w:r>
      <w:r w:rsidR="000B3697" w:rsidRPr="000939E3">
        <w:fldChar w:fldCharType="separate"/>
      </w:r>
      <w:r w:rsidR="00BF69CA" w:rsidRPr="00BF69CA">
        <w:t xml:space="preserve">Graf </w:t>
      </w:r>
      <w:r w:rsidR="00BF69CA" w:rsidRPr="00BF69CA">
        <w:rPr>
          <w:noProof/>
        </w:rPr>
        <w:t>5</w:t>
      </w:r>
      <w:r w:rsidR="000B3697" w:rsidRPr="000939E3">
        <w:fldChar w:fldCharType="end"/>
      </w:r>
      <w:r w:rsidR="000B3697" w:rsidRPr="000939E3">
        <w:t xml:space="preserve">). Pokiaľ prémia v krajinách EÚ ostane na úrovni roku </w:t>
      </w:r>
      <w:r w:rsidRPr="000939E3">
        <w:t>2017</w:t>
      </w:r>
      <w:r w:rsidR="000B3697" w:rsidRPr="000939E3">
        <w:t xml:space="preserve">, rozdiel oproti priemeru EÚ sa zmenší o skoro polovicu. </w:t>
      </w:r>
    </w:p>
    <w:p w14:paraId="34EADB0A" w14:textId="661F0AB0" w:rsidR="005F47A1" w:rsidRPr="000939E3" w:rsidRDefault="00E56848" w:rsidP="000B3697">
      <w:pPr>
        <w:spacing w:before="240"/>
        <w:rPr>
          <w:b/>
        </w:rPr>
      </w:pPr>
      <w:r w:rsidRPr="000939E3">
        <w:rPr>
          <w:b/>
        </w:rPr>
        <w:t>N</w:t>
      </w:r>
      <w:r w:rsidR="000B3697" w:rsidRPr="000939E3">
        <w:rPr>
          <w:b/>
        </w:rPr>
        <w:t>avýšenie miezd vo verejnom sektore tiež znamená </w:t>
      </w:r>
      <w:r w:rsidR="00F42FFA" w:rsidRPr="000939E3">
        <w:rPr>
          <w:b/>
        </w:rPr>
        <w:t xml:space="preserve">priblíženie sa európskemu </w:t>
      </w:r>
      <w:r w:rsidR="000B3697" w:rsidRPr="000939E3">
        <w:rPr>
          <w:b/>
        </w:rPr>
        <w:t xml:space="preserve">priemeru v podiele verejných výdavkov na </w:t>
      </w:r>
      <w:r w:rsidR="004A4B34" w:rsidRPr="000939E3">
        <w:rPr>
          <w:b/>
        </w:rPr>
        <w:t xml:space="preserve">kompenzácie </w:t>
      </w:r>
      <w:r w:rsidR="000B3697" w:rsidRPr="000939E3">
        <w:rPr>
          <w:b/>
        </w:rPr>
        <w:t xml:space="preserve">zamestnancov. </w:t>
      </w:r>
      <w:r w:rsidR="000B3697" w:rsidRPr="000939E3">
        <w:t xml:space="preserve">Verejné výdavky na kompenzácie slovenských zamestnancov v roku 2020 odhaduje Európska komisia (EK) </w:t>
      </w:r>
      <w:r w:rsidR="00F42FFA" w:rsidRPr="000939E3">
        <w:t>1 p.b. pod priemerom EÚ</w:t>
      </w:r>
      <w:r w:rsidR="004B395E" w:rsidRPr="000939E3">
        <w:t xml:space="preserve"> </w:t>
      </w:r>
      <w:r w:rsidR="000B3697" w:rsidRPr="000939E3">
        <w:t>(24 % verejných výdavkov</w:t>
      </w:r>
      <w:r w:rsidRPr="000939E3">
        <w:t xml:space="preserve"> oproti 25 % v EÚ</w:t>
      </w:r>
      <w:r w:rsidR="000B3697" w:rsidRPr="000939E3">
        <w:t xml:space="preserve">, </w:t>
      </w:r>
      <w:r w:rsidR="000B3697" w:rsidRPr="000939E3">
        <w:fldChar w:fldCharType="begin"/>
      </w:r>
      <w:r w:rsidR="000B3697" w:rsidRPr="000939E3">
        <w:instrText xml:space="preserve"> REF _Ref529523636 \h  \* MERGEFORMAT </w:instrText>
      </w:r>
      <w:r w:rsidR="000B3697" w:rsidRPr="000939E3">
        <w:fldChar w:fldCharType="separate"/>
      </w:r>
      <w:r w:rsidR="00BF69CA" w:rsidRPr="000939E3">
        <w:t xml:space="preserve">Graf </w:t>
      </w:r>
      <w:r w:rsidR="00BF69CA">
        <w:rPr>
          <w:noProof/>
        </w:rPr>
        <w:t>6</w:t>
      </w:r>
      <w:r w:rsidR="000B3697" w:rsidRPr="000939E3">
        <w:fldChar w:fldCharType="end"/>
      </w:r>
      <w:r w:rsidR="000B3697" w:rsidRPr="000939E3">
        <w:t>). V pomere ku HDP ostane Slovensko podľa prognózy EK pod priemerom EÚ (</w:t>
      </w:r>
      <w:r w:rsidR="004A4B34" w:rsidRPr="000939E3">
        <w:t>10</w:t>
      </w:r>
      <w:r w:rsidR="000B3697" w:rsidRPr="000939E3">
        <w:t xml:space="preserve"> % HDP oproti 10,</w:t>
      </w:r>
      <w:r w:rsidR="004A4B34" w:rsidRPr="000939E3">
        <w:t>7</w:t>
      </w:r>
      <w:r w:rsidR="000B3697" w:rsidRPr="000939E3">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222"/>
        <w:gridCol w:w="4655"/>
      </w:tblGrid>
      <w:tr w:rsidR="007826D9" w:rsidRPr="000939E3" w14:paraId="464C325A" w14:textId="77777777" w:rsidTr="00F42FFA">
        <w:tc>
          <w:tcPr>
            <w:tcW w:w="4300" w:type="dxa"/>
            <w:tcBorders>
              <w:bottom w:val="single" w:sz="4" w:space="0" w:color="auto"/>
            </w:tcBorders>
          </w:tcPr>
          <w:p w14:paraId="30E1D272" w14:textId="4FE9DD59" w:rsidR="007826D9" w:rsidRPr="000939E3" w:rsidRDefault="007826D9" w:rsidP="00F42FFA">
            <w:pPr>
              <w:keepNext/>
              <w:spacing w:after="0" w:line="240" w:lineRule="auto"/>
              <w:rPr>
                <w:b/>
                <w:sz w:val="20"/>
                <w:szCs w:val="20"/>
              </w:rPr>
            </w:pPr>
            <w:bookmarkStart w:id="46" w:name="_Ref528322693"/>
            <w:bookmarkStart w:id="47" w:name="_Toc34226876"/>
            <w:r w:rsidRPr="000939E3">
              <w:rPr>
                <w:b/>
                <w:sz w:val="20"/>
                <w:szCs w:val="20"/>
              </w:rPr>
              <w:t xml:space="preserve">Graf </w:t>
            </w:r>
            <w:r w:rsidR="000B0EF7" w:rsidRPr="000939E3">
              <w:rPr>
                <w:b/>
                <w:sz w:val="20"/>
                <w:szCs w:val="20"/>
              </w:rPr>
              <w:fldChar w:fldCharType="begin"/>
            </w:r>
            <w:r w:rsidR="000B0EF7" w:rsidRPr="000939E3">
              <w:rPr>
                <w:b/>
                <w:sz w:val="20"/>
                <w:szCs w:val="20"/>
              </w:rPr>
              <w:instrText xml:space="preserve"> SEQ Graf \* ARABIC </w:instrText>
            </w:r>
            <w:r w:rsidR="000B0EF7" w:rsidRPr="000939E3">
              <w:rPr>
                <w:b/>
                <w:sz w:val="20"/>
                <w:szCs w:val="20"/>
              </w:rPr>
              <w:fldChar w:fldCharType="separate"/>
            </w:r>
            <w:r w:rsidR="00BF69CA">
              <w:rPr>
                <w:b/>
                <w:noProof/>
                <w:sz w:val="20"/>
                <w:szCs w:val="20"/>
              </w:rPr>
              <w:t>5</w:t>
            </w:r>
            <w:r w:rsidR="000B0EF7" w:rsidRPr="000939E3">
              <w:rPr>
                <w:b/>
                <w:sz w:val="20"/>
                <w:szCs w:val="20"/>
              </w:rPr>
              <w:fldChar w:fldCharType="end"/>
            </w:r>
            <w:bookmarkEnd w:id="46"/>
            <w:r w:rsidRPr="000939E3">
              <w:rPr>
                <w:b/>
                <w:sz w:val="20"/>
                <w:szCs w:val="20"/>
              </w:rPr>
              <w:t xml:space="preserve">: </w:t>
            </w:r>
            <w:r w:rsidR="00A6079D" w:rsidRPr="000939E3">
              <w:rPr>
                <w:b/>
                <w:sz w:val="20"/>
                <w:szCs w:val="20"/>
              </w:rPr>
              <w:t>Priemerné kompenzácie zamestnancov sektora VS voči priemernej kompenzácii súkromného sektora (</w:t>
            </w:r>
            <w:r w:rsidR="00F42FFA" w:rsidRPr="000939E3">
              <w:rPr>
                <w:b/>
                <w:sz w:val="20"/>
                <w:szCs w:val="20"/>
              </w:rPr>
              <w:t>2017</w:t>
            </w:r>
            <w:r w:rsidR="00A6079D" w:rsidRPr="000939E3">
              <w:rPr>
                <w:b/>
                <w:sz w:val="20"/>
                <w:szCs w:val="20"/>
              </w:rPr>
              <w:t xml:space="preserve">, </w:t>
            </w:r>
            <w:r w:rsidR="00A6079D" w:rsidRPr="000939E3">
              <w:rPr>
                <w:rStyle w:val="Bodytext295pt"/>
                <w:b/>
                <w:szCs w:val="20"/>
                <w:lang w:val="sk-SK"/>
              </w:rPr>
              <w:t>Slovensko aj predikcia 2020</w:t>
            </w:r>
            <w:r w:rsidR="00A6079D" w:rsidRPr="000939E3">
              <w:rPr>
                <w:b/>
                <w:sz w:val="20"/>
                <w:szCs w:val="20"/>
              </w:rPr>
              <w:t>)</w:t>
            </w:r>
            <w:bookmarkEnd w:id="47"/>
          </w:p>
        </w:tc>
        <w:tc>
          <w:tcPr>
            <w:tcW w:w="222" w:type="dxa"/>
          </w:tcPr>
          <w:p w14:paraId="625321A6" w14:textId="77777777" w:rsidR="007826D9" w:rsidRPr="000939E3" w:rsidRDefault="007826D9" w:rsidP="00DD18B5">
            <w:pPr>
              <w:keepNext/>
              <w:spacing w:after="0" w:line="240" w:lineRule="auto"/>
              <w:jc w:val="left"/>
              <w:rPr>
                <w:b/>
                <w:sz w:val="20"/>
                <w:szCs w:val="20"/>
              </w:rPr>
            </w:pPr>
          </w:p>
        </w:tc>
        <w:tc>
          <w:tcPr>
            <w:tcW w:w="4550" w:type="dxa"/>
            <w:tcBorders>
              <w:bottom w:val="single" w:sz="4" w:space="0" w:color="auto"/>
            </w:tcBorders>
          </w:tcPr>
          <w:p w14:paraId="35AD31F8" w14:textId="77777777" w:rsidR="00E6027A" w:rsidRDefault="007826D9" w:rsidP="00493FA5">
            <w:pPr>
              <w:pStyle w:val="Popis"/>
              <w:rPr>
                <w:rStyle w:val="Bodytext295pt"/>
              </w:rPr>
            </w:pPr>
            <w:bookmarkStart w:id="48" w:name="_Ref529523636"/>
            <w:bookmarkStart w:id="49" w:name="_Toc34226877"/>
            <w:r w:rsidRPr="000939E3">
              <w:rPr>
                <w:lang w:eastAsia="en-US"/>
              </w:rPr>
              <w:t xml:space="preserve">Graf </w:t>
            </w:r>
            <w:r w:rsidR="000B0EF7" w:rsidRPr="000939E3">
              <w:rPr>
                <w:lang w:eastAsia="en-US"/>
              </w:rPr>
              <w:fldChar w:fldCharType="begin"/>
            </w:r>
            <w:r w:rsidR="000B0EF7" w:rsidRPr="000939E3">
              <w:rPr>
                <w:lang w:eastAsia="en-US"/>
              </w:rPr>
              <w:instrText xml:space="preserve"> SEQ Graf \* ARABIC </w:instrText>
            </w:r>
            <w:r w:rsidR="000B0EF7" w:rsidRPr="000939E3">
              <w:rPr>
                <w:lang w:eastAsia="en-US"/>
              </w:rPr>
              <w:fldChar w:fldCharType="separate"/>
            </w:r>
            <w:r w:rsidR="00BF69CA">
              <w:rPr>
                <w:noProof/>
                <w:lang w:eastAsia="en-US"/>
              </w:rPr>
              <w:t>6</w:t>
            </w:r>
            <w:r w:rsidR="000B0EF7" w:rsidRPr="000939E3">
              <w:rPr>
                <w:lang w:eastAsia="en-US"/>
              </w:rPr>
              <w:fldChar w:fldCharType="end"/>
            </w:r>
            <w:bookmarkEnd w:id="48"/>
            <w:r w:rsidR="00380B12" w:rsidRPr="000939E3">
              <w:rPr>
                <w:lang w:eastAsia="en-US"/>
              </w:rPr>
              <w:t>:</w:t>
            </w:r>
            <w:r w:rsidRPr="000939E3">
              <w:rPr>
                <w:lang w:eastAsia="en-US"/>
              </w:rPr>
              <w:t xml:space="preserve"> </w:t>
            </w:r>
            <w:r w:rsidR="00A6079D" w:rsidRPr="000939E3">
              <w:rPr>
                <w:rStyle w:val="Bodytext295pt"/>
              </w:rPr>
              <w:t>Kompenzácie zamestnancov VS v roku 2020</w:t>
            </w:r>
            <w:bookmarkEnd w:id="49"/>
            <w:r w:rsidR="0059366E" w:rsidRPr="000939E3">
              <w:rPr>
                <w:rStyle w:val="Bodytext295pt"/>
              </w:rPr>
              <w:t xml:space="preserve"> </w:t>
            </w:r>
          </w:p>
          <w:p w14:paraId="2A3ECD06" w14:textId="5062D487" w:rsidR="007826D9" w:rsidRPr="000939E3" w:rsidRDefault="00A6079D" w:rsidP="00493FA5">
            <w:pPr>
              <w:pStyle w:val="Popis"/>
            </w:pPr>
            <w:r w:rsidRPr="000939E3">
              <w:rPr>
                <w:rStyle w:val="Bodytext295pt"/>
              </w:rPr>
              <w:t>(v</w:t>
            </w:r>
            <w:r w:rsidR="0059366E" w:rsidRPr="000939E3">
              <w:rPr>
                <w:rStyle w:val="Bodytext295pt"/>
              </w:rPr>
              <w:t> </w:t>
            </w:r>
            <w:r w:rsidRPr="000939E3">
              <w:rPr>
                <w:rStyle w:val="Bodytext295pt"/>
              </w:rPr>
              <w:t>% verejných výdavkov, odhad E</w:t>
            </w:r>
            <w:r w:rsidR="00493FA5" w:rsidRPr="000939E3">
              <w:rPr>
                <w:rStyle w:val="Bodytext295pt"/>
              </w:rPr>
              <w:t>C</w:t>
            </w:r>
            <w:r w:rsidRPr="000939E3">
              <w:rPr>
                <w:rStyle w:val="Bodytext295pt"/>
              </w:rPr>
              <w:t>)</w:t>
            </w:r>
          </w:p>
        </w:tc>
      </w:tr>
      <w:tr w:rsidR="007826D9" w:rsidRPr="000939E3" w14:paraId="7CB4FEF0" w14:textId="77777777" w:rsidTr="00F42FFA">
        <w:tc>
          <w:tcPr>
            <w:tcW w:w="4300" w:type="dxa"/>
            <w:tcBorders>
              <w:top w:val="single" w:sz="4" w:space="0" w:color="auto"/>
              <w:bottom w:val="single" w:sz="4" w:space="0" w:color="auto"/>
            </w:tcBorders>
          </w:tcPr>
          <w:p w14:paraId="743471FF" w14:textId="0DE44B42" w:rsidR="007826D9" w:rsidRPr="000939E3" w:rsidRDefault="00F42FFA" w:rsidP="009E4C15">
            <w:pPr>
              <w:spacing w:after="0"/>
              <w:ind w:left="-108"/>
            </w:pPr>
            <w:r w:rsidRPr="000939E3">
              <w:rPr>
                <w:noProof/>
                <w:lang w:eastAsia="sk-SK"/>
              </w:rPr>
              <w:drawing>
                <wp:inline distT="0" distB="0" distL="0" distR="0" wp14:anchorId="0A27E897" wp14:editId="484BF7EC">
                  <wp:extent cx="2636196" cy="2675107"/>
                  <wp:effectExtent l="0" t="0" r="0" b="0"/>
                  <wp:docPr id="251" name="Graf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22" w:type="dxa"/>
          </w:tcPr>
          <w:p w14:paraId="1B063288" w14:textId="77777777" w:rsidR="007826D9" w:rsidRPr="000939E3" w:rsidRDefault="007826D9" w:rsidP="00193FC8">
            <w:pPr>
              <w:keepNext/>
              <w:spacing w:after="0"/>
              <w:rPr>
                <w:noProof/>
                <w:lang w:eastAsia="sk-SK"/>
              </w:rPr>
            </w:pPr>
          </w:p>
        </w:tc>
        <w:tc>
          <w:tcPr>
            <w:tcW w:w="4550" w:type="dxa"/>
            <w:tcBorders>
              <w:top w:val="single" w:sz="4" w:space="0" w:color="auto"/>
              <w:bottom w:val="single" w:sz="4" w:space="0" w:color="auto"/>
            </w:tcBorders>
          </w:tcPr>
          <w:p w14:paraId="57CD5EA7" w14:textId="1737157F" w:rsidR="007826D9" w:rsidRPr="000939E3" w:rsidRDefault="00F42FFA" w:rsidP="009E4C15">
            <w:pPr>
              <w:spacing w:after="0"/>
              <w:ind w:left="-170"/>
              <w:rPr>
                <w:noProof/>
                <w:lang w:eastAsia="sk-SK"/>
              </w:rPr>
            </w:pPr>
            <w:r w:rsidRPr="000939E3">
              <w:rPr>
                <w:noProof/>
                <w:lang w:eastAsia="sk-SK"/>
              </w:rPr>
              <w:drawing>
                <wp:inline distT="0" distB="0" distL="0" distR="0" wp14:anchorId="37406801" wp14:editId="2D163715">
                  <wp:extent cx="2966936" cy="2674620"/>
                  <wp:effectExtent l="0" t="0" r="5080" b="0"/>
                  <wp:docPr id="253" name="Graf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7826D9" w:rsidRPr="000939E3" w14:paraId="57CE5E74" w14:textId="77777777" w:rsidTr="00F42FFA">
        <w:tc>
          <w:tcPr>
            <w:tcW w:w="4300" w:type="dxa"/>
            <w:tcBorders>
              <w:top w:val="single" w:sz="4" w:space="0" w:color="auto"/>
            </w:tcBorders>
          </w:tcPr>
          <w:p w14:paraId="46A527F6" w14:textId="09846592" w:rsidR="007826D9" w:rsidRPr="000939E3" w:rsidRDefault="00A6079D" w:rsidP="009E4C15">
            <w:pPr>
              <w:spacing w:after="0"/>
              <w:jc w:val="right"/>
              <w:rPr>
                <w:i/>
                <w:sz w:val="18"/>
              </w:rPr>
            </w:pPr>
            <w:r w:rsidRPr="000939E3">
              <w:rPr>
                <w:i/>
                <w:sz w:val="18"/>
              </w:rPr>
              <w:t xml:space="preserve">Zdroj: Eurostat, Národné účty, MF SR; </w:t>
            </w:r>
            <w:r w:rsidRPr="000939E3">
              <w:rPr>
                <w:rStyle w:val="Jemnodkaz"/>
                <w:rFonts w:eastAsiaTheme="minorHAnsi"/>
              </w:rPr>
              <w:t>prepočty ÚHP</w:t>
            </w:r>
          </w:p>
        </w:tc>
        <w:tc>
          <w:tcPr>
            <w:tcW w:w="222" w:type="dxa"/>
          </w:tcPr>
          <w:p w14:paraId="48FADC10" w14:textId="77777777" w:rsidR="007826D9" w:rsidRPr="000939E3" w:rsidRDefault="007826D9" w:rsidP="009E4C15">
            <w:pPr>
              <w:spacing w:after="0"/>
              <w:jc w:val="right"/>
              <w:rPr>
                <w:i/>
                <w:sz w:val="18"/>
              </w:rPr>
            </w:pPr>
          </w:p>
        </w:tc>
        <w:tc>
          <w:tcPr>
            <w:tcW w:w="4550" w:type="dxa"/>
            <w:tcBorders>
              <w:top w:val="single" w:sz="4" w:space="0" w:color="auto"/>
            </w:tcBorders>
          </w:tcPr>
          <w:p w14:paraId="5AD92787" w14:textId="76708F58" w:rsidR="007826D9" w:rsidRPr="000939E3" w:rsidRDefault="00A6079D" w:rsidP="00020C45">
            <w:pPr>
              <w:keepNext/>
              <w:spacing w:after="0"/>
              <w:jc w:val="right"/>
              <w:rPr>
                <w:i/>
                <w:sz w:val="18"/>
              </w:rPr>
            </w:pPr>
            <w:r w:rsidRPr="000939E3">
              <w:rPr>
                <w:rStyle w:val="Jemnodkaz"/>
                <w:rFonts w:eastAsiaTheme="minorHAnsi"/>
              </w:rPr>
              <w:t>Zdroj: Eurostat - databáza AMECO, MF SR</w:t>
            </w:r>
          </w:p>
        </w:tc>
      </w:tr>
    </w:tbl>
    <w:p w14:paraId="2D868064" w14:textId="053F77EA" w:rsidR="00534601" w:rsidRPr="000939E3" w:rsidRDefault="00825B89" w:rsidP="00A6079D">
      <w:pPr>
        <w:spacing w:before="240"/>
      </w:pPr>
      <w:r w:rsidRPr="000939E3">
        <w:rPr>
          <w:b/>
        </w:rPr>
        <w:t xml:space="preserve">Pre absenciu presvedčivých </w:t>
      </w:r>
      <w:r w:rsidR="00495E4B" w:rsidRPr="000939E3">
        <w:rPr>
          <w:b/>
        </w:rPr>
        <w:t>spôsob</w:t>
      </w:r>
      <w:r w:rsidRPr="000939E3">
        <w:rPr>
          <w:b/>
        </w:rPr>
        <w:t>ov</w:t>
      </w:r>
      <w:r w:rsidR="00495E4B" w:rsidRPr="000939E3">
        <w:rPr>
          <w:b/>
        </w:rPr>
        <w:t xml:space="preserve"> </w:t>
      </w:r>
      <w:r w:rsidRPr="000939E3">
        <w:rPr>
          <w:b/>
        </w:rPr>
        <w:t xml:space="preserve">merania produktivity </w:t>
      </w:r>
      <w:r w:rsidR="00495E4B" w:rsidRPr="000939E3">
        <w:rPr>
          <w:b/>
        </w:rPr>
        <w:t xml:space="preserve">celého </w:t>
      </w:r>
      <w:r w:rsidR="00C21A69" w:rsidRPr="000939E3">
        <w:rPr>
          <w:b/>
        </w:rPr>
        <w:t>verejn</w:t>
      </w:r>
      <w:r w:rsidR="00495E4B" w:rsidRPr="000939E3">
        <w:rPr>
          <w:b/>
        </w:rPr>
        <w:t>ého</w:t>
      </w:r>
      <w:r w:rsidR="00C21A69" w:rsidRPr="000939E3">
        <w:rPr>
          <w:b/>
        </w:rPr>
        <w:t xml:space="preserve"> sekto</w:t>
      </w:r>
      <w:r w:rsidR="00495E4B" w:rsidRPr="000939E3">
        <w:rPr>
          <w:b/>
        </w:rPr>
        <w:t>ra</w:t>
      </w:r>
      <w:r w:rsidR="00224648" w:rsidRPr="000939E3">
        <w:rPr>
          <w:b/>
        </w:rPr>
        <w:t xml:space="preserve"> sa revízia zameriava </w:t>
      </w:r>
      <w:r w:rsidRPr="000939E3">
        <w:rPr>
          <w:b/>
        </w:rPr>
        <w:t xml:space="preserve">na analýzu vstupov – miezd a zamestnanosti. </w:t>
      </w:r>
      <w:r w:rsidR="009B70EA" w:rsidRPr="000939E3">
        <w:t>Väčšina prístupov merania efek</w:t>
      </w:r>
      <w:r w:rsidR="00224648" w:rsidRPr="000939E3">
        <w:t>tivity vo svete sa zameriava na </w:t>
      </w:r>
      <w:r w:rsidR="009B70EA" w:rsidRPr="000939E3">
        <w:t>prínosy v odvetviach ako školstvo a zdravotníctvo, v ktorých existujú dlhodobo sledované a medzinárodne porovnateľné ukazovatele. Aj vo Veľkej Británii, ktorá má s meraním produktivity dlhodobú skúsenosť, zaraďujú napríklad štátnu administratívu, obranu či kultúru medzi sektory, ktorých produktivita sa merať nedá (</w:t>
      </w:r>
      <w:r w:rsidR="009B70EA" w:rsidRPr="000939E3">
        <w:fldChar w:fldCharType="begin"/>
      </w:r>
      <w:r w:rsidR="009B70EA" w:rsidRPr="000939E3">
        <w:instrText xml:space="preserve"> REF _Ref531096419 \h </w:instrText>
      </w:r>
      <w:r w:rsidR="00FD635B" w:rsidRPr="000939E3">
        <w:instrText xml:space="preserve"> \* MERGEFORMAT </w:instrText>
      </w:r>
      <w:r w:rsidR="009B70EA" w:rsidRPr="000939E3">
        <w:fldChar w:fldCharType="separate"/>
      </w:r>
      <w:r w:rsidR="00BF69CA" w:rsidRPr="000939E3">
        <w:t xml:space="preserve">Box </w:t>
      </w:r>
      <w:r w:rsidR="00BF69CA">
        <w:rPr>
          <w:noProof/>
        </w:rPr>
        <w:t>2</w:t>
      </w:r>
      <w:r w:rsidR="009B70EA" w:rsidRPr="000939E3">
        <w:fldChar w:fldCharType="end"/>
      </w:r>
      <w:r w:rsidR="009B70EA" w:rsidRPr="000939E3">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062"/>
      </w:tblGrid>
      <w:tr w:rsidR="005368F3" w:rsidRPr="000939E3" w14:paraId="148CFA5B" w14:textId="77777777" w:rsidTr="0040330D">
        <w:trPr>
          <w:trHeight w:val="1285"/>
        </w:trPr>
        <w:tc>
          <w:tcPr>
            <w:tcW w:w="9062" w:type="dxa"/>
            <w:shd w:val="clear" w:color="auto" w:fill="BDD6EE" w:themeFill="accent1" w:themeFillTint="66"/>
          </w:tcPr>
          <w:p w14:paraId="1BF858F1" w14:textId="22670372" w:rsidR="005368F3" w:rsidRPr="000939E3" w:rsidRDefault="005368F3" w:rsidP="006876CD">
            <w:pPr>
              <w:pStyle w:val="Popis"/>
              <w:spacing w:after="240"/>
              <w:rPr>
                <w:b w:val="0"/>
                <w:sz w:val="22"/>
              </w:rPr>
            </w:pPr>
            <w:bookmarkStart w:id="50" w:name="_Ref531096419"/>
            <w:r w:rsidRPr="000939E3">
              <w:rPr>
                <w:sz w:val="22"/>
              </w:rPr>
              <w:t xml:space="preserve">Box </w:t>
            </w:r>
            <w:r w:rsidRPr="000939E3">
              <w:rPr>
                <w:sz w:val="22"/>
              </w:rPr>
              <w:fldChar w:fldCharType="begin"/>
            </w:r>
            <w:r w:rsidRPr="000939E3">
              <w:rPr>
                <w:sz w:val="22"/>
              </w:rPr>
              <w:instrText xml:space="preserve"> SEQ Box \* ARABIC </w:instrText>
            </w:r>
            <w:r w:rsidRPr="000939E3">
              <w:rPr>
                <w:sz w:val="22"/>
              </w:rPr>
              <w:fldChar w:fldCharType="separate"/>
            </w:r>
            <w:r w:rsidR="00BF69CA">
              <w:rPr>
                <w:noProof/>
                <w:sz w:val="22"/>
              </w:rPr>
              <w:t>2</w:t>
            </w:r>
            <w:r w:rsidRPr="000939E3">
              <w:rPr>
                <w:sz w:val="22"/>
              </w:rPr>
              <w:fldChar w:fldCharType="end"/>
            </w:r>
            <w:bookmarkEnd w:id="50"/>
            <w:r w:rsidRPr="000939E3">
              <w:rPr>
                <w:sz w:val="22"/>
              </w:rPr>
              <w:t>: Meranie produktivity verejného sektora</w:t>
            </w:r>
            <w:r w:rsidR="00C00908" w:rsidRPr="000939E3">
              <w:rPr>
                <w:sz w:val="22"/>
              </w:rPr>
              <w:t xml:space="preserve"> vo Veľkej Británii</w:t>
            </w:r>
          </w:p>
          <w:p w14:paraId="2178DC83" w14:textId="77654923" w:rsidR="005368F3" w:rsidRPr="000939E3" w:rsidRDefault="005368F3" w:rsidP="005368F3">
            <w:r w:rsidRPr="000939E3">
              <w:t xml:space="preserve">Britský štatistický úrad (ONS) sa </w:t>
            </w:r>
            <w:r w:rsidR="00C00908" w:rsidRPr="000939E3">
              <w:t>meraniu produktivity verejného sektora</w:t>
            </w:r>
            <w:r w:rsidRPr="000939E3">
              <w:t xml:space="preserve"> venuje dlhodobo a výsledky každoročne zverejňuje v publikácii Odhad produktivity verejného sektora (Office for National Statistics, 2015). </w:t>
            </w:r>
          </w:p>
          <w:p w14:paraId="34B04197" w14:textId="6A498358" w:rsidR="005368F3" w:rsidRPr="000939E3" w:rsidRDefault="00C00908" w:rsidP="005368F3">
            <w:pPr>
              <w:rPr>
                <w:b/>
              </w:rPr>
            </w:pPr>
            <w:r w:rsidRPr="000939E3">
              <w:rPr>
                <w:b/>
              </w:rPr>
              <w:t>ONS n</w:t>
            </w:r>
            <w:r w:rsidR="005368F3" w:rsidRPr="000939E3">
              <w:rPr>
                <w:b/>
              </w:rPr>
              <w:t>emeria produktivitu zamestnancov, ale celého sektora.</w:t>
            </w:r>
            <w:r w:rsidR="005368F3" w:rsidRPr="000939E3">
              <w:t xml:space="preserve"> Dôvodom je jednoduchá nahraditeľnosť nákladov na zamestnancov za tovary a služby alebo spotrebu fixného kapitálu. Súčasne ani ONS nevie povedať, </w:t>
            </w:r>
            <w:r w:rsidR="005368F3" w:rsidRPr="000939E3">
              <w:lastRenderedPageBreak/>
              <w:t>nakoľko je každá z oblastí efektívna</w:t>
            </w:r>
            <w:r w:rsidR="00ED37DE" w:rsidRPr="000939E3">
              <w:t>. M</w:t>
            </w:r>
            <w:r w:rsidR="005368F3" w:rsidRPr="000939E3">
              <w:t>eria iba zmenu</w:t>
            </w:r>
            <w:r w:rsidR="00ED37DE" w:rsidRPr="000939E3">
              <w:t xml:space="preserve"> produktivity</w:t>
            </w:r>
            <w:r w:rsidR="005368F3" w:rsidRPr="000939E3">
              <w:t xml:space="preserve"> oproti predchádzajúcemu roku, teda rast výstupov v pomere ku rastu vstupov. Každý rok tak vie povedať, či sa sektor oproti minulému roku zlepšil alebo zhoršil, avšak nie, či je celkovo efektívnejší ako iný sektor. Zmena celkovej produktivity verejného sektora je potom vážený súčet zmien v jednotlivých sektoroch.</w:t>
            </w:r>
          </w:p>
          <w:p w14:paraId="68D119F1" w14:textId="3F571B67" w:rsidR="005368F3" w:rsidRPr="000939E3" w:rsidRDefault="005368F3" w:rsidP="005368F3">
            <w:r w:rsidRPr="000939E3">
              <w:rPr>
                <w:b/>
              </w:rPr>
              <w:t xml:space="preserve">Pre približne 47 % verejných služieb ONS popri kvantite zohľadňuje aj kvalitu výstupov. </w:t>
            </w:r>
            <w:r w:rsidRPr="000939E3">
              <w:t>Ide najmä o sektory školstva a zdravotníctva, kde zohľadňuje aj dosiahnuté výsledky študentov v celoštátnych testoch, či očakávanú dobu dožitia a dĺžku čakacích listín. Približne 17 % výdavkov zaraďuje ONS medzi tie, kde stačí posúdiť objem výstupov – sem zaraďuje napríklad správu sociálneho zabezpečenia či sociálnu starostlivosť.</w:t>
            </w:r>
          </w:p>
          <w:p w14:paraId="38DD1575" w14:textId="0BC324A0" w:rsidR="005368F3" w:rsidRPr="000939E3" w:rsidRDefault="005368F3" w:rsidP="005368F3">
            <w:pPr>
              <w:keepNext/>
              <w:rPr>
                <w:b/>
              </w:rPr>
            </w:pPr>
            <w:r w:rsidRPr="000939E3">
              <w:rPr>
                <w:b/>
              </w:rPr>
              <w:t>Ani ONS nedokáže odmerať objem výstupov pre všetky sektory.</w:t>
            </w:r>
            <w:r w:rsidRPr="000939E3">
              <w:t xml:space="preserve"> Vyše tretin</w:t>
            </w:r>
            <w:r w:rsidR="00ED37DE" w:rsidRPr="000939E3">
              <w:t>u</w:t>
            </w:r>
            <w:r w:rsidRPr="000939E3">
              <w:t xml:space="preserve"> britských verejných výdavkov zaraďuje do kategórie, pri ktorej sa výstupy odmerať nedajú. Zaraďuje tam napríklad políciu, obranu, kultúru alebo štátnu administratívu. Pri týchto oblastiach predpokladá, že výstupy sú proporcionálne vstupom a ich produktivita ostáva konštantná.</w:t>
            </w:r>
          </w:p>
        </w:tc>
      </w:tr>
    </w:tbl>
    <w:p w14:paraId="7F6D2828" w14:textId="77777777" w:rsidR="00853B07" w:rsidRPr="000939E3" w:rsidRDefault="001B2AB8" w:rsidP="00853B07">
      <w:pPr>
        <w:pStyle w:val="Nadpis2"/>
      </w:pPr>
      <w:bookmarkStart w:id="51" w:name="_Toc526966626"/>
      <w:bookmarkStart w:id="52" w:name="_Toc34050694"/>
      <w:bookmarkEnd w:id="51"/>
      <w:r w:rsidRPr="000939E3">
        <w:lastRenderedPageBreak/>
        <w:t>Š</w:t>
      </w:r>
      <w:r w:rsidR="00853B07" w:rsidRPr="000939E3">
        <w:t>truktúra verejnej zamestnanosti</w:t>
      </w:r>
      <w:bookmarkEnd w:id="52"/>
      <w:r w:rsidR="00853B07" w:rsidRPr="000939E3">
        <w:t xml:space="preserve"> </w:t>
      </w:r>
    </w:p>
    <w:p w14:paraId="3D4D7410" w14:textId="7DBACD43" w:rsidR="0066357B" w:rsidRPr="000939E3" w:rsidRDefault="007F3839" w:rsidP="0066357B">
      <w:r w:rsidRPr="000939E3">
        <w:rPr>
          <w:b/>
        </w:rPr>
        <w:t xml:space="preserve">V roku </w:t>
      </w:r>
      <w:r w:rsidR="00E85803" w:rsidRPr="000939E3">
        <w:rPr>
          <w:b/>
        </w:rPr>
        <w:t xml:space="preserve">2018 </w:t>
      </w:r>
      <w:r w:rsidRPr="000939E3">
        <w:rPr>
          <w:b/>
        </w:rPr>
        <w:t xml:space="preserve">pracovalo v sektore verejnej správy viac ako </w:t>
      </w:r>
      <w:r w:rsidR="00E85803" w:rsidRPr="000939E3">
        <w:rPr>
          <w:b/>
        </w:rPr>
        <w:t>416</w:t>
      </w:r>
      <w:r w:rsidR="00BF38DB" w:rsidRPr="000939E3">
        <w:rPr>
          <w:b/>
        </w:rPr>
        <w:t>-</w:t>
      </w:r>
      <w:r w:rsidRPr="000939E3">
        <w:rPr>
          <w:b/>
        </w:rPr>
        <w:t>tis. osôb</w:t>
      </w:r>
      <w:r w:rsidRPr="000939E3">
        <w:t xml:space="preserve">, </w:t>
      </w:r>
      <w:r w:rsidR="00E85803" w:rsidRPr="000939E3">
        <w:t xml:space="preserve">52 </w:t>
      </w:r>
      <w:r w:rsidRPr="000939E3">
        <w:t xml:space="preserve">% z nich </w:t>
      </w:r>
      <w:r w:rsidR="00DE2FC0" w:rsidRPr="000939E3">
        <w:t xml:space="preserve">v ústrednej štátnej správe </w:t>
      </w:r>
      <w:r w:rsidRPr="000939E3">
        <w:t>vrátane štátnych podnikov</w:t>
      </w:r>
      <w:r w:rsidR="008B6243" w:rsidRPr="000939E3">
        <w:t xml:space="preserve"> v sektore verejnej správy</w:t>
      </w:r>
      <w:r w:rsidRPr="000939E3">
        <w:t xml:space="preserve"> a vysokých škôl. Samosprávy zamestnáva</w:t>
      </w:r>
      <w:r w:rsidR="00EE5136" w:rsidRPr="000939E3">
        <w:t>jú</w:t>
      </w:r>
      <w:r w:rsidR="00FC0742" w:rsidRPr="000939E3">
        <w:t xml:space="preserve"> 46 </w:t>
      </w:r>
      <w:r w:rsidRPr="000939E3">
        <w:t>% zamestnancov štátu</w:t>
      </w:r>
      <w:r w:rsidR="004F22F5" w:rsidRPr="000939E3">
        <w:rPr>
          <w:rStyle w:val="Odkaznapoznmkupodiarou"/>
        </w:rPr>
        <w:footnoteReference w:id="27"/>
      </w:r>
      <w:r w:rsidR="00AA4BD0" w:rsidRPr="000939E3">
        <w:t>, z toho veľkú časť predstavuje regionálne školstvo</w:t>
      </w:r>
      <w:r w:rsidRPr="000939E3">
        <w:t xml:space="preserve">. </w:t>
      </w:r>
      <w:r w:rsidR="006B2913" w:rsidRPr="000939E3">
        <w:t>Zvyšných zamestnávajú fondy zdravotného a sociálneho zabezpečenia</w:t>
      </w:r>
      <w:r w:rsidR="000228AE" w:rsidRPr="000939E3">
        <w:t xml:space="preserve"> (Box </w:t>
      </w:r>
      <w:r w:rsidR="009C6DDF" w:rsidRPr="000939E3">
        <w:t>3</w:t>
      </w:r>
      <w:r w:rsidR="000228AE" w:rsidRPr="000939E3">
        <w:t>)</w:t>
      </w:r>
      <w:r w:rsidR="006B2913" w:rsidRPr="000939E3">
        <w:t xml:space="preserve">. </w:t>
      </w:r>
    </w:p>
    <w:tbl>
      <w:tblPr>
        <w:tblStyle w:val="UHPGRAF"/>
        <w:tblW w:w="0" w:type="auto"/>
        <w:tblLook w:val="04A0" w:firstRow="1" w:lastRow="0" w:firstColumn="1" w:lastColumn="0" w:noHBand="0" w:noVBand="1"/>
      </w:tblPr>
      <w:tblGrid>
        <w:gridCol w:w="4579"/>
        <w:gridCol w:w="222"/>
        <w:gridCol w:w="2737"/>
        <w:gridCol w:w="1534"/>
      </w:tblGrid>
      <w:tr w:rsidR="0066357B" w:rsidRPr="000939E3" w14:paraId="28D16439" w14:textId="77777777" w:rsidTr="00AA00E7">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4389" w:type="dxa"/>
          </w:tcPr>
          <w:p w14:paraId="0FCB6C39" w14:textId="77777777" w:rsidR="00D25C5A" w:rsidRDefault="0066357B" w:rsidP="00E376A4">
            <w:pPr>
              <w:keepNext/>
              <w:spacing w:after="0"/>
              <w:jc w:val="left"/>
              <w:rPr>
                <w:lang w:val="sk-SK"/>
              </w:rPr>
            </w:pPr>
            <w:bookmarkStart w:id="53" w:name="_Ref531355549"/>
            <w:bookmarkStart w:id="54" w:name="_Toc34226878"/>
            <w:r w:rsidRPr="000939E3">
              <w:rPr>
                <w:lang w:val="sk-SK"/>
              </w:rPr>
              <w:t xml:space="preserve">Graf </w:t>
            </w:r>
            <w:r w:rsidR="000B0EF7" w:rsidRPr="000939E3">
              <w:fldChar w:fldCharType="begin"/>
            </w:r>
            <w:r w:rsidR="000B0EF7" w:rsidRPr="000939E3">
              <w:rPr>
                <w:lang w:val="sk-SK"/>
              </w:rPr>
              <w:instrText xml:space="preserve"> SEQ Graf \* ARABIC </w:instrText>
            </w:r>
            <w:r w:rsidR="000B0EF7" w:rsidRPr="000939E3">
              <w:fldChar w:fldCharType="separate"/>
            </w:r>
            <w:r w:rsidR="00BF69CA">
              <w:rPr>
                <w:noProof/>
                <w:lang w:val="sk-SK"/>
              </w:rPr>
              <w:t>7</w:t>
            </w:r>
            <w:r w:rsidR="000B0EF7" w:rsidRPr="000939E3">
              <w:fldChar w:fldCharType="end"/>
            </w:r>
            <w:bookmarkEnd w:id="53"/>
            <w:r w:rsidR="005D40D7" w:rsidRPr="000939E3">
              <w:rPr>
                <w:lang w:val="sk-SK"/>
              </w:rPr>
              <w:t>:</w:t>
            </w:r>
            <w:r w:rsidRPr="000939E3">
              <w:rPr>
                <w:lang w:val="sk-SK"/>
              </w:rPr>
              <w:t xml:space="preserve"> Absolútna (v tis. zam.) a relatívna zmena</w:t>
            </w:r>
            <w:bookmarkEnd w:id="54"/>
            <w:r w:rsidRPr="000939E3">
              <w:rPr>
                <w:lang w:val="sk-SK"/>
              </w:rPr>
              <w:t xml:space="preserve"> </w:t>
            </w:r>
          </w:p>
          <w:p w14:paraId="5F6A5D22" w14:textId="0A0383C7" w:rsidR="0066357B" w:rsidRPr="000939E3" w:rsidRDefault="0066357B" w:rsidP="00E376A4">
            <w:pPr>
              <w:keepNext/>
              <w:spacing w:after="0"/>
              <w:jc w:val="left"/>
              <w:rPr>
                <w:lang w:val="sk-SK"/>
              </w:rPr>
            </w:pPr>
            <w:r w:rsidRPr="000939E3">
              <w:rPr>
                <w:lang w:val="sk-SK"/>
              </w:rPr>
              <w:t>v štruktúre zamestnanosti v sektore verejnej správy</w:t>
            </w:r>
          </w:p>
        </w:tc>
        <w:tc>
          <w:tcPr>
            <w:tcW w:w="222" w:type="dxa"/>
            <w:tcBorders>
              <w:bottom w:val="nil"/>
            </w:tcBorders>
          </w:tcPr>
          <w:p w14:paraId="0E83BA98" w14:textId="77777777" w:rsidR="0066357B" w:rsidRPr="000939E3" w:rsidRDefault="0066357B" w:rsidP="00DB6AA0">
            <w:pPr>
              <w:keepNext/>
              <w:spacing w:after="0"/>
              <w:cnfStyle w:val="100000000000" w:firstRow="1" w:lastRow="0" w:firstColumn="0" w:lastColumn="0" w:oddVBand="0" w:evenVBand="0" w:oddHBand="0" w:evenHBand="0" w:firstRowFirstColumn="0" w:firstRowLastColumn="0" w:lastRowFirstColumn="0" w:lastRowLastColumn="0"/>
              <w:rPr>
                <w:lang w:val="sk-SK"/>
              </w:rPr>
            </w:pPr>
          </w:p>
        </w:tc>
        <w:tc>
          <w:tcPr>
            <w:tcW w:w="4461" w:type="dxa"/>
            <w:gridSpan w:val="2"/>
          </w:tcPr>
          <w:p w14:paraId="0892124E" w14:textId="77777777" w:rsidR="00D25C5A" w:rsidRDefault="00FF65F2" w:rsidP="00B90E5D">
            <w:pPr>
              <w:keepNext/>
              <w:spacing w:after="0"/>
              <w:jc w:val="left"/>
              <w:cnfStyle w:val="100000000000" w:firstRow="1" w:lastRow="0" w:firstColumn="0" w:lastColumn="0" w:oddVBand="0" w:evenVBand="0" w:oddHBand="0" w:evenHBand="0" w:firstRowFirstColumn="0" w:firstRowLastColumn="0" w:lastRowFirstColumn="0" w:lastRowLastColumn="0"/>
              <w:rPr>
                <w:lang w:val="sk-SK"/>
              </w:rPr>
            </w:pPr>
            <w:bookmarkStart w:id="55" w:name="_Ref4062129"/>
            <w:bookmarkStart w:id="56" w:name="_Toc34226879"/>
            <w:r w:rsidRPr="000939E3">
              <w:rPr>
                <w:lang w:val="sk-SK"/>
              </w:rPr>
              <w:t xml:space="preserve">Graf </w:t>
            </w:r>
            <w:r w:rsidRPr="000939E3">
              <w:fldChar w:fldCharType="begin"/>
            </w:r>
            <w:r w:rsidRPr="000939E3">
              <w:rPr>
                <w:lang w:val="sk-SK"/>
              </w:rPr>
              <w:instrText xml:space="preserve"> SEQ Graf \* ARABIC </w:instrText>
            </w:r>
            <w:r w:rsidRPr="000939E3">
              <w:fldChar w:fldCharType="separate"/>
            </w:r>
            <w:r w:rsidR="00BF69CA">
              <w:rPr>
                <w:noProof/>
                <w:lang w:val="sk-SK"/>
              </w:rPr>
              <w:t>8</w:t>
            </w:r>
            <w:r w:rsidRPr="000939E3">
              <w:fldChar w:fldCharType="end"/>
            </w:r>
            <w:bookmarkEnd w:id="55"/>
            <w:r w:rsidRPr="000939E3">
              <w:rPr>
                <w:lang w:val="sk-SK"/>
              </w:rPr>
              <w:t>: Počet zamestnancov verejnej správy</w:t>
            </w:r>
            <w:bookmarkEnd w:id="56"/>
            <w:r w:rsidR="00B90E5D" w:rsidRPr="000939E3">
              <w:rPr>
                <w:lang w:val="sk-SK"/>
              </w:rPr>
              <w:t xml:space="preserve"> </w:t>
            </w:r>
          </w:p>
          <w:p w14:paraId="6E9A1981" w14:textId="66D4E112" w:rsidR="0066357B" w:rsidRPr="000939E3" w:rsidRDefault="00B90E5D" w:rsidP="00B90E5D">
            <w:pPr>
              <w:keepNext/>
              <w:spacing w:after="0"/>
              <w:jc w:val="left"/>
              <w:cnfStyle w:val="100000000000" w:firstRow="1" w:lastRow="0" w:firstColumn="0" w:lastColumn="0" w:oddVBand="0" w:evenVBand="0" w:oddHBand="0" w:evenHBand="0" w:firstRowFirstColumn="0" w:firstRowLastColumn="0" w:lastRowFirstColumn="0" w:lastRowLastColumn="0"/>
              <w:rPr>
                <w:lang w:val="sk-SK"/>
              </w:rPr>
            </w:pPr>
            <w:r w:rsidRPr="000939E3">
              <w:rPr>
                <w:lang w:val="sk-SK"/>
              </w:rPr>
              <w:t>(v tis. zamestnancov; 2018)</w:t>
            </w:r>
            <w:r w:rsidR="00FF65F2" w:rsidRPr="000939E3">
              <w:rPr>
                <w:lang w:val="sk-SK"/>
              </w:rPr>
              <w:t xml:space="preserve"> </w:t>
            </w:r>
          </w:p>
        </w:tc>
      </w:tr>
      <w:tr w:rsidR="0066357B" w:rsidRPr="000939E3" w14:paraId="15E36F00" w14:textId="77777777" w:rsidTr="00AA00E7">
        <w:trPr>
          <w:trHeight w:val="4243"/>
        </w:trPr>
        <w:tc>
          <w:tcPr>
            <w:cnfStyle w:val="001000000000" w:firstRow="0" w:lastRow="0" w:firstColumn="1" w:lastColumn="0" w:oddVBand="0" w:evenVBand="0" w:oddHBand="0" w:evenHBand="0" w:firstRowFirstColumn="0" w:firstRowLastColumn="0" w:lastRowFirstColumn="0" w:lastRowLastColumn="0"/>
            <w:tcW w:w="4389" w:type="dxa"/>
            <w:tcBorders>
              <w:bottom w:val="single" w:sz="4" w:space="0" w:color="auto"/>
            </w:tcBorders>
          </w:tcPr>
          <w:p w14:paraId="03FEAA04" w14:textId="11412F95" w:rsidR="0066357B" w:rsidRPr="000939E3" w:rsidRDefault="00AA00E7" w:rsidP="00DD5689">
            <w:pPr>
              <w:spacing w:after="0"/>
              <w:ind w:left="-108"/>
              <w:rPr>
                <w:lang w:val="sk-SK"/>
              </w:rPr>
            </w:pPr>
            <w:r w:rsidRPr="000939E3">
              <w:rPr>
                <w:noProof/>
                <w:sz w:val="16"/>
              </w:rPr>
              <w:drawing>
                <wp:inline distT="0" distB="0" distL="0" distR="0" wp14:anchorId="0CCB2253" wp14:editId="074C1EC2">
                  <wp:extent cx="2876550" cy="321945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22" w:type="dxa"/>
            <w:tcBorders>
              <w:top w:val="nil"/>
              <w:bottom w:val="nil"/>
            </w:tcBorders>
          </w:tcPr>
          <w:p w14:paraId="5BCCFD9E" w14:textId="77777777" w:rsidR="0066357B" w:rsidRPr="000939E3" w:rsidRDefault="0066357B" w:rsidP="00ED4022">
            <w:pPr>
              <w:spacing w:after="0"/>
              <w:cnfStyle w:val="000000000000" w:firstRow="0" w:lastRow="0" w:firstColumn="0" w:lastColumn="0" w:oddVBand="0" w:evenVBand="0" w:oddHBand="0" w:evenHBand="0" w:firstRowFirstColumn="0" w:firstRowLastColumn="0" w:lastRowFirstColumn="0" w:lastRowLastColumn="0"/>
              <w:rPr>
                <w:noProof/>
                <w:lang w:val="sk-SK"/>
              </w:rPr>
            </w:pPr>
          </w:p>
        </w:tc>
        <w:tc>
          <w:tcPr>
            <w:tcW w:w="4461" w:type="dxa"/>
            <w:gridSpan w:val="2"/>
            <w:tcBorders>
              <w:bottom w:val="single" w:sz="4" w:space="0" w:color="auto"/>
            </w:tcBorders>
          </w:tcPr>
          <w:p w14:paraId="622A9001" w14:textId="746A0D7E" w:rsidR="0066357B" w:rsidRPr="000939E3" w:rsidRDefault="0041304A" w:rsidP="00DD5689">
            <w:pPr>
              <w:spacing w:after="0"/>
              <w:ind w:left="-138"/>
              <w:cnfStyle w:val="000000000000" w:firstRow="0" w:lastRow="0" w:firstColumn="0" w:lastColumn="0" w:oddVBand="0" w:evenVBand="0" w:oddHBand="0" w:evenHBand="0" w:firstRowFirstColumn="0" w:firstRowLastColumn="0" w:lastRowFirstColumn="0" w:lastRowLastColumn="0"/>
              <w:rPr>
                <w:noProof/>
                <w:sz w:val="16"/>
                <w:szCs w:val="16"/>
                <w:lang w:val="sk-SK"/>
              </w:rPr>
            </w:pPr>
            <w:r w:rsidRPr="000939E3">
              <w:rPr>
                <w:noProof/>
              </w:rPr>
              <w:drawing>
                <wp:inline distT="0" distB="0" distL="0" distR="0" wp14:anchorId="23949D60" wp14:editId="72CA7874">
                  <wp:extent cx="2695575" cy="312420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FF65F2" w:rsidRPr="000939E3" w14:paraId="18E779D0" w14:textId="77777777" w:rsidTr="00AA00E7">
        <w:tblPrEx>
          <w:tblCellMar>
            <w:left w:w="70" w:type="dxa"/>
            <w:right w:w="70" w:type="dxa"/>
          </w:tblCellMar>
        </w:tblPrEx>
        <w:trPr>
          <w:trHeight w:val="64"/>
        </w:trPr>
        <w:tc>
          <w:tcPr>
            <w:cnfStyle w:val="001000000000" w:firstRow="0" w:lastRow="0" w:firstColumn="1" w:lastColumn="0" w:oddVBand="0" w:evenVBand="0" w:oddHBand="0" w:evenHBand="0" w:firstRowFirstColumn="0" w:firstRowLastColumn="0" w:lastRowFirstColumn="0" w:lastRowLastColumn="0"/>
            <w:tcW w:w="4389" w:type="dxa"/>
            <w:tcBorders>
              <w:top w:val="single" w:sz="4" w:space="0" w:color="auto"/>
              <w:bottom w:val="nil"/>
            </w:tcBorders>
            <w:vAlign w:val="top"/>
          </w:tcPr>
          <w:p w14:paraId="51261769" w14:textId="6417D038" w:rsidR="00FF65F2" w:rsidRPr="000939E3" w:rsidRDefault="00FF65F2" w:rsidP="00E376A4">
            <w:pPr>
              <w:spacing w:after="0"/>
              <w:jc w:val="right"/>
              <w:rPr>
                <w:b w:val="0"/>
                <w:i/>
                <w:noProof/>
                <w:sz w:val="18"/>
                <w:lang w:val="sk-SK"/>
              </w:rPr>
            </w:pPr>
            <w:r w:rsidRPr="000939E3">
              <w:rPr>
                <w:b w:val="0"/>
                <w:i/>
                <w:sz w:val="18"/>
                <w:lang w:val="sk-SK"/>
              </w:rPr>
              <w:t>Zdroj: SRP MF SR, spracovanie ÚHP</w:t>
            </w:r>
          </w:p>
        </w:tc>
        <w:tc>
          <w:tcPr>
            <w:tcW w:w="222" w:type="dxa"/>
            <w:tcBorders>
              <w:top w:val="nil"/>
              <w:bottom w:val="nil"/>
            </w:tcBorders>
            <w:vAlign w:val="top"/>
          </w:tcPr>
          <w:p w14:paraId="3D5CEAC4" w14:textId="77777777" w:rsidR="00FF65F2" w:rsidRPr="000939E3" w:rsidRDefault="00FF65F2" w:rsidP="00E376A4">
            <w:pPr>
              <w:spacing w:after="0"/>
              <w:jc w:val="right"/>
              <w:cnfStyle w:val="000000000000" w:firstRow="0" w:lastRow="0" w:firstColumn="0" w:lastColumn="0" w:oddVBand="0" w:evenVBand="0" w:oddHBand="0" w:evenHBand="0" w:firstRowFirstColumn="0" w:firstRowLastColumn="0" w:lastRowFirstColumn="0" w:lastRowLastColumn="0"/>
              <w:rPr>
                <w:i/>
                <w:noProof/>
                <w:sz w:val="18"/>
                <w:lang w:val="sk-SK"/>
              </w:rPr>
            </w:pPr>
          </w:p>
        </w:tc>
        <w:tc>
          <w:tcPr>
            <w:tcW w:w="2771" w:type="dxa"/>
            <w:tcBorders>
              <w:top w:val="single" w:sz="4" w:space="0" w:color="auto"/>
              <w:bottom w:val="nil"/>
            </w:tcBorders>
            <w:vAlign w:val="top"/>
          </w:tcPr>
          <w:p w14:paraId="65587276" w14:textId="0D48D3A3" w:rsidR="00FF65F2" w:rsidRPr="000939E3" w:rsidRDefault="00FF65F2" w:rsidP="00E376A4">
            <w:pPr>
              <w:spacing w:after="0"/>
              <w:jc w:val="left"/>
              <w:cnfStyle w:val="000000000000" w:firstRow="0" w:lastRow="0" w:firstColumn="0" w:lastColumn="0" w:oddVBand="0" w:evenVBand="0" w:oddHBand="0" w:evenHBand="0" w:firstRowFirstColumn="0" w:firstRowLastColumn="0" w:lastRowFirstColumn="0" w:lastRowLastColumn="0"/>
              <w:rPr>
                <w:i/>
                <w:noProof/>
                <w:sz w:val="18"/>
                <w:lang w:val="sk-SK"/>
              </w:rPr>
            </w:pPr>
            <w:r w:rsidRPr="000939E3">
              <w:rPr>
                <w:i/>
                <w:sz w:val="18"/>
                <w:lang w:val="sk-SK"/>
              </w:rPr>
              <w:t>Pozn.: Vyznačená plocha zobrazuje profesie podľa osobitných predpisov.</w:t>
            </w:r>
          </w:p>
        </w:tc>
        <w:tc>
          <w:tcPr>
            <w:tcW w:w="1690" w:type="dxa"/>
            <w:tcBorders>
              <w:top w:val="single" w:sz="4" w:space="0" w:color="auto"/>
              <w:bottom w:val="nil"/>
            </w:tcBorders>
            <w:vAlign w:val="top"/>
          </w:tcPr>
          <w:p w14:paraId="30A72FF4" w14:textId="3DEBCE23" w:rsidR="00FF65F2" w:rsidRPr="000939E3" w:rsidRDefault="00FF65F2" w:rsidP="00E376A4">
            <w:pPr>
              <w:spacing w:after="0"/>
              <w:jc w:val="right"/>
              <w:cnfStyle w:val="000000000000" w:firstRow="0" w:lastRow="0" w:firstColumn="0" w:lastColumn="0" w:oddVBand="0" w:evenVBand="0" w:oddHBand="0" w:evenHBand="0" w:firstRowFirstColumn="0" w:firstRowLastColumn="0" w:lastRowFirstColumn="0" w:lastRowLastColumn="0"/>
              <w:rPr>
                <w:i/>
                <w:noProof/>
                <w:sz w:val="18"/>
                <w:lang w:val="sk-SK"/>
              </w:rPr>
            </w:pPr>
            <w:r w:rsidRPr="000939E3">
              <w:rPr>
                <w:i/>
                <w:sz w:val="18"/>
                <w:lang w:val="sk-SK"/>
              </w:rPr>
              <w:t>Zdroj: SRP MF SR, spracovanie ÚHP</w:t>
            </w:r>
          </w:p>
        </w:tc>
      </w:tr>
    </w:tbl>
    <w:p w14:paraId="7910E762" w14:textId="035ED860" w:rsidR="00DC4AA7" w:rsidRPr="000939E3" w:rsidRDefault="00DC4AA7" w:rsidP="00FC0742">
      <w:pPr>
        <w:spacing w:before="240"/>
        <w:rPr>
          <w:b/>
        </w:rPr>
      </w:pPr>
      <w:r w:rsidRPr="000939E3">
        <w:rPr>
          <w:b/>
        </w:rPr>
        <w:lastRenderedPageBreak/>
        <w:t>Počet zamestnancov sektora verejnej správy klesol medzi rokmi 2010 a </w:t>
      </w:r>
      <w:r w:rsidR="00DD5689" w:rsidRPr="000939E3">
        <w:rPr>
          <w:b/>
        </w:rPr>
        <w:t xml:space="preserve">2018 </w:t>
      </w:r>
      <w:r w:rsidRPr="000939E3">
        <w:rPr>
          <w:b/>
        </w:rPr>
        <w:t>o </w:t>
      </w:r>
      <w:r w:rsidR="00DD5689" w:rsidRPr="000939E3">
        <w:rPr>
          <w:b/>
        </w:rPr>
        <w:t xml:space="preserve">1 </w:t>
      </w:r>
      <w:r w:rsidRPr="000939E3">
        <w:rPr>
          <w:b/>
        </w:rPr>
        <w:t>%</w:t>
      </w:r>
      <w:r w:rsidRPr="000939E3">
        <w:t>, po očistení o podniky novozaradené do sektora verejných financií (</w:t>
      </w:r>
      <w:r w:rsidRPr="000939E3">
        <w:fldChar w:fldCharType="begin"/>
      </w:r>
      <w:r w:rsidRPr="000939E3">
        <w:instrText xml:space="preserve"> REF _Ref531355549 \h </w:instrText>
      </w:r>
      <w:r w:rsidR="00DC481D" w:rsidRPr="000939E3">
        <w:instrText xml:space="preserve"> \* MERGEFORMAT </w:instrText>
      </w:r>
      <w:r w:rsidRPr="000939E3">
        <w:fldChar w:fldCharType="separate"/>
      </w:r>
      <w:r w:rsidR="00BF69CA" w:rsidRPr="00BF69CA">
        <w:rPr>
          <w:lang w:val="pt-BR"/>
        </w:rPr>
        <w:t xml:space="preserve">Graf </w:t>
      </w:r>
      <w:r w:rsidR="00BF69CA" w:rsidRPr="00BF69CA">
        <w:rPr>
          <w:noProof/>
          <w:lang w:val="pt-BR"/>
        </w:rPr>
        <w:t>7</w:t>
      </w:r>
      <w:r w:rsidRPr="000939E3">
        <w:fldChar w:fldCharType="end"/>
      </w:r>
      <w:r w:rsidRPr="000939E3">
        <w:t>). Zmenou metodiky klasifikácie</w:t>
      </w:r>
      <w:r w:rsidRPr="000939E3">
        <w:rPr>
          <w:rStyle w:val="Odkaznapoznmkupodiarou"/>
        </w:rPr>
        <w:footnoteReference w:id="28"/>
      </w:r>
      <w:r w:rsidRPr="000939E3">
        <w:t xml:space="preserve"> štátom ovládaných podnikov v roku 2014 došlo k rastu počtu zamestnancov</w:t>
      </w:r>
      <w:r w:rsidR="00C642A7" w:rsidRPr="000939E3">
        <w:t xml:space="preserve">, v roku </w:t>
      </w:r>
      <w:r w:rsidR="00DD5689" w:rsidRPr="000939E3">
        <w:t xml:space="preserve">2018 </w:t>
      </w:r>
      <w:r w:rsidR="00C642A7" w:rsidRPr="000939E3">
        <w:t xml:space="preserve">tvorili </w:t>
      </w:r>
      <w:r w:rsidRPr="000939E3">
        <w:t xml:space="preserve">17 % zamestnanosti verejného sektora. Medzi najväčších zamestnávateľov patria štátne zdravotnícke zariadenia a Železnice Slovenskej republiky. </w:t>
      </w:r>
      <w:r w:rsidRPr="000939E3">
        <w:rPr>
          <w:b/>
        </w:rPr>
        <w:t xml:space="preserve">Nominálne mzdové výdavky verejného sektora bez novozaradených subjektov vzrástli medzi rokmi 2010 až </w:t>
      </w:r>
      <w:r w:rsidR="00786567" w:rsidRPr="000939E3">
        <w:rPr>
          <w:b/>
        </w:rPr>
        <w:t xml:space="preserve">2018 </w:t>
      </w:r>
      <w:r w:rsidRPr="000939E3">
        <w:rPr>
          <w:b/>
        </w:rPr>
        <w:t>o </w:t>
      </w:r>
      <w:r w:rsidR="00786567" w:rsidRPr="000939E3">
        <w:rPr>
          <w:b/>
        </w:rPr>
        <w:t>29 </w:t>
      </w:r>
      <w:r w:rsidRPr="000939E3">
        <w:rPr>
          <w:b/>
        </w:rPr>
        <w:t>%.</w:t>
      </w:r>
    </w:p>
    <w:p w14:paraId="56C7E967" w14:textId="343ECCE8" w:rsidR="00B93B3F" w:rsidRPr="000939E3" w:rsidRDefault="007F3839" w:rsidP="00FC0742">
      <w:pPr>
        <w:spacing w:before="240"/>
      </w:pPr>
      <w:r w:rsidRPr="000939E3">
        <w:rPr>
          <w:b/>
        </w:rPr>
        <w:t xml:space="preserve">Z pohľadu profesií </w:t>
      </w:r>
      <w:r w:rsidR="008A017A" w:rsidRPr="000939E3">
        <w:rPr>
          <w:b/>
        </w:rPr>
        <w:t xml:space="preserve">pracuje </w:t>
      </w:r>
      <w:r w:rsidRPr="000939E3">
        <w:rPr>
          <w:b/>
        </w:rPr>
        <w:t xml:space="preserve">tretina </w:t>
      </w:r>
      <w:r w:rsidR="00AA4BD0" w:rsidRPr="000939E3">
        <w:rPr>
          <w:b/>
        </w:rPr>
        <w:t xml:space="preserve">verejných </w:t>
      </w:r>
      <w:r w:rsidRPr="000939E3">
        <w:rPr>
          <w:b/>
        </w:rPr>
        <w:t>zamestnancov v školstv</w:t>
      </w:r>
      <w:r w:rsidR="00EE5136" w:rsidRPr="000939E3">
        <w:rPr>
          <w:b/>
        </w:rPr>
        <w:t>e</w:t>
      </w:r>
      <w:r w:rsidR="00FC2F57" w:rsidRPr="000939E3">
        <w:rPr>
          <w:rStyle w:val="Odkaznapoznmkupodiarou"/>
          <w:b/>
        </w:rPr>
        <w:footnoteReference w:id="29"/>
      </w:r>
      <w:r w:rsidRPr="000939E3">
        <w:rPr>
          <w:b/>
        </w:rPr>
        <w:t xml:space="preserve">, </w:t>
      </w:r>
      <w:r w:rsidR="004B27D7" w:rsidRPr="000939E3">
        <w:rPr>
          <w:b/>
        </w:rPr>
        <w:t>11</w:t>
      </w:r>
      <w:r w:rsidRPr="000939E3">
        <w:rPr>
          <w:b/>
        </w:rPr>
        <w:t xml:space="preserve"> % </w:t>
      </w:r>
      <w:r w:rsidR="009F0322" w:rsidRPr="000939E3">
        <w:rPr>
          <w:b/>
        </w:rPr>
        <w:t>tvori</w:t>
      </w:r>
      <w:r w:rsidR="00EE5136" w:rsidRPr="000939E3">
        <w:rPr>
          <w:b/>
        </w:rPr>
        <w:t>a</w:t>
      </w:r>
      <w:r w:rsidRPr="000939E3">
        <w:rPr>
          <w:b/>
        </w:rPr>
        <w:t xml:space="preserve"> zamestnanci zdravotníckych zariadení</w:t>
      </w:r>
      <w:r w:rsidRPr="000939E3">
        <w:rPr>
          <w:rStyle w:val="Odkaznapoznmkupodiarou"/>
          <w:b/>
        </w:rPr>
        <w:footnoteReference w:id="30"/>
      </w:r>
      <w:r w:rsidRPr="000939E3">
        <w:rPr>
          <w:b/>
        </w:rPr>
        <w:t>, takmer desatin</w:t>
      </w:r>
      <w:r w:rsidR="009F0322" w:rsidRPr="000939E3">
        <w:rPr>
          <w:b/>
        </w:rPr>
        <w:t>u</w:t>
      </w:r>
      <w:r w:rsidRPr="000939E3">
        <w:rPr>
          <w:b/>
        </w:rPr>
        <w:t xml:space="preserve"> </w:t>
      </w:r>
      <w:r w:rsidR="00FC2F57" w:rsidRPr="000939E3">
        <w:rPr>
          <w:b/>
        </w:rPr>
        <w:t xml:space="preserve">úradníci </w:t>
      </w:r>
      <w:r w:rsidR="002372A8" w:rsidRPr="000939E3">
        <w:rPr>
          <w:b/>
        </w:rPr>
        <w:t xml:space="preserve">zamestnaní </w:t>
      </w:r>
      <w:r w:rsidR="00FC2F57" w:rsidRPr="000939E3">
        <w:rPr>
          <w:b/>
        </w:rPr>
        <w:t>v štátnej službe</w:t>
      </w:r>
      <w:r w:rsidR="00CE232E" w:rsidRPr="000939E3">
        <w:rPr>
          <w:b/>
        </w:rPr>
        <w:t>.</w:t>
      </w:r>
      <w:r w:rsidR="00CE232E" w:rsidRPr="000939E3">
        <w:t xml:space="preserve"> </w:t>
      </w:r>
      <w:r w:rsidR="00B94086" w:rsidRPr="000939E3">
        <w:t xml:space="preserve">Približne </w:t>
      </w:r>
      <w:r w:rsidR="00B93B3F" w:rsidRPr="000939E3">
        <w:t>12</w:t>
      </w:r>
      <w:r w:rsidR="00DE2FC0" w:rsidRPr="000939E3">
        <w:t> </w:t>
      </w:r>
      <w:r w:rsidR="00B93B3F" w:rsidRPr="000939E3">
        <w:t>% zamestnancov</w:t>
      </w:r>
      <w:r w:rsidR="00DE2FC0" w:rsidRPr="000939E3">
        <w:t xml:space="preserve"> </w:t>
      </w:r>
      <w:r w:rsidR="00B93B3F" w:rsidRPr="000939E3">
        <w:t>je zamestnaných podľa osobitných predpisov</w:t>
      </w:r>
      <w:r w:rsidR="00FC5BD4" w:rsidRPr="000939E3">
        <w:t>,</w:t>
      </w:r>
      <w:r w:rsidR="00B93B3F" w:rsidRPr="000939E3">
        <w:t xml:space="preserve"> polovicu z nich tvoria príslušníci policajného zboru</w:t>
      </w:r>
      <w:r w:rsidR="009B61E9" w:rsidRPr="000939E3">
        <w:t xml:space="preserve"> a</w:t>
      </w:r>
      <w:r w:rsidR="00C427D2" w:rsidRPr="000939E3">
        <w:t> </w:t>
      </w:r>
      <w:r w:rsidR="00B93B3F" w:rsidRPr="000939E3">
        <w:t>približne tretinu profesionálni vojaci</w:t>
      </w:r>
      <w:r w:rsidR="00AA034D" w:rsidRPr="000939E3">
        <w:t xml:space="preserve">. </w:t>
      </w:r>
      <w:r w:rsidR="00B94086" w:rsidRPr="000939E3">
        <w:t>Ďalších a</w:t>
      </w:r>
      <w:r w:rsidR="002772AA" w:rsidRPr="000939E3">
        <w:t xml:space="preserve">si 18 % </w:t>
      </w:r>
      <w:r w:rsidR="00FC5BD4" w:rsidRPr="000939E3">
        <w:t>verejných zamestnancov sú ostatní</w:t>
      </w:r>
      <w:r w:rsidR="002772AA" w:rsidRPr="000939E3">
        <w:t xml:space="preserve"> zamestnanci samospráv</w:t>
      </w:r>
      <w:r w:rsidR="00FC5BD4" w:rsidRPr="000939E3">
        <w:t xml:space="preserve"> (bez školstva a zdravotníctva)</w:t>
      </w:r>
      <w:r w:rsidR="002772AA" w:rsidRPr="000939E3">
        <w:t xml:space="preserve">, </w:t>
      </w:r>
      <w:r w:rsidR="00FC5BD4" w:rsidRPr="000939E3">
        <w:t xml:space="preserve">asi </w:t>
      </w:r>
      <w:r w:rsidR="00CE232E" w:rsidRPr="000939E3">
        <w:t>6</w:t>
      </w:r>
      <w:r w:rsidR="00EE5136" w:rsidRPr="000939E3">
        <w:t> </w:t>
      </w:r>
      <w:r w:rsidR="00CE232E" w:rsidRPr="000939E3">
        <w:t>%</w:t>
      </w:r>
      <w:r w:rsidR="00FC5BD4" w:rsidRPr="000939E3">
        <w:t xml:space="preserve"> sú</w:t>
      </w:r>
      <w:r w:rsidR="00AE7205" w:rsidRPr="000939E3">
        <w:t xml:space="preserve"> </w:t>
      </w:r>
      <w:r w:rsidR="00CE232E" w:rsidRPr="000939E3">
        <w:t>zamestnanc</w:t>
      </w:r>
      <w:r w:rsidR="008A017A" w:rsidRPr="000939E3">
        <w:t>i</w:t>
      </w:r>
      <w:r w:rsidR="00FB069D" w:rsidRPr="000939E3">
        <w:t xml:space="preserve"> štátnych </w:t>
      </w:r>
      <w:r w:rsidR="00CE232E" w:rsidRPr="000939E3">
        <w:t>podnikov, ktoré sú súčasťou sektora verejnej správy</w:t>
      </w:r>
      <w:r w:rsidR="005E275E" w:rsidRPr="000939E3">
        <w:t xml:space="preserve"> (</w:t>
      </w:r>
      <w:r w:rsidR="005E275E" w:rsidRPr="000939E3">
        <w:fldChar w:fldCharType="begin"/>
      </w:r>
      <w:r w:rsidR="005E275E" w:rsidRPr="000939E3">
        <w:instrText xml:space="preserve"> REF _Ref4062129 \h  \* MERGEFORMAT </w:instrText>
      </w:r>
      <w:r w:rsidR="005E275E" w:rsidRPr="000939E3">
        <w:fldChar w:fldCharType="separate"/>
      </w:r>
      <w:r w:rsidR="00BF69CA" w:rsidRPr="000939E3">
        <w:t xml:space="preserve">Graf </w:t>
      </w:r>
      <w:r w:rsidR="00BF69CA">
        <w:rPr>
          <w:noProof/>
        </w:rPr>
        <w:t>8</w:t>
      </w:r>
      <w:r w:rsidR="005E275E" w:rsidRPr="000939E3">
        <w:fldChar w:fldCharType="end"/>
      </w:r>
      <w:r w:rsidR="005E275E" w:rsidRPr="000939E3">
        <w:t>)</w:t>
      </w:r>
      <w:r w:rsidR="00CE232E" w:rsidRPr="000939E3">
        <w:t>.</w:t>
      </w:r>
      <w:r w:rsidR="00AE7205" w:rsidRPr="000939E3">
        <w:t xml:space="preserve"> </w:t>
      </w:r>
    </w:p>
    <w:p w14:paraId="607A6D02" w14:textId="3A4E7F0C" w:rsidR="00E24FBF" w:rsidRPr="000939E3" w:rsidRDefault="00E24FBF" w:rsidP="00E24FBF">
      <w:pPr>
        <w:spacing w:before="240" w:after="160"/>
      </w:pPr>
      <w:r w:rsidRPr="000939E3">
        <w:rPr>
          <w:b/>
        </w:rPr>
        <w:t>Osobné výdavky v regionálnom a vysokom školstve</w:t>
      </w:r>
      <w:r w:rsidRPr="000939E3">
        <w:rPr>
          <w:rStyle w:val="Odkaznapoznmkupodiarou"/>
          <w:b/>
        </w:rPr>
        <w:footnoteReference w:id="31"/>
      </w:r>
      <w:r w:rsidRPr="000939E3">
        <w:rPr>
          <w:b/>
        </w:rPr>
        <w:t xml:space="preserve"> tvorili </w:t>
      </w:r>
      <w:r w:rsidR="00636374" w:rsidRPr="000939E3">
        <w:rPr>
          <w:b/>
        </w:rPr>
        <w:t xml:space="preserve">29 </w:t>
      </w:r>
      <w:r w:rsidRPr="000939E3">
        <w:rPr>
          <w:b/>
        </w:rPr>
        <w:t>% verejných osobných výdavkov (2,</w:t>
      </w:r>
      <w:r w:rsidR="00247BB6" w:rsidRPr="000939E3">
        <w:rPr>
          <w:b/>
        </w:rPr>
        <w:t>3 </w:t>
      </w:r>
      <w:r w:rsidRPr="000939E3">
        <w:rPr>
          <w:b/>
        </w:rPr>
        <w:t>mld. eur), zamestnanci zdravotníctva 12 % (</w:t>
      </w:r>
      <w:r w:rsidR="00247BB6" w:rsidRPr="000939E3">
        <w:rPr>
          <w:b/>
        </w:rPr>
        <w:t xml:space="preserve">932 </w:t>
      </w:r>
      <w:r w:rsidRPr="000939E3">
        <w:rPr>
          <w:b/>
        </w:rPr>
        <w:t>mil. eur) (</w:t>
      </w:r>
      <w:r w:rsidRPr="000939E3">
        <w:rPr>
          <w:b/>
        </w:rPr>
        <w:fldChar w:fldCharType="begin"/>
      </w:r>
      <w:r w:rsidRPr="000939E3">
        <w:rPr>
          <w:b/>
        </w:rPr>
        <w:instrText xml:space="preserve"> REF _Ref3806086 \h  \* MERGEFORMAT </w:instrText>
      </w:r>
      <w:r w:rsidRPr="000939E3">
        <w:rPr>
          <w:b/>
        </w:rPr>
      </w:r>
      <w:r w:rsidRPr="000939E3">
        <w:rPr>
          <w:b/>
        </w:rPr>
        <w:fldChar w:fldCharType="separate"/>
      </w:r>
      <w:r w:rsidR="00BF69CA" w:rsidRPr="00BF69CA">
        <w:rPr>
          <w:b/>
        </w:rPr>
        <w:t xml:space="preserve">Graf </w:t>
      </w:r>
      <w:r w:rsidR="00BF69CA" w:rsidRPr="00BF69CA">
        <w:rPr>
          <w:b/>
          <w:noProof/>
        </w:rPr>
        <w:t>9</w:t>
      </w:r>
      <w:r w:rsidRPr="000939E3">
        <w:rPr>
          <w:b/>
        </w:rPr>
        <w:fldChar w:fldCharType="end"/>
      </w:r>
      <w:r w:rsidRPr="000939E3">
        <w:rPr>
          <w:b/>
        </w:rPr>
        <w:t>).</w:t>
      </w:r>
      <w:r w:rsidRPr="000939E3">
        <w:t xml:space="preserve"> Na profesie zamestnané podľa osobitných predpisov v ústrednej štátnej správe (polícia, vojaci, colníci, sudcovia a prokurátori) je vynakladaných 17 % osobných výdavkov verejnej správy vo výške 1,</w:t>
      </w:r>
      <w:r w:rsidR="00247BB6" w:rsidRPr="000939E3">
        <w:t>35 </w:t>
      </w:r>
      <w:r w:rsidRPr="000939E3">
        <w:t>mld. eur, na štátnych úradníkov 11 % (</w:t>
      </w:r>
      <w:r w:rsidR="00247BB6" w:rsidRPr="000939E3">
        <w:t xml:space="preserve">823 </w:t>
      </w:r>
      <w:r w:rsidRPr="000939E3">
        <w:t>mil. eur).</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60"/>
      </w:tblGrid>
      <w:tr w:rsidR="000228AE" w:rsidRPr="000939E3" w14:paraId="6FE31AC3" w14:textId="77777777" w:rsidTr="00561A09">
        <w:tc>
          <w:tcPr>
            <w:tcW w:w="9072" w:type="dxa"/>
            <w:gridSpan w:val="2"/>
            <w:tcBorders>
              <w:bottom w:val="single" w:sz="4" w:space="0" w:color="auto"/>
            </w:tcBorders>
          </w:tcPr>
          <w:p w14:paraId="34A3182C" w14:textId="706CC5F9" w:rsidR="000228AE" w:rsidRPr="000939E3" w:rsidRDefault="000228AE" w:rsidP="00636374">
            <w:pPr>
              <w:spacing w:after="0"/>
              <w:rPr>
                <w:b/>
                <w:sz w:val="20"/>
              </w:rPr>
            </w:pPr>
            <w:bookmarkStart w:id="57" w:name="_Ref3806086"/>
            <w:bookmarkStart w:id="58" w:name="_Toc34226880"/>
            <w:r w:rsidRPr="000939E3">
              <w:rPr>
                <w:b/>
                <w:sz w:val="20"/>
              </w:rPr>
              <w:t xml:space="preserve">Graf </w:t>
            </w:r>
            <w:r w:rsidRPr="000939E3">
              <w:rPr>
                <w:b/>
                <w:sz w:val="20"/>
              </w:rPr>
              <w:fldChar w:fldCharType="begin"/>
            </w:r>
            <w:r w:rsidRPr="000939E3">
              <w:rPr>
                <w:b/>
                <w:sz w:val="20"/>
              </w:rPr>
              <w:instrText xml:space="preserve"> SEQ Graf \* ARABIC </w:instrText>
            </w:r>
            <w:r w:rsidRPr="000939E3">
              <w:rPr>
                <w:b/>
                <w:sz w:val="20"/>
              </w:rPr>
              <w:fldChar w:fldCharType="separate"/>
            </w:r>
            <w:r w:rsidR="00BF69CA">
              <w:rPr>
                <w:b/>
                <w:noProof/>
                <w:sz w:val="20"/>
              </w:rPr>
              <w:t>9</w:t>
            </w:r>
            <w:r w:rsidRPr="000939E3">
              <w:rPr>
                <w:b/>
                <w:sz w:val="20"/>
              </w:rPr>
              <w:fldChar w:fldCharType="end"/>
            </w:r>
            <w:bookmarkEnd w:id="57"/>
            <w:r w:rsidRPr="000939E3">
              <w:rPr>
                <w:b/>
                <w:sz w:val="20"/>
              </w:rPr>
              <w:t>: Osobné výdavky na zamestnancov verejnej správy (v mld. eur, % celkových výdavkov; 201</w:t>
            </w:r>
            <w:r w:rsidR="00636374" w:rsidRPr="000939E3">
              <w:rPr>
                <w:b/>
                <w:sz w:val="20"/>
              </w:rPr>
              <w:t>8</w:t>
            </w:r>
            <w:r w:rsidRPr="000939E3">
              <w:rPr>
                <w:b/>
                <w:sz w:val="20"/>
              </w:rPr>
              <w:t>)</w:t>
            </w:r>
            <w:bookmarkEnd w:id="58"/>
            <w:r w:rsidRPr="000939E3">
              <w:rPr>
                <w:b/>
                <w:sz w:val="20"/>
              </w:rPr>
              <w:t xml:space="preserve"> </w:t>
            </w:r>
          </w:p>
        </w:tc>
      </w:tr>
      <w:tr w:rsidR="000228AE" w:rsidRPr="000939E3" w14:paraId="23350698" w14:textId="77777777" w:rsidTr="00636374">
        <w:tc>
          <w:tcPr>
            <w:tcW w:w="9072" w:type="dxa"/>
            <w:gridSpan w:val="2"/>
            <w:tcBorders>
              <w:top w:val="single" w:sz="4" w:space="0" w:color="auto"/>
              <w:bottom w:val="single" w:sz="4" w:space="0" w:color="auto"/>
            </w:tcBorders>
          </w:tcPr>
          <w:p w14:paraId="76868F51" w14:textId="2DF84EEE" w:rsidR="000228AE" w:rsidRPr="000939E3" w:rsidRDefault="00636374" w:rsidP="00636374">
            <w:pPr>
              <w:spacing w:after="0"/>
              <w:ind w:left="-108" w:right="-108"/>
            </w:pPr>
            <w:r w:rsidRPr="000939E3">
              <w:rPr>
                <w:noProof/>
                <w:lang w:eastAsia="sk-SK"/>
              </w:rPr>
              <w:drawing>
                <wp:inline distT="0" distB="0" distL="0" distR="0" wp14:anchorId="29F8CF70" wp14:editId="261F203D">
                  <wp:extent cx="5724605" cy="230505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0228AE" w:rsidRPr="000939E3" w14:paraId="5F12D33E" w14:textId="77777777" w:rsidTr="00E376A4">
        <w:tc>
          <w:tcPr>
            <w:tcW w:w="4536" w:type="dxa"/>
            <w:tcBorders>
              <w:top w:val="single" w:sz="4" w:space="0" w:color="auto"/>
            </w:tcBorders>
          </w:tcPr>
          <w:p w14:paraId="444ACBE9" w14:textId="77777777" w:rsidR="000228AE" w:rsidRPr="000939E3" w:rsidRDefault="000228AE" w:rsidP="00E376A4">
            <w:pPr>
              <w:spacing w:after="0"/>
              <w:jc w:val="left"/>
              <w:rPr>
                <w:i/>
                <w:sz w:val="18"/>
              </w:rPr>
            </w:pPr>
            <w:r w:rsidRPr="000939E3">
              <w:rPr>
                <w:i/>
                <w:sz w:val="18"/>
              </w:rPr>
              <w:t xml:space="preserve">Pozn.: Odvodové náklady boli odhadnuté. </w:t>
            </w:r>
          </w:p>
        </w:tc>
        <w:tc>
          <w:tcPr>
            <w:tcW w:w="4536" w:type="dxa"/>
            <w:tcBorders>
              <w:top w:val="single" w:sz="4" w:space="0" w:color="auto"/>
            </w:tcBorders>
          </w:tcPr>
          <w:p w14:paraId="047D898F" w14:textId="77777777" w:rsidR="000228AE" w:rsidRPr="000939E3" w:rsidRDefault="000228AE" w:rsidP="00E376A4">
            <w:pPr>
              <w:spacing w:after="0"/>
              <w:jc w:val="right"/>
              <w:rPr>
                <w:i/>
                <w:sz w:val="18"/>
              </w:rPr>
            </w:pPr>
            <w:r w:rsidRPr="000939E3">
              <w:rPr>
                <w:i/>
                <w:sz w:val="18"/>
              </w:rPr>
              <w:t>Zdroj: SRP MF SR, spracovanie ÚHP</w:t>
            </w:r>
          </w:p>
        </w:tc>
      </w:tr>
    </w:tbl>
    <w:p w14:paraId="1A5B7F56" w14:textId="77777777" w:rsidR="0048562C" w:rsidRPr="000939E3" w:rsidRDefault="0048562C" w:rsidP="00185B6D"/>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062"/>
      </w:tblGrid>
      <w:tr w:rsidR="00C851C5" w:rsidRPr="000939E3" w14:paraId="2B07BA92" w14:textId="77777777" w:rsidTr="0040330D">
        <w:tc>
          <w:tcPr>
            <w:tcW w:w="9062" w:type="dxa"/>
            <w:shd w:val="clear" w:color="auto" w:fill="BDD6EE" w:themeFill="accent1" w:themeFillTint="66"/>
          </w:tcPr>
          <w:p w14:paraId="3832A532" w14:textId="42857152" w:rsidR="00C851C5" w:rsidRPr="000939E3" w:rsidRDefault="00C851C5" w:rsidP="00E376A4">
            <w:bookmarkStart w:id="59" w:name="_Ref5870330"/>
            <w:bookmarkStart w:id="60" w:name="_Ref5875556"/>
            <w:r w:rsidRPr="000939E3">
              <w:rPr>
                <w:b/>
              </w:rPr>
              <w:t xml:space="preserve">Box </w:t>
            </w:r>
            <w:r w:rsidRPr="000939E3">
              <w:rPr>
                <w:b/>
              </w:rPr>
              <w:fldChar w:fldCharType="begin"/>
            </w:r>
            <w:r w:rsidRPr="000939E3">
              <w:rPr>
                <w:b/>
              </w:rPr>
              <w:instrText xml:space="preserve"> SEQ Box \* ARABIC </w:instrText>
            </w:r>
            <w:r w:rsidRPr="000939E3">
              <w:rPr>
                <w:b/>
              </w:rPr>
              <w:fldChar w:fldCharType="separate"/>
            </w:r>
            <w:r w:rsidR="00BF69CA">
              <w:rPr>
                <w:b/>
                <w:noProof/>
              </w:rPr>
              <w:t>3</w:t>
            </w:r>
            <w:r w:rsidRPr="000939E3">
              <w:rPr>
                <w:b/>
              </w:rPr>
              <w:fldChar w:fldCharType="end"/>
            </w:r>
            <w:bookmarkEnd w:id="59"/>
            <w:r w:rsidRPr="000939E3">
              <w:rPr>
                <w:b/>
              </w:rPr>
              <w:t>: Sektor a subsektory verejnej správy a zaraďovanie do sektora</w:t>
            </w:r>
            <w:bookmarkEnd w:id="60"/>
          </w:p>
          <w:p w14:paraId="09F84436" w14:textId="77777777" w:rsidR="00C851C5" w:rsidRPr="000939E3" w:rsidRDefault="00C851C5" w:rsidP="00C851C5">
            <w:pPr>
              <w:keepNext/>
              <w:spacing w:after="0"/>
              <w:rPr>
                <w:i/>
              </w:rPr>
            </w:pPr>
            <w:r w:rsidRPr="000939E3">
              <w:t xml:space="preserve">Podľa metodiky ESA 2010 Eurostatu: </w:t>
            </w:r>
            <w:r w:rsidRPr="000939E3">
              <w:rPr>
                <w:i/>
              </w:rPr>
              <w:t>„Sektor verejnej správy (S.13) pozostáva z inštitucionálnych jednotiek, ktoré sú netrhovými výrobcami, ktorých produkcia je určená na individuálnu a kolektívnu spotrebu a sú financované povinnými platbami jednotiek patriacich do iných sektorov, ako aj z inštitucionálnych jednotiek zapojených hlavne do prerozdeľovania národného dôchodku a bohatstva.“</w:t>
            </w:r>
          </w:p>
          <w:p w14:paraId="145D8551" w14:textId="77777777" w:rsidR="00C851C5" w:rsidRPr="000939E3" w:rsidRDefault="00C851C5" w:rsidP="00C851C5">
            <w:pPr>
              <w:keepNext/>
              <w:spacing w:after="0"/>
              <w:rPr>
                <w:i/>
              </w:rPr>
            </w:pPr>
          </w:p>
          <w:p w14:paraId="62D022A8" w14:textId="35E561F5" w:rsidR="00C851C5" w:rsidRPr="000939E3" w:rsidRDefault="00C851C5" w:rsidP="0048562C">
            <w:pPr>
              <w:widowControl w:val="0"/>
              <w:spacing w:after="0"/>
              <w:rPr>
                <w:i/>
              </w:rPr>
            </w:pPr>
            <w:r w:rsidRPr="000939E3">
              <w:rPr>
                <w:i/>
              </w:rPr>
              <w:t xml:space="preserve">Sektor verejnej správy sa </w:t>
            </w:r>
            <w:r w:rsidR="00AD5D4C" w:rsidRPr="000939E3">
              <w:rPr>
                <w:i/>
              </w:rPr>
              <w:t xml:space="preserve">podľa tejto metodiky </w:t>
            </w:r>
            <w:r w:rsidRPr="000939E3">
              <w:rPr>
                <w:i/>
              </w:rPr>
              <w:t>delí na štyri subsektory:</w:t>
            </w:r>
          </w:p>
          <w:p w14:paraId="65CE63A4" w14:textId="77777777" w:rsidR="00C851C5" w:rsidRPr="000939E3" w:rsidRDefault="00C851C5" w:rsidP="0048562C">
            <w:pPr>
              <w:widowControl w:val="0"/>
              <w:spacing w:after="0"/>
              <w:rPr>
                <w:i/>
              </w:rPr>
            </w:pPr>
            <w:r w:rsidRPr="000939E3">
              <w:rPr>
                <w:i/>
              </w:rPr>
              <w:t>a) ústredná štátna správa (okrem fondov sociálneho zabezpečenia) (S.1311);</w:t>
            </w:r>
          </w:p>
          <w:p w14:paraId="39D177E6" w14:textId="77777777" w:rsidR="00C851C5" w:rsidRPr="000939E3" w:rsidRDefault="00C851C5" w:rsidP="0048562C">
            <w:pPr>
              <w:widowControl w:val="0"/>
              <w:spacing w:after="0"/>
              <w:rPr>
                <w:i/>
              </w:rPr>
            </w:pPr>
            <w:r w:rsidRPr="000939E3">
              <w:rPr>
                <w:i/>
              </w:rPr>
              <w:t>b) regionálna štátna správa (okrem fondov sociálneho zabezpečenia) (S.1312);</w:t>
            </w:r>
          </w:p>
          <w:p w14:paraId="33F18CEB" w14:textId="77777777" w:rsidR="00C851C5" w:rsidRPr="000939E3" w:rsidRDefault="00C851C5" w:rsidP="0048562C">
            <w:pPr>
              <w:widowControl w:val="0"/>
              <w:spacing w:after="0"/>
              <w:rPr>
                <w:i/>
              </w:rPr>
            </w:pPr>
            <w:r w:rsidRPr="000939E3">
              <w:rPr>
                <w:i/>
              </w:rPr>
              <w:lastRenderedPageBreak/>
              <w:t>c) miestna samospráva (okrem fondov sociálneho zabezpečenia) (S.1313);</w:t>
            </w:r>
          </w:p>
          <w:p w14:paraId="54B7EF75" w14:textId="3BEBC2C1" w:rsidR="00C851C5" w:rsidRPr="000939E3" w:rsidRDefault="00C851C5" w:rsidP="0048562C">
            <w:pPr>
              <w:widowControl w:val="0"/>
              <w:spacing w:after="0"/>
              <w:rPr>
                <w:i/>
              </w:rPr>
            </w:pPr>
            <w:r w:rsidRPr="000939E3">
              <w:rPr>
                <w:i/>
              </w:rPr>
              <w:t>d) fondy sociálneho zabezpečenia (S.1314).</w:t>
            </w:r>
          </w:p>
          <w:p w14:paraId="358E9C89" w14:textId="77777777" w:rsidR="0048562C" w:rsidRPr="000939E3" w:rsidRDefault="0048562C" w:rsidP="0048562C">
            <w:pPr>
              <w:widowControl w:val="0"/>
              <w:spacing w:after="0"/>
            </w:pPr>
          </w:p>
          <w:p w14:paraId="21F4CC32" w14:textId="77777777" w:rsidR="0048562C" w:rsidRPr="000939E3" w:rsidRDefault="0048562C" w:rsidP="0048562C">
            <w:pPr>
              <w:widowControl w:val="0"/>
              <w:spacing w:after="0"/>
            </w:pPr>
          </w:p>
          <w:tbl>
            <w:tblPr>
              <w:tblStyle w:val="Mriekatabuky"/>
              <w:tblW w:w="0" w:type="auto"/>
              <w:tblLook w:val="04A0" w:firstRow="1" w:lastRow="0" w:firstColumn="1" w:lastColumn="0" w:noHBand="0" w:noVBand="1"/>
            </w:tblPr>
            <w:tblGrid>
              <w:gridCol w:w="1274"/>
              <w:gridCol w:w="1307"/>
              <w:gridCol w:w="2517"/>
              <w:gridCol w:w="3682"/>
            </w:tblGrid>
            <w:tr w:rsidR="00004B41" w:rsidRPr="000939E3" w14:paraId="7287E67C" w14:textId="77777777" w:rsidTr="00E376A4">
              <w:trPr>
                <w:trHeight w:val="20"/>
                <w:tblHeader/>
              </w:trPr>
              <w:tc>
                <w:tcPr>
                  <w:tcW w:w="1274" w:type="dxa"/>
                  <w:shd w:val="clear" w:color="auto" w:fill="00B0F0"/>
                </w:tcPr>
                <w:p w14:paraId="492E3FD3" w14:textId="77777777" w:rsidR="00004B41" w:rsidRPr="000939E3" w:rsidRDefault="00004B41" w:rsidP="0048562C">
                  <w:pPr>
                    <w:widowControl w:val="0"/>
                    <w:spacing w:after="0"/>
                    <w:rPr>
                      <w:b/>
                      <w:sz w:val="20"/>
                    </w:rPr>
                  </w:pPr>
                  <w:r w:rsidRPr="000939E3">
                    <w:rPr>
                      <w:b/>
                      <w:sz w:val="20"/>
                    </w:rPr>
                    <w:t>Subsektor</w:t>
                  </w:r>
                </w:p>
              </w:tc>
              <w:tc>
                <w:tcPr>
                  <w:tcW w:w="3824" w:type="dxa"/>
                  <w:gridSpan w:val="2"/>
                  <w:shd w:val="clear" w:color="auto" w:fill="00B0F0"/>
                </w:tcPr>
                <w:p w14:paraId="0E535799" w14:textId="77777777" w:rsidR="00004B41" w:rsidRPr="000939E3" w:rsidRDefault="00004B41" w:rsidP="0048562C">
                  <w:pPr>
                    <w:widowControl w:val="0"/>
                    <w:spacing w:after="0"/>
                    <w:rPr>
                      <w:b/>
                      <w:sz w:val="20"/>
                    </w:rPr>
                  </w:pPr>
                  <w:r w:rsidRPr="000939E3">
                    <w:rPr>
                      <w:b/>
                      <w:sz w:val="20"/>
                    </w:rPr>
                    <w:t>Definícia podľa ESA 2010</w:t>
                  </w:r>
                </w:p>
              </w:tc>
              <w:tc>
                <w:tcPr>
                  <w:tcW w:w="3682" w:type="dxa"/>
                  <w:shd w:val="clear" w:color="auto" w:fill="00B0F0"/>
                </w:tcPr>
                <w:p w14:paraId="2E54492C" w14:textId="77777777" w:rsidR="00004B41" w:rsidRPr="000939E3" w:rsidRDefault="00004B41" w:rsidP="0048562C">
                  <w:pPr>
                    <w:widowControl w:val="0"/>
                    <w:spacing w:after="0"/>
                    <w:rPr>
                      <w:b/>
                      <w:sz w:val="20"/>
                    </w:rPr>
                  </w:pPr>
                  <w:r w:rsidRPr="000939E3">
                    <w:rPr>
                      <w:b/>
                      <w:sz w:val="20"/>
                    </w:rPr>
                    <w:t>Vymedzenie podľa zákona o rozpočtových pravidlách</w:t>
                  </w:r>
                </w:p>
              </w:tc>
            </w:tr>
            <w:tr w:rsidR="00004B41" w:rsidRPr="000939E3" w14:paraId="3C8C4F85" w14:textId="77777777" w:rsidTr="0089781E">
              <w:trPr>
                <w:trHeight w:val="20"/>
              </w:trPr>
              <w:tc>
                <w:tcPr>
                  <w:tcW w:w="1274" w:type="dxa"/>
                </w:tcPr>
                <w:p w14:paraId="62A22A84" w14:textId="77777777" w:rsidR="00004B41" w:rsidRPr="000939E3" w:rsidRDefault="00004B41" w:rsidP="0048562C">
                  <w:pPr>
                    <w:widowControl w:val="0"/>
                    <w:spacing w:after="0"/>
                    <w:jc w:val="left"/>
                    <w:rPr>
                      <w:b/>
                      <w:sz w:val="20"/>
                    </w:rPr>
                  </w:pPr>
                  <w:r w:rsidRPr="000939E3">
                    <w:rPr>
                      <w:b/>
                      <w:sz w:val="20"/>
                    </w:rPr>
                    <w:t>Ústredná štátna správa</w:t>
                  </w:r>
                </w:p>
              </w:tc>
              <w:tc>
                <w:tcPr>
                  <w:tcW w:w="3824" w:type="dxa"/>
                  <w:gridSpan w:val="2"/>
                </w:tcPr>
                <w:p w14:paraId="0245F362" w14:textId="77777777" w:rsidR="00004B41" w:rsidRPr="000939E3" w:rsidRDefault="00004B41" w:rsidP="0048562C">
                  <w:pPr>
                    <w:widowControl w:val="0"/>
                    <w:spacing w:after="0"/>
                    <w:rPr>
                      <w:sz w:val="20"/>
                    </w:rPr>
                  </w:pPr>
                  <w:r w:rsidRPr="000939E3">
                    <w:rPr>
                      <w:sz w:val="20"/>
                    </w:rPr>
                    <w:t>Tento subsektor zahŕňa všetky administratívne oddelenia štátu a ostatné ústredné orgány, ktorých pôsobnosť zvyčajne zahŕňa celé ekonomické územie, okrem správy fondov sociálneho zabezpečenia.</w:t>
                  </w:r>
                </w:p>
              </w:tc>
              <w:tc>
                <w:tcPr>
                  <w:tcW w:w="3682" w:type="dxa"/>
                </w:tcPr>
                <w:p w14:paraId="50969984" w14:textId="77777777" w:rsidR="00004B41" w:rsidRPr="000939E3" w:rsidRDefault="00004B41" w:rsidP="0048562C">
                  <w:pPr>
                    <w:widowControl w:val="0"/>
                    <w:spacing w:after="0"/>
                    <w:rPr>
                      <w:sz w:val="20"/>
                    </w:rPr>
                  </w:pPr>
                  <w:r w:rsidRPr="000939E3">
                    <w:rPr>
                      <w:sz w:val="20"/>
                    </w:rPr>
                    <w:t xml:space="preserve">V ústrednej správe sa vykazujú štátne rozpočtové organizácie a štátne príspevkové organizácie, štátne účelové fondy a Slovenský pozemkový fond. V ústrednej správe sa vykazujú aj verejné vysoké školy a ďalšie subjekty, ktoré sú zapísané a zaradené v registri*. </w:t>
                  </w:r>
                </w:p>
              </w:tc>
            </w:tr>
            <w:tr w:rsidR="00004B41" w:rsidRPr="000939E3" w14:paraId="3F984530" w14:textId="77777777" w:rsidTr="0089781E">
              <w:trPr>
                <w:trHeight w:val="20"/>
              </w:trPr>
              <w:tc>
                <w:tcPr>
                  <w:tcW w:w="1274" w:type="dxa"/>
                </w:tcPr>
                <w:p w14:paraId="6DD387BE" w14:textId="77777777" w:rsidR="00004B41" w:rsidRPr="000939E3" w:rsidRDefault="00004B41" w:rsidP="0048562C">
                  <w:pPr>
                    <w:widowControl w:val="0"/>
                    <w:spacing w:after="0"/>
                    <w:jc w:val="left"/>
                    <w:rPr>
                      <w:b/>
                      <w:sz w:val="20"/>
                    </w:rPr>
                  </w:pPr>
                  <w:r w:rsidRPr="000939E3">
                    <w:rPr>
                      <w:b/>
                      <w:sz w:val="20"/>
                    </w:rPr>
                    <w:t>Miestna (územná) samospráva</w:t>
                  </w:r>
                </w:p>
              </w:tc>
              <w:tc>
                <w:tcPr>
                  <w:tcW w:w="3824" w:type="dxa"/>
                  <w:gridSpan w:val="2"/>
                </w:tcPr>
                <w:p w14:paraId="670B6979" w14:textId="77777777" w:rsidR="00004B41" w:rsidRPr="000939E3" w:rsidRDefault="00004B41" w:rsidP="0048562C">
                  <w:pPr>
                    <w:widowControl w:val="0"/>
                    <w:spacing w:after="0"/>
                    <w:rPr>
                      <w:sz w:val="20"/>
                    </w:rPr>
                  </w:pPr>
                  <w:r w:rsidRPr="000939E3">
                    <w:rPr>
                      <w:sz w:val="20"/>
                    </w:rPr>
                    <w:t>Tento subsektor zahŕňa tie typy verejnej správy, ktorých pôsobnosť je obmedzená na určitú miestnu časť ekonomického územia, okrem miestnych orgánov fondov sociálneho zabezpečenia.</w:t>
                  </w:r>
                </w:p>
              </w:tc>
              <w:tc>
                <w:tcPr>
                  <w:tcW w:w="3682" w:type="dxa"/>
                </w:tcPr>
                <w:p w14:paraId="3BDA4510" w14:textId="77777777" w:rsidR="00004B41" w:rsidRPr="000939E3" w:rsidRDefault="00004B41" w:rsidP="0048562C">
                  <w:pPr>
                    <w:widowControl w:val="0"/>
                    <w:spacing w:after="0"/>
                    <w:rPr>
                      <w:sz w:val="20"/>
                    </w:rPr>
                  </w:pPr>
                  <w:r w:rsidRPr="000939E3">
                    <w:rPr>
                      <w:sz w:val="20"/>
                    </w:rPr>
                    <w:t xml:space="preserve">V územnej samospráve sa vykazujú obce </w:t>
                  </w:r>
                  <w:r w:rsidRPr="000939E3">
                    <w:rPr>
                      <w:sz w:val="20"/>
                    </w:rPr>
                    <w:br/>
                    <w:t>a vyššie územné celky a nimi zriadené rozpočtové organizácie a príspevkové organizácie, ako aj ďalšie subjekty, ktoré sú zapísané a zaradené v registri*.</w:t>
                  </w:r>
                </w:p>
              </w:tc>
            </w:tr>
            <w:tr w:rsidR="00004B41" w:rsidRPr="000939E3" w14:paraId="6E60A094" w14:textId="77777777" w:rsidTr="0089781E">
              <w:trPr>
                <w:trHeight w:val="20"/>
              </w:trPr>
              <w:tc>
                <w:tcPr>
                  <w:tcW w:w="1274" w:type="dxa"/>
                  <w:tcBorders>
                    <w:bottom w:val="single" w:sz="4" w:space="0" w:color="auto"/>
                  </w:tcBorders>
                </w:tcPr>
                <w:p w14:paraId="4FA31C20" w14:textId="77777777" w:rsidR="00004B41" w:rsidRPr="000939E3" w:rsidRDefault="00004B41" w:rsidP="0048562C">
                  <w:pPr>
                    <w:widowControl w:val="0"/>
                    <w:spacing w:after="0"/>
                    <w:jc w:val="left"/>
                    <w:rPr>
                      <w:b/>
                      <w:sz w:val="20"/>
                    </w:rPr>
                  </w:pPr>
                  <w:r w:rsidRPr="000939E3">
                    <w:rPr>
                      <w:b/>
                      <w:sz w:val="20"/>
                    </w:rPr>
                    <w:t>Fondy sociálneho zabezpečenia</w:t>
                  </w:r>
                </w:p>
              </w:tc>
              <w:tc>
                <w:tcPr>
                  <w:tcW w:w="3824" w:type="dxa"/>
                  <w:gridSpan w:val="2"/>
                  <w:tcBorders>
                    <w:bottom w:val="single" w:sz="4" w:space="0" w:color="auto"/>
                  </w:tcBorders>
                </w:tcPr>
                <w:p w14:paraId="3F7AE1B9" w14:textId="77777777" w:rsidR="00004B41" w:rsidRPr="000939E3" w:rsidRDefault="00004B41" w:rsidP="0048562C">
                  <w:pPr>
                    <w:widowControl w:val="0"/>
                    <w:spacing w:after="0"/>
                    <w:rPr>
                      <w:sz w:val="20"/>
                    </w:rPr>
                  </w:pPr>
                  <w:r w:rsidRPr="000939E3">
                    <w:rPr>
                      <w:sz w:val="20"/>
                    </w:rPr>
                    <w:t>Subsektor fondov sociálneho zabezpečenia zahŕňa ústredné, regionálne a miestne inštitucionálne jednotky, ktorých hlavnou činnosťou je poskytovanie sociálnych dávok a spĺňajú ďalšie, tu nevymenované kritériá.</w:t>
                  </w:r>
                </w:p>
              </w:tc>
              <w:tc>
                <w:tcPr>
                  <w:tcW w:w="3682" w:type="dxa"/>
                  <w:tcBorders>
                    <w:bottom w:val="single" w:sz="4" w:space="0" w:color="auto"/>
                  </w:tcBorders>
                </w:tcPr>
                <w:p w14:paraId="683257D6" w14:textId="77777777" w:rsidR="00004B41" w:rsidRPr="000939E3" w:rsidRDefault="00004B41" w:rsidP="0048562C">
                  <w:pPr>
                    <w:widowControl w:val="0"/>
                    <w:spacing w:after="0"/>
                    <w:rPr>
                      <w:sz w:val="20"/>
                    </w:rPr>
                  </w:pPr>
                  <w:r w:rsidRPr="000939E3">
                    <w:rPr>
                      <w:sz w:val="20"/>
                    </w:rPr>
                    <w:t>Vo fondoch sociálneho poistenia a fondoch zdravotného poistenia sa vykazuje Sociálna poisťovňa a zdravotné poisťovne.</w:t>
                  </w:r>
                </w:p>
              </w:tc>
            </w:tr>
            <w:tr w:rsidR="00004B41" w:rsidRPr="000939E3" w14:paraId="4876DABE" w14:textId="77777777" w:rsidTr="00E376A4">
              <w:trPr>
                <w:trHeight w:val="20"/>
              </w:trPr>
              <w:tc>
                <w:tcPr>
                  <w:tcW w:w="2581" w:type="dxa"/>
                  <w:gridSpan w:val="2"/>
                  <w:tcBorders>
                    <w:top w:val="single" w:sz="4" w:space="0" w:color="auto"/>
                    <w:left w:val="nil"/>
                    <w:bottom w:val="nil"/>
                    <w:right w:val="nil"/>
                  </w:tcBorders>
                </w:tcPr>
                <w:p w14:paraId="0BFD46EE" w14:textId="4AEE7D0E" w:rsidR="00004B41" w:rsidRPr="000939E3" w:rsidRDefault="00004B41">
                  <w:pPr>
                    <w:widowControl w:val="0"/>
                    <w:spacing w:after="0"/>
                    <w:ind w:right="318"/>
                    <w:jc w:val="left"/>
                    <w:rPr>
                      <w:b/>
                      <w:sz w:val="18"/>
                      <w:szCs w:val="16"/>
                    </w:rPr>
                  </w:pPr>
                  <w:r w:rsidRPr="000939E3">
                    <w:rPr>
                      <w:i/>
                      <w:iCs/>
                      <w:sz w:val="18"/>
                      <w:szCs w:val="16"/>
                      <w:lang w:eastAsia="sk-SK"/>
                    </w:rPr>
                    <w:t>* Register organizácií vedený Štatistickým úradom SR</w:t>
                  </w:r>
                </w:p>
              </w:tc>
              <w:tc>
                <w:tcPr>
                  <w:tcW w:w="6199" w:type="dxa"/>
                  <w:gridSpan w:val="2"/>
                  <w:tcBorders>
                    <w:top w:val="single" w:sz="4" w:space="0" w:color="auto"/>
                    <w:left w:val="nil"/>
                    <w:bottom w:val="nil"/>
                    <w:right w:val="nil"/>
                  </w:tcBorders>
                </w:tcPr>
                <w:p w14:paraId="0E96C100" w14:textId="77777777" w:rsidR="00004B41" w:rsidRPr="000939E3" w:rsidRDefault="00004B41" w:rsidP="0048562C">
                  <w:pPr>
                    <w:widowControl w:val="0"/>
                    <w:spacing w:after="0"/>
                    <w:jc w:val="right"/>
                    <w:rPr>
                      <w:i/>
                      <w:iCs/>
                      <w:sz w:val="18"/>
                      <w:szCs w:val="16"/>
                      <w:lang w:eastAsia="sk-SK"/>
                    </w:rPr>
                  </w:pPr>
                  <w:r w:rsidRPr="000939E3">
                    <w:rPr>
                      <w:i/>
                      <w:iCs/>
                      <w:sz w:val="18"/>
                      <w:szCs w:val="16"/>
                      <w:lang w:eastAsia="sk-SK"/>
                    </w:rPr>
                    <w:t>Zdroj: Nariadenie EP a Rady EÚ č. 549/2013 o európskom systéme národných a regionálnych účtov v EÚ; Zákon 523/2004 Z. z. o rozpočtových pravidlách verejnej správy</w:t>
                  </w:r>
                </w:p>
              </w:tc>
            </w:tr>
          </w:tbl>
          <w:p w14:paraId="1BFCA898" w14:textId="41217961" w:rsidR="00C851C5" w:rsidRPr="000939E3" w:rsidRDefault="00C851C5" w:rsidP="0048562C">
            <w:pPr>
              <w:widowControl w:val="0"/>
              <w:spacing w:before="240"/>
            </w:pPr>
            <w:r w:rsidRPr="000939E3">
              <w:t>Na Slovensku subsektor regionálnej štátnej správy neexistuje, no delenie na ostatné tri subsektory je prevzaté aj do našej legislatívy. Zákon o rozpočtových pravidlách konkretizuje tieto subsektory</w:t>
            </w:r>
            <w:r w:rsidR="00AA492C" w:rsidRPr="000939E3">
              <w:t xml:space="preserve"> </w:t>
            </w:r>
            <w:r w:rsidR="00F5695C" w:rsidRPr="000939E3">
              <w:t>takto</w:t>
            </w:r>
            <w:r w:rsidRPr="000939E3">
              <w:t>:</w:t>
            </w:r>
          </w:p>
          <w:p w14:paraId="497D1E3E" w14:textId="6C8F3CCB" w:rsidR="00C851C5" w:rsidRPr="000939E3" w:rsidRDefault="00C851C5" w:rsidP="0048562C">
            <w:pPr>
              <w:widowControl w:val="0"/>
              <w:spacing w:before="240"/>
            </w:pPr>
            <w:r w:rsidRPr="000939E3">
              <w:t>Zaradenie subjektu</w:t>
            </w:r>
            <w:r w:rsidR="00C642A7" w:rsidRPr="000939E3">
              <w:t xml:space="preserve"> do</w:t>
            </w:r>
            <w:r w:rsidRPr="000939E3">
              <w:t xml:space="preserve"> </w:t>
            </w:r>
            <w:r w:rsidR="00C642A7" w:rsidRPr="000939E3">
              <w:t>alebo vyradenie z</w:t>
            </w:r>
            <w:r w:rsidRPr="000939E3">
              <w:t xml:space="preserve">o sektora verejnej správy na Slovensku vykonáva Štatistický úrad (ŠÚ SR). Podľa kritérií tejto metodiky bolo nevyhnutné pri zaradení subjektu posúdiť okrem iného: </w:t>
            </w:r>
          </w:p>
          <w:p w14:paraId="5FFE190C" w14:textId="77777777" w:rsidR="00C851C5" w:rsidRPr="000939E3" w:rsidRDefault="00C851C5" w:rsidP="00B41924">
            <w:pPr>
              <w:pStyle w:val="Odsekzoznamu"/>
              <w:keepNext/>
              <w:numPr>
                <w:ilvl w:val="0"/>
                <w:numId w:val="11"/>
              </w:numPr>
              <w:ind w:left="639"/>
            </w:pPr>
            <w:r w:rsidRPr="000939E3">
              <w:t>či ide o inštitucionálnu jednotku,</w:t>
            </w:r>
          </w:p>
          <w:p w14:paraId="3213CA1C" w14:textId="77777777" w:rsidR="00C851C5" w:rsidRPr="000939E3" w:rsidRDefault="00C851C5" w:rsidP="00B41924">
            <w:pPr>
              <w:pStyle w:val="Odsekzoznamu"/>
              <w:keepNext/>
              <w:numPr>
                <w:ilvl w:val="0"/>
                <w:numId w:val="11"/>
              </w:numPr>
              <w:ind w:left="639"/>
            </w:pPr>
            <w:r w:rsidRPr="000939E3">
              <w:t>či je daná jednotka pod kontrolou verejnej správy,</w:t>
            </w:r>
          </w:p>
          <w:p w14:paraId="3C3D6B77" w14:textId="77777777" w:rsidR="00C851C5" w:rsidRPr="000939E3" w:rsidRDefault="00C851C5" w:rsidP="00B41924">
            <w:pPr>
              <w:pStyle w:val="Odsekzoznamu"/>
              <w:keepNext/>
              <w:numPr>
                <w:ilvl w:val="0"/>
                <w:numId w:val="11"/>
              </w:numPr>
              <w:ind w:left="639"/>
            </w:pPr>
            <w:r w:rsidRPr="000939E3">
              <w:t>či je jednotka netrhovým výrobcom.</w:t>
            </w:r>
          </w:p>
          <w:p w14:paraId="699C44C9" w14:textId="3BB727C1" w:rsidR="00C851C5" w:rsidRPr="000939E3" w:rsidRDefault="00C851C5" w:rsidP="00BF38DB">
            <w:pPr>
              <w:spacing w:before="240"/>
            </w:pPr>
            <w:r w:rsidRPr="000939E3">
              <w:t xml:space="preserve">Najväčšími subjektmi zaradenými do sektora verejnej správy </w:t>
            </w:r>
            <w:r w:rsidR="00C642A7" w:rsidRPr="000939E3">
              <w:t xml:space="preserve">sú </w:t>
            </w:r>
            <w:r w:rsidRPr="000939E3">
              <w:t>štátne zdravotnícke zariadenia (36,</w:t>
            </w:r>
            <w:r w:rsidR="00BF38DB" w:rsidRPr="000939E3">
              <w:t>5-</w:t>
            </w:r>
            <w:r w:rsidRPr="000939E3">
              <w:t>tis. zamestnancov) a Železnice Slovenskej republiky (</w:t>
            </w:r>
            <w:r w:rsidR="00BF38DB" w:rsidRPr="000939E3">
              <w:t>14-</w:t>
            </w:r>
            <w:r w:rsidRPr="000939E3">
              <w:t>tis. zamestnancov). Do sektora verejnej správy boli zaradené v roku 2014.</w:t>
            </w:r>
          </w:p>
        </w:tc>
      </w:tr>
    </w:tbl>
    <w:p w14:paraId="76E71AB2" w14:textId="073A535D" w:rsidR="00DB721C" w:rsidRPr="000939E3" w:rsidRDefault="00004B41" w:rsidP="00E24FBF">
      <w:pPr>
        <w:spacing w:before="240"/>
      </w:pPr>
      <w:r w:rsidRPr="000939E3">
        <w:rPr>
          <w:b/>
        </w:rPr>
        <w:lastRenderedPageBreak/>
        <w:t>Sektor verejnej správy na Slovensku, vrátane samospráv, zamestnáva priemerný počet úradníkov na svoju veľkosť, pracuje v ňom 20,5 úradníkov na 1 000 obyvateľov (priemer EÚ je 20,3</w:t>
      </w:r>
      <w:r w:rsidR="00AE36EA" w:rsidRPr="000939E3">
        <w:rPr>
          <w:b/>
        </w:rPr>
        <w:t xml:space="preserve">; </w:t>
      </w:r>
      <w:r w:rsidR="00AE36EA" w:rsidRPr="000939E3">
        <w:rPr>
          <w:b/>
        </w:rPr>
        <w:fldChar w:fldCharType="begin"/>
      </w:r>
      <w:r w:rsidR="00AE36EA" w:rsidRPr="000939E3">
        <w:rPr>
          <w:b/>
        </w:rPr>
        <w:instrText xml:space="preserve"> REF _Ref5994255 \h  \* MERGEFORMAT </w:instrText>
      </w:r>
      <w:r w:rsidR="00AE36EA" w:rsidRPr="000939E3">
        <w:rPr>
          <w:b/>
        </w:rPr>
      </w:r>
      <w:r w:rsidR="00AE36EA" w:rsidRPr="000939E3">
        <w:rPr>
          <w:b/>
        </w:rPr>
        <w:fldChar w:fldCharType="separate"/>
      </w:r>
      <w:r w:rsidR="00BF69CA" w:rsidRPr="00BF69CA">
        <w:rPr>
          <w:b/>
        </w:rPr>
        <w:t xml:space="preserve">Graf </w:t>
      </w:r>
      <w:r w:rsidR="00BF69CA" w:rsidRPr="00BF69CA">
        <w:rPr>
          <w:b/>
          <w:noProof/>
        </w:rPr>
        <w:t>10</w:t>
      </w:r>
      <w:r w:rsidR="00AE36EA" w:rsidRPr="000939E3">
        <w:rPr>
          <w:b/>
        </w:rPr>
        <w:fldChar w:fldCharType="end"/>
      </w:r>
      <w:r w:rsidRPr="000939E3">
        <w:rPr>
          <w:b/>
        </w:rPr>
        <w:t xml:space="preserve">). </w:t>
      </w:r>
      <w:r w:rsidRPr="000939E3">
        <w:t>Úradník je pre účel porovnania definovaný ako zamestnanec v odvetví verejnej správy, obrany a povinného sociálneho zabezpečenia (NACE O), ktorý pracuje</w:t>
      </w:r>
      <w:r w:rsidRPr="000939E3">
        <w:rPr>
          <w:rStyle w:val="Odkaznapoznmkupodiarou"/>
        </w:rPr>
        <w:footnoteReference w:id="32"/>
      </w:r>
      <w:r w:rsidRPr="000939E3">
        <w:t xml:space="preserve"> ako riadiaci pracovník, špecialista, technický, odborný či administratívny pracovník (ISCO 1-4). Pri zúžení definície na kvalifikovaných zamestnancov (bez administratívnych pracovníkov) má Slovensko 13,5 na 1000 obyvateľov oproti priemeru EÚ na úrovni 15,6. Porovnanie nezahŕňa ozbrojené zložky ako sú vojaci a policajti, s výnimkou riadiacich pracovníkov.</w:t>
      </w:r>
    </w:p>
    <w:tbl>
      <w:tblPr>
        <w:tblStyle w:val="UHPGRAF"/>
        <w:tblW w:w="5000" w:type="pct"/>
        <w:tblLayout w:type="fixed"/>
        <w:tblLook w:val="04E0" w:firstRow="1" w:lastRow="1" w:firstColumn="1" w:lastColumn="0" w:noHBand="0" w:noVBand="1"/>
      </w:tblPr>
      <w:tblGrid>
        <w:gridCol w:w="236"/>
        <w:gridCol w:w="8836"/>
      </w:tblGrid>
      <w:tr w:rsidR="0048562C" w:rsidRPr="000939E3" w14:paraId="0CD58AB0" w14:textId="77777777" w:rsidTr="0089781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3370E387" w14:textId="77777777" w:rsidR="0048562C" w:rsidRPr="000939E3" w:rsidRDefault="0048562C" w:rsidP="0089781E">
            <w:pPr>
              <w:spacing w:after="0"/>
              <w:rPr>
                <w:lang w:val="sk-SK"/>
              </w:rPr>
            </w:pPr>
            <w:bookmarkStart w:id="61" w:name="_Ref5994255"/>
            <w:bookmarkStart w:id="62" w:name="_Toc34226881"/>
            <w:r w:rsidRPr="000939E3">
              <w:rPr>
                <w:lang w:val="sk-SK"/>
              </w:rPr>
              <w:lastRenderedPageBreak/>
              <w:t xml:space="preserve">Graf </w:t>
            </w:r>
            <w:r w:rsidRPr="000939E3">
              <w:fldChar w:fldCharType="begin"/>
            </w:r>
            <w:r w:rsidRPr="000939E3">
              <w:rPr>
                <w:lang w:val="sk-SK"/>
              </w:rPr>
              <w:instrText xml:space="preserve"> SEQ Graf \* ARABIC </w:instrText>
            </w:r>
            <w:r w:rsidRPr="000939E3">
              <w:fldChar w:fldCharType="separate"/>
            </w:r>
            <w:r w:rsidR="00BF69CA">
              <w:rPr>
                <w:noProof/>
                <w:lang w:val="sk-SK"/>
              </w:rPr>
              <w:t>10</w:t>
            </w:r>
            <w:r w:rsidRPr="000939E3">
              <w:fldChar w:fldCharType="end"/>
            </w:r>
            <w:bookmarkEnd w:id="61"/>
            <w:r w:rsidRPr="000939E3">
              <w:rPr>
                <w:noProof/>
                <w:lang w:val="sk-SK"/>
              </w:rPr>
              <w:t>:</w:t>
            </w:r>
            <w:r w:rsidRPr="000939E3">
              <w:rPr>
                <w:lang w:val="sk-SK"/>
              </w:rPr>
              <w:t xml:space="preserve"> Počet úradníkov na 1 000 obyvateľov (2017)</w:t>
            </w:r>
            <w:bookmarkEnd w:id="62"/>
          </w:p>
        </w:tc>
      </w:tr>
      <w:tr w:rsidR="0048562C" w:rsidRPr="000939E3" w14:paraId="74FC9D11" w14:textId="77777777" w:rsidTr="0089781E">
        <w:tblPrEx>
          <w:tblCellMar>
            <w:left w:w="70" w:type="dxa"/>
            <w:right w:w="70"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773630D7" w14:textId="77777777" w:rsidR="0048562C" w:rsidRPr="000939E3" w:rsidRDefault="0048562C" w:rsidP="0089781E">
            <w:pPr>
              <w:jc w:val="left"/>
            </w:pPr>
            <w:r w:rsidRPr="000939E3">
              <w:rPr>
                <w:noProof/>
              </w:rPr>
              <w:drawing>
                <wp:inline distT="0" distB="0" distL="0" distR="0" wp14:anchorId="730608EF" wp14:editId="4991BDD2">
                  <wp:extent cx="5686425" cy="2162175"/>
                  <wp:effectExtent l="0" t="0" r="0" b="0"/>
                  <wp:docPr id="243" name="Graf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48562C" w:rsidRPr="000939E3" w14:paraId="6F49887D" w14:textId="77777777" w:rsidTr="0089781E">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30" w:type="pct"/>
          </w:tcPr>
          <w:p w14:paraId="1A2283D9" w14:textId="77777777" w:rsidR="0048562C" w:rsidRPr="000939E3" w:rsidRDefault="0048562C" w:rsidP="0089781E">
            <w:pPr>
              <w:jc w:val="left"/>
              <w:rPr>
                <w:bCs w:val="0"/>
                <w:i w:val="0"/>
              </w:rPr>
            </w:pPr>
          </w:p>
        </w:tc>
        <w:tc>
          <w:tcPr>
            <w:tcW w:w="4870" w:type="pct"/>
          </w:tcPr>
          <w:p w14:paraId="3928DA3F" w14:textId="77777777" w:rsidR="0048562C" w:rsidRPr="000939E3" w:rsidRDefault="0048562C" w:rsidP="0089781E">
            <w:pPr>
              <w:spacing w:after="0"/>
              <w:jc w:val="right"/>
              <w:cnfStyle w:val="010000000000" w:firstRow="0" w:lastRow="1" w:firstColumn="0" w:lastColumn="0" w:oddVBand="0" w:evenVBand="0" w:oddHBand="0" w:evenHBand="0" w:firstRowFirstColumn="0" w:firstRowLastColumn="0" w:lastRowFirstColumn="0" w:lastRowLastColumn="0"/>
              <w:rPr>
                <w:sz w:val="18"/>
              </w:rPr>
            </w:pPr>
            <w:r w:rsidRPr="000939E3">
              <w:rPr>
                <w:sz w:val="18"/>
                <w:lang w:val="sk-SK"/>
              </w:rPr>
              <w:t>Zdroj: Eurostat z dát Výberového zisťovania pracovných síl (2017, spracovanie ÚHP</w:t>
            </w:r>
            <w:r w:rsidRPr="000939E3">
              <w:rPr>
                <w:sz w:val="18"/>
              </w:rPr>
              <w:t>)</w:t>
            </w:r>
          </w:p>
        </w:tc>
      </w:tr>
    </w:tbl>
    <w:p w14:paraId="61F05593" w14:textId="77777777" w:rsidR="006B29CE" w:rsidRPr="000939E3" w:rsidRDefault="009009C0" w:rsidP="006B29CE">
      <w:pPr>
        <w:pStyle w:val="Nadpis2"/>
      </w:pPr>
      <w:bookmarkStart w:id="63" w:name="_Toc526941278"/>
      <w:bookmarkStart w:id="64" w:name="_Toc526966628"/>
      <w:bookmarkStart w:id="65" w:name="_Ref526699329"/>
      <w:bookmarkStart w:id="66" w:name="_Toc526712776"/>
      <w:bookmarkStart w:id="67" w:name="_Toc34050695"/>
      <w:bookmarkEnd w:id="63"/>
      <w:bookmarkEnd w:id="64"/>
      <w:r w:rsidRPr="000939E3">
        <w:t xml:space="preserve">Medzinárodné porovnanie </w:t>
      </w:r>
      <w:r w:rsidR="006B29CE" w:rsidRPr="000939E3">
        <w:t>zamestnanosti a nákladov na vybrané profesie</w:t>
      </w:r>
      <w:bookmarkEnd w:id="65"/>
      <w:bookmarkEnd w:id="66"/>
      <w:bookmarkEnd w:id="67"/>
      <w:r w:rsidR="006B29CE" w:rsidRPr="000939E3">
        <w:t xml:space="preserve"> </w:t>
      </w:r>
    </w:p>
    <w:p w14:paraId="5C0FC6F6" w14:textId="413F7479" w:rsidR="006B29CE" w:rsidRPr="000939E3" w:rsidRDefault="006B29CE" w:rsidP="006B29CE">
      <w:pPr>
        <w:spacing w:after="120"/>
      </w:pPr>
      <w:r w:rsidRPr="000939E3">
        <w:rPr>
          <w:b/>
        </w:rPr>
        <w:t>V odvetviach typicky spájaných s verejným sektorom zamestnáva slovenská ekonomika</w:t>
      </w:r>
      <w:r w:rsidR="00750851" w:rsidRPr="000939E3">
        <w:rPr>
          <w:b/>
        </w:rPr>
        <w:t xml:space="preserve"> </w:t>
      </w:r>
      <w:r w:rsidRPr="000939E3">
        <w:rPr>
          <w:b/>
        </w:rPr>
        <w:t>o šestinu menej zamestnancov na 1 000 obyvateľov ako priemer krajín EÚ</w:t>
      </w:r>
      <w:r w:rsidR="00750851" w:rsidRPr="000939E3">
        <w:rPr>
          <w:b/>
        </w:rPr>
        <w:t xml:space="preserve"> (</w:t>
      </w:r>
      <w:r w:rsidR="00D31FF8" w:rsidRPr="000939E3">
        <w:rPr>
          <w:b/>
        </w:rPr>
        <w:t xml:space="preserve">Graf </w:t>
      </w:r>
      <w:r w:rsidR="00D31FF8" w:rsidRPr="000939E3">
        <w:rPr>
          <w:b/>
          <w:noProof/>
        </w:rPr>
        <w:t>11</w:t>
      </w:r>
      <w:r w:rsidR="00750851" w:rsidRPr="000939E3">
        <w:rPr>
          <w:b/>
        </w:rPr>
        <w:t>)</w:t>
      </w:r>
      <w:r w:rsidRPr="000939E3">
        <w:rPr>
          <w:b/>
        </w:rPr>
        <w:t>.</w:t>
      </w:r>
      <w:r w:rsidRPr="000939E3">
        <w:t xml:space="preserve"> Ukazovateľ sa vzťahuje na celú ekonomiku, nielen na zamestnanosť verejného sektora</w:t>
      </w:r>
      <w:r w:rsidR="00D97782" w:rsidRPr="000939E3">
        <w:rPr>
          <w:rStyle w:val="Odkaznapoznmkupodiarou"/>
        </w:rPr>
        <w:footnoteReference w:id="33"/>
      </w:r>
      <w:r w:rsidRPr="000939E3">
        <w:t>, zahŕňa tak napríklad učiteľov súkromných škôl</w:t>
      </w:r>
      <w:r w:rsidRPr="000939E3">
        <w:rPr>
          <w:rStyle w:val="Odkaznapoznmkupodiarou"/>
        </w:rPr>
        <w:footnoteReference w:id="34"/>
      </w:r>
      <w:r w:rsidRPr="000939E3">
        <w:t>.</w:t>
      </w:r>
      <w:r w:rsidR="00750851" w:rsidRPr="000939E3">
        <w:t xml:space="preserve"> Zamestnanosť v odvetviach</w:t>
      </w:r>
      <w:r w:rsidRPr="000939E3">
        <w:t>, v ktorých je štát regulátorom alebo dominantným poskytovateľom verejných služieb, považuje literatúra za dostatočnú aproximáciu verejnej zamestnanosti (Van de Wall</w:t>
      </w:r>
      <w:r w:rsidR="00140B22" w:rsidRPr="000939E3">
        <w:t>e</w:t>
      </w:r>
      <w:r w:rsidRPr="000939E3">
        <w:t xml:space="preserve">, Groeneveld, 2016). </w:t>
      </w:r>
    </w:p>
    <w:tbl>
      <w:tblPr>
        <w:tblStyle w:val="UHPGRAF"/>
        <w:tblW w:w="5000" w:type="pct"/>
        <w:tblLayout w:type="fixed"/>
        <w:tblLook w:val="04E0" w:firstRow="1" w:lastRow="1" w:firstColumn="1" w:lastColumn="0" w:noHBand="0" w:noVBand="1"/>
      </w:tblPr>
      <w:tblGrid>
        <w:gridCol w:w="2552"/>
        <w:gridCol w:w="1843"/>
        <w:gridCol w:w="283"/>
        <w:gridCol w:w="2552"/>
        <w:gridCol w:w="1842"/>
      </w:tblGrid>
      <w:tr w:rsidR="006B29CE" w:rsidRPr="000939E3" w14:paraId="78ADD58F" w14:textId="77777777" w:rsidTr="00D25C5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5" w:type="dxa"/>
            <w:gridSpan w:val="2"/>
            <w:vAlign w:val="bottom"/>
          </w:tcPr>
          <w:p w14:paraId="6450AE0C" w14:textId="639CD772" w:rsidR="006B29CE" w:rsidRPr="000939E3" w:rsidRDefault="006B29CE" w:rsidP="00DB051F">
            <w:pPr>
              <w:spacing w:after="0"/>
              <w:jc w:val="left"/>
              <w:rPr>
                <w:lang w:val="sk-SK"/>
              </w:rPr>
            </w:pPr>
            <w:bookmarkStart w:id="68" w:name="_Ref532829937"/>
            <w:bookmarkStart w:id="69" w:name="_Toc34226882"/>
            <w:r w:rsidRPr="000939E3">
              <w:rPr>
                <w:lang w:val="sk-SK"/>
              </w:rPr>
              <w:t xml:space="preserve">Graf </w:t>
            </w:r>
            <w:r w:rsidR="000B0EF7" w:rsidRPr="000939E3">
              <w:fldChar w:fldCharType="begin"/>
            </w:r>
            <w:r w:rsidR="000B0EF7" w:rsidRPr="000939E3">
              <w:rPr>
                <w:lang w:val="sk-SK"/>
              </w:rPr>
              <w:instrText xml:space="preserve"> SEQ Graf \* ARABIC </w:instrText>
            </w:r>
            <w:r w:rsidR="000B0EF7" w:rsidRPr="000939E3">
              <w:fldChar w:fldCharType="separate"/>
            </w:r>
            <w:r w:rsidR="00BF69CA">
              <w:rPr>
                <w:noProof/>
                <w:lang w:val="sk-SK"/>
              </w:rPr>
              <w:t>11</w:t>
            </w:r>
            <w:r w:rsidR="000B0EF7" w:rsidRPr="000939E3">
              <w:fldChar w:fldCharType="end"/>
            </w:r>
            <w:bookmarkEnd w:id="68"/>
            <w:r w:rsidRPr="000939E3">
              <w:rPr>
                <w:noProof/>
                <w:lang w:val="sk-SK"/>
              </w:rPr>
              <w:t>:</w:t>
            </w:r>
            <w:r w:rsidRPr="000939E3">
              <w:rPr>
                <w:lang w:val="sk-SK"/>
              </w:rPr>
              <w:t xml:space="preserve"> </w:t>
            </w:r>
            <w:r w:rsidR="007F08B8" w:rsidRPr="000939E3">
              <w:rPr>
                <w:lang w:val="sk-SK"/>
              </w:rPr>
              <w:t>Počet z</w:t>
            </w:r>
            <w:r w:rsidRPr="000939E3">
              <w:rPr>
                <w:lang w:val="sk-SK"/>
              </w:rPr>
              <w:t>amestnanc</w:t>
            </w:r>
            <w:r w:rsidR="007F08B8" w:rsidRPr="000939E3">
              <w:rPr>
                <w:lang w:val="sk-SK"/>
              </w:rPr>
              <w:t>ov</w:t>
            </w:r>
            <w:r w:rsidRPr="000939E3">
              <w:rPr>
                <w:lang w:val="sk-SK"/>
              </w:rPr>
              <w:t xml:space="preserve"> vybraných odvetví na 1000 obyvateľov (</w:t>
            </w:r>
            <w:r w:rsidR="00DB051F" w:rsidRPr="000939E3">
              <w:rPr>
                <w:lang w:val="sk-SK"/>
              </w:rPr>
              <w:t>2018</w:t>
            </w:r>
            <w:r w:rsidRPr="000939E3">
              <w:rPr>
                <w:lang w:val="sk-SK"/>
              </w:rPr>
              <w:t>)</w:t>
            </w:r>
            <w:bookmarkEnd w:id="69"/>
          </w:p>
        </w:tc>
        <w:tc>
          <w:tcPr>
            <w:tcW w:w="283" w:type="dxa"/>
            <w:tcBorders>
              <w:bottom w:val="nil"/>
            </w:tcBorders>
          </w:tcPr>
          <w:p w14:paraId="0631E4AB" w14:textId="77777777" w:rsidR="006B29CE" w:rsidRPr="000939E3" w:rsidRDefault="006B29CE" w:rsidP="00AB25D6">
            <w:pPr>
              <w:spacing w:after="0"/>
              <w:cnfStyle w:val="100000000000" w:firstRow="1" w:lastRow="0" w:firstColumn="0" w:lastColumn="0" w:oddVBand="0" w:evenVBand="0" w:oddHBand="0" w:evenHBand="0" w:firstRowFirstColumn="0" w:firstRowLastColumn="0" w:lastRowFirstColumn="0" w:lastRowLastColumn="0"/>
              <w:rPr>
                <w:lang w:val="sk-SK"/>
              </w:rPr>
            </w:pPr>
          </w:p>
        </w:tc>
        <w:tc>
          <w:tcPr>
            <w:tcW w:w="4394" w:type="dxa"/>
            <w:gridSpan w:val="2"/>
          </w:tcPr>
          <w:p w14:paraId="431E3396" w14:textId="13022741" w:rsidR="006B29CE" w:rsidRPr="000939E3" w:rsidRDefault="006B29CE" w:rsidP="00DB051F">
            <w:pPr>
              <w:spacing w:after="0"/>
              <w:cnfStyle w:val="100000000000" w:firstRow="1" w:lastRow="0" w:firstColumn="0" w:lastColumn="0" w:oddVBand="0" w:evenVBand="0" w:oddHBand="0" w:evenHBand="0" w:firstRowFirstColumn="0" w:firstRowLastColumn="0" w:lastRowFirstColumn="0" w:lastRowLastColumn="0"/>
              <w:rPr>
                <w:lang w:val="pt-BR"/>
              </w:rPr>
            </w:pPr>
            <w:bookmarkStart w:id="70" w:name="_Ref532814436"/>
            <w:bookmarkStart w:id="71" w:name="_Toc34226883"/>
            <w:r w:rsidRPr="000939E3">
              <w:rPr>
                <w:lang w:val="pt-BR"/>
              </w:rPr>
              <w:t xml:space="preserve">Graf </w:t>
            </w:r>
            <w:r w:rsidR="000B0EF7" w:rsidRPr="000939E3">
              <w:fldChar w:fldCharType="begin"/>
            </w:r>
            <w:r w:rsidR="000B0EF7" w:rsidRPr="000939E3">
              <w:rPr>
                <w:lang w:val="pt-BR"/>
              </w:rPr>
              <w:instrText xml:space="preserve"> SEQ Graf \* ARABIC </w:instrText>
            </w:r>
            <w:r w:rsidR="000B0EF7" w:rsidRPr="000939E3">
              <w:fldChar w:fldCharType="separate"/>
            </w:r>
            <w:r w:rsidR="00BF69CA">
              <w:rPr>
                <w:noProof/>
                <w:lang w:val="pt-BR"/>
              </w:rPr>
              <w:t>12</w:t>
            </w:r>
            <w:r w:rsidR="000B0EF7" w:rsidRPr="000939E3">
              <w:fldChar w:fldCharType="end"/>
            </w:r>
            <w:bookmarkEnd w:id="70"/>
            <w:r w:rsidRPr="000939E3">
              <w:rPr>
                <w:noProof/>
                <w:lang w:val="pt-BR"/>
              </w:rPr>
              <w:t>:</w:t>
            </w:r>
            <w:r w:rsidRPr="000939E3">
              <w:rPr>
                <w:lang w:val="pt-BR"/>
              </w:rPr>
              <w:t xml:space="preserve"> Zamestnanci v odvetví zdravotníctva a sociálnej pomoci na 1000 obyvateľov (</w:t>
            </w:r>
            <w:r w:rsidR="00DB051F" w:rsidRPr="000939E3">
              <w:rPr>
                <w:lang w:val="pt-BR"/>
              </w:rPr>
              <w:t>2018</w:t>
            </w:r>
            <w:r w:rsidRPr="000939E3">
              <w:rPr>
                <w:lang w:val="pt-BR"/>
              </w:rPr>
              <w:t>)</w:t>
            </w:r>
            <w:bookmarkEnd w:id="71"/>
          </w:p>
        </w:tc>
      </w:tr>
      <w:tr w:rsidR="006B29CE" w:rsidRPr="000939E3" w14:paraId="16893493" w14:textId="77777777" w:rsidTr="00D25C5A">
        <w:trPr>
          <w:trHeight w:val="20"/>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single" w:sz="4" w:space="0" w:color="auto"/>
            </w:tcBorders>
          </w:tcPr>
          <w:p w14:paraId="3FE6C782" w14:textId="7F9D1FD5" w:rsidR="006B29CE" w:rsidRPr="000939E3" w:rsidRDefault="00DB051F" w:rsidP="00AB25D6">
            <w:pPr>
              <w:ind w:left="-70"/>
              <w:jc w:val="center"/>
            </w:pPr>
            <w:r w:rsidRPr="000939E3">
              <w:rPr>
                <w:noProof/>
              </w:rPr>
              <w:drawing>
                <wp:inline distT="0" distB="0" distL="0" distR="0" wp14:anchorId="49DB3E04" wp14:editId="31575404">
                  <wp:extent cx="2611755" cy="299085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83" w:type="dxa"/>
            <w:tcBorders>
              <w:bottom w:val="nil"/>
            </w:tcBorders>
          </w:tcPr>
          <w:p w14:paraId="1380AA1C" w14:textId="77777777" w:rsidR="006B29CE" w:rsidRPr="000939E3" w:rsidRDefault="006B29CE" w:rsidP="00AB25D6">
            <w:pPr>
              <w:jc w:val="center"/>
              <w:cnfStyle w:val="000000000000" w:firstRow="0" w:lastRow="0" w:firstColumn="0" w:lastColumn="0" w:oddVBand="0" w:evenVBand="0" w:oddHBand="0" w:evenHBand="0" w:firstRowFirstColumn="0" w:firstRowLastColumn="0" w:lastRowFirstColumn="0" w:lastRowLastColumn="0"/>
              <w:rPr>
                <w:noProof/>
              </w:rPr>
            </w:pPr>
          </w:p>
        </w:tc>
        <w:tc>
          <w:tcPr>
            <w:tcW w:w="4394" w:type="dxa"/>
            <w:gridSpan w:val="2"/>
            <w:tcBorders>
              <w:bottom w:val="single" w:sz="4" w:space="0" w:color="auto"/>
            </w:tcBorders>
          </w:tcPr>
          <w:p w14:paraId="4A0AAC85" w14:textId="72F6ACC9" w:rsidR="006B29CE" w:rsidRPr="000939E3" w:rsidRDefault="00995114" w:rsidP="00D25C5A">
            <w:pPr>
              <w:ind w:left="-164" w:firstLine="56"/>
              <w:jc w:val="center"/>
              <w:cnfStyle w:val="000000000000" w:firstRow="0" w:lastRow="0" w:firstColumn="0" w:lastColumn="0" w:oddVBand="0" w:evenVBand="0" w:oddHBand="0" w:evenHBand="0" w:firstRowFirstColumn="0" w:firstRowLastColumn="0" w:lastRowFirstColumn="0" w:lastRowLastColumn="0"/>
            </w:pPr>
            <w:r w:rsidRPr="000939E3">
              <w:rPr>
                <w:noProof/>
              </w:rPr>
              <w:drawing>
                <wp:inline distT="0" distB="0" distL="0" distR="0" wp14:anchorId="7C4F851D" wp14:editId="2664FF99">
                  <wp:extent cx="2717800" cy="2998470"/>
                  <wp:effectExtent l="0" t="0" r="635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D25C5A" w:rsidRPr="000939E3" w14:paraId="3097117F" w14:textId="77777777" w:rsidTr="00D25C5A">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2552" w:type="dxa"/>
          </w:tcPr>
          <w:p w14:paraId="2BA17DA0" w14:textId="76D2C5EE" w:rsidR="00D25C5A" w:rsidRPr="00D25C5A" w:rsidRDefault="00D25C5A" w:rsidP="00D25C5A">
            <w:pPr>
              <w:spacing w:after="0"/>
              <w:jc w:val="left"/>
              <w:rPr>
                <w:b w:val="0"/>
                <w:sz w:val="18"/>
                <w:lang w:val="sk-SK"/>
              </w:rPr>
            </w:pPr>
            <w:r w:rsidRPr="00D25C5A">
              <w:rPr>
                <w:b w:val="0"/>
                <w:sz w:val="18"/>
                <w:lang w:val="sk-SK"/>
              </w:rPr>
              <w:t>Pozn.: dáta za Grécko, Francúzsko a Švédsko sú za rok 2017</w:t>
            </w:r>
          </w:p>
        </w:tc>
        <w:tc>
          <w:tcPr>
            <w:tcW w:w="1843" w:type="dxa"/>
          </w:tcPr>
          <w:p w14:paraId="678E8F05" w14:textId="4717E346" w:rsidR="00D25C5A" w:rsidRPr="00D25C5A" w:rsidRDefault="00D25C5A" w:rsidP="00D25C5A">
            <w:pPr>
              <w:spacing w:after="0"/>
              <w:jc w:val="right"/>
              <w:cnfStyle w:val="010000000000" w:firstRow="0" w:lastRow="1" w:firstColumn="0" w:lastColumn="0" w:oddVBand="0" w:evenVBand="0" w:oddHBand="0" w:evenHBand="0" w:firstRowFirstColumn="0" w:firstRowLastColumn="0" w:lastRowFirstColumn="0" w:lastRowLastColumn="0"/>
              <w:rPr>
                <w:sz w:val="18"/>
                <w:lang w:val="sk-SK"/>
              </w:rPr>
            </w:pPr>
            <w:r w:rsidRPr="00D25C5A">
              <w:rPr>
                <w:sz w:val="18"/>
                <w:lang w:val="sk-SK"/>
              </w:rPr>
              <w:t>Zdroj: Eurostat, spracovanie ÚHP</w:t>
            </w:r>
          </w:p>
        </w:tc>
        <w:tc>
          <w:tcPr>
            <w:tcW w:w="283" w:type="dxa"/>
            <w:tcBorders>
              <w:top w:val="nil"/>
            </w:tcBorders>
            <w:vAlign w:val="top"/>
          </w:tcPr>
          <w:p w14:paraId="6311A634" w14:textId="77777777" w:rsidR="00D25C5A" w:rsidRPr="00D25C5A" w:rsidRDefault="00D25C5A" w:rsidP="00D25C5A">
            <w:pPr>
              <w:spacing w:after="0"/>
              <w:jc w:val="right"/>
              <w:cnfStyle w:val="010000000000" w:firstRow="0" w:lastRow="1" w:firstColumn="0" w:lastColumn="0" w:oddVBand="0" w:evenVBand="0" w:oddHBand="0" w:evenHBand="0" w:firstRowFirstColumn="0" w:firstRowLastColumn="0" w:lastRowFirstColumn="0" w:lastRowLastColumn="0"/>
              <w:rPr>
                <w:sz w:val="18"/>
                <w:lang w:val="sk-SK"/>
              </w:rPr>
            </w:pPr>
          </w:p>
        </w:tc>
        <w:tc>
          <w:tcPr>
            <w:tcW w:w="2552" w:type="dxa"/>
          </w:tcPr>
          <w:p w14:paraId="325C5FA9" w14:textId="0B26A222" w:rsidR="00D25C5A" w:rsidRPr="00D25C5A" w:rsidRDefault="00D25C5A" w:rsidP="00D25C5A">
            <w:pPr>
              <w:spacing w:after="0"/>
              <w:jc w:val="left"/>
              <w:cnfStyle w:val="010000000000" w:firstRow="0" w:lastRow="1" w:firstColumn="0" w:lastColumn="0" w:oddVBand="0" w:evenVBand="0" w:oddHBand="0" w:evenHBand="0" w:firstRowFirstColumn="0" w:firstRowLastColumn="0" w:lastRowFirstColumn="0" w:lastRowLastColumn="0"/>
              <w:rPr>
                <w:sz w:val="18"/>
                <w:lang w:val="sk-SK"/>
              </w:rPr>
            </w:pPr>
            <w:r w:rsidRPr="00D25C5A">
              <w:rPr>
                <w:sz w:val="18"/>
                <w:lang w:val="sk-SK"/>
              </w:rPr>
              <w:t>Pozn.: dáta za Grécko, Francúzsko a Švédsko sú za rok 2017</w:t>
            </w:r>
          </w:p>
        </w:tc>
        <w:tc>
          <w:tcPr>
            <w:tcW w:w="1842" w:type="dxa"/>
          </w:tcPr>
          <w:p w14:paraId="37220E9B" w14:textId="6426A620" w:rsidR="00D25C5A" w:rsidRPr="00D25C5A" w:rsidRDefault="00D25C5A" w:rsidP="00D25C5A">
            <w:pPr>
              <w:spacing w:after="0"/>
              <w:jc w:val="right"/>
              <w:cnfStyle w:val="010000000000" w:firstRow="0" w:lastRow="1" w:firstColumn="0" w:lastColumn="0" w:oddVBand="0" w:evenVBand="0" w:oddHBand="0" w:evenHBand="0" w:firstRowFirstColumn="0" w:firstRowLastColumn="0" w:lastRowFirstColumn="0" w:lastRowLastColumn="0"/>
              <w:rPr>
                <w:sz w:val="18"/>
                <w:lang w:val="sk-SK"/>
              </w:rPr>
            </w:pPr>
            <w:r w:rsidRPr="00D25C5A">
              <w:rPr>
                <w:sz w:val="18"/>
                <w:lang w:val="sk-SK"/>
              </w:rPr>
              <w:t>Zdroj: Eurostat, spracovanie ÚHP</w:t>
            </w:r>
          </w:p>
        </w:tc>
      </w:tr>
    </w:tbl>
    <w:p w14:paraId="0E7E9CAF" w14:textId="4D48DCF4" w:rsidR="006B29CE" w:rsidRPr="000939E3" w:rsidRDefault="004E7794" w:rsidP="006B29CE">
      <w:pPr>
        <w:spacing w:before="120"/>
      </w:pPr>
      <w:r w:rsidRPr="000939E3">
        <w:rPr>
          <w:b/>
        </w:rPr>
        <w:t>Celkovo n</w:t>
      </w:r>
      <w:r w:rsidR="006B29CE" w:rsidRPr="000939E3">
        <w:rPr>
          <w:b/>
        </w:rPr>
        <w:t>ižšiu</w:t>
      </w:r>
      <w:r w:rsidR="006B29CE" w:rsidRPr="000939E3">
        <w:t xml:space="preserve"> </w:t>
      </w:r>
      <w:r w:rsidR="006B29CE" w:rsidRPr="000939E3">
        <w:rPr>
          <w:b/>
        </w:rPr>
        <w:t>zamestnanosť v týchto odvetviach spôsobuje</w:t>
      </w:r>
      <w:r w:rsidR="006B29CE" w:rsidRPr="000939E3">
        <w:t xml:space="preserve"> </w:t>
      </w:r>
      <w:r w:rsidR="006B29CE" w:rsidRPr="000939E3">
        <w:rPr>
          <w:b/>
        </w:rPr>
        <w:t xml:space="preserve">najmä </w:t>
      </w:r>
      <w:r w:rsidR="00A410D6" w:rsidRPr="000939E3">
        <w:rPr>
          <w:b/>
        </w:rPr>
        <w:t>zdravotníctvo</w:t>
      </w:r>
      <w:r w:rsidR="006B29CE" w:rsidRPr="000939E3">
        <w:t xml:space="preserve"> </w:t>
      </w:r>
      <w:r w:rsidR="00A410D6" w:rsidRPr="000939E3">
        <w:rPr>
          <w:b/>
        </w:rPr>
        <w:t>a sociálna</w:t>
      </w:r>
      <w:r w:rsidR="006B29CE" w:rsidRPr="000939E3">
        <w:rPr>
          <w:b/>
        </w:rPr>
        <w:t xml:space="preserve"> pomoc, mierne pod priem</w:t>
      </w:r>
      <w:r w:rsidR="00A410D6" w:rsidRPr="000939E3">
        <w:rPr>
          <w:b/>
        </w:rPr>
        <w:t xml:space="preserve">erom EÚ je počet zamestnancov vo </w:t>
      </w:r>
      <w:r w:rsidR="006B29CE" w:rsidRPr="000939E3">
        <w:rPr>
          <w:b/>
        </w:rPr>
        <w:t>vzdelávan</w:t>
      </w:r>
      <w:r w:rsidR="00A410D6" w:rsidRPr="000939E3">
        <w:rPr>
          <w:b/>
        </w:rPr>
        <w:t>í</w:t>
      </w:r>
      <w:r w:rsidR="006B29CE" w:rsidRPr="000939E3">
        <w:rPr>
          <w:b/>
        </w:rPr>
        <w:t>.</w:t>
      </w:r>
      <w:r w:rsidR="006B29CE" w:rsidRPr="000939E3">
        <w:t xml:space="preserve"> Na priemere je odvetvie verejnej správy, kam okrem policajtov a sudcov patria predovšetkým úradníci vo verejnej administratíve, regulačných aktivitách, </w:t>
      </w:r>
      <w:r w:rsidR="006B29CE" w:rsidRPr="000939E3">
        <w:lastRenderedPageBreak/>
        <w:t>diplomacii a správe sociálneho poistenia</w:t>
      </w:r>
      <w:r w:rsidR="006B29CE" w:rsidRPr="000939E3">
        <w:rPr>
          <w:rStyle w:val="Odkaznapoznmkupodiarou"/>
        </w:rPr>
        <w:footnoteReference w:id="35"/>
      </w:r>
      <w:r w:rsidR="006B29CE" w:rsidRPr="000939E3">
        <w:t>.</w:t>
      </w:r>
      <w:r w:rsidR="006B29CE" w:rsidRPr="000939E3" w:rsidDel="00C31C39">
        <w:rPr>
          <w:rStyle w:val="Odkaznakomentr"/>
        </w:rPr>
        <w:t xml:space="preserve"> </w:t>
      </w:r>
      <w:r w:rsidR="006B29CE" w:rsidRPr="000939E3">
        <w:t>Menej zamestnancov v oblasti zdravotníctva a sociálnej pomoci má len Bulharsko, Cyprus a</w:t>
      </w:r>
      <w:r w:rsidR="00995114" w:rsidRPr="000939E3">
        <w:t> </w:t>
      </w:r>
      <w:r w:rsidR="006B29CE" w:rsidRPr="000939E3">
        <w:t>Grécko</w:t>
      </w:r>
      <w:r w:rsidR="00995114" w:rsidRPr="000939E3">
        <w:t xml:space="preserve"> a Rumunsko</w:t>
      </w:r>
      <w:r w:rsidR="00D22B53" w:rsidRPr="000939E3">
        <w:t xml:space="preserve"> (</w:t>
      </w:r>
      <w:r w:rsidR="00D22B53" w:rsidRPr="000939E3">
        <w:fldChar w:fldCharType="begin"/>
      </w:r>
      <w:r w:rsidR="00D22B53" w:rsidRPr="000939E3">
        <w:instrText xml:space="preserve"> REF _Ref532814436 \h </w:instrText>
      </w:r>
      <w:r w:rsidR="006245F1" w:rsidRPr="000939E3">
        <w:instrText xml:space="preserve"> \* MERGEFORMAT </w:instrText>
      </w:r>
      <w:r w:rsidR="00D22B53" w:rsidRPr="000939E3">
        <w:fldChar w:fldCharType="separate"/>
      </w:r>
      <w:r w:rsidR="00BF69CA" w:rsidRPr="00BF69CA">
        <w:t xml:space="preserve">Graf </w:t>
      </w:r>
      <w:r w:rsidR="00BF69CA" w:rsidRPr="00BF69CA">
        <w:rPr>
          <w:noProof/>
        </w:rPr>
        <w:t>12</w:t>
      </w:r>
      <w:r w:rsidR="00D22B53" w:rsidRPr="000939E3">
        <w:fldChar w:fldCharType="end"/>
      </w:r>
      <w:r w:rsidR="006B29CE" w:rsidRPr="000939E3">
        <w:t>). Nedostatok pracovníkov v zdravotníctve – najmä zdravotných sestier – konštatuje aj Revízia výdavkov na zdravotníctvo</w:t>
      </w:r>
      <w:r w:rsidR="009755A5" w:rsidRPr="000939E3">
        <w:t xml:space="preserve"> II</w:t>
      </w:r>
      <w:r w:rsidR="00C65EEB" w:rsidRPr="000939E3">
        <w:t xml:space="preserve"> (</w:t>
      </w:r>
      <w:r w:rsidR="00140B22" w:rsidRPr="000939E3">
        <w:t xml:space="preserve">IZP, </w:t>
      </w:r>
      <w:r w:rsidR="00C65EEB" w:rsidRPr="000939E3">
        <w:t xml:space="preserve">ÚHP, </w:t>
      </w:r>
      <w:r w:rsidR="009755A5" w:rsidRPr="000939E3">
        <w:t>2019, kapitoly 5 a 11</w:t>
      </w:r>
      <w:r w:rsidR="00C65EEB" w:rsidRPr="000939E3">
        <w:t>)</w:t>
      </w:r>
      <w:r w:rsidR="006B29CE" w:rsidRPr="000939E3">
        <w:t>. Pri sociálnych službách zatiaľ spoľahlivé me</w:t>
      </w:r>
      <w:r w:rsidR="005B2E20" w:rsidRPr="000939E3">
        <w:t>dzinárodné porovnanie absentuje</w:t>
      </w:r>
      <w:r w:rsidR="00134454" w:rsidRPr="000939E3">
        <w:t>.</w:t>
      </w:r>
    </w:p>
    <w:p w14:paraId="2A4DABA2" w14:textId="58D66783" w:rsidR="006B29CE" w:rsidRPr="000939E3" w:rsidRDefault="006B29CE" w:rsidP="006B29CE">
      <w:pPr>
        <w:spacing w:before="120"/>
      </w:pPr>
      <w:r w:rsidRPr="000939E3">
        <w:rPr>
          <w:b/>
        </w:rPr>
        <w:t xml:space="preserve">Presnejšie porovnanie štruktúry a odmeňovania prináša rozbor na úrovni profesií. Porovnanie s inými krajinami EÚ a OECD je rámcové, zahŕňa údaje rozdielnych systémov z rozdielnych zdrojov dát. </w:t>
      </w:r>
      <w:r w:rsidRPr="000939E3">
        <w:t>Presnosť porovnania ovplyvňuje porovnateľnosť systémov, napríklad adekvátnosť po</w:t>
      </w:r>
      <w:r w:rsidR="00C427D2" w:rsidRPr="000939E3">
        <w:t>čtu lekárov a sestier závisí od </w:t>
      </w:r>
      <w:r w:rsidRPr="000939E3">
        <w:t xml:space="preserve">vzájomného rozdelenia kompetencií. </w:t>
      </w:r>
      <w:r w:rsidR="002563C3" w:rsidRPr="000939E3">
        <w:t xml:space="preserve">Zohľadnenie </w:t>
      </w:r>
      <w:r w:rsidRPr="000939E3">
        <w:t xml:space="preserve">veľkosti </w:t>
      </w:r>
      <w:r w:rsidR="002563C3" w:rsidRPr="000939E3">
        <w:t>krajín</w:t>
      </w:r>
      <w:r w:rsidRPr="000939E3">
        <w:t xml:space="preserve"> je dosiahnut</w:t>
      </w:r>
      <w:r w:rsidR="002563C3" w:rsidRPr="000939E3">
        <w:t>é</w:t>
      </w:r>
      <w:r w:rsidRPr="000939E3">
        <w:t xml:space="preserve"> normalizáciou na 1 000 obyvateľov, v prípade počtu učiteľov k počtu žiakov. Dáta napriek najväčšej snahe medzinárodných organizácii nie sú vždy porovnateľné ani v rámci jedného výskumu</w:t>
      </w:r>
      <w:r w:rsidR="005B2E20" w:rsidRPr="000939E3">
        <w:rPr>
          <w:rStyle w:val="Odkaznapoznmkupodiarou"/>
        </w:rPr>
        <w:footnoteReference w:id="36"/>
      </w:r>
      <w:r w:rsidRPr="000939E3">
        <w:t>. Napriek vyššie uvedenému je dáta možné použiť na</w:t>
      </w:r>
      <w:r w:rsidR="00A75B5F" w:rsidRPr="000939E3">
        <w:t> </w:t>
      </w:r>
      <w:r w:rsidRPr="000939E3">
        <w:t xml:space="preserve">porovnanie hlavných trendov. </w:t>
      </w:r>
    </w:p>
    <w:p w14:paraId="14D69EFA" w14:textId="1F1D1F1A" w:rsidR="006B29CE" w:rsidRPr="000939E3" w:rsidRDefault="006B29CE" w:rsidP="006B29CE">
      <w:pPr>
        <w:spacing w:before="120"/>
      </w:pPr>
      <w:r w:rsidRPr="000939E3">
        <w:rPr>
          <w:b/>
        </w:rPr>
        <w:t>V porovnaní s krajinami EÚ a OECD má Slovensko na počet obyvateľov menej zdravotných sestier</w:t>
      </w:r>
      <w:r w:rsidR="00F60E32" w:rsidRPr="000939E3">
        <w:rPr>
          <w:b/>
        </w:rPr>
        <w:t xml:space="preserve"> a učiteľov </w:t>
      </w:r>
      <w:r w:rsidR="00963C2E" w:rsidRPr="000939E3">
        <w:rPr>
          <w:b/>
        </w:rPr>
        <w:t>na prvom stupni základných škôl.</w:t>
      </w:r>
      <w:r w:rsidR="00F649C5" w:rsidRPr="000939E3">
        <w:rPr>
          <w:b/>
        </w:rPr>
        <w:t xml:space="preserve"> </w:t>
      </w:r>
      <w:r w:rsidR="00963C2E" w:rsidRPr="000939E3">
        <w:rPr>
          <w:b/>
        </w:rPr>
        <w:t>N</w:t>
      </w:r>
      <w:r w:rsidR="00F649C5" w:rsidRPr="000939E3">
        <w:rPr>
          <w:b/>
        </w:rPr>
        <w:t>aopak viac</w:t>
      </w:r>
      <w:r w:rsidR="00A410D6" w:rsidRPr="000939E3">
        <w:rPr>
          <w:b/>
        </w:rPr>
        <w:t xml:space="preserve"> je </w:t>
      </w:r>
      <w:r w:rsidR="001A1BEB" w:rsidRPr="000939E3">
        <w:rPr>
          <w:b/>
        </w:rPr>
        <w:t xml:space="preserve">najmä </w:t>
      </w:r>
      <w:r w:rsidR="00A410D6" w:rsidRPr="000939E3">
        <w:rPr>
          <w:b/>
        </w:rPr>
        <w:t>policajtov</w:t>
      </w:r>
      <w:r w:rsidR="001A1BEB" w:rsidRPr="000939E3">
        <w:rPr>
          <w:b/>
        </w:rPr>
        <w:t xml:space="preserve"> a</w:t>
      </w:r>
      <w:r w:rsidR="00A410D6" w:rsidRPr="000939E3">
        <w:rPr>
          <w:b/>
        </w:rPr>
        <w:t xml:space="preserve"> vysokoškolských učiteľov. </w:t>
      </w:r>
      <w:r w:rsidRPr="000939E3">
        <w:t>Iba mierne sa od medzinárodného priemeru líšia počty učiteľov druhého stupňa ZŠ a stredných škôl, lekárov a</w:t>
      </w:r>
      <w:r w:rsidR="002563C3" w:rsidRPr="000939E3">
        <w:t> </w:t>
      </w:r>
      <w:r w:rsidRPr="000939E3">
        <w:t>hasičov</w:t>
      </w:r>
      <w:r w:rsidR="002563C3" w:rsidRPr="000939E3">
        <w:t xml:space="preserve"> (</w:t>
      </w:r>
      <w:r w:rsidR="002563C3" w:rsidRPr="000939E3">
        <w:fldChar w:fldCharType="begin"/>
      </w:r>
      <w:r w:rsidR="002563C3" w:rsidRPr="000939E3">
        <w:instrText xml:space="preserve"> REF _Ref4064759 \h  \* MERGEFORMAT </w:instrText>
      </w:r>
      <w:r w:rsidR="002563C3" w:rsidRPr="000939E3">
        <w:fldChar w:fldCharType="separate"/>
      </w:r>
      <w:r w:rsidR="00BF69CA" w:rsidRPr="00BF69CA">
        <w:t xml:space="preserve">Graf </w:t>
      </w:r>
      <w:r w:rsidR="00BF69CA" w:rsidRPr="00BF69CA">
        <w:rPr>
          <w:noProof/>
        </w:rPr>
        <w:t>13</w:t>
      </w:r>
      <w:r w:rsidR="002563C3" w:rsidRPr="000939E3">
        <w:fldChar w:fldCharType="end"/>
      </w:r>
      <w:r w:rsidR="002563C3" w:rsidRPr="000939E3">
        <w:t>)</w:t>
      </w:r>
      <w:r w:rsidRPr="000939E3">
        <w:t>. Porovnanie nezahŕňa pracovníkov sociálnych služieb, zamestnancov v štátnej službe a vojakov, ktorí spolu tvoria asi 80 tisíc zamestnancov. Pri zamestnancoch sociálnych služieb pritom porovnanie s ČR naznačuje, že na Slovensku ich môže chýbať približne 13 tisíc</w:t>
      </w:r>
      <w:r w:rsidR="00773698" w:rsidRPr="000939E3">
        <w:rPr>
          <w:rStyle w:val="Odkaznapoznmkupodiarou"/>
        </w:rPr>
        <w:footnoteReference w:id="37"/>
      </w:r>
      <w:r w:rsidRPr="000939E3">
        <w:t xml:space="preserve">. </w:t>
      </w:r>
      <w:r w:rsidR="004941CB" w:rsidRPr="000939E3">
        <w:t xml:space="preserve">Štruktúra verejnej zamestnanosti je ešte viac odlišná v krajinách s najlepšími hodnotami indexu kvality života (OECD </w:t>
      </w:r>
      <w:r w:rsidR="00512642" w:rsidRPr="000939E3">
        <w:t>Better Life Index</w:t>
      </w:r>
      <w:r w:rsidR="00A75B5F" w:rsidRPr="000939E3">
        <w:t>) (Box 4</w:t>
      </w:r>
      <w:r w:rsidR="004941CB" w:rsidRPr="000939E3">
        <w:t>).</w:t>
      </w:r>
    </w:p>
    <w:tbl>
      <w:tblPr>
        <w:tblStyle w:val="UHPGRAF"/>
        <w:tblW w:w="5000" w:type="pct"/>
        <w:tblLook w:val="04E0" w:firstRow="1" w:lastRow="1" w:firstColumn="1" w:lastColumn="0" w:noHBand="0" w:noVBand="1"/>
      </w:tblPr>
      <w:tblGrid>
        <w:gridCol w:w="9072"/>
      </w:tblGrid>
      <w:tr w:rsidR="006B29CE" w:rsidRPr="000939E3" w14:paraId="1F98C694" w14:textId="77777777" w:rsidTr="00755B12">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000" w:type="pct"/>
            <w:hideMark/>
          </w:tcPr>
          <w:p w14:paraId="089D8F8D" w14:textId="2AE5B33C" w:rsidR="006B29CE" w:rsidRPr="000939E3" w:rsidRDefault="006B29CE" w:rsidP="00755B12">
            <w:pPr>
              <w:pStyle w:val="Popis"/>
              <w:keepNext/>
              <w:spacing w:before="0"/>
              <w:rPr>
                <w:b/>
                <w:lang w:val="sk-SK"/>
              </w:rPr>
            </w:pPr>
            <w:bookmarkStart w:id="72" w:name="_Ref4064759"/>
            <w:bookmarkStart w:id="73" w:name="_Toc527118581"/>
            <w:bookmarkStart w:id="74" w:name="_Toc34226884"/>
            <w:r w:rsidRPr="000939E3">
              <w:rPr>
                <w:b/>
                <w:lang w:val="sk-SK"/>
              </w:rPr>
              <w:t xml:space="preserve">Graf </w:t>
            </w:r>
            <w:r w:rsidR="000B0EF7" w:rsidRPr="000939E3">
              <w:fldChar w:fldCharType="begin"/>
            </w:r>
            <w:r w:rsidR="000B0EF7" w:rsidRPr="000939E3">
              <w:rPr>
                <w:b/>
                <w:lang w:val="sk-SK"/>
              </w:rPr>
              <w:instrText xml:space="preserve"> SEQ Graf \* ARABIC </w:instrText>
            </w:r>
            <w:r w:rsidR="000B0EF7" w:rsidRPr="000939E3">
              <w:fldChar w:fldCharType="separate"/>
            </w:r>
            <w:r w:rsidR="00BF69CA">
              <w:rPr>
                <w:b/>
                <w:noProof/>
                <w:lang w:val="sk-SK"/>
              </w:rPr>
              <w:t>13</w:t>
            </w:r>
            <w:r w:rsidR="000B0EF7" w:rsidRPr="000939E3">
              <w:fldChar w:fldCharType="end"/>
            </w:r>
            <w:bookmarkEnd w:id="72"/>
            <w:r w:rsidR="00374EC0" w:rsidRPr="000939E3">
              <w:rPr>
                <w:b/>
                <w:iCs w:val="0"/>
                <w:noProof/>
                <w:lang w:val="sk-SK"/>
              </w:rPr>
              <w:t>:</w:t>
            </w:r>
            <w:r w:rsidRPr="000939E3">
              <w:rPr>
                <w:b/>
                <w:iCs w:val="0"/>
                <w:lang w:val="sk-SK"/>
              </w:rPr>
              <w:t xml:space="preserve"> </w:t>
            </w:r>
            <w:r w:rsidR="004E7794" w:rsidRPr="000939E3">
              <w:rPr>
                <w:b/>
                <w:iCs w:val="0"/>
                <w:lang w:val="sk-SK"/>
              </w:rPr>
              <w:t>Rámcové m</w:t>
            </w:r>
            <w:r w:rsidRPr="000939E3">
              <w:rPr>
                <w:b/>
                <w:iCs w:val="0"/>
                <w:lang w:val="sk-SK"/>
              </w:rPr>
              <w:t>edzinárodné porovnanie zamestnanosti po profesiách (rozdiel v</w:t>
            </w:r>
            <w:r w:rsidR="002260CB" w:rsidRPr="000939E3">
              <w:rPr>
                <w:b/>
                <w:iCs w:val="0"/>
                <w:lang w:val="sk-SK"/>
              </w:rPr>
              <w:t xml:space="preserve"> </w:t>
            </w:r>
            <w:r w:rsidRPr="000939E3">
              <w:rPr>
                <w:b/>
                <w:iCs w:val="0"/>
                <w:lang w:val="sk-SK"/>
              </w:rPr>
              <w:t>osobách)</w:t>
            </w:r>
            <w:bookmarkEnd w:id="73"/>
            <w:bookmarkEnd w:id="74"/>
          </w:p>
        </w:tc>
      </w:tr>
      <w:tr w:rsidR="006B29CE" w:rsidRPr="000939E3" w14:paraId="77A54B0E" w14:textId="77777777" w:rsidTr="0081798F">
        <w:tblPrEx>
          <w:tblCellMar>
            <w:left w:w="70" w:type="dxa"/>
            <w:right w:w="70" w:type="dxa"/>
          </w:tblCellMar>
        </w:tblPrEx>
        <w:trPr>
          <w:trHeight w:val="3151"/>
        </w:trPr>
        <w:tc>
          <w:tcPr>
            <w:cnfStyle w:val="001000000000" w:firstRow="0" w:lastRow="0" w:firstColumn="1" w:lastColumn="0" w:oddVBand="0" w:evenVBand="0" w:oddHBand="0" w:evenHBand="0" w:firstRowFirstColumn="0" w:firstRowLastColumn="0" w:lastRowFirstColumn="0" w:lastRowLastColumn="0"/>
            <w:tcW w:w="5000" w:type="pct"/>
            <w:hideMark/>
          </w:tcPr>
          <w:p w14:paraId="4306D1A4" w14:textId="4067FB5F" w:rsidR="006B29CE" w:rsidRPr="000939E3" w:rsidRDefault="001B6DA0" w:rsidP="00AB25D6">
            <w:pPr>
              <w:spacing w:after="0"/>
            </w:pPr>
            <w:r w:rsidRPr="000939E3">
              <w:rPr>
                <w:noProof/>
              </w:rPr>
              <w:drawing>
                <wp:inline distT="0" distB="0" distL="0" distR="0" wp14:anchorId="702336AA" wp14:editId="676F3D9A">
                  <wp:extent cx="5760720" cy="2093595"/>
                  <wp:effectExtent l="0" t="0" r="0" b="190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6B29CE" w:rsidRPr="000939E3" w14:paraId="18DBBE61" w14:textId="77777777" w:rsidTr="00AB25D6">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5000" w:type="pct"/>
            <w:vAlign w:val="top"/>
          </w:tcPr>
          <w:p w14:paraId="1B3D470F" w14:textId="487DCBD2" w:rsidR="006B29CE" w:rsidRPr="000939E3" w:rsidRDefault="006B29CE" w:rsidP="000647E2">
            <w:pPr>
              <w:jc w:val="right"/>
              <w:rPr>
                <w:b w:val="0"/>
                <w:sz w:val="18"/>
                <w:szCs w:val="18"/>
                <w:lang w:val="sk-SK"/>
              </w:rPr>
            </w:pPr>
            <w:r w:rsidRPr="000939E3">
              <w:rPr>
                <w:b w:val="0"/>
                <w:sz w:val="18"/>
                <w:szCs w:val="18"/>
                <w:lang w:val="sk-SK"/>
              </w:rPr>
              <w:t>Zdroj</w:t>
            </w:r>
            <w:r w:rsidR="008207C2" w:rsidRPr="000939E3">
              <w:rPr>
                <w:b w:val="0"/>
                <w:sz w:val="18"/>
                <w:szCs w:val="18"/>
                <w:lang w:val="sk-SK"/>
              </w:rPr>
              <w:t xml:space="preserve">: </w:t>
            </w:r>
            <w:r w:rsidR="000647E2" w:rsidRPr="000939E3">
              <w:rPr>
                <w:sz w:val="18"/>
                <w:szCs w:val="18"/>
              </w:rPr>
              <w:fldChar w:fldCharType="begin"/>
            </w:r>
            <w:r w:rsidR="000647E2" w:rsidRPr="000939E3">
              <w:rPr>
                <w:b w:val="0"/>
                <w:sz w:val="18"/>
                <w:szCs w:val="18"/>
                <w:lang w:val="sk-SK"/>
              </w:rPr>
              <w:instrText xml:space="preserve"> REF _Ref532889455 \h  \* MERGEFORMAT </w:instrText>
            </w:r>
            <w:r w:rsidR="000647E2" w:rsidRPr="000939E3">
              <w:rPr>
                <w:sz w:val="18"/>
                <w:szCs w:val="18"/>
              </w:rPr>
            </w:r>
            <w:r w:rsidR="000647E2" w:rsidRPr="000939E3">
              <w:rPr>
                <w:sz w:val="18"/>
                <w:szCs w:val="18"/>
              </w:rPr>
              <w:fldChar w:fldCharType="separate"/>
            </w:r>
            <w:r w:rsidR="00BF69CA" w:rsidRPr="00BF69CA">
              <w:rPr>
                <w:b w:val="0"/>
                <w:sz w:val="18"/>
                <w:szCs w:val="18"/>
                <w:lang w:val="sk-SK"/>
              </w:rPr>
              <w:t xml:space="preserve">Príloha </w:t>
            </w:r>
            <w:r w:rsidR="00BF69CA" w:rsidRPr="00BF69CA">
              <w:rPr>
                <w:b w:val="0"/>
                <w:noProof/>
                <w:sz w:val="18"/>
                <w:szCs w:val="18"/>
                <w:lang w:val="sk-SK"/>
              </w:rPr>
              <w:t>6</w:t>
            </w:r>
            <w:r w:rsidR="000647E2" w:rsidRPr="000939E3">
              <w:rPr>
                <w:sz w:val="18"/>
                <w:szCs w:val="18"/>
              </w:rPr>
              <w:fldChar w:fldCharType="end"/>
            </w:r>
          </w:p>
        </w:tc>
      </w:tr>
    </w:tbl>
    <w:p w14:paraId="000E204E" w14:textId="77777777" w:rsidR="00F9716F" w:rsidRPr="000939E3" w:rsidRDefault="00A410D6" w:rsidP="00FC0742">
      <w:pPr>
        <w:spacing w:before="240"/>
      </w:pPr>
      <w:r w:rsidRPr="000939E3">
        <w:rPr>
          <w:b/>
        </w:rPr>
        <w:t>V</w:t>
      </w:r>
      <w:r w:rsidR="00F9716F" w:rsidRPr="000939E3">
        <w:rPr>
          <w:b/>
        </w:rPr>
        <w:t xml:space="preserve">ysvetlením </w:t>
      </w:r>
      <w:r w:rsidRPr="000939E3">
        <w:rPr>
          <w:b/>
        </w:rPr>
        <w:t xml:space="preserve">vyššieho počtu policajtov </w:t>
      </w:r>
      <w:r w:rsidR="00F9716F" w:rsidRPr="000939E3">
        <w:rPr>
          <w:b/>
        </w:rPr>
        <w:t xml:space="preserve">môže byť veľa príslušníkov vykonávajúcich administratívnu prácu. </w:t>
      </w:r>
      <w:r w:rsidR="00596498" w:rsidRPr="000939E3">
        <w:t>P</w:t>
      </w:r>
      <w:r w:rsidR="00F9716F" w:rsidRPr="000939E3">
        <w:t xml:space="preserve">orovnanie </w:t>
      </w:r>
      <w:r w:rsidR="00596498" w:rsidRPr="000939E3">
        <w:t>je pre metodické odlišnosti rámcové</w:t>
      </w:r>
      <w:r w:rsidR="00F9716F" w:rsidRPr="000939E3">
        <w:rPr>
          <w:rStyle w:val="Odkaznapoznmkupodiarou"/>
        </w:rPr>
        <w:footnoteReference w:id="38"/>
      </w:r>
      <w:r w:rsidR="00F9716F" w:rsidRPr="000939E3">
        <w:t xml:space="preserve">, </w:t>
      </w:r>
      <w:r w:rsidR="00833F75" w:rsidRPr="000939E3">
        <w:t xml:space="preserve">veľkosť </w:t>
      </w:r>
      <w:r w:rsidR="00F9716F" w:rsidRPr="000939E3">
        <w:t>odchýlk</w:t>
      </w:r>
      <w:r w:rsidR="00833F75" w:rsidRPr="000939E3">
        <w:t>y</w:t>
      </w:r>
      <w:r w:rsidR="00F9716F" w:rsidRPr="000939E3">
        <w:t xml:space="preserve"> od európskeho priemeru je </w:t>
      </w:r>
      <w:r w:rsidRPr="000939E3">
        <w:t>však</w:t>
      </w:r>
      <w:r w:rsidR="00F9716F" w:rsidRPr="000939E3">
        <w:t xml:space="preserve"> </w:t>
      </w:r>
      <w:r w:rsidR="00595DA1" w:rsidRPr="000939E3">
        <w:t>významná</w:t>
      </w:r>
      <w:r w:rsidR="00F9716F" w:rsidRPr="000939E3">
        <w:t xml:space="preserve">. Jedným z vysvetlení rozdielu môže byť vysoký počet slovenských policajtov, ktorí sa venujú administratívnej činnosti </w:t>
      </w:r>
      <w:r w:rsidR="004E6328" w:rsidRPr="000939E3">
        <w:t xml:space="preserve">v správnom konaní </w:t>
      </w:r>
      <w:r w:rsidR="00F9716F" w:rsidRPr="000939E3">
        <w:t>– napríklad na dopravných inšpektorátoch či oddeleniach dokladov. Zmena procesov a následná reorganizácia by mohla priniesť úsporu nákladov na uniformy, zbrane, výcvik a výsluhové dôchodky príslušníkov.</w:t>
      </w:r>
    </w:p>
    <w:p w14:paraId="09D3F7EA" w14:textId="063B18DC" w:rsidR="00D07A01" w:rsidRPr="000939E3" w:rsidRDefault="00D07A01" w:rsidP="00FC0742">
      <w:pPr>
        <w:spacing w:before="240"/>
      </w:pPr>
      <w:r w:rsidRPr="000939E3">
        <w:rPr>
          <w:b/>
        </w:rPr>
        <w:lastRenderedPageBreak/>
        <w:t xml:space="preserve">Za účelom medzinárodného porovnania miezd v rámci profesií </w:t>
      </w:r>
      <w:r w:rsidR="00C642A7" w:rsidRPr="000939E3">
        <w:rPr>
          <w:b/>
        </w:rPr>
        <w:t xml:space="preserve">sú tieto </w:t>
      </w:r>
      <w:r w:rsidRPr="000939E3">
        <w:rPr>
          <w:b/>
        </w:rPr>
        <w:t>uvádzané v pomere k priemernej mzde, alebo k priemernej mzde vysokoškolsky vzdelaných zamestnancov.</w:t>
      </w:r>
      <w:r w:rsidRPr="000939E3">
        <w:t xml:space="preserve"> </w:t>
      </w:r>
      <w:r w:rsidRPr="000939E3">
        <w:rPr>
          <w:b/>
        </w:rPr>
        <w:t xml:space="preserve">Porovnanie komplikuje rozdielna štruktúra kompenzácie. </w:t>
      </w:r>
      <w:r w:rsidRPr="000939E3">
        <w:t>Dôležité je porovnávať čo najpodobnejších zamestnancov, ideálne s rovnakými kompetenciami, či zodpovednosťou. Pre niektoré skupiny slovenských zamestnancov však neexistuje v zahraničí relevantná referenčná skupina (napr. zdravotníci v ambulantnej starostlivosti majú zväčša vlastné ordinácie, zamestnanci samospráv či pracovníci v ústredne</w:t>
      </w:r>
      <w:r w:rsidR="005C4BBD" w:rsidRPr="000939E3">
        <w:t>j správe vykonávajúci prácu vo </w:t>
      </w:r>
      <w:r w:rsidR="00C427D2" w:rsidRPr="000939E3">
        <w:t>v</w:t>
      </w:r>
      <w:r w:rsidRPr="000939E3">
        <w:t xml:space="preserve">erejnom záujme tvoria príliš heterogénnu skupinu). Otázku komplikuje aj definícia celkovej kompenzácie, napríklad z dôvodu špeciálnych dôchodkových systémov (najmä u vojakov a policajtov), ale aj </w:t>
      </w:r>
      <w:r w:rsidR="00C642A7" w:rsidRPr="000939E3">
        <w:t xml:space="preserve">existencia </w:t>
      </w:r>
      <w:r w:rsidRPr="000939E3">
        <w:t xml:space="preserve">nefinančných </w:t>
      </w:r>
      <w:r w:rsidR="00C427D2" w:rsidRPr="000939E3">
        <w:t>benefitov. Jedná sa napríklad o </w:t>
      </w:r>
      <w:r w:rsidRPr="000939E3">
        <w:t>rozdiely v počte dní dovolenky, stabilite zamestnania či organizácii práce v porovnaní s praxou v danom štáte. Posúdenie týchto aspektov je možné</w:t>
      </w:r>
      <w:r w:rsidRPr="000939E3">
        <w:rPr>
          <w:rStyle w:val="Odkaznapoznmkupodiarou"/>
        </w:rPr>
        <w:footnoteReference w:id="39"/>
      </w:r>
      <w:r w:rsidRPr="000939E3">
        <w:t xml:space="preserve"> avšak nad rozsah dokumentu. Revízia však posúdila pracovnú dobu</w:t>
      </w:r>
      <w:r w:rsidRPr="000939E3">
        <w:rPr>
          <w:rStyle w:val="Odkaznapoznmkupodiarou"/>
        </w:rPr>
        <w:footnoteReference w:id="40"/>
      </w:r>
      <w:r w:rsidRPr="000939E3">
        <w:t xml:space="preserve"> učiteľov, zdravotníkov a úradníkov v porovnaní s ich kolegami v zahraničí, v tomto aspekte sa výrazne neodliš</w:t>
      </w:r>
      <w:r w:rsidR="004B45B2" w:rsidRPr="000939E3">
        <w:t xml:space="preserve">ovali. </w:t>
      </w:r>
    </w:p>
    <w:tbl>
      <w:tblPr>
        <w:tblStyle w:val="UHPGRAF"/>
        <w:tblW w:w="5000" w:type="pct"/>
        <w:tblLook w:val="04E0" w:firstRow="1" w:lastRow="1" w:firstColumn="1" w:lastColumn="0" w:noHBand="0" w:noVBand="1"/>
      </w:tblPr>
      <w:tblGrid>
        <w:gridCol w:w="867"/>
        <w:gridCol w:w="8205"/>
      </w:tblGrid>
      <w:tr w:rsidR="006B29CE" w:rsidRPr="000939E3" w14:paraId="1041CDC8" w14:textId="77777777" w:rsidTr="00AB25D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36C0747E" w14:textId="6CB57EF2" w:rsidR="006B29CE" w:rsidRPr="000939E3" w:rsidRDefault="006B29CE" w:rsidP="001E7979">
            <w:pPr>
              <w:pStyle w:val="Popis"/>
              <w:keepNext/>
              <w:spacing w:before="0"/>
              <w:rPr>
                <w:b/>
                <w:lang w:val="sk-SK"/>
              </w:rPr>
            </w:pPr>
            <w:bookmarkStart w:id="75" w:name="_Ref3813739"/>
            <w:bookmarkStart w:id="76" w:name="_Toc527118582"/>
            <w:bookmarkStart w:id="77" w:name="_Toc34226885"/>
            <w:r w:rsidRPr="000939E3">
              <w:rPr>
                <w:b/>
                <w:lang w:val="sk-SK"/>
              </w:rPr>
              <w:t xml:space="preserve">Graf </w:t>
            </w:r>
            <w:r w:rsidR="000B0EF7" w:rsidRPr="000939E3">
              <w:fldChar w:fldCharType="begin"/>
            </w:r>
            <w:r w:rsidR="000B0EF7" w:rsidRPr="000939E3">
              <w:rPr>
                <w:b/>
                <w:lang w:val="sk-SK"/>
              </w:rPr>
              <w:instrText xml:space="preserve"> SEQ Graf \* ARABIC </w:instrText>
            </w:r>
            <w:r w:rsidR="000B0EF7" w:rsidRPr="000939E3">
              <w:fldChar w:fldCharType="separate"/>
            </w:r>
            <w:r w:rsidR="00BF69CA">
              <w:rPr>
                <w:b/>
                <w:noProof/>
                <w:lang w:val="sk-SK"/>
              </w:rPr>
              <w:t>14</w:t>
            </w:r>
            <w:r w:rsidR="000B0EF7" w:rsidRPr="000939E3">
              <w:fldChar w:fldCharType="end"/>
            </w:r>
            <w:bookmarkEnd w:id="75"/>
            <w:r w:rsidR="00BB7128" w:rsidRPr="000939E3">
              <w:rPr>
                <w:b/>
                <w:iCs w:val="0"/>
                <w:noProof/>
                <w:lang w:val="sk-SK"/>
              </w:rPr>
              <w:t>:</w:t>
            </w:r>
            <w:r w:rsidRPr="000939E3">
              <w:rPr>
                <w:b/>
                <w:iCs w:val="0"/>
                <w:lang w:val="sk-SK"/>
              </w:rPr>
              <w:t xml:space="preserve"> </w:t>
            </w:r>
            <w:r w:rsidR="00171378" w:rsidRPr="000939E3">
              <w:rPr>
                <w:b/>
                <w:iCs w:val="0"/>
                <w:lang w:val="sk-SK"/>
              </w:rPr>
              <w:t>Rámcové medzinárodné porovnanie miezd (</w:t>
            </w:r>
            <w:r w:rsidRPr="000939E3">
              <w:rPr>
                <w:b/>
                <w:iCs w:val="0"/>
                <w:lang w:val="sk-SK"/>
              </w:rPr>
              <w:t>2014-2016</w:t>
            </w:r>
            <w:bookmarkEnd w:id="76"/>
            <w:r w:rsidR="00171378" w:rsidRPr="000939E3">
              <w:rPr>
                <w:b/>
                <w:iCs w:val="0"/>
                <w:lang w:val="sk-SK"/>
              </w:rPr>
              <w:t>; percentuálny rozdiel)</w:t>
            </w:r>
            <w:bookmarkEnd w:id="77"/>
          </w:p>
        </w:tc>
      </w:tr>
      <w:tr w:rsidR="006B29CE" w:rsidRPr="000939E3" w14:paraId="1D50962B" w14:textId="77777777" w:rsidTr="001B6DA0">
        <w:tblPrEx>
          <w:tblCellMar>
            <w:left w:w="70" w:type="dxa"/>
            <w:right w:w="70"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47803A7D" w14:textId="78D9566F" w:rsidR="006B29CE" w:rsidRPr="000939E3" w:rsidRDefault="001B6DA0" w:rsidP="00AB25D6">
            <w:pPr>
              <w:keepNext/>
            </w:pPr>
            <w:r w:rsidRPr="000939E3">
              <w:rPr>
                <w:noProof/>
              </w:rPr>
              <w:drawing>
                <wp:inline distT="0" distB="0" distL="0" distR="0" wp14:anchorId="44D5DDC1" wp14:editId="7530CD13">
                  <wp:extent cx="5581650" cy="2181225"/>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6B29CE" w:rsidRPr="00D25C5A" w14:paraId="5533119E" w14:textId="77777777" w:rsidTr="002E0DC3">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478" w:type="pct"/>
          </w:tcPr>
          <w:p w14:paraId="379DB169" w14:textId="77777777" w:rsidR="006B29CE" w:rsidRPr="000939E3" w:rsidRDefault="006B29CE" w:rsidP="00AB25D6">
            <w:pPr>
              <w:jc w:val="left"/>
              <w:rPr>
                <w:bCs w:val="0"/>
                <w:i w:val="0"/>
              </w:rPr>
            </w:pPr>
          </w:p>
        </w:tc>
        <w:tc>
          <w:tcPr>
            <w:tcW w:w="4522" w:type="pct"/>
            <w:vAlign w:val="top"/>
            <w:hideMark/>
          </w:tcPr>
          <w:p w14:paraId="37ABCF0E" w14:textId="7F493324" w:rsidR="006B29CE" w:rsidRPr="00D25C5A" w:rsidRDefault="008207C2" w:rsidP="000647E2">
            <w:pPr>
              <w:jc w:val="right"/>
              <w:cnfStyle w:val="010000000000" w:firstRow="0" w:lastRow="1" w:firstColumn="0" w:lastColumn="0" w:oddVBand="0" w:evenVBand="0" w:oddHBand="0" w:evenHBand="0" w:firstRowFirstColumn="0" w:firstRowLastColumn="0" w:lastRowFirstColumn="0" w:lastRowLastColumn="0"/>
              <w:rPr>
                <w:sz w:val="18"/>
                <w:szCs w:val="18"/>
                <w:lang w:val="sk-SK"/>
              </w:rPr>
            </w:pPr>
            <w:r w:rsidRPr="00D25C5A">
              <w:rPr>
                <w:sz w:val="18"/>
                <w:szCs w:val="18"/>
                <w:lang w:val="sk-SK"/>
              </w:rPr>
              <w:t xml:space="preserve">Zdroj: </w:t>
            </w:r>
            <w:r w:rsidR="000647E2" w:rsidRPr="00D25C5A">
              <w:rPr>
                <w:sz w:val="18"/>
                <w:szCs w:val="18"/>
              </w:rPr>
              <w:fldChar w:fldCharType="begin"/>
            </w:r>
            <w:r w:rsidR="000647E2" w:rsidRPr="00D25C5A">
              <w:rPr>
                <w:sz w:val="18"/>
                <w:szCs w:val="18"/>
                <w:lang w:val="sk-SK"/>
              </w:rPr>
              <w:instrText xml:space="preserve"> REF _Ref532889488 \h </w:instrText>
            </w:r>
            <w:r w:rsidR="00063CCC" w:rsidRPr="00D25C5A">
              <w:rPr>
                <w:sz w:val="18"/>
                <w:szCs w:val="18"/>
                <w:lang w:val="sk-SK"/>
              </w:rPr>
              <w:instrText xml:space="preserve"> \* MERGEFORMAT </w:instrText>
            </w:r>
            <w:r w:rsidR="000647E2" w:rsidRPr="00D25C5A">
              <w:rPr>
                <w:sz w:val="18"/>
                <w:szCs w:val="18"/>
              </w:rPr>
            </w:r>
            <w:r w:rsidR="000647E2" w:rsidRPr="00D25C5A">
              <w:rPr>
                <w:sz w:val="18"/>
                <w:szCs w:val="18"/>
              </w:rPr>
              <w:fldChar w:fldCharType="separate"/>
            </w:r>
            <w:r w:rsidR="00BF69CA" w:rsidRPr="00BF69CA">
              <w:rPr>
                <w:sz w:val="18"/>
                <w:szCs w:val="18"/>
                <w:lang w:val="sk-SK"/>
              </w:rPr>
              <w:t xml:space="preserve">Príloha </w:t>
            </w:r>
            <w:r w:rsidR="00BF69CA" w:rsidRPr="00BF69CA">
              <w:rPr>
                <w:noProof/>
                <w:sz w:val="18"/>
                <w:szCs w:val="18"/>
                <w:lang w:val="sk-SK"/>
              </w:rPr>
              <w:t>7</w:t>
            </w:r>
            <w:r w:rsidR="000647E2" w:rsidRPr="00D25C5A">
              <w:rPr>
                <w:sz w:val="18"/>
                <w:szCs w:val="18"/>
              </w:rPr>
              <w:fldChar w:fldCharType="end"/>
            </w:r>
          </w:p>
        </w:tc>
      </w:tr>
    </w:tbl>
    <w:p w14:paraId="2337C9D2" w14:textId="2E9A50D9" w:rsidR="006B29CE" w:rsidRPr="000939E3" w:rsidRDefault="002E0DC3" w:rsidP="00DC4AA7">
      <w:pPr>
        <w:spacing w:before="120"/>
      </w:pPr>
      <w:r w:rsidRPr="000939E3">
        <w:rPr>
          <w:b/>
        </w:rPr>
        <w:t>Rámcové medzinárodné porovnanie ukazuje, že výrazne viac oproti priemernej mzde ako v zahraničí zarábajú prokurátori</w:t>
      </w:r>
      <w:r w:rsidRPr="000939E3">
        <w:rPr>
          <w:rStyle w:val="Odkaznapoznmkupodiarou"/>
          <w:b/>
        </w:rPr>
        <w:footnoteReference w:id="41"/>
      </w:r>
      <w:r w:rsidRPr="000939E3">
        <w:rPr>
          <w:b/>
        </w:rPr>
        <w:t>, mierne viac sudcovia a policajti. Naopak mzdy učiteľov stále zaostávajú</w:t>
      </w:r>
      <w:r w:rsidR="00F7167D" w:rsidRPr="000939E3">
        <w:rPr>
          <w:b/>
        </w:rPr>
        <w:t xml:space="preserve"> (</w:t>
      </w:r>
      <w:r w:rsidR="00F7167D" w:rsidRPr="000939E3">
        <w:rPr>
          <w:b/>
        </w:rPr>
        <w:fldChar w:fldCharType="begin"/>
      </w:r>
      <w:r w:rsidR="00F7167D" w:rsidRPr="000939E3">
        <w:rPr>
          <w:b/>
        </w:rPr>
        <w:instrText xml:space="preserve"> REF _Ref3813739 \h </w:instrText>
      </w:r>
      <w:r w:rsidR="00DC481D" w:rsidRPr="000939E3">
        <w:rPr>
          <w:b/>
        </w:rPr>
        <w:instrText xml:space="preserve"> \* MERGEFORMAT </w:instrText>
      </w:r>
      <w:r w:rsidR="00F7167D" w:rsidRPr="000939E3">
        <w:rPr>
          <w:b/>
        </w:rPr>
      </w:r>
      <w:r w:rsidR="00F7167D" w:rsidRPr="000939E3">
        <w:rPr>
          <w:b/>
        </w:rPr>
        <w:fldChar w:fldCharType="separate"/>
      </w:r>
      <w:r w:rsidR="00BF69CA" w:rsidRPr="000939E3">
        <w:rPr>
          <w:b/>
        </w:rPr>
        <w:t xml:space="preserve">Graf </w:t>
      </w:r>
      <w:r w:rsidR="00BF69CA">
        <w:rPr>
          <w:b/>
          <w:noProof/>
        </w:rPr>
        <w:t>14</w:t>
      </w:r>
      <w:r w:rsidR="00F7167D" w:rsidRPr="000939E3">
        <w:rPr>
          <w:b/>
        </w:rPr>
        <w:fldChar w:fldCharType="end"/>
      </w:r>
      <w:r w:rsidR="00F7167D" w:rsidRPr="000939E3">
        <w:rPr>
          <w:b/>
        </w:rPr>
        <w:t>)</w:t>
      </w:r>
      <w:r w:rsidRPr="000939E3">
        <w:rPr>
          <w:b/>
        </w:rPr>
        <w:t xml:space="preserve">. </w:t>
      </w:r>
      <w:r w:rsidRPr="000939E3">
        <w:t xml:space="preserve">Rozdiely sa pritom v ostatných rokoch znížili vďaka rýchlejšiemu nárastu v porovnaní </w:t>
      </w:r>
      <w:r w:rsidR="000F3109" w:rsidRPr="000939E3">
        <w:t xml:space="preserve">s </w:t>
      </w:r>
      <w:r w:rsidRPr="000939E3">
        <w:t xml:space="preserve">priemernou mzdou </w:t>
      </w:r>
      <w:r w:rsidR="00584FD3" w:rsidRPr="000939E3">
        <w:t xml:space="preserve">vysokoškolsky </w:t>
      </w:r>
      <w:r w:rsidR="000F3109" w:rsidRPr="000939E3">
        <w:t xml:space="preserve">vzdelaných ľudí </w:t>
      </w:r>
      <w:r w:rsidR="00F7167D" w:rsidRPr="000939E3">
        <w:t>(</w:t>
      </w:r>
      <w:r w:rsidR="00F7167D" w:rsidRPr="000939E3">
        <w:fldChar w:fldCharType="begin"/>
      </w:r>
      <w:r w:rsidR="00F7167D" w:rsidRPr="000939E3">
        <w:instrText xml:space="preserve"> REF _Ref532489333 \h  \* MERGEFORMAT </w:instrText>
      </w:r>
      <w:r w:rsidR="00F7167D" w:rsidRPr="000939E3">
        <w:fldChar w:fldCharType="separate"/>
      </w:r>
      <w:r w:rsidR="00BF69CA" w:rsidRPr="00BF69CA">
        <w:t xml:space="preserve">Graf </w:t>
      </w:r>
      <w:r w:rsidR="00BF69CA" w:rsidRPr="00BF69CA">
        <w:rPr>
          <w:noProof/>
        </w:rPr>
        <w:t>15</w:t>
      </w:r>
      <w:r w:rsidR="00F7167D" w:rsidRPr="000939E3">
        <w:fldChar w:fldCharType="end"/>
      </w:r>
      <w:r w:rsidR="00F7167D" w:rsidRPr="000939E3">
        <w:t>)</w:t>
      </w:r>
      <w:r w:rsidRPr="000939E3">
        <w:t xml:space="preserve">. </w:t>
      </w:r>
      <w:r w:rsidR="00F7167D" w:rsidRPr="000939E3">
        <w:t>Pri porovnaní s ČR výrazne zaostávajú aj pracovníci v sociálnych službách. Z početných skupín verejných zamestnancov porovnanie nezahŕňa vojakov a heterogénne skupiny (napr. nepedagogickí zamestnanci v školstve alebo zamestnanci samospráv).</w:t>
      </w:r>
    </w:p>
    <w:p w14:paraId="369F4505" w14:textId="6C2C0D23" w:rsidR="003F5143" w:rsidRPr="000939E3" w:rsidRDefault="0079127E" w:rsidP="003F5143">
      <w:pPr>
        <w:spacing w:before="160"/>
      </w:pPr>
      <w:r w:rsidRPr="000939E3">
        <w:rPr>
          <w:b/>
        </w:rPr>
        <w:t>N</w:t>
      </w:r>
      <w:r w:rsidR="003F5143" w:rsidRPr="000939E3">
        <w:rPr>
          <w:b/>
        </w:rPr>
        <w:t xml:space="preserve">avýšenie platov zdravotných sestier </w:t>
      </w:r>
      <w:r w:rsidRPr="000939E3">
        <w:rPr>
          <w:b/>
        </w:rPr>
        <w:t xml:space="preserve">od 1.1.2019 </w:t>
      </w:r>
      <w:r w:rsidR="003F5143" w:rsidRPr="000939E3">
        <w:rPr>
          <w:b/>
        </w:rPr>
        <w:t xml:space="preserve">ich </w:t>
      </w:r>
      <w:r w:rsidRPr="000939E3">
        <w:rPr>
          <w:b/>
        </w:rPr>
        <w:t xml:space="preserve">dostalo takmer </w:t>
      </w:r>
      <w:r w:rsidR="003F5143" w:rsidRPr="000939E3">
        <w:rPr>
          <w:b/>
        </w:rPr>
        <w:t>na medzinárodný priemer.</w:t>
      </w:r>
      <w:r w:rsidR="003F5143" w:rsidRPr="000939E3">
        <w:t xml:space="preserve"> V roku 2015 zarábali zdravotné sestry 97 % priemeru v hospodárstve (priemer EÚ 110 %). Navýšením o približne 15 % v roku 2019 </w:t>
      </w:r>
      <w:r w:rsidR="00CB08C5" w:rsidRPr="000939E3">
        <w:t xml:space="preserve">by mali ich mzdy </w:t>
      </w:r>
      <w:r w:rsidR="003F5143" w:rsidRPr="000939E3">
        <w:t>dosiahnu</w:t>
      </w:r>
      <w:r w:rsidR="00CB08C5" w:rsidRPr="000939E3">
        <w:t>ť</w:t>
      </w:r>
      <w:r w:rsidR="003F5143" w:rsidRPr="000939E3">
        <w:t xml:space="preserve"> 107 % (IZP, ÚHP</w:t>
      </w:r>
      <w:r w:rsidR="00140B22" w:rsidRPr="000939E3">
        <w:t>,</w:t>
      </w:r>
      <w:r w:rsidR="003F5143" w:rsidRPr="000939E3">
        <w:t xml:space="preserve"> 2018). </w:t>
      </w:r>
    </w:p>
    <w:p w14:paraId="3E67FE9B" w14:textId="79FCC8CF" w:rsidR="003F5143" w:rsidRPr="000939E3" w:rsidRDefault="003F5143" w:rsidP="003F5143">
      <w:r w:rsidRPr="000939E3">
        <w:rPr>
          <w:b/>
        </w:rPr>
        <w:t xml:space="preserve">Kompenzácia úradníkov ako podiel priemernej mzdy v hospodárstve je na Slovensku nižšia ako priemer krajín OECD, </w:t>
      </w:r>
      <w:r w:rsidRPr="000939E3">
        <w:rPr>
          <w:b/>
          <w:color w:val="000000" w:themeColor="text1"/>
        </w:rPr>
        <w:t>zaostávanie rastie s náročnosťou pozície</w:t>
      </w:r>
      <w:r w:rsidRPr="000939E3">
        <w:rPr>
          <w:rStyle w:val="Odkaznapoznmkupodiarou"/>
          <w:b/>
          <w:color w:val="000000" w:themeColor="text1"/>
        </w:rPr>
        <w:footnoteReference w:id="42"/>
      </w:r>
      <w:r w:rsidRPr="000939E3">
        <w:rPr>
          <w:b/>
          <w:color w:val="000000" w:themeColor="text1"/>
        </w:rPr>
        <w:t xml:space="preserve">. </w:t>
      </w:r>
      <w:r w:rsidRPr="000939E3">
        <w:rPr>
          <w:color w:val="000000" w:themeColor="text1"/>
        </w:rPr>
        <w:t>V porovnaní s náprotivkami v zahraničí zarábali pracovníci v podporných administratívnych činnostiach</w:t>
      </w:r>
      <w:r w:rsidRPr="000939E3">
        <w:rPr>
          <w:rStyle w:val="Odkaznapoznmkupodiarou"/>
          <w:color w:val="000000" w:themeColor="text1"/>
        </w:rPr>
        <w:footnoteReference w:id="43"/>
      </w:r>
      <w:r w:rsidRPr="000939E3">
        <w:rPr>
          <w:color w:val="000000" w:themeColor="text1"/>
        </w:rPr>
        <w:t xml:space="preserve"> podobne, vrcholoví manažéri o tretinu menej (</w:t>
      </w:r>
      <w:r w:rsidRPr="000939E3">
        <w:rPr>
          <w:color w:val="000000" w:themeColor="text1"/>
        </w:rPr>
        <w:fldChar w:fldCharType="begin"/>
      </w:r>
      <w:r w:rsidRPr="000939E3">
        <w:rPr>
          <w:color w:val="000000" w:themeColor="text1"/>
        </w:rPr>
        <w:instrText xml:space="preserve"> REF _Ref3813771 \h  \* MERGEFORMAT </w:instrText>
      </w:r>
      <w:r w:rsidRPr="000939E3">
        <w:rPr>
          <w:color w:val="000000" w:themeColor="text1"/>
        </w:rPr>
      </w:r>
      <w:r w:rsidRPr="000939E3">
        <w:rPr>
          <w:color w:val="000000" w:themeColor="text1"/>
        </w:rPr>
        <w:fldChar w:fldCharType="separate"/>
      </w:r>
      <w:r w:rsidR="00BF69CA" w:rsidRPr="00BF69CA">
        <w:t xml:space="preserve">Graf </w:t>
      </w:r>
      <w:r w:rsidR="00BF69CA" w:rsidRPr="00BF69CA">
        <w:rPr>
          <w:noProof/>
        </w:rPr>
        <w:t>16</w:t>
      </w:r>
      <w:r w:rsidRPr="000939E3">
        <w:rPr>
          <w:color w:val="000000" w:themeColor="text1"/>
        </w:rPr>
        <w:fldChar w:fldCharType="end"/>
      </w:r>
      <w:r w:rsidRPr="000939E3">
        <w:rPr>
          <w:color w:val="000000" w:themeColor="text1"/>
        </w:rPr>
        <w:t xml:space="preserve">). </w:t>
      </w:r>
      <w:r w:rsidRPr="000939E3">
        <w:t>Prieskum OECD potvrdzuje vysokú kompresiu platov v slovenskom verejnom sektore (</w:t>
      </w:r>
      <w:r w:rsidR="00D25C5A">
        <w:t>k</w:t>
      </w:r>
      <w:r w:rsidRPr="000939E3">
        <w:t xml:space="preserve">apitola </w:t>
      </w:r>
      <w:r w:rsidR="00CB63D0" w:rsidRPr="000939E3">
        <w:t>3</w:t>
      </w:r>
      <w:r w:rsidR="00D25C5A">
        <w:t xml:space="preserve">.2) – </w:t>
      </w:r>
      <w:r w:rsidRPr="000939E3">
        <w:t xml:space="preserve">pomer platov </w:t>
      </w:r>
      <w:r w:rsidRPr="000939E3">
        <w:lastRenderedPageBreak/>
        <w:t xml:space="preserve">najvyšších manažérov voči administratívnym pracovníkom bol 2,8 násobný, priemer OECD dosahoval 4,3 násobok. Nízka kompresia je rozhodnutím mzdovej politiky, nie nevyhnutne bohatstva krajiny ako </w:t>
      </w:r>
      <w:r w:rsidR="00D24B5C" w:rsidRPr="000939E3">
        <w:t xml:space="preserve">ukazuje </w:t>
      </w:r>
      <w:r w:rsidRPr="000939E3">
        <w:t xml:space="preserve">rozdielna kompresia Slovenska a Estónska </w:t>
      </w:r>
      <w:r w:rsidRPr="000939E3">
        <w:rPr>
          <w:color w:val="000000" w:themeColor="text1"/>
        </w:rPr>
        <w:t>(</w:t>
      </w:r>
      <w:r w:rsidRPr="000939E3">
        <w:rPr>
          <w:color w:val="000000" w:themeColor="text1"/>
        </w:rPr>
        <w:fldChar w:fldCharType="begin"/>
      </w:r>
      <w:r w:rsidRPr="000939E3">
        <w:rPr>
          <w:color w:val="000000" w:themeColor="text1"/>
        </w:rPr>
        <w:instrText xml:space="preserve"> REF _Ref3813771 \h  \* MERGEFORMAT </w:instrText>
      </w:r>
      <w:r w:rsidRPr="000939E3">
        <w:rPr>
          <w:color w:val="000000" w:themeColor="text1"/>
        </w:rPr>
      </w:r>
      <w:r w:rsidRPr="000939E3">
        <w:rPr>
          <w:color w:val="000000" w:themeColor="text1"/>
        </w:rPr>
        <w:fldChar w:fldCharType="separate"/>
      </w:r>
      <w:r w:rsidR="00BF69CA" w:rsidRPr="00BF69CA">
        <w:t xml:space="preserve">Graf </w:t>
      </w:r>
      <w:r w:rsidR="00BF69CA" w:rsidRPr="00BF69CA">
        <w:rPr>
          <w:noProof/>
        </w:rPr>
        <w:t>16</w:t>
      </w:r>
      <w:r w:rsidRPr="000939E3">
        <w:rPr>
          <w:color w:val="000000" w:themeColor="text1"/>
        </w:rPr>
        <w:fldChar w:fldCharType="end"/>
      </w:r>
      <w:r w:rsidRPr="000939E3">
        <w:rPr>
          <w:color w:val="000000" w:themeColor="text1"/>
        </w:rPr>
        <w:t>)</w:t>
      </w:r>
      <w:r w:rsidRPr="000939E3">
        <w:t>.</w:t>
      </w:r>
    </w:p>
    <w:tbl>
      <w:tblPr>
        <w:tblStyle w:val="UHPGRAF"/>
        <w:tblW w:w="5000" w:type="pct"/>
        <w:tblLayout w:type="fixed"/>
        <w:tblLook w:val="04E0" w:firstRow="1" w:lastRow="1" w:firstColumn="1" w:lastColumn="0" w:noHBand="0" w:noVBand="1"/>
      </w:tblPr>
      <w:tblGrid>
        <w:gridCol w:w="236"/>
        <w:gridCol w:w="4284"/>
        <w:gridCol w:w="236"/>
        <w:gridCol w:w="4316"/>
      </w:tblGrid>
      <w:tr w:rsidR="006B29CE" w:rsidRPr="000939E3" w14:paraId="1D6549C6" w14:textId="77777777" w:rsidTr="004651C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1" w:type="pct"/>
            <w:gridSpan w:val="2"/>
            <w:vAlign w:val="top"/>
            <w:hideMark/>
          </w:tcPr>
          <w:p w14:paraId="2E463496" w14:textId="09CDC994" w:rsidR="006B29CE" w:rsidRPr="000939E3" w:rsidRDefault="006B29CE" w:rsidP="00E4561C">
            <w:pPr>
              <w:pStyle w:val="Popis"/>
              <w:keepNext/>
              <w:spacing w:before="0"/>
              <w:rPr>
                <w:b/>
                <w:lang w:val="sk-SK"/>
              </w:rPr>
            </w:pPr>
            <w:bookmarkStart w:id="78" w:name="_Ref532489333"/>
            <w:bookmarkStart w:id="79" w:name="_Toc527118583"/>
            <w:bookmarkStart w:id="80" w:name="_Toc34226886"/>
            <w:r w:rsidRPr="000939E3">
              <w:rPr>
                <w:b/>
                <w:lang w:val="sk-SK"/>
              </w:rPr>
              <w:t xml:space="preserve">Graf </w:t>
            </w:r>
            <w:r w:rsidR="000B0EF7" w:rsidRPr="000939E3">
              <w:fldChar w:fldCharType="begin"/>
            </w:r>
            <w:r w:rsidR="000B0EF7" w:rsidRPr="000939E3">
              <w:rPr>
                <w:b/>
                <w:lang w:val="sk-SK"/>
              </w:rPr>
              <w:instrText xml:space="preserve"> SEQ Graf \* ARABIC </w:instrText>
            </w:r>
            <w:r w:rsidR="000B0EF7" w:rsidRPr="000939E3">
              <w:fldChar w:fldCharType="separate"/>
            </w:r>
            <w:r w:rsidR="00BF69CA">
              <w:rPr>
                <w:b/>
                <w:noProof/>
                <w:lang w:val="sk-SK"/>
              </w:rPr>
              <w:t>15</w:t>
            </w:r>
            <w:r w:rsidR="000B0EF7" w:rsidRPr="000939E3">
              <w:fldChar w:fldCharType="end"/>
            </w:r>
            <w:bookmarkEnd w:id="78"/>
            <w:r w:rsidR="00BB7128" w:rsidRPr="000939E3">
              <w:rPr>
                <w:b/>
                <w:iCs w:val="0"/>
                <w:noProof/>
                <w:lang w:val="sk-SK"/>
              </w:rPr>
              <w:t>:</w:t>
            </w:r>
            <w:r w:rsidRPr="000939E3">
              <w:rPr>
                <w:b/>
                <w:iCs w:val="0"/>
                <w:lang w:val="sk-SK"/>
              </w:rPr>
              <w:t xml:space="preserve"> </w:t>
            </w:r>
            <w:r w:rsidR="0004037F" w:rsidRPr="000939E3">
              <w:rPr>
                <w:b/>
                <w:iCs w:val="0"/>
                <w:lang w:val="sk-SK"/>
              </w:rPr>
              <w:t>Vývoj mie</w:t>
            </w:r>
            <w:r w:rsidRPr="000939E3">
              <w:rPr>
                <w:b/>
                <w:iCs w:val="0"/>
                <w:lang w:val="sk-SK"/>
              </w:rPr>
              <w:t xml:space="preserve">zd </w:t>
            </w:r>
            <w:r w:rsidR="0004037F" w:rsidRPr="000939E3">
              <w:rPr>
                <w:b/>
                <w:iCs w:val="0"/>
                <w:lang w:val="sk-SK"/>
              </w:rPr>
              <w:t xml:space="preserve">jednotlivých povolaní </w:t>
            </w:r>
            <w:r w:rsidRPr="000939E3">
              <w:rPr>
                <w:b/>
                <w:iCs w:val="0"/>
                <w:lang w:val="sk-SK"/>
              </w:rPr>
              <w:t>v pomere ku mzde VŠ vzdelaných</w:t>
            </w:r>
            <w:bookmarkEnd w:id="79"/>
            <w:r w:rsidR="0004037F" w:rsidRPr="000939E3">
              <w:rPr>
                <w:b/>
                <w:iCs w:val="0"/>
                <w:lang w:val="sk-SK"/>
              </w:rPr>
              <w:t>, 2010-</w:t>
            </w:r>
            <w:r w:rsidR="001C7289" w:rsidRPr="000939E3">
              <w:rPr>
                <w:b/>
                <w:iCs w:val="0"/>
                <w:lang w:val="sk-SK"/>
              </w:rPr>
              <w:t>2018</w:t>
            </w:r>
            <w:bookmarkEnd w:id="80"/>
          </w:p>
        </w:tc>
        <w:tc>
          <w:tcPr>
            <w:tcW w:w="130" w:type="pct"/>
            <w:tcBorders>
              <w:bottom w:val="nil"/>
            </w:tcBorders>
            <w:vAlign w:val="top"/>
          </w:tcPr>
          <w:p w14:paraId="565C3A47" w14:textId="77777777" w:rsidR="006B29CE" w:rsidRPr="000939E3" w:rsidRDefault="006B29CE" w:rsidP="004651CC">
            <w:pPr>
              <w:pStyle w:val="Popis"/>
              <w:keepNext/>
              <w:cnfStyle w:val="100000000000" w:firstRow="1" w:lastRow="0" w:firstColumn="0" w:lastColumn="0" w:oddVBand="0" w:evenVBand="0" w:oddHBand="0" w:evenHBand="0" w:firstRowFirstColumn="0" w:firstRowLastColumn="0" w:lastRowFirstColumn="0" w:lastRowLastColumn="0"/>
              <w:rPr>
                <w:b/>
                <w:lang w:val="sk-SK"/>
              </w:rPr>
            </w:pPr>
          </w:p>
        </w:tc>
        <w:tc>
          <w:tcPr>
            <w:tcW w:w="2379" w:type="pct"/>
            <w:vAlign w:val="top"/>
          </w:tcPr>
          <w:p w14:paraId="2B34A331" w14:textId="599262A8" w:rsidR="006B29CE" w:rsidRPr="000939E3" w:rsidRDefault="006B29CE" w:rsidP="004651CC">
            <w:pPr>
              <w:pStyle w:val="Popis"/>
              <w:keepNext/>
              <w:cnfStyle w:val="100000000000" w:firstRow="1" w:lastRow="0" w:firstColumn="0" w:lastColumn="0" w:oddVBand="0" w:evenVBand="0" w:oddHBand="0" w:evenHBand="0" w:firstRowFirstColumn="0" w:firstRowLastColumn="0" w:lastRowFirstColumn="0" w:lastRowLastColumn="0"/>
              <w:rPr>
                <w:b/>
                <w:lang w:val="sk-SK"/>
              </w:rPr>
            </w:pPr>
            <w:bookmarkStart w:id="81" w:name="_Ref3813771"/>
            <w:bookmarkStart w:id="82" w:name="_Toc527118584"/>
            <w:bookmarkStart w:id="83" w:name="_Toc34226887"/>
            <w:r w:rsidRPr="000939E3">
              <w:rPr>
                <w:b/>
                <w:lang w:val="sk-SK"/>
              </w:rPr>
              <w:t xml:space="preserve">Graf </w:t>
            </w:r>
            <w:r w:rsidR="000B0EF7" w:rsidRPr="000939E3">
              <w:fldChar w:fldCharType="begin"/>
            </w:r>
            <w:r w:rsidR="000B0EF7" w:rsidRPr="000939E3">
              <w:rPr>
                <w:b/>
                <w:lang w:val="sk-SK"/>
              </w:rPr>
              <w:instrText xml:space="preserve"> SEQ Graf \* ARABIC </w:instrText>
            </w:r>
            <w:r w:rsidR="000B0EF7" w:rsidRPr="000939E3">
              <w:fldChar w:fldCharType="separate"/>
            </w:r>
            <w:r w:rsidR="00BF69CA">
              <w:rPr>
                <w:b/>
                <w:noProof/>
                <w:lang w:val="sk-SK"/>
              </w:rPr>
              <w:t>16</w:t>
            </w:r>
            <w:r w:rsidR="000B0EF7" w:rsidRPr="000939E3">
              <w:fldChar w:fldCharType="end"/>
            </w:r>
            <w:bookmarkEnd w:id="81"/>
            <w:r w:rsidR="00BB7128" w:rsidRPr="000939E3">
              <w:rPr>
                <w:b/>
                <w:iCs w:val="0"/>
                <w:noProof/>
                <w:lang w:val="sk-SK"/>
              </w:rPr>
              <w:t>:</w:t>
            </w:r>
            <w:r w:rsidRPr="000939E3">
              <w:rPr>
                <w:b/>
                <w:iCs w:val="0"/>
                <w:noProof/>
                <w:lang w:val="sk-SK"/>
              </w:rPr>
              <w:t xml:space="preserve"> </w:t>
            </w:r>
            <w:bookmarkEnd w:id="82"/>
            <w:r w:rsidR="009C5BEF" w:rsidRPr="000939E3">
              <w:rPr>
                <w:b/>
                <w:lang w:val="sk-SK"/>
              </w:rPr>
              <w:t>Priemerná ročná kompenzácia zamestnancov centrálnej vlády ako podiel na</w:t>
            </w:r>
            <w:r w:rsidR="00C427D2" w:rsidRPr="000939E3">
              <w:rPr>
                <w:b/>
                <w:lang w:val="sk-SK"/>
              </w:rPr>
              <w:t> </w:t>
            </w:r>
            <w:r w:rsidR="007878F2" w:rsidRPr="000939E3">
              <w:rPr>
                <w:b/>
                <w:lang w:val="sk-SK"/>
              </w:rPr>
              <w:t>priemernej mzde v ekonomike</w:t>
            </w:r>
            <w:r w:rsidR="009C5BEF" w:rsidRPr="000939E3">
              <w:rPr>
                <w:b/>
                <w:lang w:val="sk-SK"/>
              </w:rPr>
              <w:t xml:space="preserve"> </w:t>
            </w:r>
            <w:r w:rsidR="007878F2" w:rsidRPr="000939E3">
              <w:rPr>
                <w:b/>
                <w:lang w:val="sk-SK"/>
              </w:rPr>
              <w:t>(</w:t>
            </w:r>
            <w:r w:rsidR="009C5BEF" w:rsidRPr="000939E3">
              <w:rPr>
                <w:b/>
                <w:lang w:val="sk-SK"/>
              </w:rPr>
              <w:t>2015</w:t>
            </w:r>
            <w:r w:rsidR="007878F2" w:rsidRPr="000939E3">
              <w:rPr>
                <w:b/>
                <w:lang w:val="sk-SK"/>
              </w:rPr>
              <w:t>)</w:t>
            </w:r>
            <w:bookmarkEnd w:id="83"/>
          </w:p>
        </w:tc>
      </w:tr>
      <w:tr w:rsidR="006B29CE" w:rsidRPr="000939E3" w14:paraId="08DE1C91" w14:textId="77777777" w:rsidTr="00E4561C">
        <w:trPr>
          <w:trHeight w:val="5132"/>
        </w:trPr>
        <w:tc>
          <w:tcPr>
            <w:cnfStyle w:val="001000000000" w:firstRow="0" w:lastRow="0" w:firstColumn="1" w:lastColumn="0" w:oddVBand="0" w:evenVBand="0" w:oddHBand="0" w:evenHBand="0" w:firstRowFirstColumn="0" w:firstRowLastColumn="0" w:lastRowFirstColumn="0" w:lastRowLastColumn="0"/>
            <w:tcW w:w="2491" w:type="pct"/>
            <w:gridSpan w:val="2"/>
            <w:hideMark/>
          </w:tcPr>
          <w:p w14:paraId="51CBE288" w14:textId="3DD16AA1" w:rsidR="006B29CE" w:rsidRPr="000939E3" w:rsidRDefault="00E4561C" w:rsidP="00EC0C63">
            <w:pPr>
              <w:keepNext/>
              <w:ind w:left="-108"/>
            </w:pPr>
            <w:r w:rsidRPr="000939E3">
              <w:rPr>
                <w:noProof/>
              </w:rPr>
              <w:drawing>
                <wp:inline distT="0" distB="0" distL="0" distR="0" wp14:anchorId="25F47CEE" wp14:editId="05A3084C">
                  <wp:extent cx="2838450" cy="3240405"/>
                  <wp:effectExtent l="0" t="0" r="0" b="0"/>
                  <wp:docPr id="248" name="Graf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130" w:type="pct"/>
            <w:tcBorders>
              <w:bottom w:val="nil"/>
            </w:tcBorders>
          </w:tcPr>
          <w:p w14:paraId="15BE5EB0" w14:textId="77777777" w:rsidR="006B29CE" w:rsidRPr="000939E3" w:rsidRDefault="006B29CE" w:rsidP="00AB25D6">
            <w:pPr>
              <w:keepNext/>
              <w:jc w:val="center"/>
              <w:cnfStyle w:val="000000000000" w:firstRow="0" w:lastRow="0" w:firstColumn="0" w:lastColumn="0" w:oddVBand="0" w:evenVBand="0" w:oddHBand="0" w:evenHBand="0" w:firstRowFirstColumn="0" w:firstRowLastColumn="0" w:lastRowFirstColumn="0" w:lastRowLastColumn="0"/>
              <w:rPr>
                <w:noProof/>
              </w:rPr>
            </w:pPr>
          </w:p>
        </w:tc>
        <w:tc>
          <w:tcPr>
            <w:tcW w:w="2379" w:type="pct"/>
          </w:tcPr>
          <w:p w14:paraId="43435343" w14:textId="4A42592B" w:rsidR="006B29CE" w:rsidRPr="000939E3" w:rsidRDefault="008D531A" w:rsidP="00AB25D6">
            <w:pPr>
              <w:keepNext/>
              <w:jc w:val="center"/>
              <w:cnfStyle w:val="000000000000" w:firstRow="0" w:lastRow="0" w:firstColumn="0" w:lastColumn="0" w:oddVBand="0" w:evenVBand="0" w:oddHBand="0" w:evenHBand="0" w:firstRowFirstColumn="0" w:firstRowLastColumn="0" w:lastRowFirstColumn="0" w:lastRowLastColumn="0"/>
              <w:rPr>
                <w:noProof/>
              </w:rPr>
            </w:pPr>
            <w:r w:rsidRPr="000939E3">
              <w:rPr>
                <w:noProof/>
              </w:rPr>
              <w:drawing>
                <wp:inline distT="0" distB="0" distL="0" distR="0" wp14:anchorId="6E63B42A" wp14:editId="5EC74AAC">
                  <wp:extent cx="2651760" cy="3352800"/>
                  <wp:effectExtent l="0" t="0" r="0" b="0"/>
                  <wp:docPr id="227" name="Graf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6B29CE" w:rsidRPr="000939E3" w14:paraId="0712B8E3" w14:textId="77777777" w:rsidTr="00AB25D6">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30" w:type="pct"/>
          </w:tcPr>
          <w:p w14:paraId="4BFA9761" w14:textId="77777777" w:rsidR="006B29CE" w:rsidRPr="000939E3" w:rsidRDefault="006B29CE" w:rsidP="00AB25D6">
            <w:pPr>
              <w:jc w:val="left"/>
              <w:rPr>
                <w:bCs w:val="0"/>
                <w:i w:val="0"/>
              </w:rPr>
            </w:pPr>
          </w:p>
        </w:tc>
        <w:tc>
          <w:tcPr>
            <w:tcW w:w="2361" w:type="pct"/>
            <w:vAlign w:val="top"/>
            <w:hideMark/>
          </w:tcPr>
          <w:p w14:paraId="678E409F" w14:textId="29C88808" w:rsidR="006B29CE" w:rsidRPr="000939E3" w:rsidRDefault="006B29CE" w:rsidP="00AB25D6">
            <w:pPr>
              <w:jc w:val="right"/>
              <w:cnfStyle w:val="010000000000" w:firstRow="0" w:lastRow="1" w:firstColumn="0" w:lastColumn="0" w:oddVBand="0" w:evenVBand="0" w:oddHBand="0" w:evenHBand="0" w:firstRowFirstColumn="0" w:firstRowLastColumn="0" w:lastRowFirstColumn="0" w:lastRowLastColumn="0"/>
              <w:rPr>
                <w:sz w:val="18"/>
                <w:szCs w:val="18"/>
                <w:lang w:val="de-DE"/>
              </w:rPr>
            </w:pPr>
            <w:r w:rsidRPr="000939E3">
              <w:rPr>
                <w:sz w:val="18"/>
                <w:szCs w:val="18"/>
                <w:lang w:val="pt-BR"/>
              </w:rPr>
              <w:t>Zdroj: MF SR, NCZI, MŠVVaŠ SR</w:t>
            </w:r>
            <w:r w:rsidR="00991FC8" w:rsidRPr="000939E3">
              <w:rPr>
                <w:sz w:val="18"/>
                <w:szCs w:val="18"/>
                <w:lang w:val="pt-BR"/>
              </w:rPr>
              <w:t>, spracovanie ÚHP</w:t>
            </w:r>
          </w:p>
        </w:tc>
        <w:tc>
          <w:tcPr>
            <w:tcW w:w="130" w:type="pct"/>
            <w:tcBorders>
              <w:top w:val="nil"/>
            </w:tcBorders>
          </w:tcPr>
          <w:p w14:paraId="5752128A" w14:textId="77777777" w:rsidR="006B29CE" w:rsidRPr="000939E3" w:rsidRDefault="006B29CE" w:rsidP="00AB25D6">
            <w:pPr>
              <w:jc w:val="right"/>
              <w:cnfStyle w:val="010000000000" w:firstRow="0" w:lastRow="1" w:firstColumn="0" w:lastColumn="0" w:oddVBand="0" w:evenVBand="0" w:oddHBand="0" w:evenHBand="0" w:firstRowFirstColumn="0" w:firstRowLastColumn="0" w:lastRowFirstColumn="0" w:lastRowLastColumn="0"/>
              <w:rPr>
                <w:sz w:val="18"/>
                <w:szCs w:val="18"/>
                <w:lang w:val="pt-BR"/>
              </w:rPr>
            </w:pPr>
          </w:p>
        </w:tc>
        <w:tc>
          <w:tcPr>
            <w:tcW w:w="2379" w:type="pct"/>
          </w:tcPr>
          <w:p w14:paraId="029E1EDD" w14:textId="51EE071C" w:rsidR="006B29CE" w:rsidRPr="000939E3" w:rsidRDefault="009C5BEF" w:rsidP="00AB25D6">
            <w:pPr>
              <w:jc w:val="right"/>
              <w:cnfStyle w:val="010000000000" w:firstRow="0" w:lastRow="1" w:firstColumn="0" w:lastColumn="0" w:oddVBand="0" w:evenVBand="0" w:oddHBand="0" w:evenHBand="0" w:firstRowFirstColumn="0" w:firstRowLastColumn="0" w:lastRowFirstColumn="0" w:lastRowLastColumn="0"/>
              <w:rPr>
                <w:sz w:val="18"/>
                <w:szCs w:val="18"/>
              </w:rPr>
            </w:pPr>
            <w:r w:rsidRPr="000939E3">
              <w:rPr>
                <w:sz w:val="18"/>
                <w:szCs w:val="18"/>
                <w:lang w:val="sk-SK"/>
              </w:rPr>
              <w:t>Zdroj</w:t>
            </w:r>
            <w:r w:rsidRPr="000939E3">
              <w:rPr>
                <w:sz w:val="18"/>
                <w:szCs w:val="18"/>
                <w:lang w:val="en-GB"/>
              </w:rPr>
              <w:t>: 2016 OECD Survey on Compensation of Employees in Central Government</w:t>
            </w:r>
          </w:p>
        </w:tc>
      </w:tr>
    </w:tbl>
    <w:p w14:paraId="744BA392" w14:textId="7E4F3F38" w:rsidR="006B29CE" w:rsidRPr="000939E3" w:rsidRDefault="006B29CE" w:rsidP="00D25C5A">
      <w:pPr>
        <w:spacing w:before="160"/>
      </w:pPr>
      <w:r w:rsidRPr="000939E3">
        <w:rPr>
          <w:b/>
        </w:rPr>
        <w:t xml:space="preserve">Hrubý odhad súbežného dorovnania počtov </w:t>
      </w:r>
      <w:r w:rsidR="002E0DC3" w:rsidRPr="000939E3">
        <w:rPr>
          <w:b/>
        </w:rPr>
        <w:t xml:space="preserve">a </w:t>
      </w:r>
      <w:r w:rsidRPr="000939E3">
        <w:rPr>
          <w:b/>
        </w:rPr>
        <w:t xml:space="preserve">miezd na medzinárodný priemer by znamenal výrazné navýšenie mzdových prostriedkov pre regionálne školstvo, </w:t>
      </w:r>
      <w:r w:rsidR="00474CD4" w:rsidRPr="000939E3">
        <w:rPr>
          <w:b/>
        </w:rPr>
        <w:t xml:space="preserve">sociálne služby, </w:t>
      </w:r>
      <w:r w:rsidR="00D25C5A">
        <w:rPr>
          <w:b/>
        </w:rPr>
        <w:t>menší nárast pre </w:t>
      </w:r>
      <w:r w:rsidRPr="000939E3">
        <w:rPr>
          <w:b/>
        </w:rPr>
        <w:t xml:space="preserve">zdravotníctvo. </w:t>
      </w:r>
      <w:r w:rsidRPr="000939E3">
        <w:t>Objem mzdových prostriedkov by klesol v</w:t>
      </w:r>
      <w:r w:rsidR="002E0DC3" w:rsidRPr="000939E3">
        <w:t> </w:t>
      </w:r>
      <w:r w:rsidRPr="000939E3">
        <w:t>polícii</w:t>
      </w:r>
      <w:r w:rsidR="002E0DC3" w:rsidRPr="000939E3">
        <w:t>,</w:t>
      </w:r>
      <w:r w:rsidRPr="000939E3">
        <w:t xml:space="preserve"> prokuratúre, mierne aj </w:t>
      </w:r>
      <w:r w:rsidR="002E0DC3" w:rsidRPr="000939E3">
        <w:t xml:space="preserve">na </w:t>
      </w:r>
      <w:r w:rsidR="00D25C5A">
        <w:t>vysokých školách a na </w:t>
      </w:r>
      <w:r w:rsidRPr="000939E3">
        <w:t>súdoch</w:t>
      </w:r>
      <w:r w:rsidR="00F93882" w:rsidRPr="000939E3">
        <w:t xml:space="preserve"> (</w:t>
      </w:r>
      <w:r w:rsidR="00F93882" w:rsidRPr="000939E3">
        <w:fldChar w:fldCharType="begin"/>
      </w:r>
      <w:r w:rsidR="00F93882" w:rsidRPr="000939E3">
        <w:instrText xml:space="preserve"> REF _Ref4065667 \h  \* MERGEFORMAT </w:instrText>
      </w:r>
      <w:r w:rsidR="00F93882" w:rsidRPr="000939E3">
        <w:fldChar w:fldCharType="separate"/>
      </w:r>
      <w:r w:rsidR="00BF69CA" w:rsidRPr="00BF69CA">
        <w:t xml:space="preserve">Graf </w:t>
      </w:r>
      <w:r w:rsidR="00BF69CA" w:rsidRPr="00BF69CA">
        <w:rPr>
          <w:noProof/>
        </w:rPr>
        <w:t>17</w:t>
      </w:r>
      <w:r w:rsidR="00F93882" w:rsidRPr="000939E3">
        <w:fldChar w:fldCharType="end"/>
      </w:r>
      <w:r w:rsidR="00F93882" w:rsidRPr="000939E3">
        <w:t>)</w:t>
      </w:r>
      <w:r w:rsidRPr="000939E3">
        <w:t xml:space="preserve">. Celkové náklady </w:t>
      </w:r>
      <w:r w:rsidR="00A53E86" w:rsidRPr="000939E3">
        <w:t xml:space="preserve">dosahujú </w:t>
      </w:r>
      <w:r w:rsidR="00474CD4" w:rsidRPr="000939E3">
        <w:t>1,</w:t>
      </w:r>
      <w:r w:rsidR="008F2678" w:rsidRPr="000939E3">
        <w:t>1</w:t>
      </w:r>
      <w:r w:rsidR="00474CD4" w:rsidRPr="000939E3">
        <w:t xml:space="preserve"> mld</w:t>
      </w:r>
      <w:r w:rsidRPr="000939E3">
        <w:t xml:space="preserve">. eur a podobne ako v predchádzajúcom prípade nezahŕňajú štátnych úradníkov </w:t>
      </w:r>
      <w:r w:rsidR="002E0DC3" w:rsidRPr="000939E3">
        <w:t>a</w:t>
      </w:r>
      <w:r w:rsidRPr="000939E3">
        <w:t xml:space="preserve"> vojakov.</w:t>
      </w:r>
    </w:p>
    <w:tbl>
      <w:tblPr>
        <w:tblStyle w:val="UHPGRAF"/>
        <w:tblW w:w="5000" w:type="pct"/>
        <w:tblLook w:val="04E0" w:firstRow="1" w:lastRow="1" w:firstColumn="1" w:lastColumn="0" w:noHBand="0" w:noVBand="1"/>
      </w:tblPr>
      <w:tblGrid>
        <w:gridCol w:w="863"/>
        <w:gridCol w:w="8209"/>
      </w:tblGrid>
      <w:tr w:rsidR="006B29CE" w:rsidRPr="000939E3" w14:paraId="67BEF9CF" w14:textId="77777777" w:rsidTr="00AB25D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4CF1756" w14:textId="2E2CEFD7" w:rsidR="006B29CE" w:rsidRPr="000939E3" w:rsidRDefault="00C642A7" w:rsidP="007878F2">
            <w:pPr>
              <w:pStyle w:val="Popis"/>
              <w:keepNext/>
              <w:spacing w:before="0"/>
              <w:rPr>
                <w:b/>
                <w:lang w:val="sk-SK"/>
              </w:rPr>
            </w:pPr>
            <w:bookmarkStart w:id="84" w:name="_Ref4065667"/>
            <w:bookmarkStart w:id="85" w:name="_Toc527118585"/>
            <w:bookmarkStart w:id="86" w:name="_Toc34226888"/>
            <w:r w:rsidRPr="000939E3">
              <w:rPr>
                <w:b/>
                <w:lang w:val="sk-SK"/>
              </w:rPr>
              <w:t xml:space="preserve">Graf </w:t>
            </w:r>
            <w:r w:rsidRPr="000939E3">
              <w:fldChar w:fldCharType="begin"/>
            </w:r>
            <w:r w:rsidRPr="000939E3">
              <w:rPr>
                <w:b/>
                <w:lang w:val="sk-SK"/>
              </w:rPr>
              <w:instrText xml:space="preserve"> SEQ Graf \* ARABIC </w:instrText>
            </w:r>
            <w:r w:rsidRPr="000939E3">
              <w:fldChar w:fldCharType="separate"/>
            </w:r>
            <w:r w:rsidR="00BF69CA">
              <w:rPr>
                <w:b/>
                <w:noProof/>
                <w:lang w:val="sk-SK"/>
              </w:rPr>
              <w:t>17</w:t>
            </w:r>
            <w:r w:rsidRPr="000939E3">
              <w:fldChar w:fldCharType="end"/>
            </w:r>
            <w:bookmarkEnd w:id="84"/>
            <w:r w:rsidRPr="000939E3">
              <w:rPr>
                <w:b/>
                <w:iCs w:val="0"/>
                <w:noProof/>
                <w:lang w:val="sk-SK"/>
              </w:rPr>
              <w:t>:</w:t>
            </w:r>
            <w:r w:rsidRPr="000939E3">
              <w:rPr>
                <w:b/>
                <w:iCs w:val="0"/>
                <w:lang w:val="sk-SK"/>
              </w:rPr>
              <w:t xml:space="preserve"> Rámcové medzinárodné porovnanie súbežnej zmeny platov a počtov (dopad v mil. eur)</w:t>
            </w:r>
            <w:bookmarkEnd w:id="85"/>
            <w:bookmarkEnd w:id="86"/>
          </w:p>
        </w:tc>
      </w:tr>
      <w:tr w:rsidR="006B29CE" w:rsidRPr="000939E3" w14:paraId="3931DA89" w14:textId="77777777" w:rsidTr="000A1A48">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2482638D" w14:textId="34088387" w:rsidR="006B29CE" w:rsidRPr="000939E3" w:rsidRDefault="000A1A48" w:rsidP="00AB25D6">
            <w:pPr>
              <w:keepNext/>
              <w:jc w:val="center"/>
            </w:pPr>
            <w:r w:rsidRPr="000939E3">
              <w:rPr>
                <w:noProof/>
              </w:rPr>
              <w:drawing>
                <wp:inline distT="0" distB="0" distL="0" distR="0" wp14:anchorId="45AA9B19" wp14:editId="2C1C9803">
                  <wp:extent cx="5760720" cy="2386965"/>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6B29CE" w:rsidRPr="000939E3">
              <w:rPr>
                <w:noProof/>
              </w:rPr>
              <w:t xml:space="preserve"> </w:t>
            </w:r>
          </w:p>
        </w:tc>
      </w:tr>
      <w:tr w:rsidR="006B29CE" w:rsidRPr="000939E3" w14:paraId="30D9163F" w14:textId="77777777" w:rsidTr="00AB25D6">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473" w:type="pct"/>
          </w:tcPr>
          <w:p w14:paraId="48998A18" w14:textId="77777777" w:rsidR="006B29CE" w:rsidRPr="000939E3" w:rsidRDefault="006B29CE" w:rsidP="00AB25D6">
            <w:pPr>
              <w:jc w:val="left"/>
              <w:rPr>
                <w:bCs w:val="0"/>
                <w:i w:val="0"/>
              </w:rPr>
            </w:pPr>
          </w:p>
        </w:tc>
        <w:tc>
          <w:tcPr>
            <w:tcW w:w="4527" w:type="pct"/>
            <w:vAlign w:val="top"/>
            <w:hideMark/>
          </w:tcPr>
          <w:p w14:paraId="455389C5" w14:textId="414B1C58" w:rsidR="006B29CE" w:rsidRPr="00D25C5A" w:rsidRDefault="006B29CE" w:rsidP="000647E2">
            <w:pPr>
              <w:keepNext/>
              <w:jc w:val="right"/>
              <w:cnfStyle w:val="010000000000" w:firstRow="0" w:lastRow="1" w:firstColumn="0" w:lastColumn="0" w:oddVBand="0" w:evenVBand="0" w:oddHBand="0" w:evenHBand="0" w:firstRowFirstColumn="0" w:firstRowLastColumn="0" w:lastRowFirstColumn="0" w:lastRowLastColumn="0"/>
              <w:rPr>
                <w:sz w:val="18"/>
                <w:szCs w:val="18"/>
                <w:lang w:val="sk-SK"/>
              </w:rPr>
            </w:pPr>
            <w:r w:rsidRPr="00D25C5A">
              <w:rPr>
                <w:sz w:val="18"/>
                <w:szCs w:val="18"/>
                <w:lang w:val="sk-SK"/>
              </w:rPr>
              <w:t xml:space="preserve">Zdroj: </w:t>
            </w:r>
            <w:r w:rsidR="000647E2" w:rsidRPr="00D25C5A">
              <w:rPr>
                <w:sz w:val="18"/>
                <w:szCs w:val="18"/>
              </w:rPr>
              <w:fldChar w:fldCharType="begin"/>
            </w:r>
            <w:r w:rsidR="000647E2" w:rsidRPr="00D25C5A">
              <w:rPr>
                <w:sz w:val="18"/>
                <w:szCs w:val="18"/>
                <w:lang w:val="sk-SK"/>
              </w:rPr>
              <w:instrText xml:space="preserve"> REF _Ref532889455 \h </w:instrText>
            </w:r>
            <w:r w:rsidR="00063CCC" w:rsidRPr="00D25C5A">
              <w:rPr>
                <w:sz w:val="18"/>
                <w:szCs w:val="18"/>
                <w:lang w:val="sk-SK"/>
              </w:rPr>
              <w:instrText xml:space="preserve"> \* MERGEFORMAT </w:instrText>
            </w:r>
            <w:r w:rsidR="000647E2" w:rsidRPr="00D25C5A">
              <w:rPr>
                <w:sz w:val="18"/>
                <w:szCs w:val="18"/>
              </w:rPr>
            </w:r>
            <w:r w:rsidR="000647E2" w:rsidRPr="00D25C5A">
              <w:rPr>
                <w:sz w:val="18"/>
                <w:szCs w:val="18"/>
              </w:rPr>
              <w:fldChar w:fldCharType="separate"/>
            </w:r>
            <w:r w:rsidR="00BF69CA" w:rsidRPr="00BF69CA">
              <w:rPr>
                <w:sz w:val="18"/>
                <w:szCs w:val="18"/>
                <w:lang w:val="sk-SK"/>
              </w:rPr>
              <w:t xml:space="preserve">Príloha </w:t>
            </w:r>
            <w:r w:rsidR="00BF69CA" w:rsidRPr="00BF69CA">
              <w:rPr>
                <w:noProof/>
                <w:sz w:val="18"/>
                <w:szCs w:val="18"/>
                <w:lang w:val="sk-SK"/>
              </w:rPr>
              <w:t>6</w:t>
            </w:r>
            <w:r w:rsidR="000647E2" w:rsidRPr="00D25C5A">
              <w:rPr>
                <w:sz w:val="18"/>
                <w:szCs w:val="18"/>
              </w:rPr>
              <w:fldChar w:fldCharType="end"/>
            </w:r>
            <w:r w:rsidR="000647E2" w:rsidRPr="00D25C5A">
              <w:rPr>
                <w:sz w:val="18"/>
                <w:szCs w:val="18"/>
                <w:lang w:val="sk-SK"/>
              </w:rPr>
              <w:t xml:space="preserve"> a </w:t>
            </w:r>
            <w:r w:rsidR="000647E2" w:rsidRPr="00D25C5A">
              <w:rPr>
                <w:sz w:val="18"/>
                <w:szCs w:val="18"/>
              </w:rPr>
              <w:fldChar w:fldCharType="begin"/>
            </w:r>
            <w:r w:rsidR="000647E2" w:rsidRPr="00D25C5A">
              <w:rPr>
                <w:sz w:val="18"/>
                <w:szCs w:val="18"/>
                <w:lang w:val="sk-SK"/>
              </w:rPr>
              <w:instrText xml:space="preserve"> REF _Ref532889488 \h </w:instrText>
            </w:r>
            <w:r w:rsidR="00063CCC" w:rsidRPr="00D25C5A">
              <w:rPr>
                <w:sz w:val="18"/>
                <w:szCs w:val="18"/>
                <w:lang w:val="sk-SK"/>
              </w:rPr>
              <w:instrText xml:space="preserve"> \* MERGEFORMAT </w:instrText>
            </w:r>
            <w:r w:rsidR="000647E2" w:rsidRPr="00D25C5A">
              <w:rPr>
                <w:sz w:val="18"/>
                <w:szCs w:val="18"/>
              </w:rPr>
            </w:r>
            <w:r w:rsidR="000647E2" w:rsidRPr="00D25C5A">
              <w:rPr>
                <w:sz w:val="18"/>
                <w:szCs w:val="18"/>
              </w:rPr>
              <w:fldChar w:fldCharType="separate"/>
            </w:r>
            <w:r w:rsidR="00BF69CA" w:rsidRPr="00BF69CA">
              <w:rPr>
                <w:sz w:val="18"/>
                <w:szCs w:val="18"/>
                <w:lang w:val="sk-SK"/>
              </w:rPr>
              <w:t xml:space="preserve">Príloha </w:t>
            </w:r>
            <w:r w:rsidR="00BF69CA" w:rsidRPr="00BF69CA">
              <w:rPr>
                <w:noProof/>
                <w:sz w:val="18"/>
                <w:szCs w:val="18"/>
                <w:lang w:val="sk-SK"/>
              </w:rPr>
              <w:t>7</w:t>
            </w:r>
            <w:r w:rsidR="000647E2" w:rsidRPr="00D25C5A">
              <w:rPr>
                <w:sz w:val="18"/>
                <w:szCs w:val="18"/>
              </w:rPr>
              <w:fldChar w:fldCharType="end"/>
            </w:r>
          </w:p>
        </w:tc>
      </w:tr>
    </w:tbl>
    <w:p w14:paraId="0D127FEE" w14:textId="72FC17AD" w:rsidR="00DB721C" w:rsidRPr="000939E3" w:rsidRDefault="006B29CE" w:rsidP="00FC0742">
      <w:pPr>
        <w:spacing w:before="240"/>
      </w:pPr>
      <w:r w:rsidRPr="000939E3">
        <w:rPr>
          <w:b/>
        </w:rPr>
        <w:lastRenderedPageBreak/>
        <w:t xml:space="preserve">Rozdielna miera zaostávania jednotlivých profesií vytvára priestor </w:t>
      </w:r>
      <w:r w:rsidR="00324611" w:rsidRPr="000939E3">
        <w:rPr>
          <w:b/>
        </w:rPr>
        <w:t xml:space="preserve">na </w:t>
      </w:r>
      <w:r w:rsidRPr="000939E3">
        <w:rPr>
          <w:b/>
        </w:rPr>
        <w:t>diferencované zvyšovanie platov</w:t>
      </w:r>
      <w:r w:rsidRPr="000939E3">
        <w:t xml:space="preserve">. Pomerne väčšia časť dodatočných zdrojov by mala smerovať do oblastí, ktorých zamestnanci zaostávajú v pomere ku priemerným mzdám voči kolegom v zahraničí najviac.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072"/>
      </w:tblGrid>
      <w:tr w:rsidR="004941CB" w:rsidRPr="000939E3" w14:paraId="56A30A77" w14:textId="77777777" w:rsidTr="0040330D">
        <w:tc>
          <w:tcPr>
            <w:tcW w:w="9072" w:type="dxa"/>
            <w:shd w:val="clear" w:color="auto" w:fill="BDD6EE" w:themeFill="accent1" w:themeFillTint="66"/>
          </w:tcPr>
          <w:p w14:paraId="717DA6A8" w14:textId="28976291" w:rsidR="004941CB" w:rsidRPr="000939E3" w:rsidRDefault="004941CB" w:rsidP="004941CB">
            <w:r w:rsidRPr="000939E3">
              <w:rPr>
                <w:b/>
              </w:rPr>
              <w:t xml:space="preserve">Box </w:t>
            </w:r>
            <w:r w:rsidRPr="000939E3">
              <w:rPr>
                <w:b/>
              </w:rPr>
              <w:fldChar w:fldCharType="begin"/>
            </w:r>
            <w:r w:rsidRPr="000939E3">
              <w:rPr>
                <w:b/>
              </w:rPr>
              <w:instrText xml:space="preserve"> SEQ Box \* ARABIC </w:instrText>
            </w:r>
            <w:r w:rsidRPr="000939E3">
              <w:rPr>
                <w:b/>
              </w:rPr>
              <w:fldChar w:fldCharType="separate"/>
            </w:r>
            <w:r w:rsidR="00BF69CA">
              <w:rPr>
                <w:b/>
                <w:noProof/>
              </w:rPr>
              <w:t>4</w:t>
            </w:r>
            <w:r w:rsidRPr="000939E3">
              <w:rPr>
                <w:b/>
              </w:rPr>
              <w:fldChar w:fldCharType="end"/>
            </w:r>
            <w:r w:rsidRPr="000939E3">
              <w:rPr>
                <w:b/>
              </w:rPr>
              <w:t xml:space="preserve">: Verejná zamestnanosť </w:t>
            </w:r>
            <w:r w:rsidR="00620E5C" w:rsidRPr="000939E3">
              <w:rPr>
                <w:b/>
              </w:rPr>
              <w:t>o vybraných</w:t>
            </w:r>
            <w:r w:rsidRPr="000939E3">
              <w:rPr>
                <w:b/>
              </w:rPr>
              <w:t xml:space="preserve"> krajinách</w:t>
            </w:r>
            <w:r w:rsidR="00620E5C" w:rsidRPr="000939E3">
              <w:rPr>
                <w:b/>
              </w:rPr>
              <w:t xml:space="preserve"> s vynikajúcimi výsledkami</w:t>
            </w:r>
          </w:p>
          <w:p w14:paraId="1A275C46" w14:textId="690CF200" w:rsidR="004941CB" w:rsidRPr="000939E3" w:rsidRDefault="004941CB" w:rsidP="00FC0742">
            <w:pPr>
              <w:spacing w:before="240"/>
            </w:pPr>
            <w:r w:rsidRPr="000939E3">
              <w:t xml:space="preserve">Štruktúra verejnej zamestnanosti na Slovensku sa líši ešte viac oproti krajinám s vynikajúcimi výsledkami v oblastiach vzdelávania, zdravotníctva a iných aspektoch ovplyvňujúcich kvalitu života (OECD </w:t>
            </w:r>
            <w:r w:rsidR="00D24B5C" w:rsidRPr="000939E3">
              <w:t>B</w:t>
            </w:r>
            <w:r w:rsidRPr="000939E3">
              <w:t xml:space="preserve">etter </w:t>
            </w:r>
            <w:r w:rsidR="00D24B5C" w:rsidRPr="000939E3">
              <w:t>L</w:t>
            </w:r>
            <w:r w:rsidRPr="000939E3">
              <w:t xml:space="preserve">ife </w:t>
            </w:r>
            <w:r w:rsidR="00D24B5C" w:rsidRPr="000939E3">
              <w:t>I</w:t>
            </w:r>
            <w:r w:rsidRPr="000939E3">
              <w:t xml:space="preserve">ndex) ako oproti priemeru krajín OECD či EÚ. </w:t>
            </w:r>
            <w:r w:rsidR="00353A74" w:rsidRPr="000939E3">
              <w:t>Tieto</w:t>
            </w:r>
            <w:r w:rsidRPr="000939E3">
              <w:t xml:space="preserve"> krajiny majú oproti priemeru krajín EÚ či OECD ešte väčšie personálne kapacity v regionálnom školstve či zdravotníctve, naopak ešte menej policajtov, prokurátorov a sudcov. </w:t>
            </w:r>
            <w:r w:rsidR="00353A74" w:rsidRPr="000939E3">
              <w:t>M</w:t>
            </w:r>
            <w:r w:rsidRPr="000939E3">
              <w:t>ajú tiež viac lekárov a menej hasičov na 100</w:t>
            </w:r>
            <w:r w:rsidR="004B45B2" w:rsidRPr="000939E3">
              <w:t xml:space="preserve">0 obyvateľov ako Slovensko. </w:t>
            </w:r>
            <w:r w:rsidRPr="000939E3">
              <w:t xml:space="preserve">Majú menej akademických pracovníkov na VŠ na žiaka, ale nie až tak výrazne ako pri porovnaní s priemerom krajín EÚ či OECD. V porovnaní </w:t>
            </w:r>
            <w:r w:rsidR="00620E5C" w:rsidRPr="000939E3">
              <w:t>s týmito</w:t>
            </w:r>
            <w:r w:rsidRPr="000939E3">
              <w:t xml:space="preserve"> krajinami má Slovensko tiež mierne viac úradníkov</w:t>
            </w:r>
          </w:p>
          <w:tbl>
            <w:tblPr>
              <w:tblStyle w:val="Mriekatabuky"/>
              <w:tblW w:w="9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56"/>
            </w:tblGrid>
            <w:tr w:rsidR="004941CB" w:rsidRPr="000939E3" w14:paraId="1ECEAA9F" w14:textId="77777777" w:rsidTr="0005436B">
              <w:trPr>
                <w:trHeight w:val="60"/>
              </w:trPr>
              <w:tc>
                <w:tcPr>
                  <w:tcW w:w="9045" w:type="dxa"/>
                  <w:tcBorders>
                    <w:bottom w:val="single" w:sz="4" w:space="0" w:color="auto"/>
                  </w:tcBorders>
                  <w:vAlign w:val="bottom"/>
                </w:tcPr>
                <w:p w14:paraId="730B97E2" w14:textId="236C0CFD" w:rsidR="004941CB" w:rsidRPr="000939E3" w:rsidRDefault="000A1A48" w:rsidP="004941CB">
                  <w:pPr>
                    <w:pStyle w:val="Popis"/>
                    <w:rPr>
                      <w:noProof/>
                    </w:rPr>
                  </w:pPr>
                  <w:bookmarkStart w:id="87" w:name="_Toc34226889"/>
                  <w:r w:rsidRPr="000939E3">
                    <w:t xml:space="preserve">Graf </w:t>
                  </w:r>
                  <w:r w:rsidR="00F1731F" w:rsidRPr="000939E3">
                    <w:rPr>
                      <w:noProof/>
                    </w:rPr>
                    <w:fldChar w:fldCharType="begin"/>
                  </w:r>
                  <w:r w:rsidR="00F1731F" w:rsidRPr="000939E3">
                    <w:rPr>
                      <w:noProof/>
                    </w:rPr>
                    <w:instrText xml:space="preserve"> SEQ Graf \* ARABIC </w:instrText>
                  </w:r>
                  <w:r w:rsidR="00F1731F" w:rsidRPr="000939E3">
                    <w:rPr>
                      <w:noProof/>
                    </w:rPr>
                    <w:fldChar w:fldCharType="separate"/>
                  </w:r>
                  <w:r w:rsidR="00BF69CA">
                    <w:rPr>
                      <w:noProof/>
                    </w:rPr>
                    <w:t>18</w:t>
                  </w:r>
                  <w:r w:rsidR="00F1731F" w:rsidRPr="000939E3">
                    <w:rPr>
                      <w:noProof/>
                    </w:rPr>
                    <w:fldChar w:fldCharType="end"/>
                  </w:r>
                  <w:r w:rsidRPr="000939E3">
                    <w:t xml:space="preserve">: </w:t>
                  </w:r>
                  <w:r w:rsidR="004941CB" w:rsidRPr="000939E3">
                    <w:t>Porovnanie zamestnanosti po profesiách s priemerom krajín EÚ/OECD a so „smart“ krajinami</w:t>
                  </w:r>
                  <w:bookmarkEnd w:id="87"/>
                </w:p>
              </w:tc>
            </w:tr>
            <w:tr w:rsidR="004941CB" w:rsidRPr="000939E3" w14:paraId="7E3E6E6A" w14:textId="77777777" w:rsidTr="00971F99">
              <w:tblPrEx>
                <w:tblCellMar>
                  <w:left w:w="108" w:type="dxa"/>
                  <w:right w:w="108" w:type="dxa"/>
                </w:tblCellMar>
              </w:tblPrEx>
              <w:trPr>
                <w:trHeight w:val="2803"/>
              </w:trPr>
              <w:tc>
                <w:tcPr>
                  <w:tcW w:w="9045" w:type="dxa"/>
                  <w:tcBorders>
                    <w:top w:val="single" w:sz="4" w:space="0" w:color="auto"/>
                    <w:bottom w:val="single" w:sz="4" w:space="0" w:color="auto"/>
                  </w:tcBorders>
                </w:tcPr>
                <w:p w14:paraId="7974506D" w14:textId="26C919A8" w:rsidR="004941CB" w:rsidRPr="000939E3" w:rsidRDefault="00971F99" w:rsidP="000A1A48">
                  <w:pPr>
                    <w:spacing w:after="0"/>
                  </w:pPr>
                  <w:r w:rsidRPr="000939E3">
                    <w:rPr>
                      <w:noProof/>
                      <w:lang w:eastAsia="sk-SK"/>
                    </w:rPr>
                    <w:drawing>
                      <wp:inline distT="0" distB="0" distL="0" distR="0" wp14:anchorId="0BEA095E" wp14:editId="4AB7776C">
                        <wp:extent cx="5671225" cy="2386965"/>
                        <wp:effectExtent l="0" t="0" r="0" b="0"/>
                        <wp:docPr id="225" name="Graf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4941CB" w:rsidRPr="000939E3" w14:paraId="04952514" w14:textId="77777777" w:rsidTr="00971F99">
              <w:tblPrEx>
                <w:tblCellMar>
                  <w:left w:w="108" w:type="dxa"/>
                  <w:right w:w="108" w:type="dxa"/>
                </w:tblCellMar>
              </w:tblPrEx>
              <w:trPr>
                <w:trHeight w:val="288"/>
              </w:trPr>
              <w:tc>
                <w:tcPr>
                  <w:tcW w:w="9045" w:type="dxa"/>
                  <w:tcBorders>
                    <w:top w:val="single" w:sz="4" w:space="0" w:color="auto"/>
                  </w:tcBorders>
                </w:tcPr>
                <w:p w14:paraId="3C1ECC6C" w14:textId="77777777" w:rsidR="004941CB" w:rsidRPr="000939E3" w:rsidRDefault="004941CB" w:rsidP="00971F99">
                  <w:pPr>
                    <w:spacing w:after="0"/>
                    <w:jc w:val="right"/>
                    <w:rPr>
                      <w:rStyle w:val="Jemnodkaz"/>
                      <w:rFonts w:eastAsiaTheme="minorHAnsi"/>
                    </w:rPr>
                  </w:pPr>
                  <w:r w:rsidRPr="000939E3">
                    <w:rPr>
                      <w:rStyle w:val="Jemnodkaz"/>
                      <w:rFonts w:eastAsiaTheme="minorHAnsi"/>
                    </w:rPr>
                    <w:t>Zdroj: prepočty ÚHP</w:t>
                  </w:r>
                </w:p>
              </w:tc>
            </w:tr>
          </w:tbl>
          <w:p w14:paraId="292A4B9A" w14:textId="7C6F6ECB" w:rsidR="004941CB" w:rsidRPr="000939E3" w:rsidRDefault="004941CB" w:rsidP="00FC0742">
            <w:pPr>
              <w:spacing w:before="240"/>
            </w:pPr>
          </w:p>
        </w:tc>
      </w:tr>
    </w:tbl>
    <w:p w14:paraId="0EA53A6D" w14:textId="4A3C9B37" w:rsidR="004941CB" w:rsidRPr="000939E3" w:rsidRDefault="004941CB" w:rsidP="00FC0742">
      <w:pPr>
        <w:spacing w:before="240"/>
      </w:pPr>
      <w:r w:rsidRPr="000939E3">
        <w:rPr>
          <w:b/>
        </w:rPr>
        <w:t>Nevyhnutnou súčasťou zvyšovania miezd by mali byť reformné opatrenia, ktoré zabezpečia zlepšovanie výsledkov v danom sektore.</w:t>
      </w:r>
      <w:r w:rsidRPr="000939E3">
        <w:t xml:space="preserve"> Podmienenie dodatočných finančných zdrojov uskutočnením štrukturálnych reforiem, napríklad v oblasti školstva, odporúčajú aj medzinárodné organizácie. (IMF, 2016; IMF, EC 2017). Inak môže dôjsť k zvýšeniu nákladov bez zlepšenia výsledkov systému. Vo vzdelávaní napríklad OECD konštatuje, že nad istú minimálnu úroveň zdrojov je viac ako celkový objem financií dôležitý spôsob prerozdelenia dodatočných výdavkov (OECD, 2012a), Medzinárodný menový fond upozornil na prudký rast platov lekárov vo Veľkej Británii bez zlepšenia výsledkov (IMF, 2015)</w:t>
      </w:r>
      <w:r w:rsidR="00D24B5C" w:rsidRPr="000939E3">
        <w:t xml:space="preserve"> a na Slovensku (IFP, 2012)</w:t>
      </w:r>
      <w:r w:rsidRPr="000939E3">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072"/>
      </w:tblGrid>
      <w:tr w:rsidR="000F3DA9" w:rsidRPr="000939E3" w14:paraId="07FF704D" w14:textId="77777777" w:rsidTr="0040330D">
        <w:trPr>
          <w:trHeight w:val="8807"/>
        </w:trPr>
        <w:tc>
          <w:tcPr>
            <w:tcW w:w="9062" w:type="dxa"/>
            <w:shd w:val="clear" w:color="auto" w:fill="BDD6EE" w:themeFill="accent1" w:themeFillTint="66"/>
          </w:tcPr>
          <w:p w14:paraId="382C34BB" w14:textId="10840BDD" w:rsidR="006C0064" w:rsidRPr="000939E3" w:rsidRDefault="006C0064" w:rsidP="000F3DA9">
            <w:pPr>
              <w:pStyle w:val="Popis"/>
              <w:keepNext/>
              <w:spacing w:after="120" w:line="276" w:lineRule="auto"/>
              <w:contextualSpacing w:val="0"/>
              <w:rPr>
                <w:sz w:val="22"/>
                <w:szCs w:val="22"/>
              </w:rPr>
            </w:pPr>
            <w:r w:rsidRPr="000939E3">
              <w:rPr>
                <w:sz w:val="22"/>
                <w:szCs w:val="22"/>
              </w:rPr>
              <w:lastRenderedPageBreak/>
              <w:t xml:space="preserve">Box </w:t>
            </w:r>
            <w:r w:rsidRPr="000939E3">
              <w:rPr>
                <w:sz w:val="22"/>
                <w:szCs w:val="22"/>
              </w:rPr>
              <w:fldChar w:fldCharType="begin"/>
            </w:r>
            <w:r w:rsidRPr="000939E3">
              <w:rPr>
                <w:sz w:val="22"/>
                <w:szCs w:val="22"/>
              </w:rPr>
              <w:instrText xml:space="preserve"> SEQ Box \* ARABIC </w:instrText>
            </w:r>
            <w:r w:rsidRPr="000939E3">
              <w:rPr>
                <w:sz w:val="22"/>
                <w:szCs w:val="22"/>
              </w:rPr>
              <w:fldChar w:fldCharType="separate"/>
            </w:r>
            <w:r w:rsidR="00BF69CA">
              <w:rPr>
                <w:noProof/>
                <w:sz w:val="22"/>
                <w:szCs w:val="22"/>
              </w:rPr>
              <w:t>5</w:t>
            </w:r>
            <w:r w:rsidRPr="000939E3">
              <w:rPr>
                <w:sz w:val="22"/>
                <w:szCs w:val="22"/>
              </w:rPr>
              <w:fldChar w:fldCharType="end"/>
            </w:r>
            <w:r w:rsidRPr="000939E3">
              <w:rPr>
                <w:sz w:val="22"/>
                <w:szCs w:val="22"/>
              </w:rPr>
              <w:t>: Medzinárodné porovnanie miezd príslušníkov ozbrojených síl</w:t>
            </w:r>
          </w:p>
          <w:p w14:paraId="63BD0155" w14:textId="1B109B4E" w:rsidR="000F3DA9" w:rsidRPr="000939E3" w:rsidRDefault="000F3DA9" w:rsidP="000F3DA9">
            <w:pPr>
              <w:pStyle w:val="Popis"/>
              <w:keepNext/>
              <w:spacing w:after="120" w:line="276" w:lineRule="auto"/>
              <w:contextualSpacing w:val="0"/>
              <w:rPr>
                <w:b w:val="0"/>
                <w:iCs/>
                <w:sz w:val="22"/>
                <w:szCs w:val="22"/>
              </w:rPr>
            </w:pPr>
            <w:r w:rsidRPr="000939E3">
              <w:rPr>
                <w:sz w:val="22"/>
                <w:szCs w:val="22"/>
              </w:rPr>
              <w:t>Radoví profesionálni vojaci zarábajú v pomere k priemernej mzde v hospodárstve mierne viac ako priemer krajín NATO.</w:t>
            </w:r>
            <w:r w:rsidRPr="000939E3">
              <w:rPr>
                <w:b w:val="0"/>
                <w:sz w:val="22"/>
                <w:szCs w:val="22"/>
              </w:rPr>
              <w:t xml:space="preserve"> Podľa prieskumu NATO</w:t>
            </w:r>
            <w:r w:rsidR="00773A4B" w:rsidRPr="000939E3">
              <w:rPr>
                <w:b w:val="0"/>
                <w:sz w:val="22"/>
                <w:szCs w:val="22"/>
              </w:rPr>
              <w:t xml:space="preserve"> (NATO, 2018)</w:t>
            </w:r>
            <w:r w:rsidRPr="000939E3">
              <w:rPr>
                <w:b w:val="0"/>
                <w:sz w:val="22"/>
                <w:szCs w:val="22"/>
              </w:rPr>
              <w:t xml:space="preserve"> o osobných nákladoch personálu ozbrojených síl členských krajín zarobia radoví vojaci asi 127 % priemernej mzdy v hospodárstve, priemer NATO je 111 %. Platy veliacich štruktúr vykazujú nepravdepodobne vysoké hodnoty (250 % priemernej mzdy pre všetky krajiny, 470 % pre Slovensko) a nie všetky krajiny tieto údaje vyplnili (dáta dostupné pre 19 krajín NATO).</w:t>
            </w:r>
          </w:p>
          <w:p w14:paraId="5F6DDD67" w14:textId="1AB5DE71" w:rsidR="00982EBD" w:rsidRPr="000939E3" w:rsidRDefault="000F3DA9" w:rsidP="000F3DA9">
            <w:pPr>
              <w:spacing w:after="120"/>
              <w:contextualSpacing/>
              <w:rPr>
                <w:b/>
              </w:rPr>
            </w:pPr>
            <w:r w:rsidRPr="000939E3">
              <w:rPr>
                <w:b/>
              </w:rPr>
              <w:t>Porovnanie nezohľadňuje nefinančné benefity služby v armáde</w:t>
            </w:r>
            <w:r w:rsidRPr="000939E3">
              <w:t xml:space="preserve"> ako preplatenie školného, strava v práci, skorý výsluhový dôchodok, atď. Kvalita dát pre jednotlivé krajiny sa líši, nie všetky poskytli NATO údaje o rozdelení kompenzácie medzi plat a dôchodkové sporenie, rovnako pre viaceré krajiny chýbajú dáta o mzdách veliacich štruktúr. </w:t>
            </w:r>
            <w:r w:rsidR="0028419F" w:rsidRPr="000939E3">
              <w:t xml:space="preserve">Porovnania v </w:t>
            </w:r>
            <w:r w:rsidR="0028419F" w:rsidRPr="000939E3">
              <w:fldChar w:fldCharType="begin"/>
            </w:r>
            <w:r w:rsidR="0028419F" w:rsidRPr="000939E3">
              <w:instrText xml:space="preserve"> REF _Ref5963101 \h </w:instrText>
            </w:r>
            <w:r w:rsidR="001D014A" w:rsidRPr="000939E3">
              <w:instrText xml:space="preserve"> \* MERGEFORMAT </w:instrText>
            </w:r>
            <w:r w:rsidR="0028419F" w:rsidRPr="000939E3">
              <w:fldChar w:fldCharType="separate"/>
            </w:r>
            <w:r w:rsidR="00BF69CA" w:rsidRPr="00BF69CA">
              <w:t xml:space="preserve">Graf </w:t>
            </w:r>
            <w:r w:rsidR="00BF69CA">
              <w:rPr>
                <w:noProof/>
              </w:rPr>
              <w:t>19</w:t>
            </w:r>
            <w:r w:rsidR="0028419F" w:rsidRPr="000939E3">
              <w:fldChar w:fldCharType="end"/>
            </w:r>
            <w:r w:rsidR="0028419F" w:rsidRPr="000939E3">
              <w:t xml:space="preserve"> preto </w:t>
            </w:r>
            <w:r w:rsidR="00D24B5C" w:rsidRPr="000939E3">
              <w:t>sú indikatívne</w:t>
            </w:r>
            <w:r w:rsidR="0028419F" w:rsidRPr="000939E3">
              <w:t>.</w:t>
            </w:r>
          </w:p>
          <w:p w14:paraId="30556856" w14:textId="4E23672C" w:rsidR="000F3DA9" w:rsidRPr="000939E3" w:rsidRDefault="00982EBD" w:rsidP="007878F2">
            <w:pPr>
              <w:pStyle w:val="Popis"/>
              <w:spacing w:after="200"/>
              <w:rPr>
                <w:b w:val="0"/>
                <w:sz w:val="24"/>
              </w:rPr>
            </w:pPr>
            <w:r w:rsidRPr="000939E3">
              <w:rPr>
                <w:sz w:val="22"/>
              </w:rPr>
              <w:t xml:space="preserve">Pre presnejšie porovnanie je potrebné kvalitu a metodiku dát podrobnejšie </w:t>
            </w:r>
            <w:r w:rsidR="00073AB8" w:rsidRPr="000939E3">
              <w:rPr>
                <w:sz w:val="22"/>
              </w:rPr>
              <w:t>analyzovať, čo bude predmetom revízie výdavkov</w:t>
            </w:r>
            <w:r w:rsidR="007D578A" w:rsidRPr="000939E3">
              <w:rPr>
                <w:sz w:val="22"/>
              </w:rPr>
              <w:t xml:space="preserve"> na obranu</w:t>
            </w:r>
            <w:r w:rsidR="00073AB8" w:rsidRPr="000939E3">
              <w:rPr>
                <w:sz w:val="22"/>
              </w:rPr>
              <w:t xml:space="preserve">. </w:t>
            </w:r>
          </w:p>
          <w:tbl>
            <w:tblPr>
              <w:tblStyle w:val="UHPGRAF"/>
              <w:tblpPr w:leftFromText="180" w:rightFromText="180" w:vertAnchor="text" w:horzAnchor="margin" w:tblpY="115"/>
              <w:tblOverlap w:val="never"/>
              <w:tblW w:w="0" w:type="auto"/>
              <w:tblLook w:val="04E0" w:firstRow="1" w:lastRow="1" w:firstColumn="1" w:lastColumn="0" w:noHBand="0" w:noVBand="1"/>
            </w:tblPr>
            <w:tblGrid>
              <w:gridCol w:w="8856"/>
            </w:tblGrid>
            <w:tr w:rsidR="000F3DA9" w:rsidRPr="000939E3" w14:paraId="4F0CA297" w14:textId="77777777" w:rsidTr="00C42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14:paraId="585EFC94" w14:textId="4F792D41" w:rsidR="000F3DA9" w:rsidRPr="000939E3" w:rsidRDefault="000F3DA9" w:rsidP="007878F2">
                  <w:pPr>
                    <w:spacing w:before="0"/>
                    <w:rPr>
                      <w:lang w:val="de-DE"/>
                    </w:rPr>
                  </w:pPr>
                  <w:bookmarkStart w:id="88" w:name="_Ref5963101"/>
                  <w:bookmarkStart w:id="89" w:name="_Toc34226890"/>
                  <w:r w:rsidRPr="000939E3">
                    <w:rPr>
                      <w:lang w:val="de-DE"/>
                    </w:rPr>
                    <w:t xml:space="preserve">Graf </w:t>
                  </w:r>
                  <w:r w:rsidRPr="000939E3">
                    <w:rPr>
                      <w:noProof/>
                    </w:rPr>
                    <w:fldChar w:fldCharType="begin"/>
                  </w:r>
                  <w:r w:rsidRPr="000939E3">
                    <w:rPr>
                      <w:noProof/>
                      <w:lang w:val="sk-SK"/>
                    </w:rPr>
                    <w:instrText xml:space="preserve"> SEQ Graf \* ARABIC </w:instrText>
                  </w:r>
                  <w:r w:rsidRPr="000939E3">
                    <w:rPr>
                      <w:noProof/>
                    </w:rPr>
                    <w:fldChar w:fldCharType="separate"/>
                  </w:r>
                  <w:r w:rsidR="00BF69CA">
                    <w:rPr>
                      <w:noProof/>
                      <w:lang w:val="sk-SK"/>
                    </w:rPr>
                    <w:t>19</w:t>
                  </w:r>
                  <w:r w:rsidRPr="000939E3">
                    <w:rPr>
                      <w:noProof/>
                    </w:rPr>
                    <w:fldChar w:fldCharType="end"/>
                  </w:r>
                  <w:bookmarkEnd w:id="88"/>
                  <w:r w:rsidRPr="000939E3">
                    <w:rPr>
                      <w:b w:val="0"/>
                      <w:iCs w:val="0"/>
                      <w:lang w:val="sk-SK"/>
                    </w:rPr>
                    <w:t>:</w:t>
                  </w:r>
                  <w:r w:rsidR="00CE2938" w:rsidRPr="000939E3">
                    <w:rPr>
                      <w:b w:val="0"/>
                      <w:iCs w:val="0"/>
                      <w:lang w:val="sk-SK"/>
                    </w:rPr>
                    <w:t xml:space="preserve"> </w:t>
                  </w:r>
                  <w:r w:rsidRPr="000939E3">
                    <w:rPr>
                      <w:lang w:val="sk-SK"/>
                    </w:rPr>
                    <w:t>Kompenzácie vojakov v pomere k priemernej mzde (2017)</w:t>
                  </w:r>
                  <w:bookmarkEnd w:id="89"/>
                  <w:r w:rsidRPr="000939E3">
                    <w:rPr>
                      <w:lang w:val="sk-SK"/>
                    </w:rPr>
                    <w:t xml:space="preserve"> </w:t>
                  </w:r>
                </w:p>
              </w:tc>
            </w:tr>
            <w:tr w:rsidR="000F3DA9" w:rsidRPr="000939E3" w14:paraId="7E559AB4" w14:textId="77777777" w:rsidTr="00C427D2">
              <w:tc>
                <w:tcPr>
                  <w:cnfStyle w:val="001000000000" w:firstRow="0" w:lastRow="0" w:firstColumn="1" w:lastColumn="0" w:oddVBand="0" w:evenVBand="0" w:oddHBand="0" w:evenHBand="0" w:firstRowFirstColumn="0" w:firstRowLastColumn="0" w:lastRowFirstColumn="0" w:lastRowLastColumn="0"/>
                  <w:tcW w:w="8856" w:type="dxa"/>
                </w:tcPr>
                <w:p w14:paraId="32C6591E" w14:textId="77777777" w:rsidR="000F3DA9" w:rsidRPr="000939E3" w:rsidRDefault="000F3DA9" w:rsidP="000F3DA9">
                  <w:pPr>
                    <w:jc w:val="left"/>
                  </w:pPr>
                  <w:r w:rsidRPr="000939E3">
                    <w:rPr>
                      <w:noProof/>
                    </w:rPr>
                    <w:drawing>
                      <wp:inline distT="0" distB="0" distL="0" distR="0" wp14:anchorId="06A4B4CB" wp14:editId="681E677F">
                        <wp:extent cx="5649136" cy="2743200"/>
                        <wp:effectExtent l="0" t="0" r="0" b="0"/>
                        <wp:docPr id="236" name="Graf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0F3DA9" w:rsidRPr="000939E3" w14:paraId="2F846F0B" w14:textId="77777777" w:rsidTr="004651C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856" w:type="dxa"/>
                  <w:vAlign w:val="top"/>
                </w:tcPr>
                <w:p w14:paraId="351CDE2F" w14:textId="77777777" w:rsidR="000F3DA9" w:rsidRPr="000939E3" w:rsidRDefault="000F3DA9" w:rsidP="004651CC">
                  <w:pPr>
                    <w:jc w:val="right"/>
                    <w:rPr>
                      <w:b w:val="0"/>
                    </w:rPr>
                  </w:pPr>
                  <w:r w:rsidRPr="000939E3">
                    <w:rPr>
                      <w:b w:val="0"/>
                      <w:sz w:val="18"/>
                      <w:lang w:val="sk-SK"/>
                    </w:rPr>
                    <w:t>Zdroj: NATO, prepočty</w:t>
                  </w:r>
                  <w:r w:rsidRPr="000939E3">
                    <w:rPr>
                      <w:b w:val="0"/>
                      <w:sz w:val="18"/>
                    </w:rPr>
                    <w:t xml:space="preserve"> ÚHP</w:t>
                  </w:r>
                </w:p>
              </w:tc>
            </w:tr>
          </w:tbl>
          <w:p w14:paraId="05D2EDF4" w14:textId="4A4926CC" w:rsidR="000F3DA9" w:rsidRPr="000939E3" w:rsidRDefault="000F3DA9" w:rsidP="000F3DA9">
            <w:pPr>
              <w:pStyle w:val="Popis"/>
            </w:pPr>
          </w:p>
        </w:tc>
      </w:tr>
    </w:tbl>
    <w:p w14:paraId="686067E7" w14:textId="77777777" w:rsidR="000F3DA9" w:rsidRPr="000939E3" w:rsidRDefault="000F3DA9" w:rsidP="00B47EE8">
      <w:pPr>
        <w:spacing w:after="0"/>
      </w:pPr>
    </w:p>
    <w:p w14:paraId="07668D22" w14:textId="77777777" w:rsidR="00A87E26" w:rsidRPr="000939E3" w:rsidRDefault="00A87E26" w:rsidP="00A87E26">
      <w:pPr>
        <w:pStyle w:val="Nadpis2"/>
      </w:pPr>
      <w:bookmarkStart w:id="90" w:name="_Toc4414853"/>
      <w:bookmarkStart w:id="91" w:name="_Toc34050696"/>
      <w:bookmarkEnd w:id="90"/>
      <w:r w:rsidRPr="000939E3">
        <w:t>Vplyv demografických zmien na dopyt po vybraných profesiách vo verejnom sektore</w:t>
      </w:r>
      <w:bookmarkEnd w:id="91"/>
      <w:r w:rsidRPr="000939E3">
        <w:t xml:space="preserve"> </w:t>
      </w:r>
    </w:p>
    <w:p w14:paraId="04410F9F" w14:textId="77777777" w:rsidR="00A87E26" w:rsidRPr="000939E3" w:rsidRDefault="00A87E26" w:rsidP="00A87E26">
      <w:r w:rsidRPr="000939E3">
        <w:rPr>
          <w:b/>
        </w:rPr>
        <w:t>Starnutie obyvateľstva bude mať vplyv na dopyt po zamestnancoch niektorých verejných služieb.</w:t>
      </w:r>
      <w:r w:rsidRPr="000939E3">
        <w:t xml:space="preserve"> Jedným dôvodom je nárast klientov danej služby (napr. domovov dôchodcov alebo zdravotníctva), takzvaný expanzný dopyt. Druhým dôvodom je starnutie a odchod do dôchodku zamestnancov, ktorí služby zabezpečujú, takzvaný nahradzovací dopyt.</w:t>
      </w:r>
    </w:p>
    <w:p w14:paraId="4F00F810" w14:textId="30A8EBD5" w:rsidR="00A87E26" w:rsidRPr="000939E3" w:rsidRDefault="00A87E26" w:rsidP="00A87E26">
      <w:r w:rsidRPr="000939E3">
        <w:rPr>
          <w:b/>
        </w:rPr>
        <w:t>Zmena vekovej štruktúry obyvateľstva sa podľa prepočtov SAV</w:t>
      </w:r>
      <w:r w:rsidRPr="000939E3">
        <w:rPr>
          <w:rStyle w:val="Odkaznapoznmkupodiarou"/>
          <w:b/>
        </w:rPr>
        <w:footnoteReference w:id="44"/>
      </w:r>
      <w:r w:rsidRPr="000939E3">
        <w:rPr>
          <w:b/>
        </w:rPr>
        <w:t xml:space="preserve"> v dopyte po </w:t>
      </w:r>
      <w:r w:rsidR="00D830E5" w:rsidRPr="000939E3">
        <w:rPr>
          <w:b/>
        </w:rPr>
        <w:t>z</w:t>
      </w:r>
      <w:r w:rsidR="0095426F" w:rsidRPr="000939E3">
        <w:rPr>
          <w:b/>
        </w:rPr>
        <w:t>a</w:t>
      </w:r>
      <w:r w:rsidR="00D830E5" w:rsidRPr="000939E3">
        <w:rPr>
          <w:b/>
        </w:rPr>
        <w:t>m</w:t>
      </w:r>
      <w:r w:rsidR="0095426F" w:rsidRPr="000939E3">
        <w:rPr>
          <w:b/>
        </w:rPr>
        <w:t>e</w:t>
      </w:r>
      <w:r w:rsidR="00D830E5" w:rsidRPr="000939E3">
        <w:rPr>
          <w:b/>
        </w:rPr>
        <w:t xml:space="preserve">stnancoch </w:t>
      </w:r>
      <w:r w:rsidRPr="000939E3">
        <w:rPr>
          <w:b/>
        </w:rPr>
        <w:t>najvýraznejšie prejaví v sociálnych službách a školstve</w:t>
      </w:r>
      <w:r w:rsidRPr="000939E3">
        <w:t xml:space="preserve">. </w:t>
      </w:r>
      <w:r w:rsidR="00D830E5" w:rsidRPr="000939E3">
        <w:t xml:space="preserve">Väčšinu kumulatívneho dopytu do roku 2030 bude tvoriť nahradzovací dopyt. Okrem toho bude </w:t>
      </w:r>
      <w:r w:rsidRPr="000939E3">
        <w:t>potrebných dodatočných 6 600 pracovníkov sociálnych služieb, 2 100 sestier a 1 200 lekárov</w:t>
      </w:r>
      <w:r w:rsidR="00D830E5" w:rsidRPr="000939E3">
        <w:t xml:space="preserve"> na zabezpečenie služieb pre rastúci počet klientov</w:t>
      </w:r>
      <w:r w:rsidRPr="000939E3">
        <w:t>. Naopak, o 4 700 me</w:t>
      </w:r>
      <w:r w:rsidR="004B45B2" w:rsidRPr="000939E3">
        <w:t xml:space="preserve">nej </w:t>
      </w:r>
      <w:r w:rsidRPr="000939E3">
        <w:t>bude potrebných učiteľov v regionálnom školstve (</w:t>
      </w:r>
      <w:r w:rsidR="00FE1B78" w:rsidRPr="000939E3">
        <w:fldChar w:fldCharType="begin"/>
      </w:r>
      <w:r w:rsidR="00FE1B78" w:rsidRPr="000939E3">
        <w:instrText xml:space="preserve"> REF _Ref5870602 \h  \* MERGEFORMAT </w:instrText>
      </w:r>
      <w:r w:rsidR="00FE1B78" w:rsidRPr="000939E3">
        <w:fldChar w:fldCharType="separate"/>
      </w:r>
      <w:r w:rsidR="00BF69CA" w:rsidRPr="00BF69CA">
        <w:t xml:space="preserve">Graf </w:t>
      </w:r>
      <w:r w:rsidR="00BF69CA" w:rsidRPr="00BF69CA">
        <w:rPr>
          <w:noProof/>
        </w:rPr>
        <w:t>20</w:t>
      </w:r>
      <w:r w:rsidR="00FE1B78" w:rsidRPr="000939E3">
        <w:fldChar w:fldCharType="end"/>
      </w:r>
      <w:r w:rsidRPr="000939E3">
        <w:t>).</w:t>
      </w:r>
    </w:p>
    <w:tbl>
      <w:tblPr>
        <w:tblStyle w:val="UHPGRAF"/>
        <w:tblW w:w="5000" w:type="pct"/>
        <w:tblLook w:val="04E0" w:firstRow="1" w:lastRow="1" w:firstColumn="1" w:lastColumn="0" w:noHBand="0" w:noVBand="1"/>
      </w:tblPr>
      <w:tblGrid>
        <w:gridCol w:w="858"/>
        <w:gridCol w:w="8214"/>
      </w:tblGrid>
      <w:tr w:rsidR="00A87E26" w:rsidRPr="000939E3" w14:paraId="7CE110F0" w14:textId="77777777" w:rsidTr="00CE2FB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73396B94" w14:textId="00638E12" w:rsidR="00A87E26" w:rsidRPr="000939E3" w:rsidRDefault="00A87E26" w:rsidP="007878F2">
            <w:pPr>
              <w:pStyle w:val="Popis"/>
              <w:keepNext/>
              <w:spacing w:before="0"/>
              <w:rPr>
                <w:b/>
                <w:lang w:val="sk-SK"/>
              </w:rPr>
            </w:pPr>
            <w:bookmarkStart w:id="92" w:name="_Ref5870602"/>
            <w:bookmarkStart w:id="93" w:name="_Toc34226891"/>
            <w:r w:rsidRPr="000939E3">
              <w:rPr>
                <w:b/>
                <w:lang w:val="sk-SK"/>
              </w:rPr>
              <w:lastRenderedPageBreak/>
              <w:t xml:space="preserve">Graf </w:t>
            </w:r>
            <w:r w:rsidRPr="000939E3">
              <w:fldChar w:fldCharType="begin"/>
            </w:r>
            <w:r w:rsidRPr="000939E3">
              <w:rPr>
                <w:b/>
                <w:lang w:val="sk-SK"/>
              </w:rPr>
              <w:instrText xml:space="preserve"> SEQ Graf \* ARABIC </w:instrText>
            </w:r>
            <w:r w:rsidRPr="000939E3">
              <w:fldChar w:fldCharType="separate"/>
            </w:r>
            <w:r w:rsidR="00BF69CA">
              <w:rPr>
                <w:b/>
                <w:noProof/>
                <w:lang w:val="sk-SK"/>
              </w:rPr>
              <w:t>20</w:t>
            </w:r>
            <w:r w:rsidRPr="000939E3">
              <w:fldChar w:fldCharType="end"/>
            </w:r>
            <w:bookmarkEnd w:id="92"/>
            <w:r w:rsidRPr="000939E3">
              <w:rPr>
                <w:b/>
                <w:iCs w:val="0"/>
                <w:noProof/>
                <w:lang w:val="sk-SK"/>
              </w:rPr>
              <w:t>:</w:t>
            </w:r>
            <w:r w:rsidRPr="000939E3">
              <w:rPr>
                <w:b/>
                <w:iCs w:val="0"/>
                <w:lang w:val="sk-SK"/>
              </w:rPr>
              <w:t xml:space="preserve"> </w:t>
            </w:r>
            <w:r w:rsidRPr="000939E3">
              <w:rPr>
                <w:rFonts w:eastAsia="Times New Roman" w:cs="Times New Roman"/>
                <w:b/>
                <w:iCs w:val="0"/>
                <w:lang w:val="sk-SK"/>
              </w:rPr>
              <w:t>Očakávaný kumulatívny dopyt do roku 2030 podľa profesií (</w:t>
            </w:r>
            <w:r w:rsidR="007878F2" w:rsidRPr="000939E3">
              <w:rPr>
                <w:rFonts w:eastAsia="Times New Roman" w:cs="Times New Roman"/>
                <w:b/>
                <w:iCs w:val="0"/>
                <w:lang w:val="sk-SK"/>
              </w:rPr>
              <w:t xml:space="preserve">v </w:t>
            </w:r>
            <w:r w:rsidRPr="000939E3">
              <w:rPr>
                <w:rFonts w:eastAsia="Times New Roman" w:cs="Times New Roman"/>
                <w:b/>
                <w:iCs w:val="0"/>
                <w:lang w:val="sk-SK"/>
              </w:rPr>
              <w:t>tisíc</w:t>
            </w:r>
            <w:r w:rsidR="007878F2" w:rsidRPr="000939E3">
              <w:rPr>
                <w:rFonts w:eastAsia="Times New Roman" w:cs="Times New Roman"/>
                <w:b/>
                <w:iCs w:val="0"/>
                <w:lang w:val="sk-SK"/>
              </w:rPr>
              <w:t>och osôb</w:t>
            </w:r>
            <w:r w:rsidRPr="000939E3">
              <w:rPr>
                <w:rFonts w:eastAsia="Times New Roman" w:cs="Times New Roman"/>
                <w:b/>
                <w:iCs w:val="0"/>
                <w:lang w:val="sk-SK"/>
              </w:rPr>
              <w:t>)</w:t>
            </w:r>
            <w:bookmarkEnd w:id="93"/>
          </w:p>
        </w:tc>
      </w:tr>
      <w:tr w:rsidR="00A87E26" w:rsidRPr="000939E3" w14:paraId="62B6BFDF" w14:textId="77777777" w:rsidTr="00CE2FB4">
        <w:tblPrEx>
          <w:tblCellMar>
            <w:left w:w="70" w:type="dxa"/>
            <w:right w:w="70"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6153B0E9" w14:textId="77777777" w:rsidR="00A87E26" w:rsidRPr="000939E3" w:rsidRDefault="00A87E26" w:rsidP="00CE2FB4">
            <w:pPr>
              <w:keepNext/>
              <w:jc w:val="center"/>
            </w:pPr>
            <w:r w:rsidRPr="000939E3">
              <w:rPr>
                <w:noProof/>
              </w:rPr>
              <w:drawing>
                <wp:inline distT="0" distB="0" distL="0" distR="0" wp14:anchorId="600D0F63" wp14:editId="040A12EE">
                  <wp:extent cx="5667375" cy="2095500"/>
                  <wp:effectExtent l="0" t="0" r="0" b="0"/>
                  <wp:docPr id="226" name="Graf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939E3">
              <w:rPr>
                <w:noProof/>
              </w:rPr>
              <w:t xml:space="preserve"> </w:t>
            </w:r>
          </w:p>
        </w:tc>
      </w:tr>
      <w:tr w:rsidR="00A87E26" w:rsidRPr="000939E3" w14:paraId="084340D9" w14:textId="77777777" w:rsidTr="00CE2FB4">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473" w:type="pct"/>
          </w:tcPr>
          <w:p w14:paraId="17EBB710" w14:textId="77777777" w:rsidR="00A87E26" w:rsidRPr="000939E3" w:rsidRDefault="00A87E26" w:rsidP="00CE2FB4">
            <w:pPr>
              <w:jc w:val="left"/>
              <w:rPr>
                <w:bCs w:val="0"/>
              </w:rPr>
            </w:pPr>
          </w:p>
        </w:tc>
        <w:tc>
          <w:tcPr>
            <w:tcW w:w="4527" w:type="pct"/>
            <w:vAlign w:val="top"/>
            <w:hideMark/>
          </w:tcPr>
          <w:p w14:paraId="48DAAD9D" w14:textId="77777777" w:rsidR="00A87E26" w:rsidRPr="000939E3" w:rsidRDefault="00A87E26" w:rsidP="00CE2FB4">
            <w:pPr>
              <w:keepNext/>
              <w:jc w:val="right"/>
              <w:cnfStyle w:val="010000000000" w:firstRow="0" w:lastRow="1" w:firstColumn="0" w:lastColumn="0" w:oddVBand="0" w:evenVBand="0" w:oddHBand="0" w:evenHBand="0" w:firstRowFirstColumn="0" w:firstRowLastColumn="0" w:lastRowFirstColumn="0" w:lastRowLastColumn="0"/>
              <w:rPr>
                <w:i w:val="0"/>
                <w:sz w:val="18"/>
                <w:szCs w:val="18"/>
              </w:rPr>
            </w:pPr>
            <w:r w:rsidRPr="000939E3">
              <w:rPr>
                <w:i w:val="0"/>
                <w:sz w:val="18"/>
                <w:szCs w:val="18"/>
                <w:lang w:val="sk-SK"/>
              </w:rPr>
              <w:t xml:space="preserve">Zdroj: </w:t>
            </w:r>
            <w:r w:rsidRPr="000939E3">
              <w:rPr>
                <w:rStyle w:val="Jemnodkaz"/>
                <w:rFonts w:eastAsiaTheme="minorHAnsi"/>
                <w:i/>
                <w:szCs w:val="18"/>
                <w:lang w:val="sk-SK"/>
              </w:rPr>
              <w:t>ÚHP podľa prepočtov</w:t>
            </w:r>
            <w:r w:rsidRPr="000939E3">
              <w:rPr>
                <w:rStyle w:val="Jemnodkaz"/>
                <w:rFonts w:eastAsiaTheme="minorHAnsi"/>
                <w:i/>
                <w:szCs w:val="18"/>
              </w:rPr>
              <w:t xml:space="preserve"> SAV</w:t>
            </w:r>
          </w:p>
        </w:tc>
      </w:tr>
    </w:tbl>
    <w:p w14:paraId="120BD595" w14:textId="0652C8D3" w:rsidR="00A87E26" w:rsidRPr="000939E3" w:rsidRDefault="00A87E26" w:rsidP="00A87E26">
      <w:pPr>
        <w:spacing w:before="240"/>
      </w:pPr>
      <w:r w:rsidRPr="000939E3">
        <w:rPr>
          <w:b/>
        </w:rPr>
        <w:t xml:space="preserve">Uvedené odhady nezohľadňujú existujúci neuspokojený dopyt po </w:t>
      </w:r>
      <w:r w:rsidR="00232623" w:rsidRPr="000939E3">
        <w:rPr>
          <w:b/>
        </w:rPr>
        <w:t xml:space="preserve">vybraných </w:t>
      </w:r>
      <w:r w:rsidRPr="000939E3">
        <w:rPr>
          <w:b/>
        </w:rPr>
        <w:t xml:space="preserve">službách </w:t>
      </w:r>
      <w:r w:rsidR="00D830E5" w:rsidRPr="000939E3">
        <w:rPr>
          <w:b/>
        </w:rPr>
        <w:t xml:space="preserve">ani navýšenie zamestnanosti potrebnej </w:t>
      </w:r>
      <w:r w:rsidR="00324611" w:rsidRPr="000939E3">
        <w:rPr>
          <w:b/>
        </w:rPr>
        <w:t xml:space="preserve">na </w:t>
      </w:r>
      <w:r w:rsidR="00D830E5" w:rsidRPr="000939E3">
        <w:rPr>
          <w:b/>
        </w:rPr>
        <w:t>dosiahnutie medz</w:t>
      </w:r>
      <w:r w:rsidR="00A75B5F" w:rsidRPr="000939E3">
        <w:rPr>
          <w:b/>
        </w:rPr>
        <w:t>inárodného štandardu (Kapitola 2</w:t>
      </w:r>
      <w:r w:rsidR="00D830E5" w:rsidRPr="000939E3">
        <w:rPr>
          <w:b/>
        </w:rPr>
        <w:t xml:space="preserve">.3). </w:t>
      </w:r>
      <w:r w:rsidRPr="000939E3">
        <w:t xml:space="preserve">Napríklad v roku 2015 bol dopyt po zariadeniach pre seniorov vo výške viac ako </w:t>
      </w:r>
      <w:r w:rsidR="00BF38DB" w:rsidRPr="000939E3">
        <w:t>20-</w:t>
      </w:r>
      <w:r w:rsidRPr="000939E3">
        <w:t xml:space="preserve">tis. osôb, z ktorých je ponukou pokrytých 85 %. Ďalších viac ako </w:t>
      </w:r>
      <w:r w:rsidR="00BF38DB" w:rsidRPr="000939E3">
        <w:t>3-</w:t>
      </w:r>
      <w:r w:rsidRPr="000939E3">
        <w:t>tis. osôb bolo v 2015 zaradených na zozname čakateľov na sociálnu službu (</w:t>
      </w:r>
      <w:r w:rsidR="00E819B2" w:rsidRPr="000939E3">
        <w:t>MPSVaR</w:t>
      </w:r>
      <w:r w:rsidRPr="000939E3">
        <w:t xml:space="preserve"> SR, 2016).</w:t>
      </w:r>
    </w:p>
    <w:p w14:paraId="3CE1FD3B" w14:textId="5A387E51" w:rsidR="007F42CC" w:rsidRPr="000939E3" w:rsidRDefault="007F42CC" w:rsidP="007F42CC">
      <w:r w:rsidRPr="000939E3">
        <w:rPr>
          <w:bCs/>
        </w:rPr>
        <w:t>Podľa analýzy MZ SR z medzinárodných porovnaní na Slovensku chýba minimálne 3,5-tisíc zdravotných sestier.</w:t>
      </w:r>
      <w:r w:rsidRPr="000939E3">
        <w:t xml:space="preserve"> Počet sestier medzi rokmi 2000 a 2015 značne klesol, pričom v krajinách EÚ je trend opačný</w:t>
      </w:r>
      <w:r w:rsidR="00C642A7" w:rsidRPr="000939E3">
        <w:t xml:space="preserve"> Zároveň v súčasnosti prebieha zber dotazníkov, v ktorých poskytovatelia uvedú, koľko sestier im chýba. </w:t>
      </w:r>
      <w:r w:rsidRPr="000939E3">
        <w:t>To ukáže, koľko je neobsadených miest pri súčasnom systéme, kde však mnohé služby nie sú optimálne nastavené (napr. chýbajú oddelenia dlhodobej starostlivosti).</w:t>
      </w:r>
      <w:r w:rsidRPr="000939E3">
        <w:rPr>
          <w:color w:val="1F497D"/>
        </w:rPr>
        <w:t xml:space="preserve"> </w:t>
      </w:r>
      <w:r w:rsidRPr="000939E3">
        <w:t>Podrobnejšie preskúmanie kompetencií zdravotných sestier v jednotlivých krajinách, aby bolo možné presnejšie kvantifikovať slovenský nedostatok</w:t>
      </w:r>
      <w:r w:rsidR="00DC2B0C" w:rsidRPr="000939E3">
        <w:t>,</w:t>
      </w:r>
      <w:r w:rsidRPr="000939E3">
        <w:t xml:space="preserve"> </w:t>
      </w:r>
      <w:r w:rsidR="00D07A01" w:rsidRPr="000939E3">
        <w:t xml:space="preserve">pripraví </w:t>
      </w:r>
      <w:r w:rsidRPr="000939E3">
        <w:t>záverečn</w:t>
      </w:r>
      <w:r w:rsidR="00DC2B0C" w:rsidRPr="000939E3">
        <w:t>á</w:t>
      </w:r>
      <w:r w:rsidRPr="000939E3">
        <w:t xml:space="preserve"> správ</w:t>
      </w:r>
      <w:r w:rsidR="00DC2B0C" w:rsidRPr="000939E3">
        <w:t>a</w:t>
      </w:r>
      <w:r w:rsidRPr="000939E3">
        <w:t xml:space="preserve"> Revízi</w:t>
      </w:r>
      <w:r w:rsidR="00DC2B0C" w:rsidRPr="000939E3">
        <w:t>e</w:t>
      </w:r>
      <w:r w:rsidRPr="000939E3">
        <w:t xml:space="preserve"> výdavkov na zdravotníctvo.</w:t>
      </w:r>
    </w:p>
    <w:p w14:paraId="3F90A35D" w14:textId="0BC29222" w:rsidR="007F42CC" w:rsidRPr="000939E3" w:rsidRDefault="007F42CC" w:rsidP="007F42CC">
      <w:r w:rsidRPr="000939E3">
        <w:rPr>
          <w:b/>
        </w:rPr>
        <w:t xml:space="preserve">Vo viacerých povolaniach hrozí, že počet absolventov prichádzajúcich na trh práce nebude postačujúci. </w:t>
      </w:r>
      <w:r w:rsidRPr="000939E3">
        <w:t>Analýzy spoločnosti Trexima</w:t>
      </w:r>
      <w:r w:rsidRPr="000939E3">
        <w:rPr>
          <w:rStyle w:val="Odkaznapoznmkupodiarou"/>
        </w:rPr>
        <w:footnoteReference w:id="45"/>
      </w:r>
      <w:r w:rsidRPr="000939E3">
        <w:t xml:space="preserve"> pre potrebu revízie naznačujú, že v období do roku 2023 bude chýbať ročne zhruba 1 250 absolventov v oblasti opatrovateľstva a vychovávateľstva, 580 </w:t>
      </w:r>
      <w:r w:rsidR="00730FEA" w:rsidRPr="000939E3">
        <w:t xml:space="preserve">absolventov pedagogiky </w:t>
      </w:r>
      <w:r w:rsidRPr="000939E3">
        <w:t>v regionáln</w:t>
      </w:r>
      <w:r w:rsidR="004A0F80" w:rsidRPr="000939E3">
        <w:t>om</w:t>
      </w:r>
      <w:r w:rsidRPr="000939E3">
        <w:t xml:space="preserve"> školstve a 250 </w:t>
      </w:r>
      <w:r w:rsidR="00730FEA" w:rsidRPr="000939E3">
        <w:t>absolventov ošetrovateľstva</w:t>
      </w:r>
      <w:r w:rsidRPr="000939E3">
        <w:t xml:space="preserve">. Naopak počet </w:t>
      </w:r>
      <w:r w:rsidR="00730FEA" w:rsidRPr="000939E3">
        <w:t xml:space="preserve">absolventov medicíny </w:t>
      </w:r>
      <w:r w:rsidRPr="000939E3">
        <w:t xml:space="preserve">prichádzajúcich na trh práce bude vyšší ako potreby zdravotníctva (o zhruba 350 ročne). Inštitút zdravotnej politiky odhadol, že do roku 2030 bude chýbať </w:t>
      </w:r>
      <w:r w:rsidR="00FE56B8" w:rsidRPr="000939E3">
        <w:t xml:space="preserve">dodatočných </w:t>
      </w:r>
      <w:r w:rsidRPr="000939E3">
        <w:t>6 400 zdravotných sestier</w:t>
      </w:r>
      <w:r w:rsidR="00FE56B8" w:rsidRPr="000939E3">
        <w:t xml:space="preserve"> oproti dnešnému stavu a pri dnešnom príleve absolventov na trh práce</w:t>
      </w:r>
      <w:r w:rsidRPr="000939E3">
        <w:t>.</w:t>
      </w:r>
    </w:p>
    <w:p w14:paraId="5D7F31DE" w14:textId="13DE3ECB" w:rsidR="007F42CC" w:rsidRPr="000939E3" w:rsidRDefault="007F42CC" w:rsidP="007F42CC">
      <w:pPr>
        <w:spacing w:before="240"/>
      </w:pPr>
      <w:r w:rsidRPr="000939E3">
        <w:rPr>
          <w:b/>
        </w:rPr>
        <w:t xml:space="preserve">Vykrytie dopytu po zamestnancoch </w:t>
      </w:r>
      <w:r w:rsidR="00232623" w:rsidRPr="000939E3">
        <w:rPr>
          <w:b/>
        </w:rPr>
        <w:t xml:space="preserve">vybraných </w:t>
      </w:r>
      <w:r w:rsidRPr="000939E3">
        <w:rPr>
          <w:b/>
        </w:rPr>
        <w:t>služieb predstavuje výzvu, ktorá si bude vyžadovať zatraktívnenie relevantných vzdelávacích odborov</w:t>
      </w:r>
      <w:r w:rsidR="00AD5D4C" w:rsidRPr="000939E3">
        <w:rPr>
          <w:b/>
        </w:rPr>
        <w:t>,</w:t>
      </w:r>
      <w:r w:rsidRPr="000939E3">
        <w:rPr>
          <w:b/>
        </w:rPr>
        <w:t xml:space="preserve"> ako aj siahnutie po alternatívnych zdrojoch. </w:t>
      </w:r>
      <w:r w:rsidR="004B45B2" w:rsidRPr="000939E3">
        <w:t xml:space="preserve">Časť dopytu je možné naplniť </w:t>
      </w:r>
      <w:r w:rsidRPr="000939E3">
        <w:t>z radov nezamestnaných/neaktívnych osôb, prilákaním zamestnancov z iných odvetví alebo imigráciou či návratom občanov SR zo zahraničia. Zosúladenie ponuky a dopytu po zamestnancoch, pri udržaní rozsahu služieb, je tiež možné reorganizáciou práce alebo automatizáciou niektorých činností.</w:t>
      </w:r>
    </w:p>
    <w:p w14:paraId="6E6C704A" w14:textId="0CF735BE" w:rsidR="00561A09" w:rsidRPr="000939E3" w:rsidRDefault="00561A09" w:rsidP="00561A09">
      <w:pPr>
        <w:pStyle w:val="Nadpis1"/>
        <w:spacing w:after="0"/>
      </w:pPr>
      <w:bookmarkStart w:id="94" w:name="_Toc34050697"/>
      <w:r w:rsidRPr="000939E3">
        <w:lastRenderedPageBreak/>
        <w:t>Porovnanie zamestnancov verejného a súkromného sektora</w:t>
      </w:r>
      <w:bookmarkEnd w:id="94"/>
    </w:p>
    <w:p w14:paraId="776B9AF4" w14:textId="77777777" w:rsidR="00561A09" w:rsidRPr="000939E3" w:rsidRDefault="00561A09" w:rsidP="00561A09">
      <w:pPr>
        <w:spacing w:after="0"/>
      </w:pPr>
    </w:p>
    <w:p w14:paraId="3BBD9F90" w14:textId="7B0D4F19" w:rsidR="009268CA" w:rsidRPr="000939E3" w:rsidRDefault="0006678C" w:rsidP="00B41924">
      <w:pPr>
        <w:pStyle w:val="Odsekzoznamu"/>
        <w:numPr>
          <w:ilvl w:val="0"/>
          <w:numId w:val="7"/>
        </w:numPr>
        <w:spacing w:after="0"/>
        <w:ind w:left="426" w:hanging="426"/>
        <w:jc w:val="both"/>
        <w:rPr>
          <w:b/>
          <w:bCs/>
        </w:rPr>
      </w:pPr>
      <w:bookmarkStart w:id="95" w:name="_Toc4052269"/>
      <w:bookmarkStart w:id="96" w:name="_Toc4052402"/>
      <w:bookmarkStart w:id="97" w:name="_Toc4052270"/>
      <w:bookmarkStart w:id="98" w:name="_Toc4052403"/>
      <w:bookmarkStart w:id="99" w:name="_Toc4052271"/>
      <w:bookmarkStart w:id="100" w:name="_Toc4052404"/>
      <w:bookmarkStart w:id="101" w:name="_Toc4052279"/>
      <w:bookmarkStart w:id="102" w:name="_Toc4052412"/>
      <w:bookmarkStart w:id="103" w:name="_Toc517158119"/>
      <w:bookmarkStart w:id="104" w:name="_Toc517158121"/>
      <w:bookmarkEnd w:id="95"/>
      <w:bookmarkEnd w:id="96"/>
      <w:bookmarkEnd w:id="97"/>
      <w:bookmarkEnd w:id="98"/>
      <w:bookmarkEnd w:id="99"/>
      <w:bookmarkEnd w:id="100"/>
      <w:bookmarkEnd w:id="101"/>
      <w:bookmarkEnd w:id="102"/>
      <w:r w:rsidRPr="000939E3">
        <w:rPr>
          <w:b/>
          <w:bCs/>
        </w:rPr>
        <w:t>Trhy práce v</w:t>
      </w:r>
      <w:r w:rsidR="009268CA" w:rsidRPr="000939E3">
        <w:rPr>
          <w:b/>
          <w:bCs/>
        </w:rPr>
        <w:t xml:space="preserve"> </w:t>
      </w:r>
      <w:r w:rsidR="00E379E6" w:rsidRPr="000939E3">
        <w:rPr>
          <w:b/>
          <w:bCs/>
        </w:rPr>
        <w:t xml:space="preserve">súkromnom </w:t>
      </w:r>
      <w:r w:rsidR="009268CA" w:rsidRPr="000939E3">
        <w:rPr>
          <w:b/>
          <w:bCs/>
        </w:rPr>
        <w:t>a</w:t>
      </w:r>
      <w:r w:rsidR="00E379E6" w:rsidRPr="000939E3">
        <w:rPr>
          <w:b/>
          <w:bCs/>
        </w:rPr>
        <w:t xml:space="preserve"> verejnom </w:t>
      </w:r>
      <w:r w:rsidR="009268CA" w:rsidRPr="000939E3">
        <w:rPr>
          <w:b/>
          <w:bCs/>
        </w:rPr>
        <w:t>sektore sú výrazne odlišn</w:t>
      </w:r>
      <w:r w:rsidR="00CF399C">
        <w:rPr>
          <w:b/>
          <w:bCs/>
        </w:rPr>
        <w:t>é – vykonávanými povolaniami aj </w:t>
      </w:r>
      <w:r w:rsidR="009268CA" w:rsidRPr="000939E3">
        <w:rPr>
          <w:b/>
          <w:bCs/>
        </w:rPr>
        <w:t>charakteristikami pracujúcich. Mobilita ľudského kapitálu medzi sektormi je nízka.</w:t>
      </w:r>
    </w:p>
    <w:p w14:paraId="749F31C0" w14:textId="34FE6403" w:rsidR="009268CA" w:rsidRPr="000939E3" w:rsidRDefault="009268CA" w:rsidP="00B41924">
      <w:pPr>
        <w:pStyle w:val="Odsekzoznamu"/>
        <w:numPr>
          <w:ilvl w:val="0"/>
          <w:numId w:val="7"/>
        </w:numPr>
        <w:spacing w:after="0"/>
        <w:ind w:left="426" w:hanging="426"/>
        <w:jc w:val="both"/>
        <w:rPr>
          <w:b/>
          <w:bCs/>
        </w:rPr>
      </w:pPr>
      <w:r w:rsidRPr="000939E3">
        <w:rPr>
          <w:b/>
          <w:bCs/>
        </w:rPr>
        <w:t>Zamestnanci vo verejnom sektore sú</w:t>
      </w:r>
      <w:r w:rsidR="00C438F4" w:rsidRPr="000939E3">
        <w:rPr>
          <w:b/>
          <w:bCs/>
        </w:rPr>
        <w:t xml:space="preserve"> oproti tým v súkromnom v priemere st</w:t>
      </w:r>
      <w:r w:rsidR="00B87759" w:rsidRPr="000939E3">
        <w:rPr>
          <w:b/>
          <w:bCs/>
        </w:rPr>
        <w:t>arší,</w:t>
      </w:r>
      <w:r w:rsidR="00C438F4" w:rsidRPr="000939E3">
        <w:rPr>
          <w:b/>
          <w:bCs/>
        </w:rPr>
        <w:t> pracujú na pozíciách, ktoré si vyžadujú vyššie zručnosti a</w:t>
      </w:r>
      <w:r w:rsidR="00B87759" w:rsidRPr="000939E3">
        <w:rPr>
          <w:b/>
          <w:bCs/>
        </w:rPr>
        <w:t> </w:t>
      </w:r>
      <w:r w:rsidR="00C438F4" w:rsidRPr="000939E3">
        <w:rPr>
          <w:b/>
          <w:bCs/>
        </w:rPr>
        <w:t>vzdelanie</w:t>
      </w:r>
      <w:r w:rsidR="00B87759" w:rsidRPr="000939E3">
        <w:rPr>
          <w:b/>
          <w:bCs/>
        </w:rPr>
        <w:t xml:space="preserve"> a dlhšie zotrvávajú v jednej organizácii</w:t>
      </w:r>
      <w:r w:rsidR="00C438F4" w:rsidRPr="000939E3">
        <w:rPr>
          <w:b/>
          <w:bCs/>
        </w:rPr>
        <w:t>. Vo</w:t>
      </w:r>
      <w:r w:rsidR="00B87759" w:rsidRPr="000939E3">
        <w:rPr>
          <w:b/>
          <w:bCs/>
        </w:rPr>
        <w:t xml:space="preserve"> </w:t>
      </w:r>
      <w:r w:rsidR="00C438F4" w:rsidRPr="000939E3">
        <w:rPr>
          <w:b/>
          <w:bCs/>
        </w:rPr>
        <w:t xml:space="preserve">verejnom sektore prevažujú ženy, v súkromnom </w:t>
      </w:r>
      <w:r w:rsidR="00B87759" w:rsidRPr="000939E3">
        <w:rPr>
          <w:b/>
          <w:bCs/>
        </w:rPr>
        <w:t>muži.</w:t>
      </w:r>
    </w:p>
    <w:p w14:paraId="4F683EC5" w14:textId="08814056" w:rsidR="00137B6D" w:rsidRPr="000939E3" w:rsidRDefault="00137B6D" w:rsidP="00B41924">
      <w:pPr>
        <w:pStyle w:val="Odsekzoznamu"/>
        <w:numPr>
          <w:ilvl w:val="0"/>
          <w:numId w:val="7"/>
        </w:numPr>
        <w:spacing w:after="0"/>
        <w:ind w:left="426" w:hanging="426"/>
        <w:contextualSpacing w:val="0"/>
        <w:jc w:val="both"/>
        <w:rPr>
          <w:b/>
        </w:rPr>
      </w:pPr>
      <w:r w:rsidRPr="000939E3">
        <w:rPr>
          <w:b/>
        </w:rPr>
        <w:t xml:space="preserve">Vysokoškolsky vzdelaní zamestnanci </w:t>
      </w:r>
      <w:r w:rsidR="004747BD" w:rsidRPr="000939E3">
        <w:rPr>
          <w:b/>
        </w:rPr>
        <w:t xml:space="preserve">vo verejnom sektore </w:t>
      </w:r>
      <w:r w:rsidR="00FE56B8" w:rsidRPr="000939E3">
        <w:rPr>
          <w:b/>
        </w:rPr>
        <w:t>majú horšie výsledky v testovaní zručností</w:t>
      </w:r>
      <w:r w:rsidRPr="000939E3">
        <w:rPr>
          <w:b/>
        </w:rPr>
        <w:t xml:space="preserve"> ako ich </w:t>
      </w:r>
      <w:r w:rsidR="000C42B7" w:rsidRPr="000939E3">
        <w:rPr>
          <w:b/>
        </w:rPr>
        <w:t xml:space="preserve">rovnako vzdelaní </w:t>
      </w:r>
      <w:r w:rsidRPr="000939E3">
        <w:rPr>
          <w:b/>
        </w:rPr>
        <w:t>kolegovia v súkromnom sektore, avšak podobn</w:t>
      </w:r>
      <w:r w:rsidR="00FE56B8" w:rsidRPr="000939E3">
        <w:rPr>
          <w:b/>
        </w:rPr>
        <w:t>é</w:t>
      </w:r>
      <w:r w:rsidRPr="000939E3">
        <w:rPr>
          <w:b/>
        </w:rPr>
        <w:t xml:space="preserve"> ako verejní zamestnanci v zahraničí.</w:t>
      </w:r>
    </w:p>
    <w:p w14:paraId="2C5A675F" w14:textId="4D41D85E" w:rsidR="0006678C" w:rsidRPr="000939E3" w:rsidRDefault="0006678C" w:rsidP="00CF399C">
      <w:pPr>
        <w:pStyle w:val="Odsekzoznamu"/>
        <w:numPr>
          <w:ilvl w:val="0"/>
          <w:numId w:val="7"/>
        </w:numPr>
        <w:ind w:left="426" w:hanging="426"/>
        <w:jc w:val="both"/>
        <w:rPr>
          <w:b/>
        </w:rPr>
      </w:pPr>
      <w:r w:rsidRPr="000939E3">
        <w:rPr>
          <w:b/>
        </w:rPr>
        <w:t xml:space="preserve">Odmeňovanie štátom kladie </w:t>
      </w:r>
      <w:r w:rsidR="00FE1606" w:rsidRPr="000939E3">
        <w:rPr>
          <w:b/>
        </w:rPr>
        <w:t xml:space="preserve">väčší </w:t>
      </w:r>
      <w:r w:rsidRPr="000939E3">
        <w:rPr>
          <w:b/>
        </w:rPr>
        <w:t>dôraz na vyžadované vzdelanie a</w:t>
      </w:r>
      <w:r w:rsidR="00FE1606" w:rsidRPr="000939E3">
        <w:rPr>
          <w:b/>
        </w:rPr>
        <w:t> </w:t>
      </w:r>
      <w:r w:rsidRPr="000939E3">
        <w:rPr>
          <w:b/>
        </w:rPr>
        <w:t>prax</w:t>
      </w:r>
      <w:r w:rsidR="00FE1606" w:rsidRPr="000939E3">
        <w:rPr>
          <w:b/>
        </w:rPr>
        <w:t xml:space="preserve"> oproti súkromnému sektoru a</w:t>
      </w:r>
      <w:r w:rsidRPr="000939E3">
        <w:rPr>
          <w:b/>
        </w:rPr>
        <w:t xml:space="preserve"> menej oceňuje ťažko definovateľnú produktivitu a výsledky. Platy vo verejnom sektore majú aj</w:t>
      </w:r>
      <w:r w:rsidR="00CF399C">
        <w:rPr>
          <w:b/>
        </w:rPr>
        <w:t> </w:t>
      </w:r>
      <w:r w:rsidRPr="000939E3">
        <w:rPr>
          <w:b/>
        </w:rPr>
        <w:t xml:space="preserve">v medzinárodnom porovnaní nízky rozptyl. </w:t>
      </w:r>
    </w:p>
    <w:p w14:paraId="233C7A76" w14:textId="752A6CA6" w:rsidR="0006678C" w:rsidRPr="000939E3" w:rsidRDefault="00FE1606" w:rsidP="00B41924">
      <w:pPr>
        <w:pStyle w:val="Odsekzoznamu"/>
        <w:numPr>
          <w:ilvl w:val="0"/>
          <w:numId w:val="7"/>
        </w:numPr>
        <w:ind w:left="426" w:hanging="426"/>
        <w:jc w:val="both"/>
        <w:rPr>
          <w:b/>
        </w:rPr>
      </w:pPr>
      <w:r w:rsidRPr="000939E3">
        <w:rPr>
          <w:b/>
        </w:rPr>
        <w:t>Aj o</w:t>
      </w:r>
      <w:r w:rsidR="0006678C" w:rsidRPr="000939E3">
        <w:rPr>
          <w:b/>
        </w:rPr>
        <w:t>dmeny sú vo verejnom sektore vyplácané rovnostársky. Kým v súkromnom sektore ich podiel rastie s celkovým príjmom zamestnanca, vo verejnom sektore tvoria 7 až 10 % príjmu pre väčšinu zamestnancov.</w:t>
      </w:r>
    </w:p>
    <w:p w14:paraId="1BD92847" w14:textId="130E12BB" w:rsidR="00366584" w:rsidRPr="000939E3" w:rsidRDefault="00FE1606" w:rsidP="00B41924">
      <w:pPr>
        <w:pStyle w:val="Odsekzoznamu"/>
        <w:numPr>
          <w:ilvl w:val="0"/>
          <w:numId w:val="7"/>
        </w:numPr>
        <w:spacing w:after="0"/>
        <w:ind w:left="426" w:hanging="426"/>
        <w:contextualSpacing w:val="0"/>
        <w:jc w:val="both"/>
        <w:rPr>
          <w:b/>
        </w:rPr>
      </w:pPr>
      <w:r w:rsidRPr="000939E3">
        <w:rPr>
          <w:b/>
        </w:rPr>
        <w:t>P</w:t>
      </w:r>
      <w:r w:rsidR="00C438F4" w:rsidRPr="000939E3">
        <w:rPr>
          <w:b/>
        </w:rPr>
        <w:t xml:space="preserve">riemerná hrubá mesačná mzda </w:t>
      </w:r>
      <w:r w:rsidRPr="000939E3">
        <w:rPr>
          <w:b/>
        </w:rPr>
        <w:t xml:space="preserve">verejných zamestnancov </w:t>
      </w:r>
      <w:r w:rsidR="00C438F4" w:rsidRPr="000939E3">
        <w:rPr>
          <w:b/>
        </w:rPr>
        <w:t xml:space="preserve">je tesne nad úrovňou priemernej mzdy v hospodárstve. </w:t>
      </w:r>
      <w:r w:rsidRPr="000939E3">
        <w:rPr>
          <w:b/>
        </w:rPr>
        <w:t>Vyššiu hodinovú mzdu ako je medián na rovnakej pozícii v súkromnom sektore zarába 55 % verejných zamestnancov.</w:t>
      </w:r>
    </w:p>
    <w:p w14:paraId="5505AF45" w14:textId="77777777" w:rsidR="009268CA" w:rsidRPr="000939E3" w:rsidRDefault="009268CA" w:rsidP="00B41924">
      <w:pPr>
        <w:pStyle w:val="Odsekzoznamu"/>
        <w:numPr>
          <w:ilvl w:val="0"/>
          <w:numId w:val="7"/>
        </w:numPr>
        <w:spacing w:after="0"/>
        <w:ind w:left="426" w:hanging="426"/>
        <w:jc w:val="both"/>
        <w:rPr>
          <w:b/>
          <w:bCs/>
        </w:rPr>
      </w:pPr>
      <w:r w:rsidRPr="000939E3">
        <w:rPr>
          <w:b/>
          <w:bCs/>
        </w:rPr>
        <w:t xml:space="preserve">Mzdy zamestnancov verejného sektora </w:t>
      </w:r>
      <w:r w:rsidR="00C13312" w:rsidRPr="000939E3">
        <w:rPr>
          <w:b/>
          <w:bCs/>
        </w:rPr>
        <w:t xml:space="preserve">v drahých profesiách </w:t>
      </w:r>
      <w:r w:rsidRPr="000939E3">
        <w:rPr>
          <w:b/>
          <w:bCs/>
        </w:rPr>
        <w:t>- napríklad právnikov, pracovníkov v oblasti financií či IT - výrazne zaostávajú. Neschopnosť zaplatiť ich môže viesť k nízkej kvalite alebo potrebe zabezpečiť tieto služby dodávateľsky.</w:t>
      </w:r>
    </w:p>
    <w:p w14:paraId="1DF15CD0" w14:textId="58AE0B81" w:rsidR="006A57E7" w:rsidRPr="000939E3" w:rsidRDefault="006A57E7" w:rsidP="00B41924">
      <w:pPr>
        <w:pStyle w:val="Odsekzoznamu"/>
        <w:numPr>
          <w:ilvl w:val="0"/>
          <w:numId w:val="7"/>
        </w:numPr>
        <w:spacing w:after="0"/>
        <w:ind w:left="426" w:hanging="426"/>
        <w:contextualSpacing w:val="0"/>
        <w:jc w:val="both"/>
        <w:rPr>
          <w:b/>
        </w:rPr>
      </w:pPr>
      <w:r w:rsidRPr="000939E3">
        <w:rPr>
          <w:b/>
        </w:rPr>
        <w:t>Po zohľadnení pozorovateľných rozdielov medzi zamestnancami a pozíciami vo verejnom a súkromnom sektore zarábajú verejní zamestnanci menej ako súkromní (o 3 %), zatiaľ čo vo väčšine krajín EÚ je to naopak. Výrazne nižší príjem ako náprotivky v súkromnom sektore majú ženy (o 7 %), mladí do 29 rokov (o 9 %) a zamestnanci s vysokoškolským vzdelaním (o 11 %).</w:t>
      </w:r>
    </w:p>
    <w:p w14:paraId="65DAC6F7" w14:textId="7A2148B8" w:rsidR="00A17C49" w:rsidRPr="000939E3" w:rsidRDefault="009268CA" w:rsidP="00B41924">
      <w:pPr>
        <w:pStyle w:val="Odsekzoznamu"/>
        <w:numPr>
          <w:ilvl w:val="0"/>
          <w:numId w:val="7"/>
        </w:numPr>
        <w:spacing w:after="0"/>
        <w:ind w:left="426" w:hanging="426"/>
        <w:contextualSpacing w:val="0"/>
        <w:jc w:val="both"/>
        <w:rPr>
          <w:b/>
        </w:rPr>
      </w:pPr>
      <w:r w:rsidRPr="000939E3">
        <w:rPr>
          <w:b/>
        </w:rPr>
        <w:t>Profes</w:t>
      </w:r>
      <w:r w:rsidR="00F5695C" w:rsidRPr="000939E3">
        <w:rPr>
          <w:b/>
        </w:rPr>
        <w:t>ij</w:t>
      </w:r>
      <w:r w:rsidRPr="000939E3">
        <w:rPr>
          <w:b/>
        </w:rPr>
        <w:t xml:space="preserve">ná prémia práce pre štát sa regionálne líši, </w:t>
      </w:r>
      <w:r w:rsidR="004B45B2" w:rsidRPr="000939E3">
        <w:rPr>
          <w:b/>
        </w:rPr>
        <w:t xml:space="preserve">v Bratislave </w:t>
      </w:r>
      <w:r w:rsidR="00B10FFA" w:rsidRPr="000939E3">
        <w:rPr>
          <w:b/>
        </w:rPr>
        <w:t xml:space="preserve">zamestnanci niektorých profesií zarábajú podstatne menej vo verejnom ako v súkromnom sektore, kým v ostatných regiónoch zarábajú podobne alebo viac. </w:t>
      </w:r>
      <w:r w:rsidR="00D55A90" w:rsidRPr="000939E3">
        <w:rPr>
          <w:b/>
        </w:rPr>
        <w:t>To môže mať negatívny dopad na kvalitu služieb v drahších regiónoch.</w:t>
      </w:r>
    </w:p>
    <w:p w14:paraId="1FAD4E3F" w14:textId="648F9EE5" w:rsidR="00A17C49" w:rsidRPr="000939E3" w:rsidRDefault="00A17C49" w:rsidP="00B41924">
      <w:pPr>
        <w:pStyle w:val="Odsekzoznamu"/>
        <w:numPr>
          <w:ilvl w:val="0"/>
          <w:numId w:val="7"/>
        </w:numPr>
        <w:spacing w:after="0"/>
        <w:ind w:left="426" w:hanging="426"/>
        <w:contextualSpacing w:val="0"/>
        <w:jc w:val="both"/>
        <w:rPr>
          <w:b/>
        </w:rPr>
      </w:pPr>
      <w:r w:rsidRPr="000939E3">
        <w:rPr>
          <w:b/>
        </w:rPr>
        <w:t>Zamestnanci, ktorí prešli z verejného do súkromného sektora si v priemere polepšia viac (14 %), ako pri prestupe opačným smerom (11 %). Prestup z verejného do súkromného sektora je oproti prestupu opačným smerom najviac výhodný pre mužov (23 % vs. 13 %), mladý</w:t>
      </w:r>
      <w:r w:rsidR="00CF399C">
        <w:rPr>
          <w:b/>
        </w:rPr>
        <w:t>ch vo veku 18 až 24 rokov (23 % </w:t>
      </w:r>
      <w:r w:rsidRPr="000939E3">
        <w:rPr>
          <w:b/>
        </w:rPr>
        <w:t xml:space="preserve">vs. 11 %) a stredoškolsky vzdelaných (15 % vs. 7 %). </w:t>
      </w:r>
    </w:p>
    <w:p w14:paraId="238D94D9" w14:textId="569F8FDE" w:rsidR="0004409E" w:rsidRPr="000939E3" w:rsidRDefault="0004409E" w:rsidP="002B613A">
      <w:pPr>
        <w:spacing w:before="240"/>
      </w:pPr>
      <w:r w:rsidRPr="000939E3">
        <w:rPr>
          <w:b/>
        </w:rPr>
        <w:t>Štát ako zamestnávateľ sa v zásadných aspektoch líši od zamestnávateľov v súkromnom sektore.</w:t>
      </w:r>
      <w:r w:rsidRPr="000939E3">
        <w:t xml:space="preserve"> Mnohé zo služieb, ktoré štát poskytuje, nemajú obdobu v súkromnom sektore a neexistuje priestor pre ich poskytovanie v rámci trhovej konkurencie (napr. obrana, polícia, súdnictvo, regulácia a iné verejné statky). Štát navyše väčšinou nesleduje zisk, ale najmä iné ciele (napríklad sociálnu spravodlivosť). Dopyt po pracovnej sile vo verejnom sektore je preto častejšie výsledkom celospoločenských, politických alebo administratív</w:t>
      </w:r>
      <w:r w:rsidR="000C42B7" w:rsidRPr="000939E3">
        <w:t>nych rozhodnutí ako reakciou na </w:t>
      </w:r>
      <w:r w:rsidRPr="000939E3">
        <w:t xml:space="preserve">produktivitu práce a trhové signály. Štát, ktorý verejnú zamestnanosť vníma čiastočne ako nástroj inklúzie znevýhodnených skupín na trhu práce bude mať nižšiu mzdovú prémiu ako štát, ktorý uplatňuje výlučne meritokratický prístup k výberu verejných zamestnancov. </w:t>
      </w:r>
    </w:p>
    <w:p w14:paraId="099411BE" w14:textId="4C253C83" w:rsidR="0004409E" w:rsidRPr="000939E3" w:rsidRDefault="0004409E" w:rsidP="0004409E">
      <w:r w:rsidRPr="000939E3">
        <w:rPr>
          <w:b/>
        </w:rPr>
        <w:t>Efektívna správa miezd a zamestnanosti vo verejnom sektore vyžaduje pozorné sledovanie a reagovanie na vývoj v súkromnom sektore</w:t>
      </w:r>
      <w:r w:rsidRPr="000939E3">
        <w:t xml:space="preserve">. Ak je práca vo verejnom sektore málo atraktívna v porovnaní so súkromným sektorom, štát môže mať problémy s náborom a vysokou fluktuáciou zamestnancov, čo </w:t>
      </w:r>
      <w:r w:rsidR="005E63BD" w:rsidRPr="000939E3">
        <w:t xml:space="preserve">môže </w:t>
      </w:r>
      <w:r w:rsidRPr="000939E3">
        <w:t xml:space="preserve">negatívne </w:t>
      </w:r>
      <w:r w:rsidR="005E63BD" w:rsidRPr="000939E3">
        <w:t xml:space="preserve">ovplyvniť </w:t>
      </w:r>
      <w:r w:rsidRPr="000939E3">
        <w:lastRenderedPageBreak/>
        <w:t>kvalitu verejných služieb. Keďže kvalita verejných služieb výrazne ovplyvňuje produktivitu súkromného sektora, takáto politika môže viesť k suboptimálnym výsledkom z pohľadu ekonomiky ako celku.</w:t>
      </w:r>
    </w:p>
    <w:p w14:paraId="0362C776" w14:textId="77777777" w:rsidR="0004409E" w:rsidRPr="000939E3" w:rsidRDefault="0004409E" w:rsidP="00C1597F">
      <w:pPr>
        <w:pStyle w:val="Nadpis2"/>
        <w:spacing w:before="160"/>
      </w:pPr>
      <w:bookmarkStart w:id="105" w:name="_Toc4078942"/>
      <w:bookmarkStart w:id="106" w:name="_Toc4162627"/>
      <w:bookmarkStart w:id="107" w:name="_Toc4414856"/>
      <w:bookmarkStart w:id="108" w:name="_Toc4078949"/>
      <w:bookmarkStart w:id="109" w:name="_Toc4162634"/>
      <w:bookmarkStart w:id="110" w:name="_Toc4414863"/>
      <w:bookmarkStart w:id="111" w:name="_Ref532831506"/>
      <w:bookmarkStart w:id="112" w:name="_Toc34050698"/>
      <w:bookmarkEnd w:id="105"/>
      <w:bookmarkEnd w:id="106"/>
      <w:bookmarkEnd w:id="107"/>
      <w:bookmarkEnd w:id="108"/>
      <w:bookmarkEnd w:id="109"/>
      <w:bookmarkEnd w:id="110"/>
      <w:r w:rsidRPr="000939E3">
        <w:t>Zručnosti, vzdelanie, vek a pohlavie zamestnancov</w:t>
      </w:r>
      <w:bookmarkEnd w:id="111"/>
      <w:bookmarkEnd w:id="112"/>
      <w:r w:rsidRPr="000939E3">
        <w:t xml:space="preserve"> </w:t>
      </w:r>
    </w:p>
    <w:p w14:paraId="7F8AA7CB" w14:textId="53C76CA3" w:rsidR="0004409E" w:rsidRPr="000939E3" w:rsidRDefault="0004409E" w:rsidP="0004409E">
      <w:r w:rsidRPr="000939E3">
        <w:rPr>
          <w:b/>
        </w:rPr>
        <w:t>Zamestnanci súkromného a verejného</w:t>
      </w:r>
      <w:r w:rsidRPr="000939E3">
        <w:rPr>
          <w:rStyle w:val="Odkaznapoznmkupodiarou"/>
          <w:b/>
        </w:rPr>
        <w:footnoteReference w:id="46"/>
      </w:r>
      <w:r w:rsidRPr="000939E3">
        <w:rPr>
          <w:b/>
        </w:rPr>
        <w:t xml:space="preserve"> sektora pracujú v odlišných profesiách. </w:t>
      </w:r>
      <w:r w:rsidRPr="000939E3">
        <w:t>Len 5 % zamestnancov súkromného sektora pracuje v oblastiach typických pre verejný sektor (verejná správa, obrana a sociálne zabezpečenie, školstvo a zdravotníctvo).</w:t>
      </w:r>
      <w:r w:rsidRPr="000939E3">
        <w:rPr>
          <w:b/>
        </w:rPr>
        <w:t xml:space="preserve"> </w:t>
      </w:r>
      <w:r w:rsidRPr="000939E3">
        <w:t>Naopak, vyše polovica</w:t>
      </w:r>
      <w:r w:rsidR="00E01415" w:rsidRPr="000939E3">
        <w:t xml:space="preserve"> z</w:t>
      </w:r>
      <w:r w:rsidRPr="000939E3">
        <w:t xml:space="preserve"> </w:t>
      </w:r>
      <w:r w:rsidR="00E01415" w:rsidRPr="000939E3">
        <w:t>n</w:t>
      </w:r>
      <w:r w:rsidRPr="000939E3">
        <w:t>ich pracuje v priemysle a veľkoobchode a maloobchode, kde nemá verejný sektor takmer žiadnu zamestnanosť</w:t>
      </w:r>
      <w:r w:rsidR="00B07241" w:rsidRPr="000939E3">
        <w:t xml:space="preserve"> (</w:t>
      </w:r>
      <w:r w:rsidR="00B07241" w:rsidRPr="000939E3">
        <w:fldChar w:fldCharType="begin"/>
      </w:r>
      <w:r w:rsidR="00B07241" w:rsidRPr="000939E3">
        <w:instrText xml:space="preserve"> REF _Ref4073818 \h  \* MERGEFORMAT </w:instrText>
      </w:r>
      <w:r w:rsidR="00B07241" w:rsidRPr="000939E3">
        <w:fldChar w:fldCharType="separate"/>
      </w:r>
      <w:r w:rsidR="00BF69CA" w:rsidRPr="00BF69CA">
        <w:t xml:space="preserve">Tabuľka </w:t>
      </w:r>
      <w:r w:rsidR="00BF69CA" w:rsidRPr="00BF69CA">
        <w:rPr>
          <w:noProof/>
        </w:rPr>
        <w:t>1</w:t>
      </w:r>
      <w:r w:rsidR="00B07241" w:rsidRPr="000939E3">
        <w:fldChar w:fldCharType="end"/>
      </w:r>
      <w:r w:rsidR="00B07241" w:rsidRPr="000939E3">
        <w:t>)</w:t>
      </w:r>
      <w:r w:rsidRPr="000939E3">
        <w:t>. Trhy práce sú aj relatívne nepriechodné, dve tretiny zamestnancov verejného sektora, ktorí menili prácu, v ňom zostalo</w:t>
      </w:r>
      <w:r w:rsidR="00DE0F56" w:rsidRPr="000939E3">
        <w:t>, v súkromnom ostalo pracovať vyše 95 %</w:t>
      </w:r>
      <w:r w:rsidRPr="000939E3">
        <w:t xml:space="preserve"> </w:t>
      </w:r>
      <w:r w:rsidR="005D4191" w:rsidRPr="000939E3">
        <w:t xml:space="preserve">zamestnancov súkromného sektora, ktorí menili prácu </w:t>
      </w:r>
      <w:r w:rsidRPr="000939E3">
        <w:t xml:space="preserve">(kapitola </w:t>
      </w:r>
      <w:r w:rsidRPr="000939E3">
        <w:fldChar w:fldCharType="begin"/>
      </w:r>
      <w:r w:rsidRPr="000939E3">
        <w:instrText xml:space="preserve"> REF _Ref526698667 \r \h  \* MERGEFORMAT </w:instrText>
      </w:r>
      <w:r w:rsidRPr="000939E3">
        <w:fldChar w:fldCharType="separate"/>
      </w:r>
      <w:r w:rsidR="00BF69CA">
        <w:t>3.6</w:t>
      </w:r>
      <w:r w:rsidRPr="000939E3">
        <w:fldChar w:fldCharType="end"/>
      </w:r>
      <w:r w:rsidRPr="000939E3">
        <w:t>).</w:t>
      </w:r>
    </w:p>
    <w:tbl>
      <w:tblPr>
        <w:tblW w:w="5000" w:type="pct"/>
        <w:tblLayout w:type="fixed"/>
        <w:tblCellMar>
          <w:left w:w="70" w:type="dxa"/>
          <w:right w:w="70" w:type="dxa"/>
        </w:tblCellMar>
        <w:tblLook w:val="04A0" w:firstRow="1" w:lastRow="0" w:firstColumn="1" w:lastColumn="0" w:noHBand="0" w:noVBand="1"/>
      </w:tblPr>
      <w:tblGrid>
        <w:gridCol w:w="4963"/>
        <w:gridCol w:w="993"/>
        <w:gridCol w:w="1092"/>
        <w:gridCol w:w="1012"/>
        <w:gridCol w:w="1012"/>
      </w:tblGrid>
      <w:tr w:rsidR="0004409E" w:rsidRPr="000939E3" w14:paraId="07FE0310" w14:textId="77777777" w:rsidTr="00603DC5">
        <w:trPr>
          <w:trHeight w:val="211"/>
        </w:trPr>
        <w:tc>
          <w:tcPr>
            <w:tcW w:w="5000" w:type="pct"/>
            <w:gridSpan w:val="5"/>
            <w:tcBorders>
              <w:top w:val="nil"/>
              <w:left w:val="nil"/>
              <w:bottom w:val="single" w:sz="4" w:space="0" w:color="auto"/>
              <w:right w:val="nil"/>
            </w:tcBorders>
            <w:shd w:val="clear" w:color="auto" w:fill="auto"/>
            <w:noWrap/>
            <w:vAlign w:val="bottom"/>
            <w:hideMark/>
          </w:tcPr>
          <w:p w14:paraId="05542437" w14:textId="256FF00A" w:rsidR="0004409E" w:rsidRPr="000939E3" w:rsidRDefault="0004409E" w:rsidP="0004409E">
            <w:pPr>
              <w:keepNext/>
              <w:spacing w:after="0" w:line="240" w:lineRule="auto"/>
              <w:rPr>
                <w:rFonts w:eastAsia="Times New Roman" w:cs="Times New Roman"/>
                <w:b/>
                <w:color w:val="000000"/>
                <w:sz w:val="20"/>
                <w:lang w:eastAsia="sk-SK"/>
              </w:rPr>
            </w:pPr>
            <w:bookmarkStart w:id="113" w:name="_Ref4073818"/>
            <w:bookmarkStart w:id="114" w:name="_Toc34226934"/>
            <w:r w:rsidRPr="000939E3">
              <w:rPr>
                <w:b/>
                <w:sz w:val="20"/>
              </w:rPr>
              <w:t xml:space="preserve">Tabuľka </w:t>
            </w:r>
            <w:r w:rsidRPr="000939E3">
              <w:rPr>
                <w:b/>
                <w:sz w:val="20"/>
              </w:rPr>
              <w:fldChar w:fldCharType="begin"/>
            </w:r>
            <w:r w:rsidRPr="000939E3">
              <w:rPr>
                <w:b/>
                <w:sz w:val="20"/>
              </w:rPr>
              <w:instrText xml:space="preserve"> SEQ Tabuľka \* ARABIC </w:instrText>
            </w:r>
            <w:r w:rsidRPr="000939E3">
              <w:rPr>
                <w:b/>
                <w:sz w:val="20"/>
              </w:rPr>
              <w:fldChar w:fldCharType="separate"/>
            </w:r>
            <w:r w:rsidR="00BF69CA">
              <w:rPr>
                <w:b/>
                <w:noProof/>
                <w:sz w:val="20"/>
              </w:rPr>
              <w:t>1</w:t>
            </w:r>
            <w:r w:rsidRPr="000939E3">
              <w:rPr>
                <w:b/>
                <w:sz w:val="20"/>
              </w:rPr>
              <w:fldChar w:fldCharType="end"/>
            </w:r>
            <w:bookmarkEnd w:id="113"/>
            <w:r w:rsidR="007B4D5C" w:rsidRPr="000939E3">
              <w:rPr>
                <w:b/>
                <w:sz w:val="20"/>
              </w:rPr>
              <w:t>:</w:t>
            </w:r>
            <w:r w:rsidRPr="000939E3">
              <w:rPr>
                <w:b/>
                <w:sz w:val="20"/>
              </w:rPr>
              <w:t xml:space="preserve"> </w:t>
            </w:r>
            <w:r w:rsidRPr="000939E3">
              <w:rPr>
                <w:rFonts w:eastAsia="Times New Roman" w:cs="Times New Roman"/>
                <w:b/>
                <w:color w:val="000000"/>
                <w:sz w:val="20"/>
                <w:lang w:eastAsia="sk-SK"/>
              </w:rPr>
              <w:t>Sektorová štruktúra vo verejnom a súkromnom sektore (2017)</w:t>
            </w:r>
            <w:bookmarkEnd w:id="114"/>
          </w:p>
        </w:tc>
      </w:tr>
      <w:tr w:rsidR="0004409E" w:rsidRPr="000939E3" w14:paraId="67EDEA68" w14:textId="77777777" w:rsidTr="00603DC5">
        <w:trPr>
          <w:trHeight w:val="232"/>
        </w:trPr>
        <w:tc>
          <w:tcPr>
            <w:tcW w:w="2735" w:type="pct"/>
            <w:vMerge w:val="restart"/>
            <w:tcBorders>
              <w:top w:val="nil"/>
              <w:left w:val="nil"/>
              <w:right w:val="single" w:sz="4" w:space="0" w:color="auto"/>
            </w:tcBorders>
            <w:shd w:val="clear" w:color="auto" w:fill="auto"/>
            <w:noWrap/>
            <w:tcMar>
              <w:left w:w="0" w:type="dxa"/>
              <w:right w:w="0" w:type="dxa"/>
            </w:tcMar>
            <w:vAlign w:val="center"/>
            <w:hideMark/>
          </w:tcPr>
          <w:p w14:paraId="36C82F51" w14:textId="77777777" w:rsidR="0004409E" w:rsidRPr="000939E3" w:rsidRDefault="0004409E" w:rsidP="0004409E">
            <w:pPr>
              <w:keepNext/>
              <w:spacing w:after="0" w:line="240" w:lineRule="auto"/>
              <w:rPr>
                <w:rFonts w:eastAsia="Times New Roman" w:cs="Times New Roman"/>
                <w:lang w:eastAsia="sk-SK"/>
              </w:rPr>
            </w:pPr>
            <w:r w:rsidRPr="000939E3">
              <w:rPr>
                <w:rFonts w:eastAsia="Times New Roman" w:cs="Times New Roman"/>
                <w:lang w:eastAsia="sk-SK"/>
              </w:rPr>
              <w:t> NACE sektor</w:t>
            </w:r>
          </w:p>
        </w:tc>
        <w:tc>
          <w:tcPr>
            <w:tcW w:w="1149" w:type="pct"/>
            <w:gridSpan w:val="2"/>
            <w:tcBorders>
              <w:top w:val="single" w:sz="4" w:space="0" w:color="auto"/>
              <w:left w:val="nil"/>
              <w:bottom w:val="nil"/>
              <w:right w:val="single" w:sz="4" w:space="0" w:color="000000"/>
            </w:tcBorders>
            <w:shd w:val="clear" w:color="auto" w:fill="auto"/>
            <w:noWrap/>
            <w:vAlign w:val="bottom"/>
            <w:hideMark/>
          </w:tcPr>
          <w:p w14:paraId="44A326CF" w14:textId="77777777" w:rsidR="007F08B8" w:rsidRPr="000939E3" w:rsidRDefault="0004409E" w:rsidP="000C42B7">
            <w:pPr>
              <w:keepNext/>
              <w:spacing w:after="0" w:line="240" w:lineRule="auto"/>
              <w:jc w:val="center"/>
              <w:rPr>
                <w:rFonts w:eastAsia="Times New Roman" w:cs="Times New Roman"/>
                <w:lang w:eastAsia="sk-SK"/>
              </w:rPr>
            </w:pPr>
            <w:r w:rsidRPr="000939E3">
              <w:rPr>
                <w:rFonts w:eastAsia="Times New Roman" w:cs="Times New Roman"/>
                <w:lang w:eastAsia="sk-SK"/>
              </w:rPr>
              <w:t xml:space="preserve">počet zamestnancov </w:t>
            </w:r>
          </w:p>
          <w:p w14:paraId="38CBFA3D" w14:textId="4214BDAC" w:rsidR="0004409E" w:rsidRPr="000939E3" w:rsidRDefault="0004409E" w:rsidP="000C42B7">
            <w:pPr>
              <w:keepNext/>
              <w:spacing w:after="0" w:line="240" w:lineRule="auto"/>
              <w:jc w:val="center"/>
              <w:rPr>
                <w:rFonts w:eastAsia="Times New Roman" w:cs="Times New Roman"/>
                <w:lang w:eastAsia="sk-SK"/>
              </w:rPr>
            </w:pPr>
            <w:r w:rsidRPr="000939E3">
              <w:rPr>
                <w:rFonts w:eastAsia="Times New Roman" w:cs="Times New Roman"/>
                <w:lang w:eastAsia="sk-SK"/>
              </w:rPr>
              <w:t>(v tis.)</w:t>
            </w:r>
          </w:p>
        </w:tc>
        <w:tc>
          <w:tcPr>
            <w:tcW w:w="1117" w:type="pct"/>
            <w:gridSpan w:val="2"/>
            <w:tcBorders>
              <w:top w:val="single" w:sz="4" w:space="0" w:color="auto"/>
              <w:left w:val="nil"/>
              <w:bottom w:val="nil"/>
            </w:tcBorders>
            <w:shd w:val="clear" w:color="auto" w:fill="auto"/>
            <w:noWrap/>
            <w:vAlign w:val="bottom"/>
            <w:hideMark/>
          </w:tcPr>
          <w:p w14:paraId="044BB867" w14:textId="77777777" w:rsidR="0004409E" w:rsidRPr="000939E3" w:rsidRDefault="0004409E" w:rsidP="000C42B7">
            <w:pPr>
              <w:keepNext/>
              <w:spacing w:after="0" w:line="240" w:lineRule="auto"/>
              <w:jc w:val="center"/>
              <w:rPr>
                <w:rFonts w:eastAsia="Times New Roman" w:cs="Times New Roman"/>
                <w:lang w:eastAsia="sk-SK"/>
              </w:rPr>
            </w:pPr>
            <w:r w:rsidRPr="000939E3">
              <w:rPr>
                <w:rFonts w:eastAsia="Times New Roman" w:cs="Times New Roman"/>
                <w:lang w:eastAsia="sk-SK"/>
              </w:rPr>
              <w:t>podiel</w:t>
            </w:r>
          </w:p>
        </w:tc>
      </w:tr>
      <w:tr w:rsidR="00EC5E6F" w:rsidRPr="000939E3" w14:paraId="3D115680" w14:textId="77777777" w:rsidTr="0012246E">
        <w:trPr>
          <w:trHeight w:val="349"/>
        </w:trPr>
        <w:tc>
          <w:tcPr>
            <w:tcW w:w="2735" w:type="pct"/>
            <w:vMerge/>
            <w:tcBorders>
              <w:left w:val="nil"/>
              <w:bottom w:val="single" w:sz="4" w:space="0" w:color="auto"/>
              <w:right w:val="single" w:sz="4" w:space="0" w:color="auto"/>
            </w:tcBorders>
            <w:shd w:val="clear" w:color="auto" w:fill="auto"/>
            <w:noWrap/>
            <w:tcMar>
              <w:left w:w="0" w:type="dxa"/>
              <w:right w:w="0" w:type="dxa"/>
            </w:tcMar>
            <w:vAlign w:val="bottom"/>
            <w:hideMark/>
          </w:tcPr>
          <w:p w14:paraId="2D469151" w14:textId="77777777" w:rsidR="0004409E" w:rsidRPr="000939E3" w:rsidRDefault="0004409E" w:rsidP="0004409E">
            <w:pPr>
              <w:keepNext/>
              <w:spacing w:after="0" w:line="240" w:lineRule="auto"/>
              <w:rPr>
                <w:rFonts w:eastAsia="Times New Roman" w:cs="Times New Roman"/>
                <w:lang w:eastAsia="sk-SK"/>
              </w:rPr>
            </w:pPr>
          </w:p>
        </w:tc>
        <w:tc>
          <w:tcPr>
            <w:tcW w:w="547" w:type="pct"/>
            <w:tcBorders>
              <w:top w:val="nil"/>
              <w:left w:val="nil"/>
              <w:bottom w:val="single" w:sz="4" w:space="0" w:color="auto"/>
              <w:right w:val="nil"/>
            </w:tcBorders>
            <w:shd w:val="clear" w:color="auto" w:fill="auto"/>
            <w:noWrap/>
            <w:vAlign w:val="bottom"/>
            <w:hideMark/>
          </w:tcPr>
          <w:p w14:paraId="07419BBC" w14:textId="77777777" w:rsidR="0004409E" w:rsidRPr="000939E3" w:rsidRDefault="0004409E" w:rsidP="000C42B7">
            <w:pPr>
              <w:keepNext/>
              <w:spacing w:after="0" w:line="240" w:lineRule="auto"/>
              <w:jc w:val="center"/>
              <w:rPr>
                <w:rFonts w:eastAsia="Times New Roman" w:cs="Times New Roman"/>
                <w:lang w:eastAsia="sk-SK"/>
              </w:rPr>
            </w:pPr>
            <w:r w:rsidRPr="000939E3">
              <w:rPr>
                <w:rFonts w:eastAsia="Times New Roman" w:cs="Times New Roman"/>
                <w:lang w:eastAsia="sk-SK"/>
              </w:rPr>
              <w:t>verejný</w:t>
            </w:r>
          </w:p>
        </w:tc>
        <w:tc>
          <w:tcPr>
            <w:tcW w:w="602" w:type="pct"/>
            <w:tcBorders>
              <w:top w:val="nil"/>
              <w:left w:val="nil"/>
              <w:bottom w:val="single" w:sz="4" w:space="0" w:color="auto"/>
              <w:right w:val="single" w:sz="4" w:space="0" w:color="auto"/>
            </w:tcBorders>
            <w:shd w:val="clear" w:color="auto" w:fill="auto"/>
            <w:noWrap/>
            <w:vAlign w:val="bottom"/>
            <w:hideMark/>
          </w:tcPr>
          <w:p w14:paraId="7B001D76" w14:textId="77777777" w:rsidR="0004409E" w:rsidRPr="000939E3" w:rsidRDefault="0004409E" w:rsidP="000C42B7">
            <w:pPr>
              <w:keepNext/>
              <w:spacing w:after="0" w:line="240" w:lineRule="auto"/>
              <w:jc w:val="center"/>
              <w:rPr>
                <w:rFonts w:eastAsia="Times New Roman" w:cs="Times New Roman"/>
                <w:lang w:eastAsia="sk-SK"/>
              </w:rPr>
            </w:pPr>
            <w:r w:rsidRPr="000939E3">
              <w:rPr>
                <w:rFonts w:eastAsia="Times New Roman" w:cs="Times New Roman"/>
                <w:lang w:eastAsia="sk-SK"/>
              </w:rPr>
              <w:t>súkromný</w:t>
            </w:r>
          </w:p>
        </w:tc>
        <w:tc>
          <w:tcPr>
            <w:tcW w:w="558" w:type="pct"/>
            <w:tcBorders>
              <w:top w:val="nil"/>
              <w:left w:val="nil"/>
              <w:bottom w:val="nil"/>
              <w:right w:val="nil"/>
            </w:tcBorders>
            <w:shd w:val="clear" w:color="auto" w:fill="auto"/>
            <w:noWrap/>
            <w:vAlign w:val="bottom"/>
            <w:hideMark/>
          </w:tcPr>
          <w:p w14:paraId="4E77317A" w14:textId="77777777" w:rsidR="0004409E" w:rsidRPr="000939E3" w:rsidRDefault="0004409E" w:rsidP="000C42B7">
            <w:pPr>
              <w:keepNext/>
              <w:spacing w:after="0" w:line="240" w:lineRule="auto"/>
              <w:jc w:val="center"/>
              <w:rPr>
                <w:rFonts w:eastAsia="Times New Roman" w:cs="Times New Roman"/>
                <w:lang w:eastAsia="sk-SK"/>
              </w:rPr>
            </w:pPr>
            <w:r w:rsidRPr="000939E3">
              <w:rPr>
                <w:rFonts w:eastAsia="Times New Roman" w:cs="Times New Roman"/>
                <w:lang w:eastAsia="sk-SK"/>
              </w:rPr>
              <w:t>verejný</w:t>
            </w:r>
          </w:p>
        </w:tc>
        <w:tc>
          <w:tcPr>
            <w:tcW w:w="559" w:type="pct"/>
            <w:tcBorders>
              <w:top w:val="nil"/>
              <w:left w:val="nil"/>
              <w:bottom w:val="nil"/>
            </w:tcBorders>
            <w:shd w:val="clear" w:color="auto" w:fill="auto"/>
            <w:noWrap/>
            <w:vAlign w:val="bottom"/>
            <w:hideMark/>
          </w:tcPr>
          <w:p w14:paraId="4DB1E7AA" w14:textId="77777777" w:rsidR="0004409E" w:rsidRPr="000939E3" w:rsidRDefault="0004409E" w:rsidP="000C42B7">
            <w:pPr>
              <w:keepNext/>
              <w:spacing w:after="0" w:line="240" w:lineRule="auto"/>
              <w:jc w:val="center"/>
              <w:rPr>
                <w:rFonts w:eastAsia="Times New Roman" w:cs="Times New Roman"/>
                <w:lang w:eastAsia="sk-SK"/>
              </w:rPr>
            </w:pPr>
            <w:r w:rsidRPr="000939E3">
              <w:rPr>
                <w:rFonts w:eastAsia="Times New Roman" w:cs="Times New Roman"/>
                <w:lang w:eastAsia="sk-SK"/>
              </w:rPr>
              <w:t>súkromný</w:t>
            </w:r>
          </w:p>
        </w:tc>
      </w:tr>
      <w:tr w:rsidR="00EC5E6F" w:rsidRPr="000939E3" w14:paraId="75B6E675" w14:textId="77777777" w:rsidTr="00603DC5">
        <w:trPr>
          <w:trHeight w:val="232"/>
        </w:trPr>
        <w:tc>
          <w:tcPr>
            <w:tcW w:w="2735" w:type="pct"/>
            <w:tcBorders>
              <w:top w:val="nil"/>
              <w:left w:val="nil"/>
              <w:bottom w:val="nil"/>
              <w:right w:val="single" w:sz="4" w:space="0" w:color="auto"/>
            </w:tcBorders>
            <w:shd w:val="clear" w:color="auto" w:fill="D9D9D9" w:themeFill="background1" w:themeFillShade="D9"/>
            <w:noWrap/>
            <w:tcMar>
              <w:left w:w="0" w:type="dxa"/>
              <w:right w:w="0" w:type="dxa"/>
            </w:tcMar>
            <w:vAlign w:val="center"/>
          </w:tcPr>
          <w:p w14:paraId="5D303BFF" w14:textId="77777777" w:rsidR="00EC5E6F" w:rsidRPr="000939E3" w:rsidRDefault="00EC5E6F" w:rsidP="00EC5E6F">
            <w:pPr>
              <w:keepNext/>
              <w:spacing w:after="0" w:line="240" w:lineRule="auto"/>
              <w:rPr>
                <w:rFonts w:eastAsia="Times New Roman" w:cs="Times New Roman"/>
                <w:color w:val="000000"/>
                <w:sz w:val="20"/>
                <w:lang w:eastAsia="sk-SK"/>
              </w:rPr>
            </w:pPr>
            <w:r w:rsidRPr="000939E3">
              <w:rPr>
                <w:color w:val="000000"/>
              </w:rPr>
              <w:t>Vzdelávanie</w:t>
            </w:r>
          </w:p>
        </w:tc>
        <w:tc>
          <w:tcPr>
            <w:tcW w:w="547" w:type="pct"/>
            <w:tcBorders>
              <w:top w:val="nil"/>
              <w:left w:val="nil"/>
              <w:bottom w:val="nil"/>
              <w:right w:val="nil"/>
            </w:tcBorders>
            <w:shd w:val="clear" w:color="auto" w:fill="D9D9D9" w:themeFill="background1" w:themeFillShade="D9"/>
            <w:noWrap/>
            <w:vAlign w:val="center"/>
          </w:tcPr>
          <w:p w14:paraId="1E7A9B20" w14:textId="1C14A0C4" w:rsidR="00EC5E6F" w:rsidRPr="000939E3" w:rsidRDefault="00EC5E6F" w:rsidP="00EC5E6F">
            <w:pPr>
              <w:keepNext/>
              <w:spacing w:after="0" w:line="240" w:lineRule="auto"/>
              <w:jc w:val="right"/>
              <w:rPr>
                <w:rFonts w:eastAsia="Times New Roman" w:cs="Times New Roman"/>
                <w:lang w:eastAsia="sk-SK"/>
              </w:rPr>
            </w:pPr>
            <w:r w:rsidRPr="000939E3">
              <w:rPr>
                <w:color w:val="000000"/>
              </w:rPr>
              <w:t>158</w:t>
            </w:r>
          </w:p>
        </w:tc>
        <w:tc>
          <w:tcPr>
            <w:tcW w:w="602" w:type="pct"/>
            <w:tcBorders>
              <w:top w:val="nil"/>
              <w:left w:val="nil"/>
              <w:bottom w:val="nil"/>
              <w:right w:val="nil"/>
            </w:tcBorders>
            <w:shd w:val="clear" w:color="auto" w:fill="D9D9D9" w:themeFill="background1" w:themeFillShade="D9"/>
            <w:noWrap/>
            <w:vAlign w:val="center"/>
          </w:tcPr>
          <w:p w14:paraId="609DED45" w14:textId="62528201" w:rsidR="00EC5E6F" w:rsidRPr="000939E3" w:rsidRDefault="00EC5E6F" w:rsidP="00EC5E6F">
            <w:pPr>
              <w:keepNext/>
              <w:spacing w:after="0" w:line="240" w:lineRule="auto"/>
              <w:jc w:val="right"/>
              <w:rPr>
                <w:rFonts w:eastAsia="Times New Roman" w:cs="Times New Roman"/>
                <w:lang w:eastAsia="sk-SK"/>
              </w:rPr>
            </w:pPr>
            <w:r w:rsidRPr="000939E3">
              <w:rPr>
                <w:color w:val="000000"/>
              </w:rPr>
              <w:t>15</w:t>
            </w:r>
          </w:p>
        </w:tc>
        <w:tc>
          <w:tcPr>
            <w:tcW w:w="558" w:type="pct"/>
            <w:tcBorders>
              <w:top w:val="single" w:sz="4" w:space="0" w:color="auto"/>
              <w:left w:val="single" w:sz="4" w:space="0" w:color="auto"/>
              <w:bottom w:val="nil"/>
              <w:right w:val="nil"/>
            </w:tcBorders>
            <w:shd w:val="clear" w:color="auto" w:fill="D9D9D9" w:themeFill="background1" w:themeFillShade="D9"/>
            <w:noWrap/>
          </w:tcPr>
          <w:p w14:paraId="25A45752" w14:textId="1252558E" w:rsidR="00EC5E6F" w:rsidRPr="000939E3" w:rsidRDefault="00EC5E6F" w:rsidP="00EC5E6F">
            <w:pPr>
              <w:keepNext/>
              <w:spacing w:after="0" w:line="240" w:lineRule="auto"/>
              <w:jc w:val="right"/>
              <w:rPr>
                <w:rFonts w:eastAsia="Times New Roman" w:cs="Times New Roman"/>
                <w:b/>
                <w:lang w:eastAsia="sk-SK"/>
              </w:rPr>
            </w:pPr>
            <w:r w:rsidRPr="000939E3">
              <w:rPr>
                <w:b/>
              </w:rPr>
              <w:t>33%</w:t>
            </w:r>
          </w:p>
        </w:tc>
        <w:tc>
          <w:tcPr>
            <w:tcW w:w="559" w:type="pct"/>
            <w:tcBorders>
              <w:top w:val="single" w:sz="4" w:space="0" w:color="auto"/>
              <w:left w:val="nil"/>
              <w:bottom w:val="nil"/>
            </w:tcBorders>
            <w:shd w:val="clear" w:color="auto" w:fill="D9D9D9" w:themeFill="background1" w:themeFillShade="D9"/>
            <w:noWrap/>
          </w:tcPr>
          <w:p w14:paraId="2CB6A3CE" w14:textId="7BA8DF5B" w:rsidR="00EC5E6F" w:rsidRPr="000939E3" w:rsidRDefault="00EC5E6F" w:rsidP="00EC5E6F">
            <w:pPr>
              <w:keepNext/>
              <w:spacing w:after="0" w:line="240" w:lineRule="auto"/>
              <w:jc w:val="right"/>
              <w:rPr>
                <w:rFonts w:eastAsia="Times New Roman" w:cs="Times New Roman"/>
                <w:lang w:eastAsia="sk-SK"/>
              </w:rPr>
            </w:pPr>
            <w:r w:rsidRPr="000939E3">
              <w:t>1%</w:t>
            </w:r>
          </w:p>
        </w:tc>
      </w:tr>
      <w:tr w:rsidR="00EC5E6F" w:rsidRPr="000939E3" w14:paraId="11F68484" w14:textId="77777777" w:rsidTr="00603DC5">
        <w:trPr>
          <w:trHeight w:val="232"/>
        </w:trPr>
        <w:tc>
          <w:tcPr>
            <w:tcW w:w="2735" w:type="pct"/>
            <w:tcBorders>
              <w:top w:val="nil"/>
              <w:left w:val="nil"/>
              <w:bottom w:val="nil"/>
              <w:right w:val="single" w:sz="4" w:space="0" w:color="auto"/>
            </w:tcBorders>
            <w:shd w:val="clear" w:color="auto" w:fill="D9D9D9" w:themeFill="background1" w:themeFillShade="D9"/>
            <w:noWrap/>
            <w:tcMar>
              <w:left w:w="0" w:type="dxa"/>
              <w:right w:w="0" w:type="dxa"/>
            </w:tcMar>
            <w:vAlign w:val="center"/>
          </w:tcPr>
          <w:p w14:paraId="04B4016E" w14:textId="77777777" w:rsidR="00EC5E6F" w:rsidRPr="000939E3" w:rsidRDefault="00EC5E6F" w:rsidP="00EC5E6F">
            <w:pPr>
              <w:keepNext/>
              <w:spacing w:after="0" w:line="240" w:lineRule="auto"/>
              <w:rPr>
                <w:rFonts w:eastAsia="Times New Roman" w:cs="Times New Roman"/>
                <w:color w:val="000000"/>
                <w:sz w:val="20"/>
                <w:lang w:eastAsia="sk-SK"/>
              </w:rPr>
            </w:pPr>
            <w:r w:rsidRPr="000939E3">
              <w:rPr>
                <w:color w:val="000000"/>
              </w:rPr>
              <w:t>Verejná správa a obrana; povinné sociálne zabezpečenie</w:t>
            </w:r>
          </w:p>
        </w:tc>
        <w:tc>
          <w:tcPr>
            <w:tcW w:w="547" w:type="pct"/>
            <w:tcBorders>
              <w:top w:val="nil"/>
              <w:left w:val="nil"/>
              <w:bottom w:val="nil"/>
              <w:right w:val="nil"/>
            </w:tcBorders>
            <w:shd w:val="clear" w:color="auto" w:fill="D9D9D9" w:themeFill="background1" w:themeFillShade="D9"/>
            <w:noWrap/>
            <w:vAlign w:val="center"/>
          </w:tcPr>
          <w:p w14:paraId="08A7943C" w14:textId="0BEB58C7" w:rsidR="00EC5E6F" w:rsidRPr="000939E3" w:rsidRDefault="00EC5E6F" w:rsidP="00EC5E6F">
            <w:pPr>
              <w:keepNext/>
              <w:spacing w:after="0" w:line="240" w:lineRule="auto"/>
              <w:jc w:val="right"/>
              <w:rPr>
                <w:rFonts w:eastAsia="Times New Roman" w:cs="Times New Roman"/>
                <w:lang w:eastAsia="sk-SK"/>
              </w:rPr>
            </w:pPr>
            <w:r w:rsidRPr="000939E3">
              <w:rPr>
                <w:color w:val="000000"/>
              </w:rPr>
              <w:t>133</w:t>
            </w:r>
          </w:p>
        </w:tc>
        <w:tc>
          <w:tcPr>
            <w:tcW w:w="602" w:type="pct"/>
            <w:tcBorders>
              <w:top w:val="nil"/>
              <w:left w:val="nil"/>
              <w:bottom w:val="nil"/>
              <w:right w:val="nil"/>
            </w:tcBorders>
            <w:shd w:val="clear" w:color="auto" w:fill="D9D9D9" w:themeFill="background1" w:themeFillShade="D9"/>
            <w:noWrap/>
            <w:vAlign w:val="center"/>
          </w:tcPr>
          <w:p w14:paraId="1FEE68E9" w14:textId="0FEC3FC8" w:rsidR="00EC5E6F" w:rsidRPr="000939E3" w:rsidRDefault="00EC5E6F" w:rsidP="00EC5E6F">
            <w:pPr>
              <w:keepNext/>
              <w:spacing w:after="0" w:line="240" w:lineRule="auto"/>
              <w:jc w:val="right"/>
              <w:rPr>
                <w:rFonts w:eastAsia="Times New Roman" w:cs="Times New Roman"/>
                <w:lang w:eastAsia="sk-SK"/>
              </w:rPr>
            </w:pPr>
            <w:r w:rsidRPr="000939E3">
              <w:rPr>
                <w:color w:val="000000"/>
              </w:rPr>
              <w:t>2</w:t>
            </w:r>
          </w:p>
        </w:tc>
        <w:tc>
          <w:tcPr>
            <w:tcW w:w="558" w:type="pct"/>
            <w:tcBorders>
              <w:top w:val="nil"/>
              <w:left w:val="single" w:sz="4" w:space="0" w:color="auto"/>
              <w:bottom w:val="nil"/>
              <w:right w:val="nil"/>
            </w:tcBorders>
            <w:shd w:val="clear" w:color="auto" w:fill="D9D9D9" w:themeFill="background1" w:themeFillShade="D9"/>
            <w:noWrap/>
          </w:tcPr>
          <w:p w14:paraId="183B8571" w14:textId="7557901A" w:rsidR="00EC5E6F" w:rsidRPr="000939E3" w:rsidRDefault="00EC5E6F" w:rsidP="00EC5E6F">
            <w:pPr>
              <w:keepNext/>
              <w:spacing w:after="0" w:line="240" w:lineRule="auto"/>
              <w:jc w:val="right"/>
              <w:rPr>
                <w:rFonts w:eastAsia="Times New Roman" w:cs="Times New Roman"/>
                <w:b/>
                <w:lang w:eastAsia="sk-SK"/>
              </w:rPr>
            </w:pPr>
            <w:r w:rsidRPr="000939E3">
              <w:rPr>
                <w:b/>
              </w:rPr>
              <w:t>27%</w:t>
            </w:r>
          </w:p>
        </w:tc>
        <w:tc>
          <w:tcPr>
            <w:tcW w:w="559" w:type="pct"/>
            <w:tcBorders>
              <w:top w:val="nil"/>
              <w:left w:val="nil"/>
              <w:bottom w:val="nil"/>
            </w:tcBorders>
            <w:shd w:val="clear" w:color="auto" w:fill="D9D9D9" w:themeFill="background1" w:themeFillShade="D9"/>
            <w:noWrap/>
          </w:tcPr>
          <w:p w14:paraId="3E7B0EE0" w14:textId="3B403B58" w:rsidR="00EC5E6F" w:rsidRPr="000939E3" w:rsidRDefault="00EC5E6F" w:rsidP="00EC5E6F">
            <w:pPr>
              <w:keepNext/>
              <w:spacing w:after="0" w:line="240" w:lineRule="auto"/>
              <w:jc w:val="right"/>
              <w:rPr>
                <w:rFonts w:eastAsia="Times New Roman" w:cs="Times New Roman"/>
                <w:lang w:eastAsia="sk-SK"/>
              </w:rPr>
            </w:pPr>
            <w:r w:rsidRPr="000939E3">
              <w:t>0%</w:t>
            </w:r>
          </w:p>
        </w:tc>
      </w:tr>
      <w:tr w:rsidR="00EC5E6F" w:rsidRPr="000939E3" w14:paraId="53065D69" w14:textId="77777777" w:rsidTr="00603DC5">
        <w:trPr>
          <w:trHeight w:val="232"/>
        </w:trPr>
        <w:tc>
          <w:tcPr>
            <w:tcW w:w="2735" w:type="pct"/>
            <w:tcBorders>
              <w:top w:val="nil"/>
              <w:left w:val="nil"/>
              <w:bottom w:val="nil"/>
              <w:right w:val="single" w:sz="4" w:space="0" w:color="auto"/>
            </w:tcBorders>
            <w:shd w:val="clear" w:color="auto" w:fill="D9D9D9" w:themeFill="background1" w:themeFillShade="D9"/>
            <w:noWrap/>
            <w:tcMar>
              <w:left w:w="0" w:type="dxa"/>
              <w:right w:w="0" w:type="dxa"/>
            </w:tcMar>
            <w:vAlign w:val="center"/>
          </w:tcPr>
          <w:p w14:paraId="394666F6" w14:textId="77777777" w:rsidR="00EC5E6F" w:rsidRPr="000939E3" w:rsidRDefault="00EC5E6F" w:rsidP="00EC5E6F">
            <w:pPr>
              <w:keepNext/>
              <w:spacing w:after="0" w:line="240" w:lineRule="auto"/>
              <w:rPr>
                <w:rFonts w:eastAsia="Times New Roman" w:cs="Times New Roman"/>
                <w:color w:val="000000"/>
                <w:sz w:val="20"/>
                <w:lang w:eastAsia="sk-SK"/>
              </w:rPr>
            </w:pPr>
            <w:r w:rsidRPr="000939E3">
              <w:rPr>
                <w:color w:val="000000"/>
              </w:rPr>
              <w:t>Zdravotníctvo a sociálna pomoc</w:t>
            </w:r>
          </w:p>
        </w:tc>
        <w:tc>
          <w:tcPr>
            <w:tcW w:w="547" w:type="pct"/>
            <w:tcBorders>
              <w:top w:val="nil"/>
              <w:left w:val="nil"/>
              <w:bottom w:val="nil"/>
              <w:right w:val="nil"/>
            </w:tcBorders>
            <w:shd w:val="clear" w:color="auto" w:fill="D9D9D9" w:themeFill="background1" w:themeFillShade="D9"/>
            <w:noWrap/>
            <w:vAlign w:val="center"/>
          </w:tcPr>
          <w:p w14:paraId="5CE8CF3F" w14:textId="449E89C5" w:rsidR="00EC5E6F" w:rsidRPr="000939E3" w:rsidRDefault="00EC5E6F" w:rsidP="00EC5E6F">
            <w:pPr>
              <w:keepNext/>
              <w:spacing w:after="0" w:line="240" w:lineRule="auto"/>
              <w:jc w:val="right"/>
              <w:rPr>
                <w:rFonts w:eastAsia="Times New Roman" w:cs="Times New Roman"/>
                <w:lang w:eastAsia="sk-SK"/>
              </w:rPr>
            </w:pPr>
            <w:r w:rsidRPr="000939E3">
              <w:rPr>
                <w:color w:val="000000"/>
              </w:rPr>
              <w:t>69</w:t>
            </w:r>
          </w:p>
        </w:tc>
        <w:tc>
          <w:tcPr>
            <w:tcW w:w="602" w:type="pct"/>
            <w:tcBorders>
              <w:top w:val="nil"/>
              <w:left w:val="nil"/>
              <w:bottom w:val="nil"/>
              <w:right w:val="nil"/>
            </w:tcBorders>
            <w:shd w:val="clear" w:color="auto" w:fill="D9D9D9" w:themeFill="background1" w:themeFillShade="D9"/>
            <w:noWrap/>
            <w:vAlign w:val="center"/>
          </w:tcPr>
          <w:p w14:paraId="6A638298" w14:textId="68222577" w:rsidR="00EC5E6F" w:rsidRPr="000939E3" w:rsidRDefault="00EC5E6F" w:rsidP="00EC5E6F">
            <w:pPr>
              <w:keepNext/>
              <w:spacing w:after="0" w:line="240" w:lineRule="auto"/>
              <w:jc w:val="right"/>
              <w:rPr>
                <w:rFonts w:eastAsia="Times New Roman" w:cs="Times New Roman"/>
                <w:lang w:eastAsia="sk-SK"/>
              </w:rPr>
            </w:pPr>
            <w:r w:rsidRPr="000939E3">
              <w:rPr>
                <w:color w:val="000000"/>
              </w:rPr>
              <w:t>61</w:t>
            </w:r>
          </w:p>
        </w:tc>
        <w:tc>
          <w:tcPr>
            <w:tcW w:w="558" w:type="pct"/>
            <w:tcBorders>
              <w:top w:val="nil"/>
              <w:left w:val="single" w:sz="4" w:space="0" w:color="auto"/>
              <w:bottom w:val="nil"/>
              <w:right w:val="nil"/>
            </w:tcBorders>
            <w:shd w:val="clear" w:color="auto" w:fill="D9D9D9" w:themeFill="background1" w:themeFillShade="D9"/>
            <w:noWrap/>
          </w:tcPr>
          <w:p w14:paraId="0695F1D7" w14:textId="01043BF2" w:rsidR="00EC5E6F" w:rsidRPr="000939E3" w:rsidRDefault="00EC5E6F" w:rsidP="00EC5E6F">
            <w:pPr>
              <w:keepNext/>
              <w:spacing w:after="0" w:line="240" w:lineRule="auto"/>
              <w:jc w:val="right"/>
              <w:rPr>
                <w:rFonts w:eastAsia="Times New Roman" w:cs="Times New Roman"/>
                <w:b/>
                <w:lang w:eastAsia="sk-SK"/>
              </w:rPr>
            </w:pPr>
            <w:r w:rsidRPr="000939E3">
              <w:rPr>
                <w:b/>
              </w:rPr>
              <w:t>14%</w:t>
            </w:r>
          </w:p>
        </w:tc>
        <w:tc>
          <w:tcPr>
            <w:tcW w:w="559" w:type="pct"/>
            <w:tcBorders>
              <w:top w:val="nil"/>
              <w:left w:val="nil"/>
              <w:bottom w:val="nil"/>
            </w:tcBorders>
            <w:shd w:val="clear" w:color="auto" w:fill="D9D9D9" w:themeFill="background1" w:themeFillShade="D9"/>
            <w:noWrap/>
          </w:tcPr>
          <w:p w14:paraId="416B78CE" w14:textId="1A7C741B" w:rsidR="00EC5E6F" w:rsidRPr="000939E3" w:rsidRDefault="00EC5E6F" w:rsidP="00EC5E6F">
            <w:pPr>
              <w:keepNext/>
              <w:spacing w:after="0" w:line="240" w:lineRule="auto"/>
              <w:jc w:val="right"/>
              <w:rPr>
                <w:rFonts w:eastAsia="Times New Roman" w:cs="Times New Roman"/>
                <w:b/>
                <w:lang w:eastAsia="sk-SK"/>
              </w:rPr>
            </w:pPr>
            <w:r w:rsidRPr="000939E3">
              <w:t>4%</w:t>
            </w:r>
          </w:p>
        </w:tc>
      </w:tr>
      <w:tr w:rsidR="00EC5E6F" w:rsidRPr="000939E3" w14:paraId="4732E754" w14:textId="77777777" w:rsidTr="00603DC5">
        <w:trPr>
          <w:trHeight w:val="232"/>
        </w:trPr>
        <w:tc>
          <w:tcPr>
            <w:tcW w:w="2735" w:type="pct"/>
            <w:tcBorders>
              <w:top w:val="nil"/>
              <w:left w:val="nil"/>
              <w:bottom w:val="nil"/>
              <w:right w:val="single" w:sz="4" w:space="0" w:color="auto"/>
            </w:tcBorders>
            <w:shd w:val="clear" w:color="auto" w:fill="auto"/>
            <w:noWrap/>
            <w:tcMar>
              <w:left w:w="0" w:type="dxa"/>
              <w:right w:w="0" w:type="dxa"/>
            </w:tcMar>
            <w:vAlign w:val="center"/>
          </w:tcPr>
          <w:p w14:paraId="363A7889" w14:textId="77777777" w:rsidR="00EC5E6F" w:rsidRPr="000939E3" w:rsidRDefault="00EC5E6F" w:rsidP="00EC5E6F">
            <w:pPr>
              <w:keepNext/>
              <w:spacing w:after="0" w:line="240" w:lineRule="auto"/>
              <w:rPr>
                <w:rFonts w:eastAsia="Times New Roman" w:cs="Times New Roman"/>
                <w:color w:val="000000"/>
                <w:sz w:val="20"/>
                <w:lang w:eastAsia="sk-SK"/>
              </w:rPr>
            </w:pPr>
            <w:r w:rsidRPr="000939E3">
              <w:rPr>
                <w:color w:val="000000"/>
              </w:rPr>
              <w:t>Doprava a skladovanie</w:t>
            </w:r>
          </w:p>
        </w:tc>
        <w:tc>
          <w:tcPr>
            <w:tcW w:w="547" w:type="pct"/>
            <w:tcBorders>
              <w:top w:val="nil"/>
              <w:left w:val="nil"/>
              <w:bottom w:val="nil"/>
              <w:right w:val="nil"/>
            </w:tcBorders>
            <w:shd w:val="clear" w:color="auto" w:fill="auto"/>
            <w:noWrap/>
            <w:vAlign w:val="center"/>
          </w:tcPr>
          <w:p w14:paraId="7C2EEF1E" w14:textId="260A82E2" w:rsidR="00EC5E6F" w:rsidRPr="000939E3" w:rsidRDefault="00EC5E6F" w:rsidP="00EC5E6F">
            <w:pPr>
              <w:keepNext/>
              <w:spacing w:after="0" w:line="240" w:lineRule="auto"/>
              <w:jc w:val="right"/>
              <w:rPr>
                <w:rFonts w:eastAsia="Times New Roman" w:cs="Times New Roman"/>
                <w:lang w:eastAsia="sk-SK"/>
              </w:rPr>
            </w:pPr>
            <w:r w:rsidRPr="000939E3">
              <w:rPr>
                <w:color w:val="000000"/>
              </w:rPr>
              <w:t>54</w:t>
            </w:r>
          </w:p>
        </w:tc>
        <w:tc>
          <w:tcPr>
            <w:tcW w:w="602" w:type="pct"/>
            <w:tcBorders>
              <w:top w:val="nil"/>
              <w:left w:val="nil"/>
              <w:bottom w:val="nil"/>
              <w:right w:val="nil"/>
            </w:tcBorders>
            <w:shd w:val="clear" w:color="auto" w:fill="auto"/>
            <w:noWrap/>
            <w:vAlign w:val="center"/>
          </w:tcPr>
          <w:p w14:paraId="2F983973" w14:textId="07C89516" w:rsidR="00EC5E6F" w:rsidRPr="000939E3" w:rsidRDefault="00EC5E6F" w:rsidP="00EC5E6F">
            <w:pPr>
              <w:keepNext/>
              <w:spacing w:after="0" w:line="240" w:lineRule="auto"/>
              <w:jc w:val="right"/>
              <w:rPr>
                <w:rFonts w:eastAsia="Times New Roman" w:cs="Times New Roman"/>
                <w:lang w:eastAsia="sk-SK"/>
              </w:rPr>
            </w:pPr>
            <w:r w:rsidRPr="000939E3">
              <w:rPr>
                <w:color w:val="000000"/>
              </w:rPr>
              <w:t>78</w:t>
            </w:r>
          </w:p>
        </w:tc>
        <w:tc>
          <w:tcPr>
            <w:tcW w:w="558" w:type="pct"/>
            <w:tcBorders>
              <w:top w:val="nil"/>
              <w:left w:val="single" w:sz="4" w:space="0" w:color="auto"/>
              <w:bottom w:val="nil"/>
              <w:right w:val="nil"/>
            </w:tcBorders>
            <w:shd w:val="clear" w:color="auto" w:fill="auto"/>
            <w:noWrap/>
          </w:tcPr>
          <w:p w14:paraId="7DE0CBD0" w14:textId="350C1AA0" w:rsidR="00EC5E6F" w:rsidRPr="000939E3" w:rsidRDefault="00EC5E6F" w:rsidP="00EC5E6F">
            <w:pPr>
              <w:keepNext/>
              <w:spacing w:after="0" w:line="240" w:lineRule="auto"/>
              <w:jc w:val="right"/>
              <w:rPr>
                <w:rFonts w:eastAsia="Times New Roman" w:cs="Times New Roman"/>
                <w:lang w:eastAsia="sk-SK"/>
              </w:rPr>
            </w:pPr>
            <w:r w:rsidRPr="000939E3">
              <w:t>11%</w:t>
            </w:r>
          </w:p>
        </w:tc>
        <w:tc>
          <w:tcPr>
            <w:tcW w:w="559" w:type="pct"/>
            <w:tcBorders>
              <w:top w:val="nil"/>
              <w:left w:val="nil"/>
              <w:bottom w:val="nil"/>
            </w:tcBorders>
            <w:shd w:val="clear" w:color="auto" w:fill="auto"/>
            <w:noWrap/>
          </w:tcPr>
          <w:p w14:paraId="33F7DF01" w14:textId="2C66375B" w:rsidR="00EC5E6F" w:rsidRPr="000939E3" w:rsidRDefault="00EC5E6F" w:rsidP="00EC5E6F">
            <w:pPr>
              <w:keepNext/>
              <w:spacing w:after="0" w:line="240" w:lineRule="auto"/>
              <w:jc w:val="right"/>
              <w:rPr>
                <w:rFonts w:eastAsia="Times New Roman" w:cs="Times New Roman"/>
                <w:lang w:eastAsia="sk-SK"/>
              </w:rPr>
            </w:pPr>
            <w:r w:rsidRPr="000939E3">
              <w:t>6%</w:t>
            </w:r>
          </w:p>
        </w:tc>
      </w:tr>
      <w:tr w:rsidR="00EC5E6F" w:rsidRPr="000939E3" w14:paraId="52455EDD" w14:textId="77777777" w:rsidTr="00603DC5">
        <w:trPr>
          <w:trHeight w:val="232"/>
        </w:trPr>
        <w:tc>
          <w:tcPr>
            <w:tcW w:w="2735" w:type="pct"/>
            <w:tcBorders>
              <w:top w:val="nil"/>
              <w:left w:val="nil"/>
              <w:bottom w:val="nil"/>
              <w:right w:val="single" w:sz="4" w:space="0" w:color="auto"/>
            </w:tcBorders>
            <w:shd w:val="clear" w:color="auto" w:fill="auto"/>
            <w:noWrap/>
            <w:tcMar>
              <w:left w:w="0" w:type="dxa"/>
              <w:right w:w="0" w:type="dxa"/>
            </w:tcMar>
            <w:vAlign w:val="center"/>
          </w:tcPr>
          <w:p w14:paraId="06E163AD" w14:textId="77777777" w:rsidR="00EC5E6F" w:rsidRPr="000939E3" w:rsidRDefault="00EC5E6F" w:rsidP="00EC5E6F">
            <w:pPr>
              <w:keepNext/>
              <w:spacing w:after="0" w:line="240" w:lineRule="auto"/>
              <w:rPr>
                <w:color w:val="000000"/>
              </w:rPr>
            </w:pPr>
            <w:r w:rsidRPr="000939E3">
              <w:rPr>
                <w:color w:val="000000"/>
              </w:rPr>
              <w:t xml:space="preserve">Umenie, zábava a rekreácia </w:t>
            </w:r>
          </w:p>
        </w:tc>
        <w:tc>
          <w:tcPr>
            <w:tcW w:w="547" w:type="pct"/>
            <w:tcBorders>
              <w:top w:val="nil"/>
              <w:left w:val="nil"/>
              <w:bottom w:val="nil"/>
              <w:right w:val="nil"/>
            </w:tcBorders>
            <w:shd w:val="clear" w:color="auto" w:fill="auto"/>
            <w:noWrap/>
            <w:vAlign w:val="center"/>
          </w:tcPr>
          <w:p w14:paraId="0FB99561" w14:textId="3A6F2E21" w:rsidR="00EC5E6F" w:rsidRPr="000939E3" w:rsidRDefault="00EC5E6F" w:rsidP="00EC5E6F">
            <w:pPr>
              <w:keepNext/>
              <w:spacing w:after="0" w:line="240" w:lineRule="auto"/>
              <w:jc w:val="right"/>
            </w:pPr>
            <w:r w:rsidRPr="000939E3">
              <w:rPr>
                <w:color w:val="000000"/>
              </w:rPr>
              <w:t>17</w:t>
            </w:r>
          </w:p>
        </w:tc>
        <w:tc>
          <w:tcPr>
            <w:tcW w:w="602" w:type="pct"/>
            <w:tcBorders>
              <w:top w:val="nil"/>
              <w:left w:val="nil"/>
              <w:bottom w:val="nil"/>
              <w:right w:val="nil"/>
            </w:tcBorders>
            <w:shd w:val="clear" w:color="auto" w:fill="auto"/>
            <w:noWrap/>
            <w:vAlign w:val="center"/>
          </w:tcPr>
          <w:p w14:paraId="5DA4602F" w14:textId="5BD5C165" w:rsidR="00EC5E6F" w:rsidRPr="000939E3" w:rsidRDefault="00EC5E6F" w:rsidP="00EC5E6F">
            <w:pPr>
              <w:keepNext/>
              <w:spacing w:after="0" w:line="240" w:lineRule="auto"/>
              <w:jc w:val="right"/>
            </w:pPr>
            <w:r w:rsidRPr="000939E3">
              <w:rPr>
                <w:color w:val="000000"/>
              </w:rPr>
              <w:t>15</w:t>
            </w:r>
          </w:p>
        </w:tc>
        <w:tc>
          <w:tcPr>
            <w:tcW w:w="558" w:type="pct"/>
            <w:tcBorders>
              <w:top w:val="nil"/>
              <w:left w:val="single" w:sz="4" w:space="0" w:color="auto"/>
              <w:bottom w:val="nil"/>
              <w:right w:val="nil"/>
            </w:tcBorders>
            <w:shd w:val="clear" w:color="auto" w:fill="auto"/>
            <w:noWrap/>
          </w:tcPr>
          <w:p w14:paraId="060AE2E3" w14:textId="326927EB" w:rsidR="00EC5E6F" w:rsidRPr="000939E3" w:rsidRDefault="00EC5E6F" w:rsidP="00EC5E6F">
            <w:pPr>
              <w:keepNext/>
              <w:spacing w:after="0" w:line="240" w:lineRule="auto"/>
              <w:jc w:val="right"/>
            </w:pPr>
            <w:r w:rsidRPr="000939E3">
              <w:t>4%</w:t>
            </w:r>
          </w:p>
        </w:tc>
        <w:tc>
          <w:tcPr>
            <w:tcW w:w="559" w:type="pct"/>
            <w:tcBorders>
              <w:top w:val="nil"/>
              <w:left w:val="nil"/>
              <w:bottom w:val="nil"/>
            </w:tcBorders>
            <w:shd w:val="clear" w:color="auto" w:fill="auto"/>
            <w:noWrap/>
          </w:tcPr>
          <w:p w14:paraId="6AAEE2F2" w14:textId="072D2F40" w:rsidR="00EC5E6F" w:rsidRPr="000939E3" w:rsidRDefault="00EC5E6F" w:rsidP="00EC5E6F">
            <w:pPr>
              <w:keepNext/>
              <w:spacing w:after="0" w:line="240" w:lineRule="auto"/>
              <w:jc w:val="right"/>
            </w:pPr>
            <w:r w:rsidRPr="000939E3">
              <w:t>1%</w:t>
            </w:r>
          </w:p>
        </w:tc>
      </w:tr>
      <w:tr w:rsidR="00EC5E6F" w:rsidRPr="000939E3" w14:paraId="2D771AB9" w14:textId="77777777" w:rsidTr="00603DC5">
        <w:trPr>
          <w:trHeight w:val="232"/>
        </w:trPr>
        <w:tc>
          <w:tcPr>
            <w:tcW w:w="2735" w:type="pct"/>
            <w:tcBorders>
              <w:top w:val="nil"/>
              <w:left w:val="nil"/>
              <w:bottom w:val="nil"/>
              <w:right w:val="single" w:sz="4" w:space="0" w:color="auto"/>
            </w:tcBorders>
            <w:shd w:val="clear" w:color="auto" w:fill="auto"/>
            <w:noWrap/>
            <w:tcMar>
              <w:left w:w="0" w:type="dxa"/>
              <w:right w:w="0" w:type="dxa"/>
            </w:tcMar>
            <w:vAlign w:val="center"/>
          </w:tcPr>
          <w:p w14:paraId="4A553547" w14:textId="77777777" w:rsidR="00EC5E6F" w:rsidRPr="000939E3" w:rsidRDefault="00EC5E6F" w:rsidP="00EC5E6F">
            <w:pPr>
              <w:keepNext/>
              <w:spacing w:after="0" w:line="240" w:lineRule="auto"/>
              <w:rPr>
                <w:color w:val="000000"/>
              </w:rPr>
            </w:pPr>
            <w:r w:rsidRPr="000939E3">
              <w:rPr>
                <w:color w:val="000000"/>
              </w:rPr>
              <w:t>Odborné, vedecké a technické činnosti</w:t>
            </w:r>
          </w:p>
        </w:tc>
        <w:tc>
          <w:tcPr>
            <w:tcW w:w="547" w:type="pct"/>
            <w:tcBorders>
              <w:top w:val="nil"/>
              <w:left w:val="nil"/>
              <w:bottom w:val="nil"/>
              <w:right w:val="nil"/>
            </w:tcBorders>
            <w:shd w:val="clear" w:color="auto" w:fill="auto"/>
            <w:noWrap/>
            <w:vAlign w:val="center"/>
          </w:tcPr>
          <w:p w14:paraId="41E9BB56" w14:textId="52812230" w:rsidR="00EC5E6F" w:rsidRPr="000939E3" w:rsidRDefault="00EC5E6F" w:rsidP="00EC5E6F">
            <w:pPr>
              <w:keepNext/>
              <w:spacing w:after="0" w:line="240" w:lineRule="auto"/>
              <w:jc w:val="right"/>
            </w:pPr>
            <w:r w:rsidRPr="000939E3">
              <w:rPr>
                <w:color w:val="000000"/>
              </w:rPr>
              <w:t>10</w:t>
            </w:r>
          </w:p>
        </w:tc>
        <w:tc>
          <w:tcPr>
            <w:tcW w:w="602" w:type="pct"/>
            <w:tcBorders>
              <w:top w:val="nil"/>
              <w:left w:val="nil"/>
              <w:bottom w:val="nil"/>
              <w:right w:val="nil"/>
            </w:tcBorders>
            <w:shd w:val="clear" w:color="auto" w:fill="auto"/>
            <w:noWrap/>
            <w:vAlign w:val="center"/>
          </w:tcPr>
          <w:p w14:paraId="3EC4A437" w14:textId="668AA5F2" w:rsidR="00EC5E6F" w:rsidRPr="000939E3" w:rsidRDefault="00EC5E6F" w:rsidP="00EC5E6F">
            <w:pPr>
              <w:keepNext/>
              <w:spacing w:after="0" w:line="240" w:lineRule="auto"/>
              <w:jc w:val="right"/>
            </w:pPr>
            <w:r w:rsidRPr="000939E3">
              <w:rPr>
                <w:color w:val="000000"/>
              </w:rPr>
              <w:t>75</w:t>
            </w:r>
          </w:p>
        </w:tc>
        <w:tc>
          <w:tcPr>
            <w:tcW w:w="558" w:type="pct"/>
            <w:tcBorders>
              <w:top w:val="nil"/>
              <w:left w:val="single" w:sz="4" w:space="0" w:color="auto"/>
              <w:bottom w:val="nil"/>
              <w:right w:val="nil"/>
            </w:tcBorders>
            <w:shd w:val="clear" w:color="auto" w:fill="auto"/>
            <w:noWrap/>
          </w:tcPr>
          <w:p w14:paraId="18DCA0E2" w14:textId="700D242E" w:rsidR="00EC5E6F" w:rsidRPr="000939E3" w:rsidRDefault="00EC5E6F" w:rsidP="00EC5E6F">
            <w:pPr>
              <w:keepNext/>
              <w:spacing w:after="0" w:line="240" w:lineRule="auto"/>
              <w:jc w:val="right"/>
            </w:pPr>
            <w:r w:rsidRPr="000939E3">
              <w:t>2%</w:t>
            </w:r>
          </w:p>
        </w:tc>
        <w:tc>
          <w:tcPr>
            <w:tcW w:w="559" w:type="pct"/>
            <w:tcBorders>
              <w:top w:val="nil"/>
              <w:left w:val="nil"/>
              <w:bottom w:val="nil"/>
            </w:tcBorders>
            <w:shd w:val="clear" w:color="auto" w:fill="auto"/>
            <w:noWrap/>
          </w:tcPr>
          <w:p w14:paraId="6314BBD7" w14:textId="4331EECC" w:rsidR="00EC5E6F" w:rsidRPr="000939E3" w:rsidRDefault="00EC5E6F" w:rsidP="00EC5E6F">
            <w:pPr>
              <w:keepNext/>
              <w:spacing w:after="0" w:line="240" w:lineRule="auto"/>
              <w:jc w:val="right"/>
            </w:pPr>
            <w:r w:rsidRPr="000939E3">
              <w:t>5%</w:t>
            </w:r>
          </w:p>
        </w:tc>
      </w:tr>
      <w:tr w:rsidR="00EC5E6F" w:rsidRPr="000939E3" w14:paraId="088AC13A" w14:textId="77777777" w:rsidTr="00603DC5">
        <w:trPr>
          <w:trHeight w:val="232"/>
        </w:trPr>
        <w:tc>
          <w:tcPr>
            <w:tcW w:w="2735" w:type="pct"/>
            <w:tcBorders>
              <w:top w:val="nil"/>
              <w:left w:val="nil"/>
              <w:bottom w:val="nil"/>
              <w:right w:val="single" w:sz="4" w:space="0" w:color="auto"/>
            </w:tcBorders>
            <w:shd w:val="clear" w:color="auto" w:fill="auto"/>
            <w:noWrap/>
            <w:tcMar>
              <w:left w:w="0" w:type="dxa"/>
              <w:right w:w="0" w:type="dxa"/>
            </w:tcMar>
            <w:vAlign w:val="center"/>
          </w:tcPr>
          <w:p w14:paraId="4D48E919" w14:textId="77777777" w:rsidR="00EC5E6F" w:rsidRPr="000939E3" w:rsidRDefault="00EC5E6F" w:rsidP="00EC5E6F">
            <w:pPr>
              <w:keepNext/>
              <w:spacing w:after="0" w:line="240" w:lineRule="auto"/>
              <w:rPr>
                <w:color w:val="000000"/>
              </w:rPr>
            </w:pPr>
            <w:r w:rsidRPr="000939E3">
              <w:rPr>
                <w:color w:val="000000"/>
              </w:rPr>
              <w:t>Administratívne a podporné služby</w:t>
            </w:r>
          </w:p>
        </w:tc>
        <w:tc>
          <w:tcPr>
            <w:tcW w:w="547" w:type="pct"/>
            <w:tcBorders>
              <w:top w:val="nil"/>
              <w:left w:val="nil"/>
              <w:bottom w:val="nil"/>
              <w:right w:val="nil"/>
            </w:tcBorders>
            <w:shd w:val="clear" w:color="auto" w:fill="auto"/>
            <w:noWrap/>
            <w:vAlign w:val="center"/>
          </w:tcPr>
          <w:p w14:paraId="01233F46" w14:textId="1E49E75D" w:rsidR="00EC5E6F" w:rsidRPr="000939E3" w:rsidRDefault="00EC5E6F" w:rsidP="00EC5E6F">
            <w:pPr>
              <w:keepNext/>
              <w:spacing w:after="0" w:line="240" w:lineRule="auto"/>
              <w:jc w:val="right"/>
            </w:pPr>
            <w:r w:rsidRPr="000939E3">
              <w:rPr>
                <w:color w:val="000000"/>
              </w:rPr>
              <w:t>5</w:t>
            </w:r>
          </w:p>
        </w:tc>
        <w:tc>
          <w:tcPr>
            <w:tcW w:w="602" w:type="pct"/>
            <w:tcBorders>
              <w:top w:val="nil"/>
              <w:left w:val="nil"/>
              <w:bottom w:val="nil"/>
              <w:right w:val="nil"/>
            </w:tcBorders>
            <w:shd w:val="clear" w:color="auto" w:fill="auto"/>
            <w:noWrap/>
            <w:vAlign w:val="center"/>
          </w:tcPr>
          <w:p w14:paraId="403F1614" w14:textId="1ABAD8AB" w:rsidR="00EC5E6F" w:rsidRPr="000939E3" w:rsidRDefault="00EC5E6F" w:rsidP="00EC5E6F">
            <w:pPr>
              <w:keepNext/>
              <w:spacing w:after="0" w:line="240" w:lineRule="auto"/>
              <w:jc w:val="right"/>
            </w:pPr>
            <w:r w:rsidRPr="000939E3">
              <w:rPr>
                <w:color w:val="000000"/>
              </w:rPr>
              <w:t>98</w:t>
            </w:r>
          </w:p>
        </w:tc>
        <w:tc>
          <w:tcPr>
            <w:tcW w:w="558" w:type="pct"/>
            <w:tcBorders>
              <w:top w:val="nil"/>
              <w:left w:val="single" w:sz="4" w:space="0" w:color="auto"/>
              <w:bottom w:val="nil"/>
              <w:right w:val="nil"/>
            </w:tcBorders>
            <w:shd w:val="clear" w:color="auto" w:fill="auto"/>
            <w:noWrap/>
          </w:tcPr>
          <w:p w14:paraId="4F3ED934" w14:textId="0D16C90D" w:rsidR="00EC5E6F" w:rsidRPr="000939E3" w:rsidRDefault="00EC5E6F" w:rsidP="00EC5E6F">
            <w:pPr>
              <w:keepNext/>
              <w:spacing w:after="0" w:line="240" w:lineRule="auto"/>
              <w:jc w:val="right"/>
            </w:pPr>
            <w:r w:rsidRPr="000939E3">
              <w:t>1%</w:t>
            </w:r>
          </w:p>
        </w:tc>
        <w:tc>
          <w:tcPr>
            <w:tcW w:w="559" w:type="pct"/>
            <w:tcBorders>
              <w:top w:val="nil"/>
              <w:left w:val="nil"/>
              <w:bottom w:val="nil"/>
            </w:tcBorders>
            <w:shd w:val="clear" w:color="auto" w:fill="auto"/>
            <w:noWrap/>
          </w:tcPr>
          <w:p w14:paraId="391F8053" w14:textId="3E2BC2A7" w:rsidR="00EC5E6F" w:rsidRPr="000939E3" w:rsidRDefault="00EC5E6F" w:rsidP="00EC5E6F">
            <w:pPr>
              <w:keepNext/>
              <w:spacing w:after="0" w:line="240" w:lineRule="auto"/>
              <w:jc w:val="right"/>
            </w:pPr>
            <w:r w:rsidRPr="000939E3">
              <w:t>7%</w:t>
            </w:r>
          </w:p>
        </w:tc>
      </w:tr>
      <w:tr w:rsidR="00EC5E6F" w:rsidRPr="000939E3" w14:paraId="5DF9500D" w14:textId="77777777" w:rsidTr="00603DC5">
        <w:trPr>
          <w:trHeight w:val="232"/>
        </w:trPr>
        <w:tc>
          <w:tcPr>
            <w:tcW w:w="2735" w:type="pct"/>
            <w:tcBorders>
              <w:top w:val="nil"/>
              <w:left w:val="nil"/>
              <w:bottom w:val="nil"/>
              <w:right w:val="single" w:sz="4" w:space="0" w:color="auto"/>
            </w:tcBorders>
            <w:shd w:val="clear" w:color="auto" w:fill="D9D9D9" w:themeFill="background1" w:themeFillShade="D9"/>
            <w:noWrap/>
            <w:tcMar>
              <w:left w:w="0" w:type="dxa"/>
              <w:right w:w="0" w:type="dxa"/>
            </w:tcMar>
            <w:vAlign w:val="center"/>
          </w:tcPr>
          <w:p w14:paraId="4E239613" w14:textId="77777777" w:rsidR="00EC5E6F" w:rsidRPr="000939E3" w:rsidRDefault="00EC5E6F" w:rsidP="00EC5E6F">
            <w:pPr>
              <w:keepNext/>
              <w:spacing w:after="0" w:line="240" w:lineRule="auto"/>
              <w:rPr>
                <w:rFonts w:eastAsia="Times New Roman" w:cs="Times New Roman"/>
                <w:color w:val="000000"/>
                <w:sz w:val="20"/>
                <w:lang w:eastAsia="sk-SK"/>
              </w:rPr>
            </w:pPr>
            <w:r w:rsidRPr="000939E3">
              <w:rPr>
                <w:color w:val="000000"/>
              </w:rPr>
              <w:t xml:space="preserve">Priemyselná výroba </w:t>
            </w:r>
          </w:p>
        </w:tc>
        <w:tc>
          <w:tcPr>
            <w:tcW w:w="547" w:type="pct"/>
            <w:tcBorders>
              <w:top w:val="nil"/>
              <w:left w:val="nil"/>
              <w:bottom w:val="nil"/>
              <w:right w:val="nil"/>
            </w:tcBorders>
            <w:shd w:val="clear" w:color="auto" w:fill="D9D9D9" w:themeFill="background1" w:themeFillShade="D9"/>
            <w:noWrap/>
            <w:vAlign w:val="center"/>
          </w:tcPr>
          <w:p w14:paraId="46414619" w14:textId="71A716B1" w:rsidR="00EC5E6F" w:rsidRPr="000939E3" w:rsidRDefault="00EC5E6F" w:rsidP="00EC5E6F">
            <w:pPr>
              <w:keepNext/>
              <w:spacing w:after="0" w:line="240" w:lineRule="auto"/>
              <w:jc w:val="right"/>
              <w:rPr>
                <w:rFonts w:eastAsia="Times New Roman" w:cs="Times New Roman"/>
                <w:lang w:eastAsia="sk-SK"/>
              </w:rPr>
            </w:pPr>
            <w:r w:rsidRPr="000939E3">
              <w:rPr>
                <w:color w:val="000000"/>
              </w:rPr>
              <w:t>1</w:t>
            </w:r>
          </w:p>
        </w:tc>
        <w:tc>
          <w:tcPr>
            <w:tcW w:w="602" w:type="pct"/>
            <w:tcBorders>
              <w:top w:val="nil"/>
              <w:left w:val="nil"/>
              <w:bottom w:val="nil"/>
              <w:right w:val="nil"/>
            </w:tcBorders>
            <w:shd w:val="clear" w:color="auto" w:fill="D9D9D9" w:themeFill="background1" w:themeFillShade="D9"/>
            <w:noWrap/>
            <w:vAlign w:val="center"/>
          </w:tcPr>
          <w:p w14:paraId="512AF5D6" w14:textId="5663EAE7" w:rsidR="00EC5E6F" w:rsidRPr="000939E3" w:rsidRDefault="00EC5E6F" w:rsidP="00EC5E6F">
            <w:pPr>
              <w:keepNext/>
              <w:spacing w:after="0" w:line="240" w:lineRule="auto"/>
              <w:jc w:val="right"/>
              <w:rPr>
                <w:rFonts w:eastAsia="Times New Roman" w:cs="Times New Roman"/>
                <w:lang w:eastAsia="sk-SK"/>
              </w:rPr>
            </w:pPr>
            <w:r w:rsidRPr="000939E3">
              <w:rPr>
                <w:color w:val="000000"/>
              </w:rPr>
              <w:t>461</w:t>
            </w:r>
          </w:p>
        </w:tc>
        <w:tc>
          <w:tcPr>
            <w:tcW w:w="558" w:type="pct"/>
            <w:tcBorders>
              <w:top w:val="nil"/>
              <w:left w:val="single" w:sz="4" w:space="0" w:color="auto"/>
              <w:bottom w:val="nil"/>
              <w:right w:val="nil"/>
            </w:tcBorders>
            <w:shd w:val="clear" w:color="auto" w:fill="D9D9D9" w:themeFill="background1" w:themeFillShade="D9"/>
            <w:noWrap/>
          </w:tcPr>
          <w:p w14:paraId="7825FAE4" w14:textId="523794CE" w:rsidR="00EC5E6F" w:rsidRPr="000939E3" w:rsidRDefault="00EC5E6F" w:rsidP="00EC5E6F">
            <w:pPr>
              <w:keepNext/>
              <w:spacing w:after="0" w:line="240" w:lineRule="auto"/>
              <w:jc w:val="right"/>
              <w:rPr>
                <w:rFonts w:eastAsia="Times New Roman" w:cs="Times New Roman"/>
                <w:lang w:eastAsia="sk-SK"/>
              </w:rPr>
            </w:pPr>
            <w:r w:rsidRPr="000939E3">
              <w:t>0%</w:t>
            </w:r>
          </w:p>
        </w:tc>
        <w:tc>
          <w:tcPr>
            <w:tcW w:w="559" w:type="pct"/>
            <w:tcBorders>
              <w:top w:val="nil"/>
              <w:left w:val="nil"/>
              <w:bottom w:val="nil"/>
            </w:tcBorders>
            <w:shd w:val="clear" w:color="auto" w:fill="D9D9D9" w:themeFill="background1" w:themeFillShade="D9"/>
            <w:noWrap/>
          </w:tcPr>
          <w:p w14:paraId="6416E919" w14:textId="39548A76" w:rsidR="00EC5E6F" w:rsidRPr="000939E3" w:rsidRDefault="00EC5E6F" w:rsidP="00EC5E6F">
            <w:pPr>
              <w:keepNext/>
              <w:spacing w:after="0" w:line="240" w:lineRule="auto"/>
              <w:jc w:val="right"/>
              <w:rPr>
                <w:rFonts w:eastAsia="Times New Roman" w:cs="Times New Roman"/>
                <w:b/>
                <w:lang w:eastAsia="sk-SK"/>
              </w:rPr>
            </w:pPr>
            <w:r w:rsidRPr="000939E3">
              <w:rPr>
                <w:b/>
              </w:rPr>
              <w:t>33%</w:t>
            </w:r>
          </w:p>
        </w:tc>
      </w:tr>
      <w:tr w:rsidR="00EC5E6F" w:rsidRPr="000939E3" w14:paraId="70B379AB" w14:textId="77777777" w:rsidTr="00603DC5">
        <w:trPr>
          <w:trHeight w:val="232"/>
        </w:trPr>
        <w:tc>
          <w:tcPr>
            <w:tcW w:w="2735" w:type="pct"/>
            <w:tcBorders>
              <w:top w:val="nil"/>
              <w:left w:val="nil"/>
              <w:bottom w:val="nil"/>
              <w:right w:val="single" w:sz="4" w:space="0" w:color="auto"/>
            </w:tcBorders>
            <w:shd w:val="clear" w:color="auto" w:fill="D9D9D9" w:themeFill="background1" w:themeFillShade="D9"/>
            <w:noWrap/>
            <w:tcMar>
              <w:left w:w="0" w:type="dxa"/>
              <w:right w:w="0" w:type="dxa"/>
            </w:tcMar>
            <w:vAlign w:val="center"/>
          </w:tcPr>
          <w:p w14:paraId="4080F91C" w14:textId="77777777" w:rsidR="00EC5E6F" w:rsidRPr="000939E3" w:rsidRDefault="00EC5E6F" w:rsidP="00EC5E6F">
            <w:pPr>
              <w:keepNext/>
              <w:spacing w:after="0" w:line="240" w:lineRule="auto"/>
              <w:rPr>
                <w:color w:val="000000"/>
              </w:rPr>
            </w:pPr>
            <w:r w:rsidRPr="000939E3">
              <w:rPr>
                <w:color w:val="000000"/>
              </w:rPr>
              <w:t>Veľkoobchod a maloobchod; oprava motorových vozidiel</w:t>
            </w:r>
          </w:p>
        </w:tc>
        <w:tc>
          <w:tcPr>
            <w:tcW w:w="547" w:type="pct"/>
            <w:tcBorders>
              <w:top w:val="nil"/>
              <w:left w:val="nil"/>
              <w:bottom w:val="nil"/>
              <w:right w:val="nil"/>
            </w:tcBorders>
            <w:shd w:val="clear" w:color="auto" w:fill="D9D9D9" w:themeFill="background1" w:themeFillShade="D9"/>
            <w:noWrap/>
            <w:vAlign w:val="center"/>
          </w:tcPr>
          <w:p w14:paraId="2EE180B6" w14:textId="61E54596" w:rsidR="00EC5E6F" w:rsidRPr="000939E3" w:rsidRDefault="00EC5E6F" w:rsidP="00EC5E6F">
            <w:pPr>
              <w:keepNext/>
              <w:spacing w:after="0" w:line="240" w:lineRule="auto"/>
              <w:jc w:val="right"/>
            </w:pPr>
            <w:r w:rsidRPr="000939E3">
              <w:rPr>
                <w:color w:val="000000"/>
              </w:rPr>
              <w:t>1</w:t>
            </w:r>
          </w:p>
        </w:tc>
        <w:tc>
          <w:tcPr>
            <w:tcW w:w="602" w:type="pct"/>
            <w:tcBorders>
              <w:top w:val="nil"/>
              <w:left w:val="nil"/>
              <w:bottom w:val="nil"/>
              <w:right w:val="nil"/>
            </w:tcBorders>
            <w:shd w:val="clear" w:color="auto" w:fill="D9D9D9" w:themeFill="background1" w:themeFillShade="D9"/>
            <w:noWrap/>
            <w:vAlign w:val="center"/>
          </w:tcPr>
          <w:p w14:paraId="1C13A248" w14:textId="54355EB3" w:rsidR="00EC5E6F" w:rsidRPr="000939E3" w:rsidRDefault="00EC5E6F" w:rsidP="00EC5E6F">
            <w:pPr>
              <w:keepNext/>
              <w:spacing w:after="0" w:line="240" w:lineRule="auto"/>
              <w:jc w:val="right"/>
            </w:pPr>
            <w:r w:rsidRPr="000939E3">
              <w:rPr>
                <w:color w:val="000000"/>
              </w:rPr>
              <w:t>270</w:t>
            </w:r>
          </w:p>
        </w:tc>
        <w:tc>
          <w:tcPr>
            <w:tcW w:w="558" w:type="pct"/>
            <w:tcBorders>
              <w:top w:val="nil"/>
              <w:left w:val="single" w:sz="4" w:space="0" w:color="auto"/>
              <w:bottom w:val="nil"/>
              <w:right w:val="nil"/>
            </w:tcBorders>
            <w:shd w:val="clear" w:color="auto" w:fill="D9D9D9" w:themeFill="background1" w:themeFillShade="D9"/>
            <w:noWrap/>
          </w:tcPr>
          <w:p w14:paraId="384567AB" w14:textId="1E7EEDD8" w:rsidR="00EC5E6F" w:rsidRPr="000939E3" w:rsidRDefault="00EC5E6F" w:rsidP="00EC5E6F">
            <w:pPr>
              <w:keepNext/>
              <w:spacing w:after="0" w:line="240" w:lineRule="auto"/>
              <w:jc w:val="right"/>
            </w:pPr>
            <w:r w:rsidRPr="000939E3">
              <w:t>0%</w:t>
            </w:r>
          </w:p>
        </w:tc>
        <w:tc>
          <w:tcPr>
            <w:tcW w:w="559" w:type="pct"/>
            <w:tcBorders>
              <w:top w:val="nil"/>
              <w:left w:val="nil"/>
              <w:bottom w:val="nil"/>
            </w:tcBorders>
            <w:shd w:val="clear" w:color="auto" w:fill="D9D9D9" w:themeFill="background1" w:themeFillShade="D9"/>
            <w:noWrap/>
          </w:tcPr>
          <w:p w14:paraId="59A6D7D9" w14:textId="067731C4" w:rsidR="00EC5E6F" w:rsidRPr="000939E3" w:rsidRDefault="00EC5E6F" w:rsidP="00EC5E6F">
            <w:pPr>
              <w:keepNext/>
              <w:spacing w:after="0" w:line="240" w:lineRule="auto"/>
              <w:jc w:val="right"/>
              <w:rPr>
                <w:b/>
              </w:rPr>
            </w:pPr>
            <w:r w:rsidRPr="000939E3">
              <w:rPr>
                <w:b/>
              </w:rPr>
              <w:t>19%</w:t>
            </w:r>
          </w:p>
        </w:tc>
      </w:tr>
      <w:tr w:rsidR="00EC5E6F" w:rsidRPr="000939E3" w14:paraId="30602C90" w14:textId="77777777" w:rsidTr="00603DC5">
        <w:trPr>
          <w:trHeight w:val="232"/>
        </w:trPr>
        <w:tc>
          <w:tcPr>
            <w:tcW w:w="2735" w:type="pct"/>
            <w:tcBorders>
              <w:top w:val="nil"/>
              <w:left w:val="nil"/>
              <w:right w:val="single" w:sz="4" w:space="0" w:color="auto"/>
            </w:tcBorders>
            <w:shd w:val="clear" w:color="auto" w:fill="auto"/>
            <w:noWrap/>
            <w:tcMar>
              <w:left w:w="0" w:type="dxa"/>
              <w:right w:w="0" w:type="dxa"/>
            </w:tcMar>
            <w:vAlign w:val="center"/>
          </w:tcPr>
          <w:p w14:paraId="304F8D28" w14:textId="77777777" w:rsidR="00EC5E6F" w:rsidRPr="000939E3" w:rsidRDefault="00EC5E6F" w:rsidP="00EC5E6F">
            <w:pPr>
              <w:keepNext/>
              <w:spacing w:after="0" w:line="240" w:lineRule="auto"/>
              <w:rPr>
                <w:rFonts w:eastAsia="Times New Roman" w:cs="Times New Roman"/>
                <w:color w:val="000000"/>
                <w:sz w:val="20"/>
                <w:lang w:eastAsia="sk-SK"/>
              </w:rPr>
            </w:pPr>
            <w:r w:rsidRPr="000939E3">
              <w:rPr>
                <w:color w:val="000000"/>
              </w:rPr>
              <w:t>Stavebníctvo</w:t>
            </w:r>
          </w:p>
        </w:tc>
        <w:tc>
          <w:tcPr>
            <w:tcW w:w="547" w:type="pct"/>
            <w:tcBorders>
              <w:top w:val="nil"/>
              <w:left w:val="nil"/>
              <w:right w:val="nil"/>
            </w:tcBorders>
            <w:shd w:val="clear" w:color="auto" w:fill="auto"/>
            <w:noWrap/>
            <w:vAlign w:val="center"/>
          </w:tcPr>
          <w:p w14:paraId="76E71111" w14:textId="5BAF92EE" w:rsidR="00EC5E6F" w:rsidRPr="000939E3" w:rsidRDefault="00EC5E6F" w:rsidP="00EC5E6F">
            <w:pPr>
              <w:keepNext/>
              <w:spacing w:after="0" w:line="240" w:lineRule="auto"/>
              <w:jc w:val="right"/>
              <w:rPr>
                <w:rFonts w:eastAsia="Times New Roman" w:cs="Times New Roman"/>
                <w:lang w:eastAsia="sk-SK"/>
              </w:rPr>
            </w:pPr>
            <w:r w:rsidRPr="000939E3">
              <w:rPr>
                <w:color w:val="000000"/>
              </w:rPr>
              <w:t>1</w:t>
            </w:r>
          </w:p>
        </w:tc>
        <w:tc>
          <w:tcPr>
            <w:tcW w:w="602" w:type="pct"/>
            <w:tcBorders>
              <w:top w:val="nil"/>
              <w:left w:val="nil"/>
              <w:right w:val="nil"/>
            </w:tcBorders>
            <w:shd w:val="clear" w:color="auto" w:fill="auto"/>
            <w:noWrap/>
            <w:vAlign w:val="center"/>
          </w:tcPr>
          <w:p w14:paraId="1986BBB4" w14:textId="3C524AD9" w:rsidR="00EC5E6F" w:rsidRPr="000939E3" w:rsidRDefault="00EC5E6F" w:rsidP="00EC5E6F">
            <w:pPr>
              <w:keepNext/>
              <w:spacing w:after="0" w:line="240" w:lineRule="auto"/>
              <w:jc w:val="right"/>
              <w:rPr>
                <w:rFonts w:eastAsia="Times New Roman" w:cs="Times New Roman"/>
                <w:lang w:eastAsia="sk-SK"/>
              </w:rPr>
            </w:pPr>
            <w:r w:rsidRPr="000939E3">
              <w:rPr>
                <w:color w:val="000000"/>
              </w:rPr>
              <w:t>74</w:t>
            </w:r>
          </w:p>
        </w:tc>
        <w:tc>
          <w:tcPr>
            <w:tcW w:w="558" w:type="pct"/>
            <w:tcBorders>
              <w:top w:val="nil"/>
              <w:left w:val="single" w:sz="4" w:space="0" w:color="auto"/>
              <w:right w:val="nil"/>
            </w:tcBorders>
            <w:shd w:val="clear" w:color="auto" w:fill="auto"/>
            <w:noWrap/>
          </w:tcPr>
          <w:p w14:paraId="60DBAC0D" w14:textId="3C0E37AE" w:rsidR="00EC5E6F" w:rsidRPr="000939E3" w:rsidRDefault="00EC5E6F" w:rsidP="00EC5E6F">
            <w:pPr>
              <w:keepNext/>
              <w:spacing w:after="0" w:line="240" w:lineRule="auto"/>
              <w:jc w:val="right"/>
              <w:rPr>
                <w:rFonts w:eastAsia="Times New Roman" w:cs="Times New Roman"/>
                <w:lang w:eastAsia="sk-SK"/>
              </w:rPr>
            </w:pPr>
            <w:r w:rsidRPr="000939E3">
              <w:t>0%</w:t>
            </w:r>
          </w:p>
        </w:tc>
        <w:tc>
          <w:tcPr>
            <w:tcW w:w="559" w:type="pct"/>
            <w:tcBorders>
              <w:top w:val="nil"/>
              <w:left w:val="nil"/>
            </w:tcBorders>
            <w:shd w:val="clear" w:color="auto" w:fill="auto"/>
            <w:noWrap/>
          </w:tcPr>
          <w:p w14:paraId="66644962" w14:textId="087AE7AE" w:rsidR="00EC5E6F" w:rsidRPr="000939E3" w:rsidRDefault="00EC5E6F" w:rsidP="00EC5E6F">
            <w:pPr>
              <w:keepNext/>
              <w:spacing w:after="0" w:line="240" w:lineRule="auto"/>
              <w:jc w:val="right"/>
              <w:rPr>
                <w:rFonts w:eastAsia="Times New Roman" w:cs="Times New Roman"/>
                <w:lang w:eastAsia="sk-SK"/>
              </w:rPr>
            </w:pPr>
            <w:r w:rsidRPr="000939E3">
              <w:t>5%</w:t>
            </w:r>
          </w:p>
        </w:tc>
      </w:tr>
      <w:tr w:rsidR="00EC5E6F" w:rsidRPr="000939E3" w14:paraId="47874F93" w14:textId="77777777" w:rsidTr="00603DC5">
        <w:trPr>
          <w:trHeight w:val="232"/>
        </w:trPr>
        <w:tc>
          <w:tcPr>
            <w:tcW w:w="2735" w:type="pct"/>
            <w:tcBorders>
              <w:top w:val="nil"/>
              <w:left w:val="nil"/>
              <w:bottom w:val="single" w:sz="4" w:space="0" w:color="auto"/>
              <w:right w:val="single" w:sz="4" w:space="0" w:color="auto"/>
            </w:tcBorders>
            <w:shd w:val="clear" w:color="auto" w:fill="auto"/>
            <w:noWrap/>
            <w:tcMar>
              <w:left w:w="0" w:type="dxa"/>
              <w:right w:w="0" w:type="dxa"/>
            </w:tcMar>
            <w:vAlign w:val="center"/>
          </w:tcPr>
          <w:p w14:paraId="749A62BB" w14:textId="77777777" w:rsidR="00EC5E6F" w:rsidRPr="000939E3" w:rsidRDefault="00EC5E6F" w:rsidP="00EC5E6F">
            <w:pPr>
              <w:keepNext/>
              <w:spacing w:after="0" w:line="240" w:lineRule="auto"/>
              <w:rPr>
                <w:rFonts w:eastAsia="Times New Roman" w:cs="Times New Roman"/>
                <w:color w:val="000000"/>
                <w:sz w:val="20"/>
                <w:lang w:eastAsia="sk-SK"/>
              </w:rPr>
            </w:pPr>
            <w:r w:rsidRPr="000939E3">
              <w:rPr>
                <w:color w:val="000000"/>
              </w:rPr>
              <w:t>Ostatné</w:t>
            </w:r>
          </w:p>
        </w:tc>
        <w:tc>
          <w:tcPr>
            <w:tcW w:w="547" w:type="pct"/>
            <w:tcBorders>
              <w:top w:val="nil"/>
              <w:left w:val="nil"/>
              <w:bottom w:val="single" w:sz="4" w:space="0" w:color="auto"/>
              <w:right w:val="nil"/>
            </w:tcBorders>
            <w:shd w:val="clear" w:color="auto" w:fill="auto"/>
            <w:noWrap/>
            <w:vAlign w:val="center"/>
          </w:tcPr>
          <w:p w14:paraId="61CA98A4" w14:textId="76F946A0" w:rsidR="00EC5E6F" w:rsidRPr="000939E3" w:rsidRDefault="00EC5E6F" w:rsidP="00EC5E6F">
            <w:pPr>
              <w:keepNext/>
              <w:spacing w:after="0" w:line="240" w:lineRule="auto"/>
              <w:jc w:val="right"/>
              <w:rPr>
                <w:rFonts w:eastAsia="Times New Roman" w:cs="Times New Roman"/>
                <w:lang w:eastAsia="sk-SK"/>
              </w:rPr>
            </w:pPr>
            <w:r w:rsidRPr="000939E3">
              <w:rPr>
                <w:color w:val="000000"/>
              </w:rPr>
              <w:t>35</w:t>
            </w:r>
          </w:p>
        </w:tc>
        <w:tc>
          <w:tcPr>
            <w:tcW w:w="602" w:type="pct"/>
            <w:tcBorders>
              <w:top w:val="nil"/>
              <w:left w:val="nil"/>
              <w:bottom w:val="single" w:sz="4" w:space="0" w:color="auto"/>
              <w:right w:val="nil"/>
            </w:tcBorders>
            <w:shd w:val="clear" w:color="auto" w:fill="auto"/>
            <w:noWrap/>
            <w:vAlign w:val="center"/>
          </w:tcPr>
          <w:p w14:paraId="344EBD65" w14:textId="1F04C78B" w:rsidR="00EC5E6F" w:rsidRPr="000939E3" w:rsidRDefault="00EC5E6F" w:rsidP="00EC5E6F">
            <w:pPr>
              <w:keepNext/>
              <w:spacing w:after="0" w:line="240" w:lineRule="auto"/>
              <w:jc w:val="right"/>
              <w:rPr>
                <w:rFonts w:eastAsia="Times New Roman" w:cs="Times New Roman"/>
                <w:lang w:eastAsia="sk-SK"/>
              </w:rPr>
            </w:pPr>
            <w:r w:rsidRPr="000939E3">
              <w:rPr>
                <w:color w:val="000000"/>
              </w:rPr>
              <w:t>241</w:t>
            </w:r>
          </w:p>
        </w:tc>
        <w:tc>
          <w:tcPr>
            <w:tcW w:w="558" w:type="pct"/>
            <w:tcBorders>
              <w:top w:val="nil"/>
              <w:left w:val="single" w:sz="4" w:space="0" w:color="auto"/>
              <w:bottom w:val="single" w:sz="4" w:space="0" w:color="auto"/>
              <w:right w:val="nil"/>
            </w:tcBorders>
            <w:shd w:val="clear" w:color="auto" w:fill="auto"/>
            <w:noWrap/>
          </w:tcPr>
          <w:p w14:paraId="4BC4A229" w14:textId="1567E662" w:rsidR="00EC5E6F" w:rsidRPr="000939E3" w:rsidRDefault="00EC5E6F" w:rsidP="00EC5E6F">
            <w:pPr>
              <w:keepNext/>
              <w:spacing w:after="0" w:line="240" w:lineRule="auto"/>
              <w:jc w:val="right"/>
              <w:rPr>
                <w:rFonts w:eastAsia="Times New Roman" w:cs="Times New Roman"/>
                <w:lang w:eastAsia="sk-SK"/>
              </w:rPr>
            </w:pPr>
            <w:r w:rsidRPr="000939E3">
              <w:t>7%</w:t>
            </w:r>
          </w:p>
        </w:tc>
        <w:tc>
          <w:tcPr>
            <w:tcW w:w="559" w:type="pct"/>
            <w:tcBorders>
              <w:top w:val="nil"/>
              <w:left w:val="nil"/>
              <w:bottom w:val="single" w:sz="4" w:space="0" w:color="auto"/>
            </w:tcBorders>
            <w:shd w:val="clear" w:color="auto" w:fill="auto"/>
            <w:noWrap/>
          </w:tcPr>
          <w:p w14:paraId="518DC9E6" w14:textId="4DFDEAA2" w:rsidR="00EC5E6F" w:rsidRPr="000939E3" w:rsidRDefault="00EC5E6F" w:rsidP="00EC5E6F">
            <w:pPr>
              <w:keepNext/>
              <w:spacing w:after="0" w:line="240" w:lineRule="auto"/>
              <w:jc w:val="right"/>
              <w:rPr>
                <w:rFonts w:eastAsia="Times New Roman" w:cs="Times New Roman"/>
                <w:lang w:eastAsia="sk-SK"/>
              </w:rPr>
            </w:pPr>
            <w:r w:rsidRPr="000939E3">
              <w:t>17%</w:t>
            </w:r>
          </w:p>
        </w:tc>
      </w:tr>
      <w:tr w:rsidR="00EC5E6F" w:rsidRPr="000939E3" w14:paraId="3C553A0E" w14:textId="77777777" w:rsidTr="00603DC5">
        <w:trPr>
          <w:trHeight w:val="232"/>
        </w:trPr>
        <w:tc>
          <w:tcPr>
            <w:tcW w:w="2735"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bottom"/>
            <w:hideMark/>
          </w:tcPr>
          <w:p w14:paraId="2D049E22" w14:textId="77777777" w:rsidR="00EC5E6F" w:rsidRPr="000939E3" w:rsidRDefault="00EC5E6F" w:rsidP="00EC5E6F">
            <w:pPr>
              <w:keepNext/>
              <w:spacing w:after="0" w:line="240" w:lineRule="auto"/>
              <w:rPr>
                <w:rFonts w:eastAsia="Times New Roman" w:cs="Times New Roman"/>
                <w:sz w:val="20"/>
                <w:lang w:eastAsia="sk-SK"/>
              </w:rPr>
            </w:pPr>
            <w:r w:rsidRPr="000939E3">
              <w:rPr>
                <w:rFonts w:eastAsia="Times New Roman" w:cs="Times New Roman"/>
                <w:lang w:eastAsia="sk-SK"/>
              </w:rPr>
              <w:t>Spolu</w:t>
            </w:r>
          </w:p>
        </w:tc>
        <w:tc>
          <w:tcPr>
            <w:tcW w:w="547" w:type="pct"/>
            <w:tcBorders>
              <w:top w:val="single" w:sz="4" w:space="0" w:color="auto"/>
              <w:left w:val="nil"/>
              <w:bottom w:val="single" w:sz="4" w:space="0" w:color="auto"/>
              <w:right w:val="nil"/>
            </w:tcBorders>
            <w:shd w:val="clear" w:color="auto" w:fill="auto"/>
            <w:noWrap/>
            <w:vAlign w:val="bottom"/>
            <w:hideMark/>
          </w:tcPr>
          <w:p w14:paraId="25334F20" w14:textId="437706FB" w:rsidR="00EC5E6F" w:rsidRPr="000939E3" w:rsidRDefault="00EC5E6F" w:rsidP="00EC5E6F">
            <w:pPr>
              <w:keepNext/>
              <w:spacing w:after="0" w:line="240" w:lineRule="auto"/>
              <w:jc w:val="right"/>
              <w:rPr>
                <w:rFonts w:eastAsia="Times New Roman" w:cs="Times New Roman"/>
                <w:lang w:eastAsia="sk-SK"/>
              </w:rPr>
            </w:pPr>
            <w:r w:rsidRPr="000939E3">
              <w:rPr>
                <w:b/>
                <w:bCs/>
                <w:color w:val="000000"/>
              </w:rPr>
              <w:t>485</w:t>
            </w:r>
          </w:p>
        </w:tc>
        <w:tc>
          <w:tcPr>
            <w:tcW w:w="602" w:type="pct"/>
            <w:tcBorders>
              <w:top w:val="single" w:sz="4" w:space="0" w:color="auto"/>
              <w:left w:val="nil"/>
              <w:bottom w:val="single" w:sz="4" w:space="0" w:color="auto"/>
              <w:right w:val="nil"/>
            </w:tcBorders>
            <w:shd w:val="clear" w:color="auto" w:fill="auto"/>
            <w:noWrap/>
            <w:vAlign w:val="bottom"/>
            <w:hideMark/>
          </w:tcPr>
          <w:p w14:paraId="3C6F511F" w14:textId="4B1CD24B" w:rsidR="00EC5E6F" w:rsidRPr="000939E3" w:rsidRDefault="00EC5E6F" w:rsidP="00EC5E6F">
            <w:pPr>
              <w:keepNext/>
              <w:spacing w:after="0" w:line="240" w:lineRule="auto"/>
              <w:jc w:val="right"/>
              <w:rPr>
                <w:rFonts w:eastAsia="Times New Roman" w:cs="Times New Roman"/>
                <w:lang w:eastAsia="sk-SK"/>
              </w:rPr>
            </w:pPr>
            <w:r w:rsidRPr="000939E3">
              <w:rPr>
                <w:b/>
                <w:bCs/>
                <w:color w:val="000000"/>
              </w:rPr>
              <w:t>1 393</w:t>
            </w:r>
          </w:p>
        </w:tc>
        <w:tc>
          <w:tcPr>
            <w:tcW w:w="558" w:type="pct"/>
            <w:tcBorders>
              <w:top w:val="single" w:sz="4" w:space="0" w:color="auto"/>
              <w:left w:val="single" w:sz="4" w:space="0" w:color="auto"/>
              <w:bottom w:val="single" w:sz="4" w:space="0" w:color="auto"/>
              <w:right w:val="nil"/>
            </w:tcBorders>
            <w:shd w:val="clear" w:color="auto" w:fill="auto"/>
            <w:noWrap/>
            <w:hideMark/>
          </w:tcPr>
          <w:p w14:paraId="1587EB94" w14:textId="2BBC5A91" w:rsidR="00EC5E6F" w:rsidRPr="000939E3" w:rsidRDefault="00EC5E6F" w:rsidP="00EC5E6F">
            <w:pPr>
              <w:keepNext/>
              <w:spacing w:after="0" w:line="240" w:lineRule="auto"/>
              <w:jc w:val="right"/>
              <w:rPr>
                <w:rFonts w:eastAsia="Times New Roman" w:cs="Times New Roman"/>
                <w:lang w:eastAsia="sk-SK"/>
              </w:rPr>
            </w:pPr>
            <w:r w:rsidRPr="000939E3">
              <w:t>100%</w:t>
            </w:r>
          </w:p>
        </w:tc>
        <w:tc>
          <w:tcPr>
            <w:tcW w:w="559" w:type="pct"/>
            <w:tcBorders>
              <w:top w:val="single" w:sz="4" w:space="0" w:color="auto"/>
              <w:left w:val="nil"/>
              <w:bottom w:val="single" w:sz="4" w:space="0" w:color="auto"/>
            </w:tcBorders>
            <w:shd w:val="clear" w:color="auto" w:fill="auto"/>
            <w:noWrap/>
            <w:hideMark/>
          </w:tcPr>
          <w:p w14:paraId="1A655406" w14:textId="73EB45EA" w:rsidR="00EC5E6F" w:rsidRPr="000939E3" w:rsidRDefault="00EC5E6F" w:rsidP="00EC5E6F">
            <w:pPr>
              <w:keepNext/>
              <w:spacing w:after="0" w:line="240" w:lineRule="auto"/>
              <w:jc w:val="right"/>
              <w:rPr>
                <w:rFonts w:eastAsia="Times New Roman" w:cs="Times New Roman"/>
                <w:lang w:eastAsia="sk-SK"/>
              </w:rPr>
            </w:pPr>
            <w:r w:rsidRPr="000939E3">
              <w:t>100%</w:t>
            </w:r>
          </w:p>
        </w:tc>
      </w:tr>
      <w:tr w:rsidR="0004409E" w:rsidRPr="000939E3" w14:paraId="3674CCBB" w14:textId="77777777" w:rsidTr="00603DC5">
        <w:trPr>
          <w:trHeight w:val="232"/>
        </w:trPr>
        <w:tc>
          <w:tcPr>
            <w:tcW w:w="2735" w:type="pct"/>
            <w:tcBorders>
              <w:top w:val="nil"/>
              <w:left w:val="nil"/>
              <w:bottom w:val="nil"/>
              <w:right w:val="nil"/>
            </w:tcBorders>
            <w:shd w:val="clear" w:color="auto" w:fill="auto"/>
            <w:noWrap/>
            <w:vAlign w:val="bottom"/>
            <w:hideMark/>
          </w:tcPr>
          <w:p w14:paraId="2CA0F6B1" w14:textId="5C8A0170" w:rsidR="0004409E" w:rsidRPr="000939E3" w:rsidRDefault="00320CC9" w:rsidP="00603DC5">
            <w:pPr>
              <w:keepNext/>
              <w:spacing w:after="0" w:line="240" w:lineRule="auto"/>
              <w:jc w:val="left"/>
              <w:rPr>
                <w:rFonts w:eastAsia="Times New Roman" w:cs="Times New Roman"/>
                <w:i/>
                <w:sz w:val="20"/>
                <w:lang w:eastAsia="sk-SK"/>
              </w:rPr>
            </w:pPr>
            <w:r w:rsidRPr="000939E3">
              <w:rPr>
                <w:bCs/>
                <w:i/>
                <w:noProof/>
                <w:sz w:val="18"/>
                <w:szCs w:val="18"/>
              </w:rPr>
              <w:t>Pozn.: Bez ozbrojených zložiek.</w:t>
            </w:r>
          </w:p>
        </w:tc>
        <w:tc>
          <w:tcPr>
            <w:tcW w:w="2265" w:type="pct"/>
            <w:gridSpan w:val="4"/>
            <w:tcBorders>
              <w:top w:val="nil"/>
              <w:left w:val="nil"/>
              <w:bottom w:val="nil"/>
              <w:right w:val="nil"/>
            </w:tcBorders>
            <w:shd w:val="clear" w:color="auto" w:fill="auto"/>
            <w:noWrap/>
            <w:hideMark/>
          </w:tcPr>
          <w:p w14:paraId="3624A258" w14:textId="0D93499C" w:rsidR="0004409E" w:rsidRPr="000939E3" w:rsidRDefault="0004409E" w:rsidP="0004409E">
            <w:pPr>
              <w:keepNext/>
              <w:spacing w:after="0" w:line="240" w:lineRule="auto"/>
              <w:jc w:val="right"/>
              <w:rPr>
                <w:rFonts w:eastAsia="Times New Roman" w:cs="Times New Roman"/>
                <w:i/>
                <w:sz w:val="20"/>
                <w:szCs w:val="18"/>
                <w:lang w:eastAsia="sk-SK"/>
              </w:rPr>
            </w:pPr>
            <w:r w:rsidRPr="000939E3">
              <w:rPr>
                <w:rFonts w:eastAsia="Times New Roman" w:cs="Times New Roman"/>
                <w:i/>
                <w:sz w:val="18"/>
                <w:szCs w:val="18"/>
                <w:lang w:eastAsia="sk-SK"/>
              </w:rPr>
              <w:t>Zdroj: ISCP, prepočty ÚHP</w:t>
            </w:r>
          </w:p>
        </w:tc>
      </w:tr>
    </w:tbl>
    <w:p w14:paraId="356608D2" w14:textId="77777777" w:rsidR="00320CC9" w:rsidRPr="000939E3" w:rsidRDefault="00320CC9"/>
    <w:tbl>
      <w:tblPr>
        <w:tblW w:w="5000" w:type="pct"/>
        <w:tblCellMar>
          <w:left w:w="70" w:type="dxa"/>
          <w:right w:w="70" w:type="dxa"/>
        </w:tblCellMar>
        <w:tblLook w:val="04A0" w:firstRow="1" w:lastRow="0" w:firstColumn="1" w:lastColumn="0" w:noHBand="0" w:noVBand="1"/>
      </w:tblPr>
      <w:tblGrid>
        <w:gridCol w:w="3848"/>
        <w:gridCol w:w="873"/>
        <w:gridCol w:w="4351"/>
      </w:tblGrid>
      <w:tr w:rsidR="0004409E" w:rsidRPr="000939E3" w14:paraId="383BE831" w14:textId="77777777" w:rsidTr="0004409E">
        <w:trPr>
          <w:trHeight w:val="322"/>
        </w:trPr>
        <w:tc>
          <w:tcPr>
            <w:tcW w:w="5000" w:type="pct"/>
            <w:gridSpan w:val="3"/>
            <w:tcBorders>
              <w:top w:val="nil"/>
              <w:left w:val="nil"/>
              <w:bottom w:val="single" w:sz="4" w:space="0" w:color="auto"/>
              <w:right w:val="nil"/>
            </w:tcBorders>
            <w:shd w:val="clear" w:color="auto" w:fill="auto"/>
            <w:noWrap/>
            <w:vAlign w:val="bottom"/>
            <w:hideMark/>
          </w:tcPr>
          <w:p w14:paraId="3984D714" w14:textId="4117BFA9" w:rsidR="0004409E" w:rsidRPr="000939E3" w:rsidRDefault="0004409E" w:rsidP="0004409E">
            <w:pPr>
              <w:pStyle w:val="Popis"/>
              <w:keepNext/>
              <w:rPr>
                <w:rFonts w:eastAsia="Times New Roman" w:cs="Times New Roman"/>
                <w:b w:val="0"/>
                <w:color w:val="000000"/>
              </w:rPr>
            </w:pPr>
            <w:bookmarkStart w:id="115" w:name="_Ref4073791"/>
            <w:bookmarkStart w:id="116" w:name="_Toc34226892"/>
            <w:r w:rsidRPr="000939E3">
              <w:t xml:space="preserve">Graf </w:t>
            </w:r>
            <w:r w:rsidR="00E30BD2" w:rsidRPr="000939E3">
              <w:rPr>
                <w:noProof/>
              </w:rPr>
              <w:fldChar w:fldCharType="begin"/>
            </w:r>
            <w:r w:rsidR="00E30BD2" w:rsidRPr="000939E3">
              <w:rPr>
                <w:noProof/>
              </w:rPr>
              <w:instrText xml:space="preserve"> SEQ Graf \* ARABIC </w:instrText>
            </w:r>
            <w:r w:rsidR="00E30BD2" w:rsidRPr="000939E3">
              <w:rPr>
                <w:noProof/>
              </w:rPr>
              <w:fldChar w:fldCharType="separate"/>
            </w:r>
            <w:r w:rsidR="00BF69CA">
              <w:rPr>
                <w:noProof/>
              </w:rPr>
              <w:t>21</w:t>
            </w:r>
            <w:r w:rsidR="00E30BD2" w:rsidRPr="000939E3">
              <w:rPr>
                <w:noProof/>
              </w:rPr>
              <w:fldChar w:fldCharType="end"/>
            </w:r>
            <w:bookmarkEnd w:id="115"/>
            <w:r w:rsidR="007B4D5C" w:rsidRPr="000939E3">
              <w:rPr>
                <w:noProof/>
              </w:rPr>
              <w:t>:</w:t>
            </w:r>
            <w:r w:rsidRPr="000939E3">
              <w:t xml:space="preserve"> </w:t>
            </w:r>
            <w:r w:rsidRPr="000939E3">
              <w:rPr>
                <w:rFonts w:eastAsia="Times New Roman" w:cs="Times New Roman"/>
                <w:color w:val="000000"/>
              </w:rPr>
              <w:t>Pracovníci podľa vyžadovaných zručností (podiel v % a počet v tis. osôb, 2017)</w:t>
            </w:r>
            <w:bookmarkEnd w:id="116"/>
          </w:p>
        </w:tc>
      </w:tr>
      <w:tr w:rsidR="0004409E" w:rsidRPr="000939E3" w14:paraId="69886075" w14:textId="77777777" w:rsidTr="001116A9">
        <w:trPr>
          <w:trHeight w:val="3057"/>
        </w:trPr>
        <w:tc>
          <w:tcPr>
            <w:tcW w:w="5000" w:type="pct"/>
            <w:gridSpan w:val="3"/>
            <w:tcBorders>
              <w:top w:val="nil"/>
              <w:left w:val="nil"/>
              <w:bottom w:val="single" w:sz="4" w:space="0" w:color="auto"/>
              <w:right w:val="nil"/>
            </w:tcBorders>
            <w:shd w:val="clear" w:color="auto" w:fill="auto"/>
            <w:noWrap/>
            <w:vAlign w:val="bottom"/>
          </w:tcPr>
          <w:p w14:paraId="6D47760A" w14:textId="77777777" w:rsidR="0004409E" w:rsidRPr="000939E3" w:rsidRDefault="001116A9" w:rsidP="0004409E">
            <w:pPr>
              <w:spacing w:after="0" w:line="240" w:lineRule="auto"/>
              <w:rPr>
                <w:b/>
              </w:rPr>
            </w:pPr>
            <w:r w:rsidRPr="000939E3">
              <w:rPr>
                <w:noProof/>
                <w:lang w:eastAsia="sk-SK"/>
              </w:rPr>
              <w:drawing>
                <wp:inline distT="0" distB="0" distL="0" distR="0" wp14:anchorId="27A7A4B4" wp14:editId="52882AE6">
                  <wp:extent cx="5760720" cy="25908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04409E" w:rsidRPr="000939E3" w14:paraId="4AC016BB" w14:textId="77777777" w:rsidTr="00603DC5">
        <w:trPr>
          <w:trHeight w:val="119"/>
        </w:trPr>
        <w:tc>
          <w:tcPr>
            <w:tcW w:w="2121" w:type="pct"/>
            <w:tcBorders>
              <w:top w:val="single" w:sz="4" w:space="0" w:color="auto"/>
              <w:left w:val="nil"/>
              <w:bottom w:val="nil"/>
              <w:right w:val="nil"/>
            </w:tcBorders>
            <w:shd w:val="clear" w:color="auto" w:fill="auto"/>
            <w:noWrap/>
            <w:vAlign w:val="bottom"/>
            <w:hideMark/>
          </w:tcPr>
          <w:p w14:paraId="2FE9480A" w14:textId="77777777" w:rsidR="0004409E" w:rsidRPr="000939E3" w:rsidRDefault="00E90016" w:rsidP="001116A9">
            <w:pPr>
              <w:spacing w:after="0" w:line="240" w:lineRule="auto"/>
              <w:contextualSpacing/>
              <w:jc w:val="left"/>
              <w:rPr>
                <w:rFonts w:eastAsia="Times New Roman" w:cs="Times New Roman"/>
                <w:i/>
                <w:lang w:eastAsia="sk-SK"/>
              </w:rPr>
            </w:pPr>
            <w:r w:rsidRPr="000939E3">
              <w:rPr>
                <w:rFonts w:eastAsia="Times New Roman" w:cs="Times New Roman"/>
                <w:i/>
                <w:sz w:val="18"/>
                <w:szCs w:val="20"/>
                <w:lang w:eastAsia="sk-SK"/>
              </w:rPr>
              <w:t>Pozn</w:t>
            </w:r>
            <w:r w:rsidR="001116A9" w:rsidRPr="000939E3">
              <w:rPr>
                <w:rFonts w:eastAsia="Times New Roman" w:cs="Times New Roman"/>
                <w:i/>
                <w:sz w:val="18"/>
                <w:szCs w:val="20"/>
                <w:lang w:eastAsia="sk-SK"/>
              </w:rPr>
              <w:t>.</w:t>
            </w:r>
            <w:r w:rsidRPr="000939E3">
              <w:rPr>
                <w:rFonts w:eastAsia="Times New Roman" w:cs="Times New Roman"/>
                <w:i/>
                <w:sz w:val="18"/>
                <w:szCs w:val="20"/>
                <w:lang w:eastAsia="sk-SK"/>
              </w:rPr>
              <w:t xml:space="preserve">: </w:t>
            </w:r>
            <w:r w:rsidR="001116A9" w:rsidRPr="000939E3">
              <w:rPr>
                <w:rFonts w:eastAsia="Times New Roman" w:cs="Times New Roman"/>
                <w:i/>
                <w:sz w:val="18"/>
                <w:szCs w:val="20"/>
                <w:lang w:eastAsia="sk-SK"/>
              </w:rPr>
              <w:t xml:space="preserve">Bez </w:t>
            </w:r>
            <w:r w:rsidRPr="000939E3">
              <w:rPr>
                <w:rFonts w:eastAsia="Times New Roman" w:cs="Times New Roman"/>
                <w:i/>
                <w:sz w:val="18"/>
                <w:szCs w:val="20"/>
                <w:lang w:eastAsia="sk-SK"/>
              </w:rPr>
              <w:t>ozbrojených zložiek</w:t>
            </w:r>
            <w:r w:rsidR="001116A9" w:rsidRPr="000939E3">
              <w:rPr>
                <w:rFonts w:eastAsia="Times New Roman" w:cs="Times New Roman"/>
                <w:i/>
                <w:sz w:val="18"/>
                <w:szCs w:val="20"/>
                <w:lang w:eastAsia="sk-SK"/>
              </w:rPr>
              <w:t>.</w:t>
            </w:r>
          </w:p>
        </w:tc>
        <w:tc>
          <w:tcPr>
            <w:tcW w:w="480" w:type="pct"/>
            <w:tcBorders>
              <w:top w:val="nil"/>
              <w:left w:val="nil"/>
              <w:bottom w:val="nil"/>
              <w:right w:val="nil"/>
            </w:tcBorders>
            <w:shd w:val="clear" w:color="auto" w:fill="auto"/>
            <w:noWrap/>
            <w:vAlign w:val="bottom"/>
            <w:hideMark/>
          </w:tcPr>
          <w:p w14:paraId="237D71D0" w14:textId="77777777" w:rsidR="0004409E" w:rsidRPr="000939E3" w:rsidRDefault="0004409E" w:rsidP="0004409E">
            <w:pPr>
              <w:spacing w:after="0" w:line="240" w:lineRule="auto"/>
              <w:contextualSpacing/>
              <w:rPr>
                <w:rFonts w:ascii="Times New Roman" w:eastAsia="Times New Roman" w:hAnsi="Times New Roman" w:cs="Times New Roman"/>
                <w:sz w:val="20"/>
                <w:szCs w:val="20"/>
                <w:lang w:eastAsia="sk-SK"/>
              </w:rPr>
            </w:pPr>
          </w:p>
        </w:tc>
        <w:tc>
          <w:tcPr>
            <w:tcW w:w="2399" w:type="pct"/>
            <w:tcBorders>
              <w:top w:val="nil"/>
              <w:left w:val="nil"/>
              <w:bottom w:val="nil"/>
              <w:right w:val="nil"/>
            </w:tcBorders>
            <w:shd w:val="clear" w:color="auto" w:fill="auto"/>
            <w:noWrap/>
            <w:hideMark/>
          </w:tcPr>
          <w:p w14:paraId="1E840BA9" w14:textId="77777777" w:rsidR="0004409E" w:rsidRPr="000939E3" w:rsidRDefault="0004409E" w:rsidP="0004409E">
            <w:pPr>
              <w:keepNext/>
              <w:spacing w:after="0" w:line="240" w:lineRule="auto"/>
              <w:contextualSpacing/>
              <w:jc w:val="right"/>
              <w:rPr>
                <w:rFonts w:eastAsia="Times New Roman" w:cs="Times New Roman"/>
                <w:i/>
                <w:sz w:val="18"/>
                <w:szCs w:val="18"/>
                <w:lang w:eastAsia="sk-SK"/>
              </w:rPr>
            </w:pPr>
            <w:r w:rsidRPr="000939E3">
              <w:rPr>
                <w:rFonts w:eastAsia="Times New Roman" w:cs="Times New Roman"/>
                <w:i/>
                <w:sz w:val="18"/>
                <w:szCs w:val="18"/>
                <w:lang w:eastAsia="sk-SK"/>
              </w:rPr>
              <w:t>Zdroj: ISCP, prepočty ÚHP</w:t>
            </w:r>
          </w:p>
        </w:tc>
      </w:tr>
    </w:tbl>
    <w:p w14:paraId="1CDE588F" w14:textId="6FC2EB89" w:rsidR="001F7B72" w:rsidRPr="000939E3" w:rsidRDefault="005918FD" w:rsidP="00063CCC">
      <w:r w:rsidRPr="000939E3">
        <w:rPr>
          <w:b/>
        </w:rPr>
        <w:lastRenderedPageBreak/>
        <w:t xml:space="preserve">Pracovníci vo verejnom sektore vykonávajú </w:t>
      </w:r>
      <w:r w:rsidRPr="000939E3">
        <w:rPr>
          <w:b/>
          <w:bCs/>
        </w:rPr>
        <w:t xml:space="preserve">podľa klasifikácie povolaní ISCO </w:t>
      </w:r>
      <w:r w:rsidRPr="000939E3">
        <w:rPr>
          <w:b/>
        </w:rPr>
        <w:t>v priemere náročnejšiu prácu ako pracovníci v súkromnom sektore.</w:t>
      </w:r>
      <w:r w:rsidRPr="000939E3">
        <w:t xml:space="preserve"> Až 35 % z nich vykonáva prácu patriacu do najnáročnejšej kategórie</w:t>
      </w:r>
      <w:r w:rsidRPr="000939E3">
        <w:rPr>
          <w:rStyle w:val="Odkaznapoznmkupodiarou"/>
        </w:rPr>
        <w:footnoteReference w:id="47"/>
      </w:r>
      <w:r w:rsidRPr="000939E3">
        <w:t>, v súkromnom je ich iba 13 %. Do tejto skupiny patria aj riadiaci pracovníci, tých je v súkromnom sektore približne 4 %, vo verejnom mierne viac (</w:t>
      </w:r>
      <w:r w:rsidRPr="000939E3">
        <w:fldChar w:fldCharType="begin"/>
      </w:r>
      <w:r w:rsidRPr="000939E3">
        <w:instrText xml:space="preserve"> REF _Ref4073791 \h </w:instrText>
      </w:r>
      <w:r w:rsidR="00DC481D" w:rsidRPr="000939E3">
        <w:instrText xml:space="preserve"> \* MERGEFORMAT </w:instrText>
      </w:r>
      <w:r w:rsidRPr="000939E3">
        <w:fldChar w:fldCharType="separate"/>
      </w:r>
      <w:r w:rsidR="00BF69CA" w:rsidRPr="000939E3">
        <w:t xml:space="preserve">Graf </w:t>
      </w:r>
      <w:r w:rsidR="00BF69CA">
        <w:rPr>
          <w:noProof/>
        </w:rPr>
        <w:t>21</w:t>
      </w:r>
      <w:r w:rsidRPr="000939E3">
        <w:fldChar w:fldCharType="end"/>
      </w:r>
      <w:r w:rsidRPr="000939E3">
        <w:t>). V súkromnom sektore tvoria najväčšiu skupinu – až 43 % – zamestnanci na pozíciách vyžadujúcich úroveň zručností 2 – ide o zložitejšie manuálne, alebo jednoduchšie duševné činnosti (administratívna práca, práca v obchode a službách, remeselnícke práce). Vo verejnom sektore pracuje mierne väčší podiel zamestnancov vykonávajúcich najjednoduchšie manuálne práce – upratovanie či pomocné práce pri varení, v poľnohospodárstve, odpadovom hospodárstve a podobne.</w:t>
      </w:r>
    </w:p>
    <w:tbl>
      <w:tblPr>
        <w:tblStyle w:val="UHPGRAF"/>
        <w:tblpPr w:leftFromText="141" w:rightFromText="141" w:vertAnchor="text" w:horzAnchor="margin" w:tblpY="-55"/>
        <w:tblW w:w="4994" w:type="pct"/>
        <w:tblLayout w:type="fixed"/>
        <w:tblCellMar>
          <w:left w:w="70" w:type="dxa"/>
          <w:right w:w="70" w:type="dxa"/>
        </w:tblCellMar>
        <w:tblLook w:val="04E0" w:firstRow="1" w:lastRow="1" w:firstColumn="1" w:lastColumn="0" w:noHBand="0" w:noVBand="1"/>
      </w:tblPr>
      <w:tblGrid>
        <w:gridCol w:w="2195"/>
        <w:gridCol w:w="2196"/>
        <w:gridCol w:w="161"/>
        <w:gridCol w:w="4509"/>
      </w:tblGrid>
      <w:tr w:rsidR="0004409E" w:rsidRPr="000939E3" w14:paraId="59B72321" w14:textId="77777777" w:rsidTr="00112BC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23" w:type="pct"/>
            <w:gridSpan w:val="2"/>
            <w:vAlign w:val="top"/>
          </w:tcPr>
          <w:p w14:paraId="01630E95" w14:textId="05DFCCDA" w:rsidR="0004409E" w:rsidRPr="000939E3" w:rsidRDefault="0004409E" w:rsidP="00112BCD">
            <w:pPr>
              <w:jc w:val="left"/>
              <w:rPr>
                <w:sz w:val="2"/>
                <w:szCs w:val="2"/>
                <w:lang w:val="sk-SK"/>
              </w:rPr>
            </w:pPr>
            <w:bookmarkStart w:id="117" w:name="_Ref526698793"/>
            <w:bookmarkStart w:id="118" w:name="_Toc34226893"/>
            <w:r w:rsidRPr="000939E3">
              <w:rPr>
                <w:lang w:val="sk-SK"/>
              </w:rPr>
              <w:t xml:space="preserve">Graf </w:t>
            </w:r>
            <w:r w:rsidR="000B0EF7" w:rsidRPr="000939E3">
              <w:fldChar w:fldCharType="begin"/>
            </w:r>
            <w:r w:rsidR="000B0EF7" w:rsidRPr="000939E3">
              <w:rPr>
                <w:lang w:val="sk-SK"/>
              </w:rPr>
              <w:instrText xml:space="preserve"> SEQ Graf \* ARABIC </w:instrText>
            </w:r>
            <w:r w:rsidR="000B0EF7" w:rsidRPr="000939E3">
              <w:fldChar w:fldCharType="separate"/>
            </w:r>
            <w:r w:rsidR="00BF69CA">
              <w:rPr>
                <w:noProof/>
                <w:lang w:val="sk-SK"/>
              </w:rPr>
              <w:t>22</w:t>
            </w:r>
            <w:r w:rsidR="000B0EF7" w:rsidRPr="000939E3">
              <w:fldChar w:fldCharType="end"/>
            </w:r>
            <w:bookmarkEnd w:id="117"/>
            <w:r w:rsidRPr="000939E3">
              <w:rPr>
                <w:lang w:val="sk-SK"/>
              </w:rPr>
              <w:t>:</w:t>
            </w:r>
            <w:r w:rsidRPr="000939E3">
              <w:rPr>
                <w:rFonts w:eastAsia="Times New Roman" w:cs="Times New Roman"/>
                <w:color w:val="000000"/>
                <w:lang w:val="sk-SK"/>
              </w:rPr>
              <w:t xml:space="preserve"> Vzdelanostná štruktúra </w:t>
            </w:r>
            <w:r w:rsidR="004651CC" w:rsidRPr="000939E3">
              <w:rPr>
                <w:rFonts w:eastAsia="Times New Roman" w:cs="Times New Roman"/>
                <w:color w:val="000000"/>
                <w:lang w:val="sk-SK"/>
              </w:rPr>
              <w:t xml:space="preserve">zamestnancov na Slovensku </w:t>
            </w:r>
            <w:r w:rsidRPr="000939E3">
              <w:rPr>
                <w:rFonts w:eastAsia="Times New Roman" w:cs="Times New Roman"/>
                <w:color w:val="000000"/>
                <w:lang w:val="sk-SK"/>
              </w:rPr>
              <w:t>(2017)</w:t>
            </w:r>
            <w:bookmarkEnd w:id="118"/>
            <w:r w:rsidRPr="000939E3">
              <w:rPr>
                <w:rFonts w:eastAsia="Times New Roman" w:cs="Times New Roman"/>
                <w:lang w:val="sk-SK"/>
              </w:rPr>
              <w:t xml:space="preserve"> </w:t>
            </w:r>
          </w:p>
        </w:tc>
        <w:tc>
          <w:tcPr>
            <w:tcW w:w="89" w:type="pct"/>
            <w:tcBorders>
              <w:bottom w:val="nil"/>
            </w:tcBorders>
            <w:vAlign w:val="top"/>
          </w:tcPr>
          <w:p w14:paraId="50331CDB" w14:textId="77777777" w:rsidR="0004409E" w:rsidRPr="000939E3" w:rsidDel="007361C3" w:rsidRDefault="0004409E" w:rsidP="0004409E">
            <w:pPr>
              <w:cnfStyle w:val="100000000000" w:firstRow="1" w:lastRow="0" w:firstColumn="0" w:lastColumn="0" w:oddVBand="0" w:evenVBand="0" w:oddHBand="0" w:evenHBand="0" w:firstRowFirstColumn="0" w:firstRowLastColumn="0" w:lastRowFirstColumn="0" w:lastRowLastColumn="0"/>
              <w:rPr>
                <w:noProof/>
                <w:lang w:val="sk-SK"/>
              </w:rPr>
            </w:pPr>
          </w:p>
        </w:tc>
        <w:tc>
          <w:tcPr>
            <w:tcW w:w="2488" w:type="pct"/>
            <w:vAlign w:val="top"/>
          </w:tcPr>
          <w:p w14:paraId="53E6D646" w14:textId="676C55C9" w:rsidR="0004409E" w:rsidRPr="000939E3" w:rsidRDefault="0004409E" w:rsidP="004651CC">
            <w:pPr>
              <w:cnfStyle w:val="100000000000" w:firstRow="1" w:lastRow="0" w:firstColumn="0" w:lastColumn="0" w:oddVBand="0" w:evenVBand="0" w:oddHBand="0" w:evenHBand="0" w:firstRowFirstColumn="0" w:firstRowLastColumn="0" w:lastRowFirstColumn="0" w:lastRowLastColumn="0"/>
              <w:rPr>
                <w:lang w:val="sk-SK"/>
              </w:rPr>
            </w:pPr>
            <w:bookmarkStart w:id="119" w:name="_Ref3829555"/>
            <w:bookmarkStart w:id="120" w:name="_Toc34226894"/>
            <w:r w:rsidRPr="000939E3">
              <w:rPr>
                <w:lang w:val="sk-SK"/>
              </w:rPr>
              <w:t xml:space="preserve">Graf </w:t>
            </w:r>
            <w:r w:rsidR="000B0EF7" w:rsidRPr="000939E3">
              <w:fldChar w:fldCharType="begin"/>
            </w:r>
            <w:r w:rsidR="000B0EF7" w:rsidRPr="000939E3">
              <w:rPr>
                <w:lang w:val="sk-SK"/>
              </w:rPr>
              <w:instrText xml:space="preserve"> SEQ Graf \* ARABIC </w:instrText>
            </w:r>
            <w:r w:rsidR="000B0EF7" w:rsidRPr="000939E3">
              <w:fldChar w:fldCharType="separate"/>
            </w:r>
            <w:r w:rsidR="00BF69CA">
              <w:rPr>
                <w:noProof/>
                <w:lang w:val="sk-SK"/>
              </w:rPr>
              <w:t>23</w:t>
            </w:r>
            <w:r w:rsidR="000B0EF7" w:rsidRPr="000939E3">
              <w:fldChar w:fldCharType="end"/>
            </w:r>
            <w:bookmarkEnd w:id="119"/>
            <w:r w:rsidRPr="000939E3">
              <w:rPr>
                <w:lang w:val="sk-SK"/>
              </w:rPr>
              <w:t>:</w:t>
            </w:r>
            <w:r w:rsidRPr="000939E3">
              <w:rPr>
                <w:rFonts w:eastAsia="Times New Roman" w:cs="Times New Roman"/>
                <w:color w:val="000000"/>
                <w:lang w:val="sk-SK"/>
              </w:rPr>
              <w:t xml:space="preserve"> </w:t>
            </w:r>
            <w:r w:rsidRPr="000939E3">
              <w:rPr>
                <w:rStyle w:val="Bodytext295pt"/>
                <w:lang w:val="sk-SK"/>
              </w:rPr>
              <w:t xml:space="preserve">Bodový zisk vzdelaných </w:t>
            </w:r>
            <w:r w:rsidR="00137B6D" w:rsidRPr="000939E3">
              <w:rPr>
                <w:rStyle w:val="Bodytext295pt"/>
                <w:lang w:val="sk-SK"/>
              </w:rPr>
              <w:t xml:space="preserve">verejných </w:t>
            </w:r>
            <w:r w:rsidRPr="000939E3">
              <w:rPr>
                <w:rStyle w:val="Bodytext295pt"/>
                <w:lang w:val="sk-SK"/>
              </w:rPr>
              <w:t>zamestnancov v testovaní zručností PIAAC (2013)</w:t>
            </w:r>
            <w:bookmarkEnd w:id="120"/>
          </w:p>
        </w:tc>
      </w:tr>
      <w:tr w:rsidR="0004409E" w:rsidRPr="000939E3" w14:paraId="15B7124C" w14:textId="77777777" w:rsidTr="00063515">
        <w:trPr>
          <w:trHeight w:val="3915"/>
        </w:trPr>
        <w:tc>
          <w:tcPr>
            <w:cnfStyle w:val="001000000000" w:firstRow="0" w:lastRow="0" w:firstColumn="1" w:lastColumn="0" w:oddVBand="0" w:evenVBand="0" w:oddHBand="0" w:evenHBand="0" w:firstRowFirstColumn="0" w:firstRowLastColumn="0" w:lastRowFirstColumn="0" w:lastRowLastColumn="0"/>
            <w:tcW w:w="2423" w:type="pct"/>
            <w:gridSpan w:val="2"/>
            <w:tcBorders>
              <w:top w:val="single" w:sz="4" w:space="0" w:color="auto"/>
              <w:bottom w:val="single" w:sz="4" w:space="0" w:color="auto"/>
            </w:tcBorders>
          </w:tcPr>
          <w:p w14:paraId="61CB91D0" w14:textId="77777777" w:rsidR="0004409E" w:rsidRPr="000939E3" w:rsidRDefault="00063515" w:rsidP="0004409E">
            <w:pPr>
              <w:rPr>
                <w:lang w:val="sk-SK"/>
              </w:rPr>
            </w:pPr>
            <w:r w:rsidRPr="000939E3">
              <w:rPr>
                <w:noProof/>
              </w:rPr>
              <w:drawing>
                <wp:inline distT="0" distB="0" distL="0" distR="0" wp14:anchorId="22EC871E" wp14:editId="263DF891">
                  <wp:extent cx="2699385" cy="2444115"/>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89" w:type="pct"/>
            <w:tcBorders>
              <w:top w:val="nil"/>
              <w:bottom w:val="nil"/>
            </w:tcBorders>
          </w:tcPr>
          <w:p w14:paraId="59A5B6D2" w14:textId="77777777" w:rsidR="0004409E" w:rsidRPr="000939E3" w:rsidDel="007361C3" w:rsidRDefault="0004409E" w:rsidP="0004409E">
            <w:pPr>
              <w:cnfStyle w:val="000000000000" w:firstRow="0" w:lastRow="0" w:firstColumn="0" w:lastColumn="0" w:oddVBand="0" w:evenVBand="0" w:oddHBand="0" w:evenHBand="0" w:firstRowFirstColumn="0" w:firstRowLastColumn="0" w:lastRowFirstColumn="0" w:lastRowLastColumn="0"/>
              <w:rPr>
                <w:noProof/>
                <w:lang w:val="sk-SK"/>
              </w:rPr>
            </w:pPr>
          </w:p>
        </w:tc>
        <w:tc>
          <w:tcPr>
            <w:tcW w:w="2488" w:type="pct"/>
            <w:tcBorders>
              <w:top w:val="single" w:sz="4" w:space="0" w:color="auto"/>
              <w:bottom w:val="single" w:sz="4" w:space="0" w:color="auto"/>
            </w:tcBorders>
          </w:tcPr>
          <w:p w14:paraId="45638376" w14:textId="77777777" w:rsidR="0004409E" w:rsidRPr="000939E3" w:rsidDel="007361C3" w:rsidRDefault="0004409E" w:rsidP="0004409E">
            <w:pPr>
              <w:cnfStyle w:val="000000000000" w:firstRow="0" w:lastRow="0" w:firstColumn="0" w:lastColumn="0" w:oddVBand="0" w:evenVBand="0" w:oddHBand="0" w:evenHBand="0" w:firstRowFirstColumn="0" w:firstRowLastColumn="0" w:lastRowFirstColumn="0" w:lastRowLastColumn="0"/>
              <w:rPr>
                <w:noProof/>
                <w:lang w:val="sk-SK"/>
              </w:rPr>
            </w:pPr>
            <w:r w:rsidRPr="000939E3">
              <w:rPr>
                <w:noProof/>
              </w:rPr>
              <w:drawing>
                <wp:inline distT="0" distB="0" distL="0" distR="0" wp14:anchorId="46A249F2" wp14:editId="1EDC7FB4">
                  <wp:extent cx="2762250" cy="2514600"/>
                  <wp:effectExtent l="0" t="0" r="0" b="0"/>
                  <wp:docPr id="234" name="Graf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175AF6" w:rsidRPr="000939E3" w14:paraId="55B27351" w14:textId="77777777" w:rsidTr="00175AF6">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211" w:type="pct"/>
          </w:tcPr>
          <w:p w14:paraId="2B45AB94" w14:textId="77777777" w:rsidR="00175AF6" w:rsidRPr="000939E3" w:rsidDel="007361C3" w:rsidRDefault="00175AF6" w:rsidP="00794AE0">
            <w:pPr>
              <w:jc w:val="left"/>
              <w:rPr>
                <w:b w:val="0"/>
                <w:bCs w:val="0"/>
                <w:noProof/>
                <w:sz w:val="18"/>
                <w:szCs w:val="18"/>
                <w:lang w:val="sk-SK"/>
              </w:rPr>
            </w:pPr>
            <w:r w:rsidRPr="000939E3">
              <w:rPr>
                <w:rFonts w:eastAsia="Times New Roman" w:cs="Times New Roman"/>
                <w:b w:val="0"/>
                <w:sz w:val="18"/>
                <w:lang w:val="sk-SK"/>
              </w:rPr>
              <w:t>Pozn</w:t>
            </w:r>
            <w:r w:rsidR="00794AE0" w:rsidRPr="000939E3">
              <w:rPr>
                <w:rFonts w:eastAsia="Times New Roman" w:cs="Times New Roman"/>
                <w:b w:val="0"/>
                <w:sz w:val="18"/>
                <w:lang w:val="sk-SK"/>
              </w:rPr>
              <w:t>.</w:t>
            </w:r>
            <w:r w:rsidRPr="000939E3">
              <w:rPr>
                <w:rFonts w:eastAsia="Times New Roman" w:cs="Times New Roman"/>
                <w:b w:val="0"/>
                <w:sz w:val="18"/>
                <w:lang w:val="sk-SK"/>
              </w:rPr>
              <w:t xml:space="preserve">: </w:t>
            </w:r>
            <w:r w:rsidR="00794AE0" w:rsidRPr="000939E3">
              <w:rPr>
                <w:rFonts w:eastAsia="Times New Roman" w:cs="Times New Roman"/>
                <w:b w:val="0"/>
                <w:sz w:val="18"/>
                <w:lang w:val="sk-SK"/>
              </w:rPr>
              <w:t>B</w:t>
            </w:r>
            <w:r w:rsidRPr="000939E3">
              <w:rPr>
                <w:rFonts w:eastAsia="Times New Roman" w:cs="Times New Roman"/>
                <w:b w:val="0"/>
                <w:sz w:val="18"/>
                <w:lang w:val="sk-SK"/>
              </w:rPr>
              <w:t>ez ozbrojených zložiek</w:t>
            </w:r>
          </w:p>
        </w:tc>
        <w:tc>
          <w:tcPr>
            <w:tcW w:w="1212" w:type="pct"/>
          </w:tcPr>
          <w:p w14:paraId="2AD4088F" w14:textId="77777777" w:rsidR="00175AF6" w:rsidRPr="000939E3" w:rsidDel="007361C3" w:rsidRDefault="00175AF6" w:rsidP="0004409E">
            <w:pPr>
              <w:jc w:val="right"/>
              <w:cnfStyle w:val="010000000000" w:firstRow="0" w:lastRow="1" w:firstColumn="0" w:lastColumn="0" w:oddVBand="0" w:evenVBand="0" w:oddHBand="0" w:evenHBand="0" w:firstRowFirstColumn="0" w:firstRowLastColumn="0" w:lastRowFirstColumn="0" w:lastRowLastColumn="0"/>
              <w:rPr>
                <w:noProof/>
                <w:sz w:val="18"/>
                <w:szCs w:val="18"/>
                <w:lang w:val="sk-SK"/>
              </w:rPr>
            </w:pPr>
            <w:r w:rsidRPr="000939E3">
              <w:rPr>
                <w:rFonts w:eastAsia="Times New Roman" w:cs="Times New Roman"/>
                <w:sz w:val="18"/>
                <w:szCs w:val="18"/>
                <w:lang w:val="sk-SK"/>
              </w:rPr>
              <w:t>Zdroj: ISCP, prepočty ÚHP</w:t>
            </w:r>
          </w:p>
        </w:tc>
        <w:tc>
          <w:tcPr>
            <w:tcW w:w="89" w:type="pct"/>
            <w:tcBorders>
              <w:top w:val="nil"/>
            </w:tcBorders>
          </w:tcPr>
          <w:p w14:paraId="23592DD8" w14:textId="77777777" w:rsidR="00175AF6" w:rsidRPr="000939E3" w:rsidDel="007361C3" w:rsidRDefault="00175AF6" w:rsidP="0004409E">
            <w:pPr>
              <w:cnfStyle w:val="010000000000" w:firstRow="0" w:lastRow="1" w:firstColumn="0" w:lastColumn="0" w:oddVBand="0" w:evenVBand="0" w:oddHBand="0" w:evenHBand="0" w:firstRowFirstColumn="0" w:firstRowLastColumn="0" w:lastRowFirstColumn="0" w:lastRowLastColumn="0"/>
              <w:rPr>
                <w:noProof/>
                <w:sz w:val="18"/>
                <w:szCs w:val="18"/>
                <w:lang w:val="sk-SK"/>
              </w:rPr>
            </w:pPr>
          </w:p>
        </w:tc>
        <w:tc>
          <w:tcPr>
            <w:tcW w:w="2488" w:type="pct"/>
          </w:tcPr>
          <w:p w14:paraId="2F406D6B" w14:textId="306E27C2" w:rsidR="00175AF6" w:rsidRPr="000939E3" w:rsidDel="007361C3" w:rsidRDefault="00C13312" w:rsidP="003C6F14">
            <w:pPr>
              <w:jc w:val="right"/>
              <w:cnfStyle w:val="010000000000" w:firstRow="0" w:lastRow="1" w:firstColumn="0" w:lastColumn="0" w:oddVBand="0" w:evenVBand="0" w:oddHBand="0" w:evenHBand="0" w:firstRowFirstColumn="0" w:firstRowLastColumn="0" w:lastRowFirstColumn="0" w:lastRowLastColumn="0"/>
              <w:rPr>
                <w:noProof/>
                <w:sz w:val="18"/>
                <w:szCs w:val="18"/>
                <w:lang w:val="sk-SK"/>
              </w:rPr>
            </w:pPr>
            <w:r w:rsidRPr="000939E3">
              <w:rPr>
                <w:sz w:val="18"/>
                <w:lang w:val="sk-SK"/>
              </w:rPr>
              <w:t xml:space="preserve">Zdroj: </w:t>
            </w:r>
            <w:r w:rsidR="00063515" w:rsidRPr="000939E3">
              <w:rPr>
                <w:sz w:val="18"/>
                <w:lang w:val="sk-SK"/>
              </w:rPr>
              <w:t>PIAAC, OECD</w:t>
            </w:r>
            <w:r w:rsidR="003C6F14" w:rsidRPr="000939E3">
              <w:rPr>
                <w:sz w:val="18"/>
                <w:lang w:val="sk-SK"/>
              </w:rPr>
              <w:t>, prepočty ÚHP</w:t>
            </w:r>
          </w:p>
        </w:tc>
      </w:tr>
    </w:tbl>
    <w:p w14:paraId="559BF39F" w14:textId="266FC6FE" w:rsidR="00EF30A6" w:rsidRPr="000939E3" w:rsidRDefault="005918FD" w:rsidP="00063CCC">
      <w:pPr>
        <w:spacing w:before="240"/>
      </w:pPr>
      <w:r w:rsidRPr="000939E3">
        <w:rPr>
          <w:b/>
        </w:rPr>
        <w:t xml:space="preserve">Pre verejný sektor je typické vyššie vzdelanie zamestnancov. </w:t>
      </w:r>
      <w:r w:rsidRPr="000939E3">
        <w:t>Až 43 % z nich má vysokoškolské vzdelanie, v súkromnom sektore je takých iba 18 % (</w:t>
      </w:r>
      <w:r w:rsidRPr="000939E3">
        <w:fldChar w:fldCharType="begin"/>
      </w:r>
      <w:r w:rsidRPr="000939E3">
        <w:instrText xml:space="preserve"> REF _Ref526698793 \h  \* MERGEFORMAT </w:instrText>
      </w:r>
      <w:r w:rsidRPr="000939E3">
        <w:fldChar w:fldCharType="separate"/>
      </w:r>
      <w:r w:rsidR="00BF69CA" w:rsidRPr="000939E3">
        <w:t xml:space="preserve">Graf </w:t>
      </w:r>
      <w:r w:rsidR="00BF69CA" w:rsidRPr="00BF69CA">
        <w:rPr>
          <w:iCs/>
          <w:noProof/>
        </w:rPr>
        <w:t>22</w:t>
      </w:r>
      <w:r w:rsidRPr="000939E3">
        <w:fldChar w:fldCharType="end"/>
      </w:r>
      <w:r w:rsidRPr="000939E3">
        <w:t>). Takmer tri štvrtiny zamestnancov vo verejnom sektore má aspoň maturitu, v súkromnom je takých približne polovica.</w:t>
      </w:r>
    </w:p>
    <w:tbl>
      <w:tblPr>
        <w:tblStyle w:val="UHPGRAF"/>
        <w:tblW w:w="4963" w:type="pct"/>
        <w:tblLayout w:type="fixed"/>
        <w:tblLook w:val="04A0" w:firstRow="1" w:lastRow="0" w:firstColumn="1" w:lastColumn="0" w:noHBand="0" w:noVBand="1"/>
      </w:tblPr>
      <w:tblGrid>
        <w:gridCol w:w="4537"/>
        <w:gridCol w:w="4468"/>
      </w:tblGrid>
      <w:tr w:rsidR="0004409E" w:rsidRPr="000939E3" w14:paraId="00EEBF73" w14:textId="77777777" w:rsidTr="004651C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vAlign w:val="top"/>
          </w:tcPr>
          <w:p w14:paraId="0048B906" w14:textId="37EE1C0F" w:rsidR="0004409E" w:rsidRPr="000939E3" w:rsidRDefault="0004409E" w:rsidP="004651CC">
            <w:pPr>
              <w:spacing w:after="0"/>
              <w:jc w:val="left"/>
              <w:rPr>
                <w:b w:val="0"/>
                <w:lang w:val="sk-SK"/>
              </w:rPr>
            </w:pPr>
            <w:bookmarkStart w:id="121" w:name="_Ref519253771"/>
            <w:bookmarkStart w:id="122" w:name="_Toc525570818"/>
            <w:bookmarkStart w:id="123" w:name="_Toc34226895"/>
            <w:r w:rsidRPr="000939E3">
              <w:rPr>
                <w:lang w:val="sk-SK"/>
              </w:rPr>
              <w:t xml:space="preserve">Graf </w:t>
            </w:r>
            <w:r w:rsidR="000B0EF7" w:rsidRPr="000939E3">
              <w:fldChar w:fldCharType="begin"/>
            </w:r>
            <w:r w:rsidR="000B0EF7" w:rsidRPr="000939E3">
              <w:rPr>
                <w:lang w:val="sk-SK"/>
              </w:rPr>
              <w:instrText xml:space="preserve"> SEQ Graf \* ARABIC </w:instrText>
            </w:r>
            <w:r w:rsidR="000B0EF7" w:rsidRPr="000939E3">
              <w:fldChar w:fldCharType="separate"/>
            </w:r>
            <w:r w:rsidR="00BF69CA">
              <w:rPr>
                <w:noProof/>
                <w:lang w:val="sk-SK"/>
              </w:rPr>
              <w:t>24</w:t>
            </w:r>
            <w:r w:rsidR="000B0EF7" w:rsidRPr="000939E3">
              <w:fldChar w:fldCharType="end"/>
            </w:r>
            <w:bookmarkEnd w:id="121"/>
            <w:r w:rsidR="007B4D5C" w:rsidRPr="000939E3">
              <w:rPr>
                <w:noProof/>
                <w:lang w:val="sk-SK"/>
              </w:rPr>
              <w:t>:</w:t>
            </w:r>
            <w:r w:rsidRPr="000939E3">
              <w:rPr>
                <w:rStyle w:val="Bodytext295pt"/>
                <w:lang w:val="sk-SK"/>
              </w:rPr>
              <w:t xml:space="preserve"> </w:t>
            </w:r>
            <w:r w:rsidRPr="000939E3">
              <w:rPr>
                <w:rStyle w:val="Bodytext295pt"/>
                <w:iCs w:val="0"/>
                <w:lang w:val="sk-SK"/>
              </w:rPr>
              <w:t>Bodový</w:t>
            </w:r>
            <w:r w:rsidRPr="000939E3">
              <w:rPr>
                <w:rStyle w:val="Bodytext295pt"/>
                <w:lang w:val="sk-SK"/>
              </w:rPr>
              <w:t xml:space="preserve"> rozdiel v testovaní zručností PIAAC medzi skóre VŠ vzdelaných zamestnancov</w:t>
            </w:r>
            <w:r w:rsidR="00F253A6" w:rsidRPr="000939E3">
              <w:rPr>
                <w:rStyle w:val="Bodytext295pt"/>
                <w:lang w:val="sk-SK"/>
              </w:rPr>
              <w:t>:</w:t>
            </w:r>
            <w:r w:rsidRPr="000939E3">
              <w:rPr>
                <w:rStyle w:val="Bodytext295pt"/>
                <w:lang w:val="sk-SK"/>
              </w:rPr>
              <w:t xml:space="preserve"> súkrom</w:t>
            </w:r>
            <w:r w:rsidR="00F253A6" w:rsidRPr="000939E3">
              <w:rPr>
                <w:rStyle w:val="Bodytext295pt"/>
                <w:lang w:val="sk-SK"/>
              </w:rPr>
              <w:t>ný sektor – verejný sektor</w:t>
            </w:r>
            <w:r w:rsidRPr="000939E3">
              <w:rPr>
                <w:rStyle w:val="Bodytext295pt"/>
                <w:lang w:val="sk-SK"/>
              </w:rPr>
              <w:t xml:space="preserve"> (2013)</w:t>
            </w:r>
            <w:bookmarkEnd w:id="122"/>
            <w:bookmarkEnd w:id="123"/>
          </w:p>
        </w:tc>
      </w:tr>
      <w:tr w:rsidR="0004409E" w:rsidRPr="000939E3" w14:paraId="0566546A" w14:textId="77777777" w:rsidTr="0004409E">
        <w:trPr>
          <w:trHeight w:val="20"/>
        </w:trPr>
        <w:tc>
          <w:tcPr>
            <w:cnfStyle w:val="001000000000" w:firstRow="0" w:lastRow="0" w:firstColumn="1" w:lastColumn="0" w:oddVBand="0" w:evenVBand="0" w:oddHBand="0" w:evenHBand="0" w:firstRowFirstColumn="0" w:firstRowLastColumn="0" w:lastRowFirstColumn="0" w:lastRowLastColumn="0"/>
            <w:tcW w:w="2519" w:type="pct"/>
          </w:tcPr>
          <w:p w14:paraId="62334EF5" w14:textId="77777777" w:rsidR="0004409E" w:rsidRPr="000939E3" w:rsidRDefault="0004409E" w:rsidP="00783F9C">
            <w:pPr>
              <w:ind w:left="34"/>
              <w:jc w:val="center"/>
              <w:rPr>
                <w:noProof/>
                <w:lang w:val="sk-SK"/>
              </w:rPr>
            </w:pPr>
            <w:r w:rsidRPr="000939E3">
              <w:rPr>
                <w:lang w:val="sk-SK"/>
              </w:rPr>
              <w:t>muži</w:t>
            </w:r>
          </w:p>
        </w:tc>
        <w:tc>
          <w:tcPr>
            <w:tcW w:w="2481" w:type="pct"/>
          </w:tcPr>
          <w:p w14:paraId="6568ED59" w14:textId="77777777" w:rsidR="0004409E" w:rsidRPr="000939E3" w:rsidRDefault="0004409E" w:rsidP="00783F9C">
            <w:pPr>
              <w:ind w:left="317"/>
              <w:jc w:val="center"/>
              <w:cnfStyle w:val="000000000000" w:firstRow="0" w:lastRow="0" w:firstColumn="0" w:lastColumn="0" w:oddVBand="0" w:evenVBand="0" w:oddHBand="0" w:evenHBand="0" w:firstRowFirstColumn="0" w:firstRowLastColumn="0" w:lastRowFirstColumn="0" w:lastRowLastColumn="0"/>
              <w:rPr>
                <w:noProof/>
                <w:lang w:val="sk-SK"/>
              </w:rPr>
            </w:pPr>
            <w:r w:rsidRPr="000939E3">
              <w:rPr>
                <w:b/>
                <w:lang w:val="sk-SK"/>
              </w:rPr>
              <w:t>ženy</w:t>
            </w:r>
          </w:p>
        </w:tc>
      </w:tr>
      <w:tr w:rsidR="0004409E" w:rsidRPr="000939E3" w14:paraId="285207E0" w14:textId="77777777" w:rsidTr="0004409E">
        <w:tblPrEx>
          <w:tblCellMar>
            <w:left w:w="70" w:type="dxa"/>
            <w:right w:w="70"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2519" w:type="pct"/>
            <w:tcBorders>
              <w:bottom w:val="single" w:sz="4" w:space="0" w:color="auto"/>
            </w:tcBorders>
          </w:tcPr>
          <w:p w14:paraId="41C11B42" w14:textId="77777777" w:rsidR="0004409E" w:rsidRPr="000939E3" w:rsidRDefault="0004409E" w:rsidP="0004409E">
            <w:pPr>
              <w:jc w:val="center"/>
              <w:rPr>
                <w:sz w:val="14"/>
                <w:szCs w:val="14"/>
                <w:lang w:val="sk-SK"/>
              </w:rPr>
            </w:pPr>
            <w:r w:rsidRPr="000939E3">
              <w:rPr>
                <w:noProof/>
              </w:rPr>
              <w:drawing>
                <wp:inline distT="0" distB="0" distL="0" distR="0" wp14:anchorId="035A6F62" wp14:editId="45CB7416">
                  <wp:extent cx="2743835" cy="1610436"/>
                  <wp:effectExtent l="0" t="0" r="0" b="8890"/>
                  <wp:docPr id="235" name="Graf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2481" w:type="pct"/>
            <w:tcBorders>
              <w:bottom w:val="single" w:sz="4" w:space="0" w:color="auto"/>
            </w:tcBorders>
          </w:tcPr>
          <w:p w14:paraId="283F8806" w14:textId="77777777" w:rsidR="0004409E" w:rsidRPr="000939E3" w:rsidRDefault="0004409E" w:rsidP="0004409E">
            <w:pPr>
              <w:jc w:val="left"/>
              <w:cnfStyle w:val="000000000000" w:firstRow="0" w:lastRow="0" w:firstColumn="0" w:lastColumn="0" w:oddVBand="0" w:evenVBand="0" w:oddHBand="0" w:evenHBand="0" w:firstRowFirstColumn="0" w:firstRowLastColumn="0" w:lastRowFirstColumn="0" w:lastRowLastColumn="0"/>
              <w:rPr>
                <w:lang w:val="sk-SK"/>
              </w:rPr>
            </w:pPr>
            <w:r w:rsidRPr="000939E3">
              <w:rPr>
                <w:noProof/>
              </w:rPr>
              <w:drawing>
                <wp:inline distT="0" distB="0" distL="0" distR="0" wp14:anchorId="3BB18E8D" wp14:editId="619D1FA8">
                  <wp:extent cx="2748280" cy="1637731"/>
                  <wp:effectExtent l="0" t="0" r="0" b="635"/>
                  <wp:docPr id="245" name="Graf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04409E" w:rsidRPr="000939E3" w14:paraId="4E9D36B4" w14:textId="77777777" w:rsidTr="0004409E">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bottom w:val="nil"/>
            </w:tcBorders>
          </w:tcPr>
          <w:p w14:paraId="6E04F0F7" w14:textId="34052F5A" w:rsidR="0004409E" w:rsidRPr="000939E3" w:rsidRDefault="0004409E" w:rsidP="0004409E">
            <w:pPr>
              <w:jc w:val="right"/>
              <w:rPr>
                <w:b w:val="0"/>
                <w:i/>
                <w:noProof/>
                <w:lang w:val="sk-SK"/>
              </w:rPr>
            </w:pPr>
            <w:r w:rsidRPr="000939E3">
              <w:rPr>
                <w:b w:val="0"/>
                <w:i/>
                <w:sz w:val="18"/>
                <w:lang w:val="sk-SK"/>
              </w:rPr>
              <w:t xml:space="preserve">Zdroj: </w:t>
            </w:r>
            <w:r w:rsidR="003C6F14" w:rsidRPr="000939E3">
              <w:rPr>
                <w:b w:val="0"/>
                <w:i/>
                <w:sz w:val="18"/>
                <w:lang w:val="sk-SK"/>
              </w:rPr>
              <w:t>PIAAC, OECD, prepočty ÚHP</w:t>
            </w:r>
          </w:p>
        </w:tc>
      </w:tr>
    </w:tbl>
    <w:p w14:paraId="6BBE33AF" w14:textId="49AE04B2" w:rsidR="005918FD" w:rsidRPr="000939E3" w:rsidRDefault="005918FD" w:rsidP="00794AE0">
      <w:pPr>
        <w:spacing w:before="240"/>
        <w:rPr>
          <w:b/>
        </w:rPr>
      </w:pPr>
      <w:r w:rsidRPr="000939E3">
        <w:rPr>
          <w:b/>
        </w:rPr>
        <w:lastRenderedPageBreak/>
        <w:t>Zamestnanci verejného sektora s vysokou školou sú ale menej šikovní ako ich kolegovia v súkromnom sektore. Medzera v zručnostiach patrí medzi najväčšie v EÚ, hlavne v prípade mužov</w:t>
      </w:r>
      <w:r w:rsidR="00FD2C91" w:rsidRPr="000939E3">
        <w:t>. Ukazujú to dáta z </w:t>
      </w:r>
      <w:r w:rsidRPr="000939E3">
        <w:t>medzinárodného merania PIAAC z roku 2013 merajúceho čitateľskú a numerickú gramotnosť a využívanie informačných technológií pri riešení problémov (</w:t>
      </w:r>
      <w:r w:rsidRPr="000939E3">
        <w:fldChar w:fldCharType="begin"/>
      </w:r>
      <w:r w:rsidRPr="000939E3">
        <w:instrText xml:space="preserve"> REF _Ref519253771 \h </w:instrText>
      </w:r>
      <w:r w:rsidR="00DC481D" w:rsidRPr="000939E3">
        <w:instrText xml:space="preserve"> \* MERGEFORMAT </w:instrText>
      </w:r>
      <w:r w:rsidRPr="000939E3">
        <w:fldChar w:fldCharType="separate"/>
      </w:r>
      <w:r w:rsidR="00BF69CA" w:rsidRPr="000939E3">
        <w:t xml:space="preserve">Graf </w:t>
      </w:r>
      <w:r w:rsidR="00BF69CA">
        <w:rPr>
          <w:noProof/>
        </w:rPr>
        <w:t>24</w:t>
      </w:r>
      <w:r w:rsidRPr="000939E3">
        <w:fldChar w:fldCharType="end"/>
      </w:r>
      <w:r w:rsidRPr="000939E3">
        <w:t xml:space="preserve">). Rozdiel u žien je nižší, ale stále nadpriemerný. Nižšia kvalita zamestnancov môže viesť k nižšej schopnosti riešiť problémy vlastnými kapacitami a k nutnosti využívať externé služby dodávateľov na časť zložitejšej agendy. </w:t>
      </w:r>
      <w:r w:rsidRPr="000939E3">
        <w:rPr>
          <w:b/>
        </w:rPr>
        <w:t>Verejní zamestnanci na Slovensku sú však porovnateľne šikovní ako zahraniční kolegovia (</w:t>
      </w:r>
      <w:r w:rsidRPr="000939E3">
        <w:rPr>
          <w:b/>
        </w:rPr>
        <w:fldChar w:fldCharType="begin"/>
      </w:r>
      <w:r w:rsidRPr="000939E3">
        <w:rPr>
          <w:b/>
        </w:rPr>
        <w:instrText xml:space="preserve"> REF _Ref3829555 \h  \* MERGEFORMAT </w:instrText>
      </w:r>
      <w:r w:rsidRPr="000939E3">
        <w:rPr>
          <w:b/>
        </w:rPr>
      </w:r>
      <w:r w:rsidRPr="000939E3">
        <w:rPr>
          <w:b/>
        </w:rPr>
        <w:fldChar w:fldCharType="separate"/>
      </w:r>
      <w:r w:rsidR="00BF69CA" w:rsidRPr="00BF69CA">
        <w:rPr>
          <w:b/>
        </w:rPr>
        <w:t xml:space="preserve">Graf </w:t>
      </w:r>
      <w:r w:rsidR="00BF69CA" w:rsidRPr="00BF69CA">
        <w:rPr>
          <w:b/>
          <w:noProof/>
        </w:rPr>
        <w:t>23</w:t>
      </w:r>
      <w:r w:rsidRPr="000939E3">
        <w:rPr>
          <w:b/>
        </w:rPr>
        <w:fldChar w:fldCharType="end"/>
      </w:r>
      <w:r w:rsidRPr="000939E3">
        <w:rPr>
          <w:b/>
        </w:rPr>
        <w:t>).</w:t>
      </w:r>
    </w:p>
    <w:p w14:paraId="6531E27E" w14:textId="1B37047E" w:rsidR="00640FA5" w:rsidRPr="000939E3" w:rsidRDefault="00640FA5" w:rsidP="009C2681">
      <w:pPr>
        <w:pStyle w:val="Odsekzoznamu"/>
        <w:tabs>
          <w:tab w:val="left" w:pos="284"/>
        </w:tabs>
        <w:spacing w:before="120"/>
        <w:ind w:left="0"/>
        <w:contextualSpacing w:val="0"/>
        <w:jc w:val="both"/>
      </w:pPr>
      <w:r w:rsidRPr="000939E3">
        <w:rPr>
          <w:b/>
        </w:rPr>
        <w:t>Slovenskí úradníci majú vo väčšej miere ako je zvykom v EÚ ukončený druhý stupeň VŠ vzdelania</w:t>
      </w:r>
      <w:r w:rsidR="00C9695F" w:rsidRPr="000939E3">
        <w:rPr>
          <w:b/>
        </w:rPr>
        <w:t>, čo môže naznačovať nesúlad medzi náplňou práce a požadovaným vzdelaním</w:t>
      </w:r>
      <w:r w:rsidRPr="000939E3">
        <w:rPr>
          <w:b/>
        </w:rPr>
        <w:t>.</w:t>
      </w:r>
      <w:r w:rsidRPr="000939E3">
        <w:t xml:space="preserve"> V podiele pracovníkov s VŠ vzdelaním druhého a vyššieho stupňa (nad 4r.) predbiehajú slovenskí úradníci aj ČR. Naopak, vysokoškolské vzdelanie prvého stupňa (do 4r.) zatiaľ medzi slovenskými úradníkmi nie je obvyklé (</w:t>
      </w:r>
      <w:r w:rsidRPr="000939E3">
        <w:fldChar w:fldCharType="begin"/>
      </w:r>
      <w:r w:rsidRPr="000939E3">
        <w:instrText xml:space="preserve"> REF _Ref4685245 \h  \* MERGEFORMAT </w:instrText>
      </w:r>
      <w:r w:rsidRPr="000939E3">
        <w:fldChar w:fldCharType="separate"/>
      </w:r>
      <w:r w:rsidR="00BF69CA" w:rsidRPr="00BF69CA">
        <w:t xml:space="preserve">Tabuľka </w:t>
      </w:r>
      <w:r w:rsidR="00BF69CA" w:rsidRPr="00BF69CA">
        <w:rPr>
          <w:noProof/>
        </w:rPr>
        <w:t>2</w:t>
      </w:r>
      <w:r w:rsidRPr="000939E3">
        <w:fldChar w:fldCharType="end"/>
      </w:r>
      <w:r w:rsidRPr="000939E3">
        <w:t>).</w:t>
      </w:r>
      <w:r w:rsidR="00C9695F" w:rsidRPr="000939E3">
        <w:t xml:space="preserve"> </w:t>
      </w:r>
    </w:p>
    <w:tbl>
      <w:tblPr>
        <w:tblW w:w="9139" w:type="dxa"/>
        <w:tblLayout w:type="fixed"/>
        <w:tblCellMar>
          <w:left w:w="30" w:type="dxa"/>
          <w:right w:w="30" w:type="dxa"/>
        </w:tblCellMar>
        <w:tblLook w:val="0000" w:firstRow="0" w:lastRow="0" w:firstColumn="0" w:lastColumn="0" w:noHBand="0" w:noVBand="0"/>
      </w:tblPr>
      <w:tblGrid>
        <w:gridCol w:w="1164"/>
        <w:gridCol w:w="886"/>
        <w:gridCol w:w="886"/>
        <w:gridCol w:w="886"/>
        <w:gridCol w:w="886"/>
        <w:gridCol w:w="886"/>
        <w:gridCol w:w="886"/>
        <w:gridCol w:w="886"/>
        <w:gridCol w:w="886"/>
        <w:gridCol w:w="887"/>
      </w:tblGrid>
      <w:tr w:rsidR="00640FA5" w:rsidRPr="000939E3" w14:paraId="133DA505" w14:textId="77777777" w:rsidTr="004651CC">
        <w:trPr>
          <w:trHeight w:val="287"/>
        </w:trPr>
        <w:tc>
          <w:tcPr>
            <w:tcW w:w="9139" w:type="dxa"/>
            <w:gridSpan w:val="10"/>
            <w:tcBorders>
              <w:top w:val="nil"/>
              <w:left w:val="nil"/>
              <w:bottom w:val="single" w:sz="6" w:space="0" w:color="auto"/>
              <w:right w:val="nil"/>
            </w:tcBorders>
            <w:vAlign w:val="center"/>
          </w:tcPr>
          <w:p w14:paraId="45CAE19A" w14:textId="70EE79DA" w:rsidR="00640FA5" w:rsidRPr="000939E3" w:rsidRDefault="00640FA5" w:rsidP="004651CC">
            <w:pPr>
              <w:autoSpaceDE w:val="0"/>
              <w:autoSpaceDN w:val="0"/>
              <w:adjustRightInd w:val="0"/>
              <w:spacing w:after="0" w:line="240" w:lineRule="auto"/>
              <w:jc w:val="left"/>
              <w:rPr>
                <w:rFonts w:cs="Calibri"/>
                <w:b/>
                <w:bCs/>
                <w:color w:val="000000"/>
                <w:sz w:val="20"/>
                <w:szCs w:val="20"/>
              </w:rPr>
            </w:pPr>
            <w:bookmarkStart w:id="124" w:name="_Ref4685245"/>
            <w:bookmarkStart w:id="125" w:name="_Toc34226935"/>
            <w:r w:rsidRPr="000939E3">
              <w:rPr>
                <w:b/>
                <w:sz w:val="20"/>
              </w:rPr>
              <w:t xml:space="preserve">Tabuľka </w:t>
            </w:r>
            <w:r w:rsidRPr="000939E3">
              <w:rPr>
                <w:b/>
                <w:sz w:val="20"/>
              </w:rPr>
              <w:fldChar w:fldCharType="begin"/>
            </w:r>
            <w:r w:rsidRPr="000939E3">
              <w:rPr>
                <w:b/>
                <w:sz w:val="20"/>
              </w:rPr>
              <w:instrText xml:space="preserve"> SEQ Tabuľka \* ARABIC </w:instrText>
            </w:r>
            <w:r w:rsidRPr="000939E3">
              <w:rPr>
                <w:b/>
                <w:sz w:val="20"/>
              </w:rPr>
              <w:fldChar w:fldCharType="separate"/>
            </w:r>
            <w:r w:rsidR="00BF69CA">
              <w:rPr>
                <w:b/>
                <w:noProof/>
                <w:sz w:val="20"/>
              </w:rPr>
              <w:t>2</w:t>
            </w:r>
            <w:r w:rsidRPr="000939E3">
              <w:rPr>
                <w:b/>
                <w:sz w:val="20"/>
              </w:rPr>
              <w:fldChar w:fldCharType="end"/>
            </w:r>
            <w:bookmarkEnd w:id="124"/>
            <w:r w:rsidRPr="000939E3">
              <w:rPr>
                <w:b/>
                <w:sz w:val="20"/>
              </w:rPr>
              <w:t xml:space="preserve">: </w:t>
            </w:r>
            <w:r w:rsidRPr="000939E3">
              <w:rPr>
                <w:rFonts w:cs="Calibri"/>
                <w:b/>
                <w:bCs/>
                <w:color w:val="000000"/>
                <w:sz w:val="20"/>
                <w:szCs w:val="20"/>
              </w:rPr>
              <w:t>Podiel dosiahnutého vzdelania úradníkov (SES 2014)</w:t>
            </w:r>
            <w:bookmarkEnd w:id="125"/>
          </w:p>
        </w:tc>
      </w:tr>
      <w:tr w:rsidR="00640FA5" w:rsidRPr="000939E3" w14:paraId="4DBA8D4A" w14:textId="77777777" w:rsidTr="001B6DA0">
        <w:trPr>
          <w:trHeight w:val="287"/>
        </w:trPr>
        <w:tc>
          <w:tcPr>
            <w:tcW w:w="1164" w:type="dxa"/>
            <w:tcBorders>
              <w:top w:val="nil"/>
              <w:left w:val="nil"/>
              <w:bottom w:val="nil"/>
              <w:right w:val="single" w:sz="6" w:space="0" w:color="auto"/>
            </w:tcBorders>
          </w:tcPr>
          <w:p w14:paraId="3EF05CA6"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p>
        </w:tc>
        <w:tc>
          <w:tcPr>
            <w:tcW w:w="2658" w:type="dxa"/>
            <w:gridSpan w:val="3"/>
            <w:tcBorders>
              <w:top w:val="nil"/>
              <w:left w:val="single" w:sz="6" w:space="0" w:color="auto"/>
              <w:bottom w:val="single" w:sz="6" w:space="0" w:color="auto"/>
              <w:right w:val="single" w:sz="6" w:space="0" w:color="auto"/>
            </w:tcBorders>
            <w:vAlign w:val="center"/>
          </w:tcPr>
          <w:p w14:paraId="261F301C" w14:textId="77777777" w:rsidR="00640FA5" w:rsidRPr="000939E3" w:rsidRDefault="00640FA5" w:rsidP="001B6DA0">
            <w:pPr>
              <w:autoSpaceDE w:val="0"/>
              <w:autoSpaceDN w:val="0"/>
              <w:adjustRightInd w:val="0"/>
              <w:spacing w:after="0" w:line="240" w:lineRule="auto"/>
              <w:jc w:val="center"/>
              <w:rPr>
                <w:rFonts w:cs="Calibri"/>
                <w:b/>
                <w:bCs/>
                <w:color w:val="000000"/>
                <w:sz w:val="20"/>
                <w:szCs w:val="20"/>
              </w:rPr>
            </w:pPr>
            <w:r w:rsidRPr="000939E3">
              <w:rPr>
                <w:rFonts w:cs="Calibri"/>
                <w:b/>
                <w:bCs/>
                <w:color w:val="000000"/>
                <w:sz w:val="20"/>
                <w:szCs w:val="20"/>
              </w:rPr>
              <w:t>Zákonodarcovia, riadiaci pracovníci</w:t>
            </w:r>
          </w:p>
        </w:tc>
        <w:tc>
          <w:tcPr>
            <w:tcW w:w="2658" w:type="dxa"/>
            <w:gridSpan w:val="3"/>
            <w:tcBorders>
              <w:top w:val="nil"/>
              <w:left w:val="single" w:sz="6" w:space="0" w:color="auto"/>
              <w:bottom w:val="single" w:sz="6" w:space="0" w:color="auto"/>
              <w:right w:val="single" w:sz="6" w:space="0" w:color="auto"/>
            </w:tcBorders>
            <w:vAlign w:val="center"/>
          </w:tcPr>
          <w:p w14:paraId="158579EA" w14:textId="77777777" w:rsidR="00640FA5" w:rsidRPr="000939E3" w:rsidRDefault="00640FA5" w:rsidP="001B6DA0">
            <w:pPr>
              <w:autoSpaceDE w:val="0"/>
              <w:autoSpaceDN w:val="0"/>
              <w:adjustRightInd w:val="0"/>
              <w:spacing w:after="0" w:line="240" w:lineRule="auto"/>
              <w:jc w:val="center"/>
              <w:rPr>
                <w:rFonts w:cs="Calibri"/>
                <w:b/>
                <w:bCs/>
                <w:color w:val="000000"/>
                <w:sz w:val="20"/>
                <w:szCs w:val="20"/>
              </w:rPr>
            </w:pPr>
            <w:r w:rsidRPr="000939E3">
              <w:rPr>
                <w:rFonts w:cs="Calibri"/>
                <w:b/>
                <w:bCs/>
                <w:color w:val="000000"/>
                <w:sz w:val="20"/>
                <w:szCs w:val="20"/>
              </w:rPr>
              <w:t>Špecialisti, technici a odborní pracovníci</w:t>
            </w:r>
          </w:p>
        </w:tc>
        <w:tc>
          <w:tcPr>
            <w:tcW w:w="2659" w:type="dxa"/>
            <w:gridSpan w:val="3"/>
            <w:tcBorders>
              <w:top w:val="nil"/>
              <w:left w:val="nil"/>
              <w:bottom w:val="single" w:sz="6" w:space="0" w:color="auto"/>
              <w:right w:val="nil"/>
            </w:tcBorders>
            <w:vAlign w:val="center"/>
          </w:tcPr>
          <w:p w14:paraId="3CA2D462" w14:textId="77777777" w:rsidR="00640FA5" w:rsidRPr="000939E3" w:rsidRDefault="00640FA5" w:rsidP="001B6DA0">
            <w:pPr>
              <w:autoSpaceDE w:val="0"/>
              <w:autoSpaceDN w:val="0"/>
              <w:adjustRightInd w:val="0"/>
              <w:spacing w:after="0" w:line="240" w:lineRule="auto"/>
              <w:jc w:val="center"/>
              <w:rPr>
                <w:rFonts w:cs="Calibri"/>
                <w:b/>
                <w:bCs/>
                <w:color w:val="000000"/>
                <w:sz w:val="20"/>
                <w:szCs w:val="20"/>
              </w:rPr>
            </w:pPr>
            <w:r w:rsidRPr="000939E3">
              <w:rPr>
                <w:rFonts w:cs="Calibri"/>
                <w:b/>
                <w:bCs/>
                <w:color w:val="000000"/>
                <w:sz w:val="20"/>
                <w:szCs w:val="20"/>
              </w:rPr>
              <w:t>Administratívni pracovníci</w:t>
            </w:r>
          </w:p>
        </w:tc>
      </w:tr>
      <w:tr w:rsidR="00640FA5" w:rsidRPr="000939E3" w14:paraId="21276EEC" w14:textId="77777777" w:rsidTr="001B6DA0">
        <w:trPr>
          <w:trHeight w:val="287"/>
        </w:trPr>
        <w:tc>
          <w:tcPr>
            <w:tcW w:w="1164" w:type="dxa"/>
            <w:tcBorders>
              <w:top w:val="single" w:sz="6" w:space="0" w:color="auto"/>
              <w:left w:val="nil"/>
              <w:bottom w:val="single" w:sz="6" w:space="0" w:color="auto"/>
              <w:right w:val="single" w:sz="6" w:space="0" w:color="auto"/>
            </w:tcBorders>
          </w:tcPr>
          <w:p w14:paraId="08CB39FC"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p>
        </w:tc>
        <w:tc>
          <w:tcPr>
            <w:tcW w:w="886" w:type="dxa"/>
            <w:tcBorders>
              <w:top w:val="single" w:sz="6" w:space="0" w:color="auto"/>
              <w:left w:val="single" w:sz="6" w:space="0" w:color="auto"/>
              <w:bottom w:val="single" w:sz="6" w:space="0" w:color="auto"/>
              <w:right w:val="nil"/>
            </w:tcBorders>
            <w:vAlign w:val="center"/>
          </w:tcPr>
          <w:p w14:paraId="777C33D0" w14:textId="77777777" w:rsidR="00640FA5" w:rsidRPr="000939E3" w:rsidRDefault="00640FA5" w:rsidP="001B6DA0">
            <w:pPr>
              <w:autoSpaceDE w:val="0"/>
              <w:autoSpaceDN w:val="0"/>
              <w:adjustRightInd w:val="0"/>
              <w:spacing w:after="0" w:line="240" w:lineRule="auto"/>
              <w:jc w:val="center"/>
              <w:rPr>
                <w:rFonts w:cs="Calibri"/>
                <w:b/>
                <w:bCs/>
                <w:color w:val="000000"/>
                <w:sz w:val="20"/>
                <w:szCs w:val="20"/>
              </w:rPr>
            </w:pPr>
            <w:r w:rsidRPr="000939E3">
              <w:rPr>
                <w:rFonts w:cs="Calibri"/>
                <w:b/>
                <w:bCs/>
                <w:color w:val="000000"/>
                <w:sz w:val="20"/>
                <w:szCs w:val="20"/>
              </w:rPr>
              <w:t>SK</w:t>
            </w:r>
          </w:p>
        </w:tc>
        <w:tc>
          <w:tcPr>
            <w:tcW w:w="886" w:type="dxa"/>
            <w:tcBorders>
              <w:top w:val="single" w:sz="6" w:space="0" w:color="auto"/>
              <w:left w:val="nil"/>
              <w:bottom w:val="single" w:sz="6" w:space="0" w:color="auto"/>
              <w:right w:val="nil"/>
            </w:tcBorders>
            <w:vAlign w:val="center"/>
          </w:tcPr>
          <w:p w14:paraId="72DCA666" w14:textId="77777777" w:rsidR="00640FA5" w:rsidRPr="000939E3" w:rsidRDefault="00640FA5" w:rsidP="001B6DA0">
            <w:pPr>
              <w:autoSpaceDE w:val="0"/>
              <w:autoSpaceDN w:val="0"/>
              <w:adjustRightInd w:val="0"/>
              <w:spacing w:after="0" w:line="240" w:lineRule="auto"/>
              <w:jc w:val="center"/>
              <w:rPr>
                <w:rFonts w:cs="Calibri"/>
                <w:b/>
                <w:bCs/>
                <w:color w:val="000000"/>
                <w:sz w:val="20"/>
                <w:szCs w:val="20"/>
              </w:rPr>
            </w:pPr>
            <w:r w:rsidRPr="000939E3">
              <w:rPr>
                <w:rFonts w:cs="Calibri"/>
                <w:b/>
                <w:bCs/>
                <w:color w:val="000000"/>
                <w:sz w:val="20"/>
                <w:szCs w:val="20"/>
              </w:rPr>
              <w:t>CZ</w:t>
            </w:r>
          </w:p>
        </w:tc>
        <w:tc>
          <w:tcPr>
            <w:tcW w:w="886" w:type="dxa"/>
            <w:tcBorders>
              <w:top w:val="single" w:sz="6" w:space="0" w:color="auto"/>
              <w:left w:val="nil"/>
              <w:bottom w:val="single" w:sz="6" w:space="0" w:color="auto"/>
              <w:right w:val="single" w:sz="6" w:space="0" w:color="auto"/>
            </w:tcBorders>
            <w:vAlign w:val="center"/>
          </w:tcPr>
          <w:p w14:paraId="15E8905E" w14:textId="77777777" w:rsidR="00640FA5" w:rsidRPr="000939E3" w:rsidRDefault="00640FA5" w:rsidP="001B6DA0">
            <w:pPr>
              <w:autoSpaceDE w:val="0"/>
              <w:autoSpaceDN w:val="0"/>
              <w:adjustRightInd w:val="0"/>
              <w:spacing w:after="0" w:line="240" w:lineRule="auto"/>
              <w:jc w:val="center"/>
              <w:rPr>
                <w:rFonts w:cs="Calibri"/>
                <w:b/>
                <w:bCs/>
                <w:color w:val="000000"/>
                <w:sz w:val="20"/>
                <w:szCs w:val="20"/>
              </w:rPr>
            </w:pPr>
            <w:r w:rsidRPr="000939E3">
              <w:rPr>
                <w:rFonts w:cs="Calibri"/>
                <w:b/>
                <w:bCs/>
                <w:color w:val="000000"/>
                <w:sz w:val="20"/>
                <w:szCs w:val="20"/>
              </w:rPr>
              <w:t>EÚ</w:t>
            </w:r>
          </w:p>
        </w:tc>
        <w:tc>
          <w:tcPr>
            <w:tcW w:w="886" w:type="dxa"/>
            <w:tcBorders>
              <w:top w:val="single" w:sz="6" w:space="0" w:color="auto"/>
              <w:left w:val="single" w:sz="6" w:space="0" w:color="auto"/>
              <w:bottom w:val="single" w:sz="6" w:space="0" w:color="auto"/>
              <w:right w:val="nil"/>
            </w:tcBorders>
            <w:vAlign w:val="center"/>
          </w:tcPr>
          <w:p w14:paraId="15F71CA0" w14:textId="77777777" w:rsidR="00640FA5" w:rsidRPr="000939E3" w:rsidRDefault="00640FA5" w:rsidP="001B6DA0">
            <w:pPr>
              <w:autoSpaceDE w:val="0"/>
              <w:autoSpaceDN w:val="0"/>
              <w:adjustRightInd w:val="0"/>
              <w:spacing w:after="0" w:line="240" w:lineRule="auto"/>
              <w:jc w:val="center"/>
              <w:rPr>
                <w:rFonts w:cs="Calibri"/>
                <w:b/>
                <w:bCs/>
                <w:color w:val="000000"/>
                <w:sz w:val="20"/>
                <w:szCs w:val="20"/>
              </w:rPr>
            </w:pPr>
            <w:r w:rsidRPr="000939E3">
              <w:rPr>
                <w:rFonts w:cs="Calibri"/>
                <w:b/>
                <w:bCs/>
                <w:color w:val="000000"/>
                <w:sz w:val="20"/>
                <w:szCs w:val="20"/>
              </w:rPr>
              <w:t>SK</w:t>
            </w:r>
          </w:p>
        </w:tc>
        <w:tc>
          <w:tcPr>
            <w:tcW w:w="886" w:type="dxa"/>
            <w:tcBorders>
              <w:top w:val="single" w:sz="6" w:space="0" w:color="auto"/>
              <w:left w:val="nil"/>
              <w:bottom w:val="single" w:sz="6" w:space="0" w:color="auto"/>
              <w:right w:val="nil"/>
            </w:tcBorders>
            <w:vAlign w:val="center"/>
          </w:tcPr>
          <w:p w14:paraId="4411DBA0" w14:textId="77777777" w:rsidR="00640FA5" w:rsidRPr="000939E3" w:rsidRDefault="00640FA5" w:rsidP="001B6DA0">
            <w:pPr>
              <w:autoSpaceDE w:val="0"/>
              <w:autoSpaceDN w:val="0"/>
              <w:adjustRightInd w:val="0"/>
              <w:spacing w:after="0" w:line="240" w:lineRule="auto"/>
              <w:jc w:val="center"/>
              <w:rPr>
                <w:rFonts w:cs="Calibri"/>
                <w:b/>
                <w:bCs/>
                <w:color w:val="000000"/>
                <w:sz w:val="20"/>
                <w:szCs w:val="20"/>
              </w:rPr>
            </w:pPr>
            <w:r w:rsidRPr="000939E3">
              <w:rPr>
                <w:rFonts w:cs="Calibri"/>
                <w:b/>
                <w:bCs/>
                <w:color w:val="000000"/>
                <w:sz w:val="20"/>
                <w:szCs w:val="20"/>
              </w:rPr>
              <w:t>CZ</w:t>
            </w:r>
          </w:p>
        </w:tc>
        <w:tc>
          <w:tcPr>
            <w:tcW w:w="886" w:type="dxa"/>
            <w:tcBorders>
              <w:top w:val="single" w:sz="6" w:space="0" w:color="auto"/>
              <w:left w:val="nil"/>
              <w:bottom w:val="single" w:sz="6" w:space="0" w:color="auto"/>
              <w:right w:val="single" w:sz="6" w:space="0" w:color="auto"/>
            </w:tcBorders>
            <w:vAlign w:val="center"/>
          </w:tcPr>
          <w:p w14:paraId="7C23571F" w14:textId="77777777" w:rsidR="00640FA5" w:rsidRPr="000939E3" w:rsidRDefault="00640FA5" w:rsidP="001B6DA0">
            <w:pPr>
              <w:autoSpaceDE w:val="0"/>
              <w:autoSpaceDN w:val="0"/>
              <w:adjustRightInd w:val="0"/>
              <w:spacing w:after="0" w:line="240" w:lineRule="auto"/>
              <w:jc w:val="center"/>
              <w:rPr>
                <w:rFonts w:cs="Calibri"/>
                <w:b/>
                <w:bCs/>
                <w:color w:val="000000"/>
                <w:sz w:val="20"/>
                <w:szCs w:val="20"/>
              </w:rPr>
            </w:pPr>
            <w:r w:rsidRPr="000939E3">
              <w:rPr>
                <w:rFonts w:cs="Calibri"/>
                <w:b/>
                <w:bCs/>
                <w:color w:val="000000"/>
                <w:sz w:val="20"/>
                <w:szCs w:val="20"/>
              </w:rPr>
              <w:t>EÚ</w:t>
            </w:r>
          </w:p>
        </w:tc>
        <w:tc>
          <w:tcPr>
            <w:tcW w:w="886" w:type="dxa"/>
            <w:tcBorders>
              <w:top w:val="single" w:sz="6" w:space="0" w:color="auto"/>
              <w:left w:val="nil"/>
              <w:bottom w:val="single" w:sz="6" w:space="0" w:color="auto"/>
              <w:right w:val="nil"/>
            </w:tcBorders>
            <w:vAlign w:val="center"/>
          </w:tcPr>
          <w:p w14:paraId="72D243D5" w14:textId="77777777" w:rsidR="00640FA5" w:rsidRPr="000939E3" w:rsidRDefault="00640FA5" w:rsidP="001B6DA0">
            <w:pPr>
              <w:autoSpaceDE w:val="0"/>
              <w:autoSpaceDN w:val="0"/>
              <w:adjustRightInd w:val="0"/>
              <w:spacing w:after="0" w:line="240" w:lineRule="auto"/>
              <w:jc w:val="center"/>
              <w:rPr>
                <w:rFonts w:cs="Calibri"/>
                <w:b/>
                <w:bCs/>
                <w:color w:val="000000"/>
                <w:sz w:val="20"/>
                <w:szCs w:val="20"/>
              </w:rPr>
            </w:pPr>
            <w:r w:rsidRPr="000939E3">
              <w:rPr>
                <w:rFonts w:cs="Calibri"/>
                <w:b/>
                <w:bCs/>
                <w:color w:val="000000"/>
                <w:sz w:val="20"/>
                <w:szCs w:val="20"/>
              </w:rPr>
              <w:t>SK</w:t>
            </w:r>
          </w:p>
        </w:tc>
        <w:tc>
          <w:tcPr>
            <w:tcW w:w="886" w:type="dxa"/>
            <w:tcBorders>
              <w:top w:val="single" w:sz="6" w:space="0" w:color="auto"/>
              <w:left w:val="nil"/>
              <w:bottom w:val="single" w:sz="6" w:space="0" w:color="auto"/>
              <w:right w:val="nil"/>
            </w:tcBorders>
            <w:vAlign w:val="center"/>
          </w:tcPr>
          <w:p w14:paraId="07814116" w14:textId="77777777" w:rsidR="00640FA5" w:rsidRPr="000939E3" w:rsidRDefault="00640FA5" w:rsidP="001B6DA0">
            <w:pPr>
              <w:autoSpaceDE w:val="0"/>
              <w:autoSpaceDN w:val="0"/>
              <w:adjustRightInd w:val="0"/>
              <w:spacing w:after="0" w:line="240" w:lineRule="auto"/>
              <w:jc w:val="center"/>
              <w:rPr>
                <w:rFonts w:cs="Calibri"/>
                <w:b/>
                <w:bCs/>
                <w:color w:val="000000"/>
                <w:sz w:val="20"/>
                <w:szCs w:val="20"/>
              </w:rPr>
            </w:pPr>
            <w:r w:rsidRPr="000939E3">
              <w:rPr>
                <w:rFonts w:cs="Calibri"/>
                <w:b/>
                <w:bCs/>
                <w:color w:val="000000"/>
                <w:sz w:val="20"/>
                <w:szCs w:val="20"/>
              </w:rPr>
              <w:t>CZ</w:t>
            </w:r>
          </w:p>
        </w:tc>
        <w:tc>
          <w:tcPr>
            <w:tcW w:w="887" w:type="dxa"/>
            <w:tcBorders>
              <w:top w:val="single" w:sz="6" w:space="0" w:color="auto"/>
              <w:left w:val="nil"/>
              <w:bottom w:val="single" w:sz="6" w:space="0" w:color="auto"/>
              <w:right w:val="nil"/>
            </w:tcBorders>
            <w:vAlign w:val="center"/>
          </w:tcPr>
          <w:p w14:paraId="04AAA277" w14:textId="77777777" w:rsidR="00640FA5" w:rsidRPr="000939E3" w:rsidRDefault="00640FA5" w:rsidP="001B6DA0">
            <w:pPr>
              <w:autoSpaceDE w:val="0"/>
              <w:autoSpaceDN w:val="0"/>
              <w:adjustRightInd w:val="0"/>
              <w:spacing w:after="0" w:line="240" w:lineRule="auto"/>
              <w:jc w:val="center"/>
              <w:rPr>
                <w:rFonts w:cs="Calibri"/>
                <w:b/>
                <w:bCs/>
                <w:color w:val="000000"/>
                <w:sz w:val="20"/>
                <w:szCs w:val="20"/>
              </w:rPr>
            </w:pPr>
            <w:r w:rsidRPr="000939E3">
              <w:rPr>
                <w:rFonts w:cs="Calibri"/>
                <w:b/>
                <w:bCs/>
                <w:color w:val="000000"/>
                <w:sz w:val="20"/>
                <w:szCs w:val="20"/>
              </w:rPr>
              <w:t>EÚ</w:t>
            </w:r>
          </w:p>
        </w:tc>
      </w:tr>
      <w:tr w:rsidR="00640FA5" w:rsidRPr="000939E3" w14:paraId="0E6C9C5A" w14:textId="77777777" w:rsidTr="001B6DA0">
        <w:trPr>
          <w:trHeight w:val="287"/>
        </w:trPr>
        <w:tc>
          <w:tcPr>
            <w:tcW w:w="1164" w:type="dxa"/>
            <w:tcBorders>
              <w:top w:val="nil"/>
              <w:left w:val="nil"/>
              <w:bottom w:val="nil"/>
              <w:right w:val="single" w:sz="6" w:space="0" w:color="auto"/>
            </w:tcBorders>
          </w:tcPr>
          <w:p w14:paraId="00D7165A" w14:textId="77777777" w:rsidR="00640FA5" w:rsidRPr="000939E3" w:rsidRDefault="00640FA5" w:rsidP="001B6DA0">
            <w:pPr>
              <w:autoSpaceDE w:val="0"/>
              <w:autoSpaceDN w:val="0"/>
              <w:adjustRightInd w:val="0"/>
              <w:spacing w:after="0" w:line="240" w:lineRule="auto"/>
              <w:rPr>
                <w:rFonts w:cs="Calibri"/>
                <w:b/>
                <w:color w:val="000000"/>
                <w:sz w:val="20"/>
                <w:szCs w:val="20"/>
              </w:rPr>
            </w:pPr>
            <w:r w:rsidRPr="000939E3">
              <w:rPr>
                <w:rFonts w:cs="Calibri"/>
                <w:b/>
                <w:color w:val="000000"/>
                <w:sz w:val="20"/>
                <w:szCs w:val="20"/>
              </w:rPr>
              <w:t>ZŠ</w:t>
            </w:r>
          </w:p>
        </w:tc>
        <w:tc>
          <w:tcPr>
            <w:tcW w:w="886" w:type="dxa"/>
            <w:tcBorders>
              <w:top w:val="nil"/>
              <w:left w:val="single" w:sz="6" w:space="0" w:color="auto"/>
              <w:bottom w:val="nil"/>
              <w:right w:val="nil"/>
            </w:tcBorders>
          </w:tcPr>
          <w:p w14:paraId="56811A2A"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0%</w:t>
            </w:r>
          </w:p>
        </w:tc>
        <w:tc>
          <w:tcPr>
            <w:tcW w:w="886" w:type="dxa"/>
            <w:tcBorders>
              <w:top w:val="nil"/>
              <w:left w:val="nil"/>
              <w:bottom w:val="nil"/>
              <w:right w:val="nil"/>
            </w:tcBorders>
          </w:tcPr>
          <w:p w14:paraId="31D5A230"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0%</w:t>
            </w:r>
          </w:p>
        </w:tc>
        <w:tc>
          <w:tcPr>
            <w:tcW w:w="886" w:type="dxa"/>
            <w:tcBorders>
              <w:top w:val="nil"/>
              <w:left w:val="nil"/>
              <w:bottom w:val="nil"/>
              <w:right w:val="single" w:sz="6" w:space="0" w:color="auto"/>
            </w:tcBorders>
          </w:tcPr>
          <w:p w14:paraId="6BBBE413"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3%</w:t>
            </w:r>
          </w:p>
        </w:tc>
        <w:tc>
          <w:tcPr>
            <w:tcW w:w="886" w:type="dxa"/>
            <w:tcBorders>
              <w:top w:val="nil"/>
              <w:left w:val="single" w:sz="6" w:space="0" w:color="auto"/>
              <w:bottom w:val="nil"/>
              <w:right w:val="nil"/>
            </w:tcBorders>
          </w:tcPr>
          <w:p w14:paraId="2229A889"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0%</w:t>
            </w:r>
          </w:p>
        </w:tc>
        <w:tc>
          <w:tcPr>
            <w:tcW w:w="886" w:type="dxa"/>
            <w:tcBorders>
              <w:top w:val="nil"/>
              <w:left w:val="nil"/>
              <w:bottom w:val="nil"/>
              <w:right w:val="nil"/>
            </w:tcBorders>
          </w:tcPr>
          <w:p w14:paraId="33335E85"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0%</w:t>
            </w:r>
          </w:p>
        </w:tc>
        <w:tc>
          <w:tcPr>
            <w:tcW w:w="886" w:type="dxa"/>
            <w:tcBorders>
              <w:top w:val="nil"/>
              <w:left w:val="nil"/>
              <w:bottom w:val="nil"/>
              <w:right w:val="single" w:sz="6" w:space="0" w:color="auto"/>
            </w:tcBorders>
          </w:tcPr>
          <w:p w14:paraId="54BDEA7C"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6%</w:t>
            </w:r>
          </w:p>
        </w:tc>
        <w:tc>
          <w:tcPr>
            <w:tcW w:w="886" w:type="dxa"/>
            <w:tcBorders>
              <w:top w:val="nil"/>
              <w:left w:val="nil"/>
              <w:bottom w:val="nil"/>
              <w:right w:val="nil"/>
            </w:tcBorders>
          </w:tcPr>
          <w:p w14:paraId="14D96C8B"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3%</w:t>
            </w:r>
          </w:p>
        </w:tc>
        <w:tc>
          <w:tcPr>
            <w:tcW w:w="886" w:type="dxa"/>
            <w:tcBorders>
              <w:top w:val="nil"/>
              <w:left w:val="nil"/>
              <w:bottom w:val="nil"/>
              <w:right w:val="nil"/>
            </w:tcBorders>
          </w:tcPr>
          <w:p w14:paraId="7425CDA2"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2%</w:t>
            </w:r>
          </w:p>
        </w:tc>
        <w:tc>
          <w:tcPr>
            <w:tcW w:w="887" w:type="dxa"/>
            <w:tcBorders>
              <w:top w:val="nil"/>
              <w:left w:val="nil"/>
              <w:bottom w:val="nil"/>
              <w:right w:val="nil"/>
            </w:tcBorders>
          </w:tcPr>
          <w:p w14:paraId="694EC872"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19%</w:t>
            </w:r>
          </w:p>
        </w:tc>
      </w:tr>
      <w:tr w:rsidR="00640FA5" w:rsidRPr="000939E3" w14:paraId="7E630C64" w14:textId="77777777" w:rsidTr="001B6DA0">
        <w:trPr>
          <w:trHeight w:val="287"/>
        </w:trPr>
        <w:tc>
          <w:tcPr>
            <w:tcW w:w="1164" w:type="dxa"/>
            <w:tcBorders>
              <w:top w:val="nil"/>
              <w:left w:val="nil"/>
              <w:bottom w:val="nil"/>
              <w:right w:val="single" w:sz="6" w:space="0" w:color="auto"/>
            </w:tcBorders>
          </w:tcPr>
          <w:p w14:paraId="77B6E17D" w14:textId="77777777" w:rsidR="00640FA5" w:rsidRPr="000939E3" w:rsidRDefault="00640FA5" w:rsidP="001B6DA0">
            <w:pPr>
              <w:autoSpaceDE w:val="0"/>
              <w:autoSpaceDN w:val="0"/>
              <w:adjustRightInd w:val="0"/>
              <w:spacing w:after="0" w:line="240" w:lineRule="auto"/>
              <w:rPr>
                <w:rFonts w:cs="Calibri"/>
                <w:b/>
                <w:color w:val="000000"/>
                <w:sz w:val="20"/>
                <w:szCs w:val="20"/>
              </w:rPr>
            </w:pPr>
            <w:r w:rsidRPr="000939E3">
              <w:rPr>
                <w:rFonts w:cs="Calibri"/>
                <w:b/>
                <w:color w:val="000000"/>
                <w:sz w:val="20"/>
                <w:szCs w:val="20"/>
              </w:rPr>
              <w:t>SŠ</w:t>
            </w:r>
          </w:p>
        </w:tc>
        <w:tc>
          <w:tcPr>
            <w:tcW w:w="886" w:type="dxa"/>
            <w:tcBorders>
              <w:top w:val="nil"/>
              <w:left w:val="single" w:sz="6" w:space="0" w:color="auto"/>
              <w:bottom w:val="nil"/>
              <w:right w:val="nil"/>
            </w:tcBorders>
          </w:tcPr>
          <w:p w14:paraId="3DF56C79"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17%</w:t>
            </w:r>
          </w:p>
        </w:tc>
        <w:tc>
          <w:tcPr>
            <w:tcW w:w="886" w:type="dxa"/>
            <w:tcBorders>
              <w:top w:val="nil"/>
              <w:left w:val="nil"/>
              <w:bottom w:val="nil"/>
              <w:right w:val="nil"/>
            </w:tcBorders>
          </w:tcPr>
          <w:p w14:paraId="0B4F45BC"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14%</w:t>
            </w:r>
          </w:p>
        </w:tc>
        <w:tc>
          <w:tcPr>
            <w:tcW w:w="886" w:type="dxa"/>
            <w:tcBorders>
              <w:top w:val="nil"/>
              <w:left w:val="nil"/>
              <w:bottom w:val="nil"/>
              <w:right w:val="single" w:sz="6" w:space="0" w:color="auto"/>
            </w:tcBorders>
          </w:tcPr>
          <w:p w14:paraId="7B3306B9"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14%</w:t>
            </w:r>
          </w:p>
        </w:tc>
        <w:tc>
          <w:tcPr>
            <w:tcW w:w="886" w:type="dxa"/>
            <w:tcBorders>
              <w:top w:val="nil"/>
              <w:left w:val="single" w:sz="6" w:space="0" w:color="auto"/>
              <w:bottom w:val="nil"/>
              <w:right w:val="nil"/>
            </w:tcBorders>
          </w:tcPr>
          <w:p w14:paraId="6F95E7B5"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42%</w:t>
            </w:r>
          </w:p>
        </w:tc>
        <w:tc>
          <w:tcPr>
            <w:tcW w:w="886" w:type="dxa"/>
            <w:tcBorders>
              <w:top w:val="nil"/>
              <w:left w:val="nil"/>
              <w:bottom w:val="nil"/>
              <w:right w:val="nil"/>
            </w:tcBorders>
          </w:tcPr>
          <w:p w14:paraId="64E6F85F"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59%</w:t>
            </w:r>
          </w:p>
        </w:tc>
        <w:tc>
          <w:tcPr>
            <w:tcW w:w="886" w:type="dxa"/>
            <w:tcBorders>
              <w:top w:val="nil"/>
              <w:left w:val="nil"/>
              <w:bottom w:val="nil"/>
              <w:right w:val="single" w:sz="6" w:space="0" w:color="auto"/>
            </w:tcBorders>
          </w:tcPr>
          <w:p w14:paraId="0BD34AD4"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33%</w:t>
            </w:r>
          </w:p>
        </w:tc>
        <w:tc>
          <w:tcPr>
            <w:tcW w:w="886" w:type="dxa"/>
            <w:tcBorders>
              <w:top w:val="nil"/>
              <w:left w:val="nil"/>
              <w:bottom w:val="nil"/>
              <w:right w:val="nil"/>
            </w:tcBorders>
          </w:tcPr>
          <w:p w14:paraId="43EA5339"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68%</w:t>
            </w:r>
          </w:p>
        </w:tc>
        <w:tc>
          <w:tcPr>
            <w:tcW w:w="886" w:type="dxa"/>
            <w:tcBorders>
              <w:top w:val="nil"/>
              <w:left w:val="nil"/>
              <w:bottom w:val="nil"/>
              <w:right w:val="nil"/>
            </w:tcBorders>
          </w:tcPr>
          <w:p w14:paraId="0F8791FE"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73%</w:t>
            </w:r>
          </w:p>
        </w:tc>
        <w:tc>
          <w:tcPr>
            <w:tcW w:w="887" w:type="dxa"/>
            <w:tcBorders>
              <w:top w:val="nil"/>
              <w:left w:val="nil"/>
              <w:bottom w:val="nil"/>
              <w:right w:val="nil"/>
            </w:tcBorders>
          </w:tcPr>
          <w:p w14:paraId="5EF88068"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56%</w:t>
            </w:r>
          </w:p>
        </w:tc>
      </w:tr>
      <w:tr w:rsidR="00640FA5" w:rsidRPr="000939E3" w14:paraId="724D8536" w14:textId="77777777" w:rsidTr="001B6DA0">
        <w:trPr>
          <w:trHeight w:val="287"/>
        </w:trPr>
        <w:tc>
          <w:tcPr>
            <w:tcW w:w="1164" w:type="dxa"/>
            <w:tcBorders>
              <w:top w:val="nil"/>
              <w:left w:val="nil"/>
              <w:bottom w:val="nil"/>
              <w:right w:val="single" w:sz="6" w:space="0" w:color="auto"/>
            </w:tcBorders>
          </w:tcPr>
          <w:p w14:paraId="38DF46C6" w14:textId="77777777" w:rsidR="00640FA5" w:rsidRPr="000939E3" w:rsidRDefault="00640FA5" w:rsidP="001B6DA0">
            <w:pPr>
              <w:autoSpaceDE w:val="0"/>
              <w:autoSpaceDN w:val="0"/>
              <w:adjustRightInd w:val="0"/>
              <w:spacing w:after="0" w:line="240" w:lineRule="auto"/>
              <w:rPr>
                <w:rFonts w:cs="Calibri"/>
                <w:b/>
                <w:color w:val="000000"/>
                <w:sz w:val="20"/>
                <w:szCs w:val="20"/>
              </w:rPr>
            </w:pPr>
            <w:r w:rsidRPr="000939E3">
              <w:rPr>
                <w:rFonts w:cs="Calibri"/>
                <w:b/>
                <w:color w:val="000000"/>
                <w:sz w:val="20"/>
                <w:szCs w:val="20"/>
              </w:rPr>
              <w:t>VŠ do 4r.</w:t>
            </w:r>
          </w:p>
        </w:tc>
        <w:tc>
          <w:tcPr>
            <w:tcW w:w="886" w:type="dxa"/>
            <w:tcBorders>
              <w:top w:val="nil"/>
              <w:left w:val="single" w:sz="6" w:space="0" w:color="auto"/>
              <w:bottom w:val="nil"/>
              <w:right w:val="nil"/>
            </w:tcBorders>
          </w:tcPr>
          <w:p w14:paraId="68AAE9E0"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3%</w:t>
            </w:r>
          </w:p>
        </w:tc>
        <w:tc>
          <w:tcPr>
            <w:tcW w:w="886" w:type="dxa"/>
            <w:tcBorders>
              <w:top w:val="nil"/>
              <w:left w:val="nil"/>
              <w:bottom w:val="nil"/>
              <w:right w:val="nil"/>
            </w:tcBorders>
          </w:tcPr>
          <w:p w14:paraId="7FDB2F4E"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13%</w:t>
            </w:r>
          </w:p>
        </w:tc>
        <w:tc>
          <w:tcPr>
            <w:tcW w:w="886" w:type="dxa"/>
            <w:tcBorders>
              <w:top w:val="nil"/>
              <w:left w:val="nil"/>
              <w:bottom w:val="nil"/>
              <w:right w:val="single" w:sz="6" w:space="0" w:color="auto"/>
            </w:tcBorders>
          </w:tcPr>
          <w:p w14:paraId="16B2C9FC"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32%</w:t>
            </w:r>
          </w:p>
        </w:tc>
        <w:tc>
          <w:tcPr>
            <w:tcW w:w="886" w:type="dxa"/>
            <w:tcBorders>
              <w:top w:val="nil"/>
              <w:left w:val="single" w:sz="6" w:space="0" w:color="auto"/>
              <w:bottom w:val="nil"/>
              <w:right w:val="nil"/>
            </w:tcBorders>
          </w:tcPr>
          <w:p w14:paraId="63FB8BC1"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7%</w:t>
            </w:r>
          </w:p>
        </w:tc>
        <w:tc>
          <w:tcPr>
            <w:tcW w:w="886" w:type="dxa"/>
            <w:tcBorders>
              <w:top w:val="nil"/>
              <w:left w:val="nil"/>
              <w:bottom w:val="nil"/>
              <w:right w:val="nil"/>
            </w:tcBorders>
          </w:tcPr>
          <w:p w14:paraId="442D68B1"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11%</w:t>
            </w:r>
          </w:p>
        </w:tc>
        <w:tc>
          <w:tcPr>
            <w:tcW w:w="886" w:type="dxa"/>
            <w:tcBorders>
              <w:top w:val="nil"/>
              <w:left w:val="nil"/>
              <w:bottom w:val="nil"/>
              <w:right w:val="single" w:sz="6" w:space="0" w:color="auto"/>
            </w:tcBorders>
          </w:tcPr>
          <w:p w14:paraId="1D1638A0"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31%</w:t>
            </w:r>
          </w:p>
        </w:tc>
        <w:tc>
          <w:tcPr>
            <w:tcW w:w="886" w:type="dxa"/>
            <w:tcBorders>
              <w:top w:val="nil"/>
              <w:left w:val="nil"/>
              <w:bottom w:val="nil"/>
              <w:right w:val="nil"/>
            </w:tcBorders>
          </w:tcPr>
          <w:p w14:paraId="7887224C"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8%</w:t>
            </w:r>
          </w:p>
        </w:tc>
        <w:tc>
          <w:tcPr>
            <w:tcW w:w="886" w:type="dxa"/>
            <w:tcBorders>
              <w:top w:val="nil"/>
              <w:left w:val="nil"/>
              <w:bottom w:val="nil"/>
              <w:right w:val="nil"/>
            </w:tcBorders>
          </w:tcPr>
          <w:p w14:paraId="733BA515"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6%</w:t>
            </w:r>
          </w:p>
        </w:tc>
        <w:tc>
          <w:tcPr>
            <w:tcW w:w="887" w:type="dxa"/>
            <w:tcBorders>
              <w:top w:val="nil"/>
              <w:left w:val="nil"/>
              <w:bottom w:val="nil"/>
              <w:right w:val="nil"/>
            </w:tcBorders>
          </w:tcPr>
          <w:p w14:paraId="523910FC"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16%</w:t>
            </w:r>
          </w:p>
        </w:tc>
      </w:tr>
      <w:tr w:rsidR="00640FA5" w:rsidRPr="000939E3" w14:paraId="132028FC" w14:textId="77777777" w:rsidTr="00D24B5C">
        <w:trPr>
          <w:trHeight w:val="287"/>
        </w:trPr>
        <w:tc>
          <w:tcPr>
            <w:tcW w:w="1164" w:type="dxa"/>
            <w:tcBorders>
              <w:top w:val="nil"/>
              <w:left w:val="nil"/>
              <w:bottom w:val="single" w:sz="4" w:space="0" w:color="auto"/>
              <w:right w:val="single" w:sz="6" w:space="0" w:color="auto"/>
            </w:tcBorders>
          </w:tcPr>
          <w:p w14:paraId="22FC5783" w14:textId="77777777" w:rsidR="00640FA5" w:rsidRPr="000939E3" w:rsidRDefault="00640FA5" w:rsidP="001B6DA0">
            <w:pPr>
              <w:autoSpaceDE w:val="0"/>
              <w:autoSpaceDN w:val="0"/>
              <w:adjustRightInd w:val="0"/>
              <w:spacing w:after="0" w:line="240" w:lineRule="auto"/>
              <w:rPr>
                <w:rFonts w:cs="Calibri"/>
                <w:b/>
                <w:color w:val="000000"/>
                <w:sz w:val="20"/>
                <w:szCs w:val="20"/>
              </w:rPr>
            </w:pPr>
            <w:r w:rsidRPr="000939E3">
              <w:rPr>
                <w:rFonts w:cs="Calibri"/>
                <w:b/>
                <w:color w:val="000000"/>
                <w:sz w:val="20"/>
                <w:szCs w:val="20"/>
              </w:rPr>
              <w:t>VŠ nad 4r.</w:t>
            </w:r>
          </w:p>
        </w:tc>
        <w:tc>
          <w:tcPr>
            <w:tcW w:w="886" w:type="dxa"/>
            <w:tcBorders>
              <w:top w:val="nil"/>
              <w:left w:val="single" w:sz="6" w:space="0" w:color="auto"/>
              <w:bottom w:val="single" w:sz="4" w:space="0" w:color="auto"/>
              <w:right w:val="nil"/>
            </w:tcBorders>
          </w:tcPr>
          <w:p w14:paraId="45B60FD6"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79%</w:t>
            </w:r>
          </w:p>
        </w:tc>
        <w:tc>
          <w:tcPr>
            <w:tcW w:w="886" w:type="dxa"/>
            <w:tcBorders>
              <w:top w:val="nil"/>
              <w:left w:val="nil"/>
              <w:bottom w:val="single" w:sz="4" w:space="0" w:color="auto"/>
              <w:right w:val="nil"/>
            </w:tcBorders>
          </w:tcPr>
          <w:p w14:paraId="748A5703"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74%</w:t>
            </w:r>
          </w:p>
        </w:tc>
        <w:tc>
          <w:tcPr>
            <w:tcW w:w="886" w:type="dxa"/>
            <w:tcBorders>
              <w:top w:val="nil"/>
              <w:left w:val="nil"/>
              <w:bottom w:val="single" w:sz="4" w:space="0" w:color="auto"/>
              <w:right w:val="single" w:sz="6" w:space="0" w:color="auto"/>
            </w:tcBorders>
          </w:tcPr>
          <w:p w14:paraId="7A38F8DC"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50%</w:t>
            </w:r>
          </w:p>
        </w:tc>
        <w:tc>
          <w:tcPr>
            <w:tcW w:w="886" w:type="dxa"/>
            <w:tcBorders>
              <w:top w:val="nil"/>
              <w:left w:val="single" w:sz="6" w:space="0" w:color="auto"/>
              <w:bottom w:val="single" w:sz="4" w:space="0" w:color="auto"/>
              <w:right w:val="nil"/>
            </w:tcBorders>
          </w:tcPr>
          <w:p w14:paraId="76B009FA"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52%</w:t>
            </w:r>
          </w:p>
        </w:tc>
        <w:tc>
          <w:tcPr>
            <w:tcW w:w="886" w:type="dxa"/>
            <w:tcBorders>
              <w:top w:val="nil"/>
              <w:left w:val="nil"/>
              <w:bottom w:val="single" w:sz="4" w:space="0" w:color="auto"/>
              <w:right w:val="nil"/>
            </w:tcBorders>
          </w:tcPr>
          <w:p w14:paraId="5A7BB7FA"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29%</w:t>
            </w:r>
          </w:p>
        </w:tc>
        <w:tc>
          <w:tcPr>
            <w:tcW w:w="886" w:type="dxa"/>
            <w:tcBorders>
              <w:top w:val="nil"/>
              <w:left w:val="nil"/>
              <w:bottom w:val="single" w:sz="4" w:space="0" w:color="auto"/>
              <w:right w:val="single" w:sz="6" w:space="0" w:color="auto"/>
            </w:tcBorders>
          </w:tcPr>
          <w:p w14:paraId="574DCAE9"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30%</w:t>
            </w:r>
          </w:p>
        </w:tc>
        <w:tc>
          <w:tcPr>
            <w:tcW w:w="886" w:type="dxa"/>
            <w:tcBorders>
              <w:top w:val="nil"/>
              <w:left w:val="nil"/>
              <w:bottom w:val="single" w:sz="4" w:space="0" w:color="auto"/>
              <w:right w:val="nil"/>
            </w:tcBorders>
          </w:tcPr>
          <w:p w14:paraId="5E6E255C"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22%</w:t>
            </w:r>
          </w:p>
        </w:tc>
        <w:tc>
          <w:tcPr>
            <w:tcW w:w="886" w:type="dxa"/>
            <w:tcBorders>
              <w:top w:val="nil"/>
              <w:left w:val="nil"/>
              <w:bottom w:val="single" w:sz="4" w:space="0" w:color="auto"/>
              <w:right w:val="nil"/>
            </w:tcBorders>
          </w:tcPr>
          <w:p w14:paraId="429C16A9"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19%</w:t>
            </w:r>
          </w:p>
        </w:tc>
        <w:tc>
          <w:tcPr>
            <w:tcW w:w="887" w:type="dxa"/>
            <w:tcBorders>
              <w:top w:val="nil"/>
              <w:left w:val="nil"/>
              <w:bottom w:val="single" w:sz="4" w:space="0" w:color="auto"/>
              <w:right w:val="nil"/>
            </w:tcBorders>
          </w:tcPr>
          <w:p w14:paraId="791E1BDF" w14:textId="77777777" w:rsidR="00640FA5" w:rsidRPr="000939E3" w:rsidRDefault="00640FA5" w:rsidP="001B6DA0">
            <w:pPr>
              <w:autoSpaceDE w:val="0"/>
              <w:autoSpaceDN w:val="0"/>
              <w:adjustRightInd w:val="0"/>
              <w:spacing w:after="0" w:line="240" w:lineRule="auto"/>
              <w:jc w:val="right"/>
              <w:rPr>
                <w:rFonts w:cs="Calibri"/>
                <w:color w:val="000000"/>
                <w:sz w:val="20"/>
                <w:szCs w:val="20"/>
              </w:rPr>
            </w:pPr>
            <w:r w:rsidRPr="000939E3">
              <w:rPr>
                <w:rFonts w:cs="Calibri"/>
                <w:color w:val="000000"/>
                <w:sz w:val="20"/>
                <w:szCs w:val="20"/>
              </w:rPr>
              <w:t>9%</w:t>
            </w:r>
          </w:p>
        </w:tc>
      </w:tr>
      <w:tr w:rsidR="00640FA5" w:rsidRPr="000939E3" w14:paraId="13E59A14" w14:textId="77777777" w:rsidTr="00D24B5C">
        <w:trPr>
          <w:trHeight w:val="287"/>
        </w:trPr>
        <w:tc>
          <w:tcPr>
            <w:tcW w:w="9139" w:type="dxa"/>
            <w:gridSpan w:val="10"/>
            <w:tcBorders>
              <w:top w:val="single" w:sz="4" w:space="0" w:color="auto"/>
              <w:left w:val="nil"/>
            </w:tcBorders>
          </w:tcPr>
          <w:p w14:paraId="53D0FF79" w14:textId="77777777" w:rsidR="00640FA5" w:rsidRPr="00783F9C" w:rsidRDefault="00640FA5" w:rsidP="001B6DA0">
            <w:pPr>
              <w:autoSpaceDE w:val="0"/>
              <w:autoSpaceDN w:val="0"/>
              <w:adjustRightInd w:val="0"/>
              <w:spacing w:after="0" w:line="240" w:lineRule="auto"/>
              <w:jc w:val="right"/>
              <w:rPr>
                <w:rFonts w:cs="Calibri"/>
                <w:i/>
                <w:color w:val="000000"/>
                <w:sz w:val="18"/>
                <w:szCs w:val="20"/>
              </w:rPr>
            </w:pPr>
            <w:r w:rsidRPr="00783F9C">
              <w:rPr>
                <w:rFonts w:cs="Calibri"/>
                <w:i/>
                <w:color w:val="000000"/>
                <w:sz w:val="18"/>
                <w:szCs w:val="20"/>
              </w:rPr>
              <w:t>Zdroj: prepočty ÚHP z dát Eurostatu</w:t>
            </w:r>
          </w:p>
        </w:tc>
      </w:tr>
    </w:tbl>
    <w:p w14:paraId="004884B7" w14:textId="20BCBD4D" w:rsidR="0004409E" w:rsidRPr="000939E3" w:rsidRDefault="0004409E" w:rsidP="00640FA5">
      <w:pPr>
        <w:spacing w:before="160"/>
      </w:pPr>
      <w:r w:rsidRPr="000939E3">
        <w:rPr>
          <w:b/>
          <w:bCs/>
        </w:rPr>
        <w:t>Zamestnanci vo verejnom sektore sú v priemere starší, t</w:t>
      </w:r>
      <w:r w:rsidRPr="000939E3">
        <w:rPr>
          <w:b/>
        </w:rPr>
        <w:t>retina verejných zamestnancov bude o 10 rokov v dôchodkovom veku</w:t>
      </w:r>
      <w:r w:rsidR="00FB3CCD" w:rsidRPr="000939E3">
        <w:rPr>
          <w:b/>
        </w:rPr>
        <w:t xml:space="preserve"> (</w:t>
      </w:r>
      <w:r w:rsidR="00FB3CCD" w:rsidRPr="000939E3">
        <w:rPr>
          <w:b/>
        </w:rPr>
        <w:fldChar w:fldCharType="begin"/>
      </w:r>
      <w:r w:rsidR="00FB3CCD" w:rsidRPr="000939E3">
        <w:rPr>
          <w:b/>
        </w:rPr>
        <w:instrText xml:space="preserve"> REF _Ref4074403 \h  \* MERGEFORMAT </w:instrText>
      </w:r>
      <w:r w:rsidR="00FB3CCD" w:rsidRPr="000939E3">
        <w:rPr>
          <w:b/>
        </w:rPr>
      </w:r>
      <w:r w:rsidR="00FB3CCD" w:rsidRPr="000939E3">
        <w:rPr>
          <w:b/>
        </w:rPr>
        <w:fldChar w:fldCharType="separate"/>
      </w:r>
      <w:r w:rsidR="00BF69CA" w:rsidRPr="00BF69CA">
        <w:rPr>
          <w:b/>
        </w:rPr>
        <w:t xml:space="preserve">Graf </w:t>
      </w:r>
      <w:r w:rsidR="00BF69CA" w:rsidRPr="00BF69CA">
        <w:rPr>
          <w:b/>
          <w:noProof/>
        </w:rPr>
        <w:t>25</w:t>
      </w:r>
      <w:r w:rsidR="00FB3CCD" w:rsidRPr="000939E3">
        <w:rPr>
          <w:b/>
        </w:rPr>
        <w:fldChar w:fldCharType="end"/>
      </w:r>
      <w:r w:rsidR="00FB3CCD" w:rsidRPr="000939E3">
        <w:rPr>
          <w:b/>
        </w:rPr>
        <w:t>)</w:t>
      </w:r>
      <w:r w:rsidRPr="000939E3">
        <w:rPr>
          <w:b/>
        </w:rPr>
        <w:t>.</w:t>
      </w:r>
      <w:r w:rsidRPr="000939E3">
        <w:t xml:space="preserve"> Podiel tých nad 55 rokov je vo verejnom sektore takmer dvojnásobný oproti súkromnému (29 % vs. 17 %). Navyše, verejný sektor medzi rokmi 2011 až 2017 zostarol viac ako súkromný. Podiel starších zamestnancov zvyšujú najmä učitelia na základných aj vysokých školách a zdravotníci. Mladých zamestnancov v súkromnom sektore je oproti verejnému takmer dvojnásobok (32 % vs. 18 %). </w:t>
      </w:r>
    </w:p>
    <w:tbl>
      <w:tblPr>
        <w:tblW w:w="8825" w:type="dxa"/>
        <w:tblLayout w:type="fixed"/>
        <w:tblCellMar>
          <w:left w:w="70" w:type="dxa"/>
          <w:right w:w="70" w:type="dxa"/>
        </w:tblCellMar>
        <w:tblLook w:val="04A0" w:firstRow="1" w:lastRow="0" w:firstColumn="1" w:lastColumn="0" w:noHBand="0" w:noVBand="1"/>
      </w:tblPr>
      <w:tblGrid>
        <w:gridCol w:w="3726"/>
        <w:gridCol w:w="5099"/>
      </w:tblGrid>
      <w:tr w:rsidR="0004409E" w:rsidRPr="000939E3" w14:paraId="2BD68EC6" w14:textId="77777777" w:rsidTr="0004409E">
        <w:trPr>
          <w:trHeight w:val="218"/>
        </w:trPr>
        <w:tc>
          <w:tcPr>
            <w:tcW w:w="8825" w:type="dxa"/>
            <w:gridSpan w:val="2"/>
            <w:tcBorders>
              <w:top w:val="nil"/>
              <w:left w:val="nil"/>
              <w:bottom w:val="single" w:sz="4" w:space="0" w:color="auto"/>
              <w:right w:val="nil"/>
            </w:tcBorders>
            <w:shd w:val="clear" w:color="auto" w:fill="auto"/>
            <w:noWrap/>
            <w:vAlign w:val="bottom"/>
            <w:hideMark/>
          </w:tcPr>
          <w:p w14:paraId="7918147A" w14:textId="2F82FBC0" w:rsidR="0004409E" w:rsidRPr="000939E3" w:rsidRDefault="0004409E" w:rsidP="0004409E">
            <w:pPr>
              <w:keepNext/>
              <w:spacing w:after="0" w:line="240" w:lineRule="auto"/>
              <w:rPr>
                <w:rFonts w:eastAsia="Times New Roman" w:cs="Times New Roman"/>
                <w:b/>
                <w:color w:val="000000"/>
                <w:sz w:val="20"/>
                <w:szCs w:val="20"/>
                <w:lang w:eastAsia="sk-SK"/>
              </w:rPr>
            </w:pPr>
            <w:bookmarkStart w:id="126" w:name="_Ref4074403"/>
            <w:bookmarkStart w:id="127" w:name="_Toc34226896"/>
            <w:r w:rsidRPr="000939E3">
              <w:rPr>
                <w:b/>
                <w:sz w:val="20"/>
                <w:szCs w:val="20"/>
              </w:rPr>
              <w:t xml:space="preserve">Graf </w:t>
            </w:r>
            <w:r w:rsidR="000B0EF7" w:rsidRPr="000939E3">
              <w:rPr>
                <w:b/>
                <w:sz w:val="20"/>
                <w:szCs w:val="20"/>
              </w:rPr>
              <w:fldChar w:fldCharType="begin"/>
            </w:r>
            <w:r w:rsidR="000B0EF7" w:rsidRPr="000939E3">
              <w:rPr>
                <w:b/>
                <w:sz w:val="20"/>
                <w:szCs w:val="20"/>
              </w:rPr>
              <w:instrText xml:space="preserve"> SEQ Graf \* ARABIC </w:instrText>
            </w:r>
            <w:r w:rsidR="000B0EF7" w:rsidRPr="000939E3">
              <w:rPr>
                <w:b/>
                <w:sz w:val="20"/>
                <w:szCs w:val="20"/>
              </w:rPr>
              <w:fldChar w:fldCharType="separate"/>
            </w:r>
            <w:r w:rsidR="00BF69CA">
              <w:rPr>
                <w:b/>
                <w:noProof/>
                <w:sz w:val="20"/>
                <w:szCs w:val="20"/>
              </w:rPr>
              <w:t>25</w:t>
            </w:r>
            <w:r w:rsidR="000B0EF7" w:rsidRPr="000939E3">
              <w:rPr>
                <w:b/>
                <w:sz w:val="20"/>
                <w:szCs w:val="20"/>
              </w:rPr>
              <w:fldChar w:fldCharType="end"/>
            </w:r>
            <w:bookmarkEnd w:id="126"/>
            <w:r w:rsidR="007B4D5C" w:rsidRPr="000939E3">
              <w:rPr>
                <w:b/>
                <w:sz w:val="20"/>
                <w:szCs w:val="20"/>
              </w:rPr>
              <w:t>:</w:t>
            </w:r>
            <w:r w:rsidRPr="000939E3">
              <w:rPr>
                <w:rFonts w:eastAsia="Times New Roman" w:cs="Times New Roman"/>
                <w:b/>
                <w:color w:val="000000"/>
                <w:sz w:val="20"/>
                <w:szCs w:val="20"/>
                <w:lang w:eastAsia="sk-SK"/>
              </w:rPr>
              <w:t xml:space="preserve"> Veková štruktúra</w:t>
            </w:r>
            <w:r w:rsidR="00027D00" w:rsidRPr="000939E3">
              <w:rPr>
                <w:rFonts w:eastAsia="Times New Roman" w:cs="Times New Roman"/>
                <w:b/>
                <w:color w:val="000000"/>
                <w:sz w:val="20"/>
                <w:szCs w:val="20"/>
                <w:lang w:eastAsia="sk-SK"/>
              </w:rPr>
              <w:t xml:space="preserve"> zamestnancov</w:t>
            </w:r>
            <w:r w:rsidRPr="000939E3">
              <w:rPr>
                <w:rFonts w:eastAsia="Times New Roman" w:cs="Times New Roman"/>
                <w:b/>
                <w:color w:val="000000"/>
                <w:sz w:val="20"/>
                <w:szCs w:val="20"/>
                <w:lang w:eastAsia="sk-SK"/>
              </w:rPr>
              <w:t xml:space="preserve"> vo verejnom a súkromnom sektore (2017)</w:t>
            </w:r>
            <w:bookmarkEnd w:id="127"/>
            <w:r w:rsidRPr="000939E3">
              <w:rPr>
                <w:rFonts w:eastAsia="Times New Roman" w:cs="Times New Roman"/>
                <w:sz w:val="20"/>
                <w:szCs w:val="20"/>
                <w:lang w:eastAsia="sk-SK"/>
              </w:rPr>
              <w:t> </w:t>
            </w:r>
          </w:p>
        </w:tc>
      </w:tr>
      <w:tr w:rsidR="0004409E" w:rsidRPr="000939E3" w14:paraId="0B6CFFD9" w14:textId="77777777" w:rsidTr="0078349E">
        <w:trPr>
          <w:trHeight w:val="3679"/>
        </w:trPr>
        <w:tc>
          <w:tcPr>
            <w:tcW w:w="8825" w:type="dxa"/>
            <w:gridSpan w:val="2"/>
            <w:tcBorders>
              <w:top w:val="nil"/>
              <w:left w:val="nil"/>
              <w:bottom w:val="single" w:sz="4" w:space="0" w:color="auto"/>
              <w:right w:val="nil"/>
            </w:tcBorders>
            <w:shd w:val="clear" w:color="auto" w:fill="auto"/>
            <w:noWrap/>
            <w:vAlign w:val="center"/>
          </w:tcPr>
          <w:p w14:paraId="61300CEE" w14:textId="77777777" w:rsidR="0004409E" w:rsidRPr="000939E3" w:rsidRDefault="0078349E" w:rsidP="0004409E">
            <w:pPr>
              <w:spacing w:after="0" w:line="240" w:lineRule="auto"/>
              <w:jc w:val="center"/>
              <w:rPr>
                <w:b/>
              </w:rPr>
            </w:pPr>
            <w:r w:rsidRPr="000939E3">
              <w:rPr>
                <w:noProof/>
                <w:lang w:eastAsia="sk-SK"/>
              </w:rPr>
              <w:drawing>
                <wp:inline distT="0" distB="0" distL="0" distR="0" wp14:anchorId="65FC5A99" wp14:editId="1B01B689">
                  <wp:extent cx="5514975" cy="2733675"/>
                  <wp:effectExtent l="0" t="0" r="0" b="0"/>
                  <wp:docPr id="237" name="Graf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A9081A" w:rsidRPr="000939E3" w14:paraId="0680AA9F" w14:textId="77777777" w:rsidTr="00227D59">
        <w:trPr>
          <w:trHeight w:val="218"/>
        </w:trPr>
        <w:tc>
          <w:tcPr>
            <w:tcW w:w="3726" w:type="dxa"/>
            <w:tcBorders>
              <w:top w:val="nil"/>
              <w:left w:val="nil"/>
              <w:bottom w:val="nil"/>
              <w:right w:val="nil"/>
            </w:tcBorders>
            <w:shd w:val="clear" w:color="auto" w:fill="auto"/>
            <w:noWrap/>
            <w:vAlign w:val="bottom"/>
          </w:tcPr>
          <w:p w14:paraId="6F9FE532" w14:textId="77777777" w:rsidR="00A9081A" w:rsidRPr="000939E3" w:rsidRDefault="00A9081A" w:rsidP="00794AE0">
            <w:pPr>
              <w:keepNext/>
              <w:spacing w:after="0" w:line="240" w:lineRule="auto"/>
              <w:rPr>
                <w:rFonts w:eastAsia="Times New Roman" w:cs="Times New Roman"/>
                <w:i/>
                <w:sz w:val="20"/>
                <w:szCs w:val="20"/>
                <w:lang w:eastAsia="sk-SK"/>
              </w:rPr>
            </w:pPr>
            <w:r w:rsidRPr="000939E3">
              <w:rPr>
                <w:rFonts w:eastAsia="Times New Roman" w:cs="Times New Roman"/>
                <w:i/>
                <w:sz w:val="18"/>
                <w:szCs w:val="20"/>
                <w:lang w:eastAsia="sk-SK"/>
              </w:rPr>
              <w:t>Pozn</w:t>
            </w:r>
            <w:r w:rsidR="00794AE0" w:rsidRPr="000939E3">
              <w:rPr>
                <w:rFonts w:eastAsia="Times New Roman" w:cs="Times New Roman"/>
                <w:i/>
                <w:sz w:val="18"/>
                <w:szCs w:val="20"/>
                <w:lang w:eastAsia="sk-SK"/>
              </w:rPr>
              <w:t>.</w:t>
            </w:r>
            <w:r w:rsidRPr="000939E3">
              <w:rPr>
                <w:rFonts w:eastAsia="Times New Roman" w:cs="Times New Roman"/>
                <w:i/>
                <w:sz w:val="18"/>
                <w:szCs w:val="20"/>
                <w:lang w:eastAsia="sk-SK"/>
              </w:rPr>
              <w:t xml:space="preserve">: </w:t>
            </w:r>
            <w:r w:rsidR="00794AE0" w:rsidRPr="000939E3">
              <w:rPr>
                <w:rFonts w:eastAsia="Times New Roman" w:cs="Times New Roman"/>
                <w:i/>
                <w:sz w:val="18"/>
                <w:szCs w:val="20"/>
                <w:lang w:eastAsia="sk-SK"/>
              </w:rPr>
              <w:t>B</w:t>
            </w:r>
            <w:r w:rsidRPr="000939E3">
              <w:rPr>
                <w:rFonts w:eastAsia="Times New Roman" w:cs="Times New Roman"/>
                <w:i/>
                <w:sz w:val="18"/>
                <w:szCs w:val="20"/>
                <w:lang w:eastAsia="sk-SK"/>
              </w:rPr>
              <w:t>ez ozbrojených zložiek</w:t>
            </w:r>
            <w:r w:rsidR="00794AE0" w:rsidRPr="000939E3">
              <w:rPr>
                <w:rFonts w:eastAsia="Times New Roman" w:cs="Times New Roman"/>
                <w:i/>
                <w:sz w:val="18"/>
                <w:szCs w:val="20"/>
                <w:lang w:eastAsia="sk-SK"/>
              </w:rPr>
              <w:t>.</w:t>
            </w:r>
          </w:p>
        </w:tc>
        <w:tc>
          <w:tcPr>
            <w:tcW w:w="5099" w:type="dxa"/>
            <w:tcBorders>
              <w:top w:val="nil"/>
              <w:left w:val="nil"/>
              <w:bottom w:val="nil"/>
              <w:right w:val="nil"/>
            </w:tcBorders>
            <w:shd w:val="clear" w:color="auto" w:fill="auto"/>
            <w:noWrap/>
            <w:vAlign w:val="bottom"/>
          </w:tcPr>
          <w:p w14:paraId="6428A64C" w14:textId="77777777" w:rsidR="00A9081A" w:rsidRPr="000939E3" w:rsidRDefault="00A9081A" w:rsidP="0004409E">
            <w:pPr>
              <w:keepNext/>
              <w:spacing w:after="0" w:line="240" w:lineRule="auto"/>
              <w:jc w:val="right"/>
              <w:rPr>
                <w:rFonts w:eastAsia="Times New Roman" w:cs="Times New Roman"/>
                <w:i/>
                <w:sz w:val="18"/>
                <w:szCs w:val="18"/>
                <w:lang w:eastAsia="sk-SK"/>
              </w:rPr>
            </w:pPr>
            <w:r w:rsidRPr="000939E3">
              <w:rPr>
                <w:rFonts w:eastAsia="Times New Roman" w:cs="Times New Roman"/>
                <w:i/>
                <w:sz w:val="18"/>
                <w:szCs w:val="18"/>
                <w:lang w:eastAsia="sk-SK"/>
              </w:rPr>
              <w:t>Zdroj: ISCP, prepočty ÚHP</w:t>
            </w:r>
          </w:p>
        </w:tc>
      </w:tr>
    </w:tbl>
    <w:p w14:paraId="53EF03AF" w14:textId="1B1DF6AB" w:rsidR="0004409E" w:rsidRPr="000939E3" w:rsidRDefault="0004409E" w:rsidP="0004409E">
      <w:pPr>
        <w:spacing w:before="120" w:after="120"/>
      </w:pPr>
      <w:r w:rsidRPr="000939E3">
        <w:rPr>
          <w:b/>
        </w:rPr>
        <w:t xml:space="preserve">Veková štruktúra naznačuje problémy s pritiahnutím a udržaním si mladších zamestnancov vo verejnom sektore. </w:t>
      </w:r>
      <w:r w:rsidRPr="000939E3">
        <w:t xml:space="preserve">Nízky podiel mladých pracovníkov môže súvisieť s odmeňovacími predpismi. Jednou z možností ako pritiahnuť </w:t>
      </w:r>
      <w:r w:rsidR="00F41833" w:rsidRPr="000939E3">
        <w:t xml:space="preserve">kvalifikovaných </w:t>
      </w:r>
      <w:r w:rsidRPr="000939E3">
        <w:t xml:space="preserve">mladých ľudí by bol rýchlejší rast mzdy v prvých rokoch práce a naopak spomalenie </w:t>
      </w:r>
      <w:r w:rsidRPr="000939E3">
        <w:lastRenderedPageBreak/>
        <w:t>v</w:t>
      </w:r>
      <w:r w:rsidR="00B27C2B" w:rsidRPr="000939E3">
        <w:t xml:space="preserve"> neskorších fázach </w:t>
      </w:r>
      <w:r w:rsidRPr="000939E3">
        <w:t>kariéry, tak, ako je to bežné v</w:t>
      </w:r>
      <w:r w:rsidR="00F41833" w:rsidRPr="000939E3">
        <w:t xml:space="preserve"> prípade kvalifikovaných zamestnancov v </w:t>
      </w:r>
      <w:r w:rsidRPr="000939E3">
        <w:t>súkromnom sektore</w:t>
      </w:r>
      <w:r w:rsidR="00D63266" w:rsidRPr="000939E3">
        <w:t xml:space="preserve"> </w:t>
      </w:r>
      <w:r w:rsidRPr="000939E3">
        <w:t>(</w:t>
      </w:r>
      <w:r w:rsidRPr="000939E3">
        <w:fldChar w:fldCharType="begin"/>
      </w:r>
      <w:r w:rsidRPr="000939E3">
        <w:instrText xml:space="preserve"> REF _Ref526695654 \h </w:instrText>
      </w:r>
      <w:r w:rsidR="000C42B7" w:rsidRPr="000939E3">
        <w:instrText xml:space="preserve"> \* MERGEFORMAT </w:instrText>
      </w:r>
      <w:r w:rsidRPr="000939E3">
        <w:fldChar w:fldCharType="separate"/>
      </w:r>
      <w:r w:rsidR="00BF69CA" w:rsidRPr="00BF69CA">
        <w:t>Graf 33</w:t>
      </w:r>
      <w:r w:rsidRPr="000939E3">
        <w:fldChar w:fldCharType="end"/>
      </w:r>
      <w:r w:rsidRPr="000939E3">
        <w:t>)</w:t>
      </w:r>
      <w:r w:rsidR="00DB2CD8" w:rsidRPr="000939E3">
        <w:t xml:space="preserve">. </w:t>
      </w:r>
      <w:r w:rsidR="00D66ECB" w:rsidRPr="000939E3">
        <w:t>Nedávne legislatívne</w:t>
      </w:r>
      <w:r w:rsidR="00D63266" w:rsidRPr="000939E3">
        <w:t xml:space="preserve"> zmeny v odmeňovaní </w:t>
      </w:r>
      <w:r w:rsidR="000C42B7" w:rsidRPr="000939E3">
        <w:t>vo </w:t>
      </w:r>
      <w:r w:rsidR="00D66ECB" w:rsidRPr="000939E3">
        <w:t xml:space="preserve">verejnom záujme </w:t>
      </w:r>
      <w:r w:rsidR="00D63266" w:rsidRPr="000939E3">
        <w:t xml:space="preserve">rast mzdy ku koncu kariéry spomalili, čo je možné považovať za zlepšenie systému. </w:t>
      </w:r>
    </w:p>
    <w:p w14:paraId="136D2133" w14:textId="6ADD6D01" w:rsidR="0004409E" w:rsidRPr="000939E3" w:rsidRDefault="0004409E" w:rsidP="0004409E">
      <w:pPr>
        <w:spacing w:before="120"/>
      </w:pPr>
      <w:r w:rsidRPr="000939E3">
        <w:rPr>
          <w:b/>
        </w:rPr>
        <w:t xml:space="preserve">Viac ako dve tretiny zamestnancov verejného sektora sú ženy, naopak súkromný sektor zamestnáva viac mužov. </w:t>
      </w:r>
      <w:r w:rsidRPr="000939E3">
        <w:t>Tento počet je, rovnako ako iné charakteristiky verejného sektora, veľmi ovplyvnený školstvom a zdravotníctvom, v ktorých je zastúpenie žien takmer 80</w:t>
      </w:r>
      <w:r w:rsidR="00282D7C" w:rsidRPr="000939E3">
        <w:t xml:space="preserve"> %</w:t>
      </w:r>
      <w:r w:rsidRPr="000939E3">
        <w:t>. Mimo školstva a zdravotníctva tvoria ženy približne 56 % zamestnancov vo verejnom a 41 % v súkromnom sektore</w:t>
      </w:r>
      <w:r w:rsidR="00A2103B" w:rsidRPr="000939E3">
        <w:t xml:space="preserve"> (</w:t>
      </w:r>
      <w:r w:rsidR="00A2103B" w:rsidRPr="000939E3">
        <w:fldChar w:fldCharType="begin"/>
      </w:r>
      <w:r w:rsidR="00A2103B" w:rsidRPr="000939E3">
        <w:instrText xml:space="preserve"> REF _Ref3875744 \h </w:instrText>
      </w:r>
      <w:r w:rsidR="00DC481D" w:rsidRPr="000939E3">
        <w:instrText xml:space="preserve"> \* MERGEFORMAT </w:instrText>
      </w:r>
      <w:r w:rsidR="00A2103B" w:rsidRPr="000939E3">
        <w:fldChar w:fldCharType="separate"/>
      </w:r>
      <w:r w:rsidR="00BF69CA" w:rsidRPr="000939E3">
        <w:t xml:space="preserve">Graf </w:t>
      </w:r>
      <w:r w:rsidR="00BF69CA">
        <w:rPr>
          <w:noProof/>
        </w:rPr>
        <w:t>26</w:t>
      </w:r>
      <w:r w:rsidR="00A2103B" w:rsidRPr="000939E3">
        <w:fldChar w:fldCharType="end"/>
      </w:r>
      <w:r w:rsidR="00A2103B" w:rsidRPr="000939E3">
        <w:t>)</w:t>
      </w:r>
      <w:r w:rsidRPr="000939E3">
        <w:t>.</w:t>
      </w:r>
    </w:p>
    <w:p w14:paraId="6A1C3B8C" w14:textId="7AC38432" w:rsidR="007B4D5C" w:rsidRPr="000939E3" w:rsidRDefault="0004409E" w:rsidP="00FD2C91">
      <w:r w:rsidRPr="000939E3">
        <w:rPr>
          <w:b/>
        </w:rPr>
        <w:t xml:space="preserve">Verejní zamestnanci zostávajú dlhšie pracovať v jednej organizácii. </w:t>
      </w:r>
      <w:r w:rsidRPr="000939E3">
        <w:t>Kým </w:t>
      </w:r>
      <w:r w:rsidR="00282D7C" w:rsidRPr="000939E3">
        <w:t xml:space="preserve">polovica zamestnancov </w:t>
      </w:r>
      <w:r w:rsidRPr="000939E3">
        <w:t>v súkromnom sektore pracuje v súčasnej organizácii viac ako 5 rokov, vo verejnom sektore sú to až dve tretiny. Vyšši</w:t>
      </w:r>
      <w:r w:rsidR="00A2103B" w:rsidRPr="000939E3">
        <w:t>a</w:t>
      </w:r>
      <w:r w:rsidRPr="000939E3">
        <w:t xml:space="preserve"> mier</w:t>
      </w:r>
      <w:r w:rsidR="00A2103B" w:rsidRPr="000939E3">
        <w:t>a</w:t>
      </w:r>
      <w:r w:rsidRPr="000939E3">
        <w:t xml:space="preserve"> zotrvania </w:t>
      </w:r>
      <w:r w:rsidR="00927949" w:rsidRPr="000939E3">
        <w:t xml:space="preserve">je </w:t>
      </w:r>
      <w:r w:rsidRPr="000939E3">
        <w:t>aj v oblastiach súkromného sektora, ktoré sú významne ovplyvnené štátnou reguláciou odmeňovania</w:t>
      </w:r>
      <w:r w:rsidR="002B613A" w:rsidRPr="000939E3">
        <w:t xml:space="preserve"> – v školstve a</w:t>
      </w:r>
      <w:r w:rsidR="00A2103B" w:rsidRPr="000939E3">
        <w:t> </w:t>
      </w:r>
      <w:r w:rsidR="002B613A" w:rsidRPr="000939E3">
        <w:t>zdravotníctve</w:t>
      </w:r>
      <w:r w:rsidR="00A2103B" w:rsidRPr="000939E3">
        <w:t xml:space="preserve"> (</w:t>
      </w:r>
      <w:r w:rsidR="00A2103B" w:rsidRPr="000939E3">
        <w:fldChar w:fldCharType="begin"/>
      </w:r>
      <w:r w:rsidR="00A2103B" w:rsidRPr="000939E3">
        <w:instrText xml:space="preserve"> REF _Ref3875808 \h  \* MERGEFORMAT </w:instrText>
      </w:r>
      <w:r w:rsidR="00A2103B" w:rsidRPr="000939E3">
        <w:fldChar w:fldCharType="separate"/>
      </w:r>
      <w:r w:rsidR="00BF69CA" w:rsidRPr="000939E3">
        <w:t xml:space="preserve">Graf </w:t>
      </w:r>
      <w:r w:rsidR="00BF69CA">
        <w:rPr>
          <w:noProof/>
        </w:rPr>
        <w:t>27</w:t>
      </w:r>
      <w:r w:rsidR="00A2103B" w:rsidRPr="000939E3">
        <w:fldChar w:fldCharType="end"/>
      </w:r>
      <w:r w:rsidR="00A2103B" w:rsidRPr="000939E3">
        <w:t>)</w:t>
      </w:r>
      <w:r w:rsidR="002B613A" w:rsidRPr="000939E3">
        <w:t xml:space="preserve">. </w:t>
      </w:r>
    </w:p>
    <w:tbl>
      <w:tblPr>
        <w:tblStyle w:val="UHPGRAF"/>
        <w:tblpPr w:leftFromText="141" w:rightFromText="141" w:vertAnchor="text" w:horzAnchor="margin" w:tblpY="-55"/>
        <w:tblW w:w="4994" w:type="pct"/>
        <w:tblLayout w:type="fixed"/>
        <w:tblCellMar>
          <w:left w:w="70" w:type="dxa"/>
          <w:right w:w="70" w:type="dxa"/>
        </w:tblCellMar>
        <w:tblLook w:val="04E0" w:firstRow="1" w:lastRow="1" w:firstColumn="1" w:lastColumn="0" w:noHBand="0" w:noVBand="1"/>
      </w:tblPr>
      <w:tblGrid>
        <w:gridCol w:w="2411"/>
        <w:gridCol w:w="1984"/>
        <w:gridCol w:w="161"/>
        <w:gridCol w:w="2533"/>
        <w:gridCol w:w="1972"/>
      </w:tblGrid>
      <w:tr w:rsidR="0004409E" w:rsidRPr="000939E3" w14:paraId="220BF99A" w14:textId="77777777" w:rsidTr="00F778F9">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25" w:type="pct"/>
            <w:gridSpan w:val="2"/>
            <w:vAlign w:val="top"/>
          </w:tcPr>
          <w:p w14:paraId="582556BB" w14:textId="6B27A5A2" w:rsidR="0004409E" w:rsidRPr="000939E3" w:rsidRDefault="0004409E" w:rsidP="008679D8">
            <w:pPr>
              <w:jc w:val="left"/>
              <w:rPr>
                <w:lang w:val="sk-SK"/>
              </w:rPr>
            </w:pPr>
            <w:bookmarkStart w:id="128" w:name="_Ref3875744"/>
            <w:bookmarkStart w:id="129" w:name="_Toc34226897"/>
            <w:r w:rsidRPr="000939E3">
              <w:rPr>
                <w:lang w:val="sk-SK"/>
              </w:rPr>
              <w:t xml:space="preserve">Graf </w:t>
            </w:r>
            <w:r w:rsidR="000B0EF7" w:rsidRPr="000939E3">
              <w:fldChar w:fldCharType="begin"/>
            </w:r>
            <w:r w:rsidR="000B0EF7" w:rsidRPr="000939E3">
              <w:rPr>
                <w:lang w:val="sk-SK"/>
              </w:rPr>
              <w:instrText xml:space="preserve"> SEQ Graf \* ARABIC </w:instrText>
            </w:r>
            <w:r w:rsidR="000B0EF7" w:rsidRPr="000939E3">
              <w:fldChar w:fldCharType="separate"/>
            </w:r>
            <w:r w:rsidR="00BF69CA">
              <w:rPr>
                <w:noProof/>
                <w:lang w:val="sk-SK"/>
              </w:rPr>
              <w:t>26</w:t>
            </w:r>
            <w:r w:rsidR="000B0EF7" w:rsidRPr="000939E3">
              <w:fldChar w:fldCharType="end"/>
            </w:r>
            <w:bookmarkEnd w:id="128"/>
            <w:r w:rsidR="007B4D5C" w:rsidRPr="000939E3">
              <w:rPr>
                <w:noProof/>
                <w:lang w:val="sk-SK"/>
              </w:rPr>
              <w:t>:</w:t>
            </w:r>
            <w:r w:rsidRPr="000939E3">
              <w:rPr>
                <w:rFonts w:eastAsia="Times New Roman" w:cs="Times New Roman"/>
                <w:color w:val="000000"/>
                <w:lang w:val="sk-SK"/>
              </w:rPr>
              <w:t xml:space="preserve"> </w:t>
            </w:r>
            <w:r w:rsidRPr="000939E3">
              <w:rPr>
                <w:rFonts w:eastAsia="Times New Roman" w:cs="Times New Roman"/>
                <w:iCs w:val="0"/>
                <w:color w:val="000000"/>
                <w:lang w:val="sk-SK"/>
              </w:rPr>
              <w:t>Rodová štruktúra</w:t>
            </w:r>
            <w:r w:rsidRPr="000939E3">
              <w:rPr>
                <w:rFonts w:eastAsia="Times New Roman" w:cs="Times New Roman"/>
                <w:color w:val="000000"/>
                <w:lang w:val="sk-SK"/>
              </w:rPr>
              <w:t xml:space="preserve"> </w:t>
            </w:r>
            <w:r w:rsidR="00E14202" w:rsidRPr="000939E3">
              <w:rPr>
                <w:rFonts w:eastAsia="Times New Roman" w:cs="Times New Roman"/>
                <w:iCs w:val="0"/>
                <w:color w:val="000000"/>
                <w:lang w:val="sk-SK"/>
              </w:rPr>
              <w:t xml:space="preserve">zamestnancov na Slovensku </w:t>
            </w:r>
            <w:r w:rsidRPr="000939E3">
              <w:rPr>
                <w:rFonts w:eastAsia="Times New Roman" w:cs="Times New Roman"/>
                <w:iCs w:val="0"/>
                <w:color w:val="000000"/>
                <w:lang w:val="sk-SK"/>
              </w:rPr>
              <w:t>(2017)</w:t>
            </w:r>
            <w:bookmarkEnd w:id="129"/>
            <w:r w:rsidRPr="000939E3">
              <w:rPr>
                <w:rFonts w:eastAsia="Times New Roman" w:cs="Times New Roman"/>
                <w:lang w:val="sk-SK"/>
              </w:rPr>
              <w:t> </w:t>
            </w:r>
          </w:p>
        </w:tc>
        <w:tc>
          <w:tcPr>
            <w:tcW w:w="89" w:type="pct"/>
            <w:tcBorders>
              <w:bottom w:val="nil"/>
            </w:tcBorders>
            <w:vAlign w:val="top"/>
          </w:tcPr>
          <w:p w14:paraId="2B7D1ADA" w14:textId="77777777" w:rsidR="0004409E" w:rsidRPr="000939E3" w:rsidDel="007361C3" w:rsidRDefault="0004409E" w:rsidP="0004409E">
            <w:pPr>
              <w:cnfStyle w:val="100000000000" w:firstRow="1" w:lastRow="0" w:firstColumn="0" w:lastColumn="0" w:oddVBand="0" w:evenVBand="0" w:oddHBand="0" w:evenHBand="0" w:firstRowFirstColumn="0" w:firstRowLastColumn="0" w:lastRowFirstColumn="0" w:lastRowLastColumn="0"/>
              <w:rPr>
                <w:noProof/>
                <w:lang w:val="sk-SK"/>
              </w:rPr>
            </w:pPr>
          </w:p>
        </w:tc>
        <w:tc>
          <w:tcPr>
            <w:tcW w:w="2486" w:type="pct"/>
            <w:gridSpan w:val="2"/>
            <w:vAlign w:val="top"/>
          </w:tcPr>
          <w:p w14:paraId="797BEBA4" w14:textId="4B327379" w:rsidR="0004409E" w:rsidRPr="000939E3" w:rsidRDefault="0004409E" w:rsidP="0004409E">
            <w:pPr>
              <w:cnfStyle w:val="100000000000" w:firstRow="1" w:lastRow="0" w:firstColumn="0" w:lastColumn="0" w:oddVBand="0" w:evenVBand="0" w:oddHBand="0" w:evenHBand="0" w:firstRowFirstColumn="0" w:firstRowLastColumn="0" w:lastRowFirstColumn="0" w:lastRowLastColumn="0"/>
              <w:rPr>
                <w:lang w:val="sk-SK"/>
              </w:rPr>
            </w:pPr>
            <w:bookmarkStart w:id="130" w:name="_Ref3875808"/>
            <w:bookmarkStart w:id="131" w:name="_Toc34226898"/>
            <w:r w:rsidRPr="000939E3">
              <w:rPr>
                <w:lang w:val="sk-SK"/>
              </w:rPr>
              <w:t xml:space="preserve">Graf </w:t>
            </w:r>
            <w:r w:rsidR="000B0EF7" w:rsidRPr="000939E3">
              <w:fldChar w:fldCharType="begin"/>
            </w:r>
            <w:r w:rsidR="000B0EF7" w:rsidRPr="000939E3">
              <w:rPr>
                <w:lang w:val="sk-SK"/>
              </w:rPr>
              <w:instrText xml:space="preserve"> SEQ Graf \* ARABIC </w:instrText>
            </w:r>
            <w:r w:rsidR="000B0EF7" w:rsidRPr="000939E3">
              <w:fldChar w:fldCharType="separate"/>
            </w:r>
            <w:r w:rsidR="00BF69CA">
              <w:rPr>
                <w:noProof/>
                <w:lang w:val="sk-SK"/>
              </w:rPr>
              <w:t>27</w:t>
            </w:r>
            <w:r w:rsidR="000B0EF7" w:rsidRPr="000939E3">
              <w:fldChar w:fldCharType="end"/>
            </w:r>
            <w:bookmarkEnd w:id="130"/>
            <w:r w:rsidR="007B4D5C" w:rsidRPr="000939E3">
              <w:rPr>
                <w:noProof/>
                <w:lang w:val="sk-SK"/>
              </w:rPr>
              <w:t>:</w:t>
            </w:r>
            <w:r w:rsidRPr="000939E3">
              <w:rPr>
                <w:rStyle w:val="Bodytext295pt"/>
                <w:szCs w:val="20"/>
                <w:lang w:val="sk-SK"/>
              </w:rPr>
              <w:t xml:space="preserve"> </w:t>
            </w:r>
            <w:r w:rsidRPr="000939E3">
              <w:rPr>
                <w:rStyle w:val="Bodytext295pt"/>
                <w:szCs w:val="20"/>
              </w:rPr>
              <w:t>Podiel zamestnancov, pracujúcich v súčasnej organizácii viac ako daný počet rokov (2017)</w:t>
            </w:r>
            <w:bookmarkEnd w:id="131"/>
          </w:p>
        </w:tc>
      </w:tr>
      <w:tr w:rsidR="0004409E" w:rsidRPr="000939E3" w14:paraId="19892AF7" w14:textId="77777777" w:rsidTr="00F778F9">
        <w:trPr>
          <w:trHeight w:val="20"/>
        </w:trPr>
        <w:tc>
          <w:tcPr>
            <w:cnfStyle w:val="001000000000" w:firstRow="0" w:lastRow="0" w:firstColumn="1" w:lastColumn="0" w:oddVBand="0" w:evenVBand="0" w:oddHBand="0" w:evenHBand="0" w:firstRowFirstColumn="0" w:firstRowLastColumn="0" w:lastRowFirstColumn="0" w:lastRowLastColumn="0"/>
            <w:tcW w:w="2425" w:type="pct"/>
            <w:gridSpan w:val="2"/>
            <w:tcBorders>
              <w:top w:val="single" w:sz="4" w:space="0" w:color="auto"/>
              <w:bottom w:val="single" w:sz="4" w:space="0" w:color="auto"/>
            </w:tcBorders>
          </w:tcPr>
          <w:p w14:paraId="407348B6" w14:textId="77777777" w:rsidR="0004409E" w:rsidRPr="000939E3" w:rsidRDefault="009539ED" w:rsidP="0004409E">
            <w:r w:rsidRPr="000939E3">
              <w:rPr>
                <w:noProof/>
              </w:rPr>
              <w:drawing>
                <wp:inline distT="0" distB="0" distL="0" distR="0" wp14:anchorId="5048FE3D" wp14:editId="7FB6EBA2">
                  <wp:extent cx="2699385" cy="2076450"/>
                  <wp:effectExtent l="0" t="0" r="5715"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89" w:type="pct"/>
            <w:tcBorders>
              <w:top w:val="nil"/>
              <w:bottom w:val="nil"/>
            </w:tcBorders>
          </w:tcPr>
          <w:p w14:paraId="21B937B3" w14:textId="77777777" w:rsidR="0004409E" w:rsidRPr="000939E3" w:rsidDel="007361C3" w:rsidRDefault="0004409E" w:rsidP="0004409E">
            <w:pPr>
              <w:cnfStyle w:val="000000000000" w:firstRow="0" w:lastRow="0" w:firstColumn="0" w:lastColumn="0" w:oddVBand="0" w:evenVBand="0" w:oddHBand="0" w:evenHBand="0" w:firstRowFirstColumn="0" w:firstRowLastColumn="0" w:lastRowFirstColumn="0" w:lastRowLastColumn="0"/>
              <w:rPr>
                <w:noProof/>
              </w:rPr>
            </w:pPr>
          </w:p>
        </w:tc>
        <w:tc>
          <w:tcPr>
            <w:tcW w:w="2486" w:type="pct"/>
            <w:gridSpan w:val="2"/>
            <w:tcBorders>
              <w:top w:val="single" w:sz="4" w:space="0" w:color="auto"/>
              <w:bottom w:val="single" w:sz="4" w:space="0" w:color="auto"/>
            </w:tcBorders>
          </w:tcPr>
          <w:p w14:paraId="599A8FBD" w14:textId="77777777" w:rsidR="0004409E" w:rsidRPr="000939E3" w:rsidDel="007361C3" w:rsidRDefault="001F617C" w:rsidP="0004409E">
            <w:pPr>
              <w:cnfStyle w:val="000000000000" w:firstRow="0" w:lastRow="0" w:firstColumn="0" w:lastColumn="0" w:oddVBand="0" w:evenVBand="0" w:oddHBand="0" w:evenHBand="0" w:firstRowFirstColumn="0" w:firstRowLastColumn="0" w:lastRowFirstColumn="0" w:lastRowLastColumn="0"/>
              <w:rPr>
                <w:noProof/>
              </w:rPr>
            </w:pPr>
            <w:r w:rsidRPr="000939E3">
              <w:rPr>
                <w:noProof/>
              </w:rPr>
              <w:drawing>
                <wp:inline distT="0" distB="0" distL="0" distR="0" wp14:anchorId="26794FD1" wp14:editId="69569F73">
                  <wp:extent cx="2774315" cy="2018581"/>
                  <wp:effectExtent l="0" t="0" r="6985" b="127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1F617C" w:rsidRPr="000939E3" w14:paraId="00B5F362" w14:textId="77777777" w:rsidTr="00794AE0">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330" w:type="pct"/>
          </w:tcPr>
          <w:p w14:paraId="3E420F63" w14:textId="77777777" w:rsidR="001F617C" w:rsidRPr="000939E3" w:rsidDel="007361C3" w:rsidRDefault="001F617C" w:rsidP="00BF44E1">
            <w:pPr>
              <w:jc w:val="left"/>
              <w:rPr>
                <w:b w:val="0"/>
                <w:bCs w:val="0"/>
                <w:noProof/>
                <w:sz w:val="18"/>
                <w:szCs w:val="18"/>
              </w:rPr>
            </w:pPr>
            <w:r w:rsidRPr="000939E3">
              <w:rPr>
                <w:b w:val="0"/>
                <w:bCs w:val="0"/>
                <w:noProof/>
                <w:sz w:val="18"/>
                <w:szCs w:val="18"/>
              </w:rPr>
              <w:t>Pozn</w:t>
            </w:r>
            <w:r w:rsidR="00794AE0" w:rsidRPr="000939E3">
              <w:rPr>
                <w:b w:val="0"/>
                <w:bCs w:val="0"/>
                <w:noProof/>
                <w:sz w:val="18"/>
                <w:szCs w:val="18"/>
              </w:rPr>
              <w:t>.</w:t>
            </w:r>
            <w:r w:rsidRPr="000939E3">
              <w:rPr>
                <w:b w:val="0"/>
                <w:bCs w:val="0"/>
                <w:noProof/>
                <w:sz w:val="18"/>
                <w:szCs w:val="18"/>
              </w:rPr>
              <w:t xml:space="preserve">: </w:t>
            </w:r>
            <w:r w:rsidR="00794AE0" w:rsidRPr="000939E3">
              <w:rPr>
                <w:b w:val="0"/>
                <w:bCs w:val="0"/>
                <w:noProof/>
                <w:sz w:val="18"/>
                <w:szCs w:val="18"/>
              </w:rPr>
              <w:t>B</w:t>
            </w:r>
            <w:r w:rsidRPr="000939E3">
              <w:rPr>
                <w:b w:val="0"/>
                <w:bCs w:val="0"/>
                <w:noProof/>
                <w:sz w:val="18"/>
                <w:szCs w:val="18"/>
              </w:rPr>
              <w:t>ez ozbrojených zložiek</w:t>
            </w:r>
            <w:r w:rsidR="00794AE0" w:rsidRPr="000939E3">
              <w:rPr>
                <w:b w:val="0"/>
                <w:bCs w:val="0"/>
                <w:noProof/>
                <w:sz w:val="18"/>
                <w:szCs w:val="18"/>
              </w:rPr>
              <w:t>.</w:t>
            </w:r>
          </w:p>
        </w:tc>
        <w:tc>
          <w:tcPr>
            <w:tcW w:w="1094" w:type="pct"/>
          </w:tcPr>
          <w:p w14:paraId="075511A6" w14:textId="77777777" w:rsidR="001F617C" w:rsidRPr="000939E3" w:rsidDel="007361C3" w:rsidRDefault="001F617C" w:rsidP="007163CC">
            <w:pPr>
              <w:jc w:val="right"/>
              <w:cnfStyle w:val="010000000000" w:firstRow="0" w:lastRow="1" w:firstColumn="0" w:lastColumn="0" w:oddVBand="0" w:evenVBand="0" w:oddHBand="0" w:evenHBand="0" w:firstRowFirstColumn="0" w:firstRowLastColumn="0" w:lastRowFirstColumn="0" w:lastRowLastColumn="0"/>
              <w:rPr>
                <w:noProof/>
                <w:sz w:val="18"/>
                <w:szCs w:val="18"/>
              </w:rPr>
            </w:pPr>
            <w:r w:rsidRPr="000939E3">
              <w:rPr>
                <w:noProof/>
                <w:sz w:val="18"/>
                <w:szCs w:val="18"/>
              </w:rPr>
              <w:t>Zdroj: ISCP, prepočty ÚHP</w:t>
            </w:r>
          </w:p>
        </w:tc>
        <w:tc>
          <w:tcPr>
            <w:tcW w:w="89" w:type="pct"/>
            <w:tcBorders>
              <w:top w:val="nil"/>
            </w:tcBorders>
          </w:tcPr>
          <w:p w14:paraId="6592C81F" w14:textId="77777777" w:rsidR="001F617C" w:rsidRPr="000939E3" w:rsidDel="007361C3" w:rsidRDefault="001F617C" w:rsidP="008447EF">
            <w:pPr>
              <w:cnfStyle w:val="010000000000" w:firstRow="0" w:lastRow="1" w:firstColumn="0" w:lastColumn="0" w:oddVBand="0" w:evenVBand="0" w:oddHBand="0" w:evenHBand="0" w:firstRowFirstColumn="0" w:firstRowLastColumn="0" w:lastRowFirstColumn="0" w:lastRowLastColumn="0"/>
              <w:rPr>
                <w:noProof/>
                <w:sz w:val="18"/>
                <w:szCs w:val="18"/>
              </w:rPr>
            </w:pPr>
          </w:p>
        </w:tc>
        <w:tc>
          <w:tcPr>
            <w:tcW w:w="1398" w:type="pct"/>
          </w:tcPr>
          <w:p w14:paraId="4B143DA7" w14:textId="77777777" w:rsidR="001F617C" w:rsidRPr="000939E3" w:rsidDel="007361C3" w:rsidRDefault="001F617C" w:rsidP="00CE411D">
            <w:pPr>
              <w:jc w:val="left"/>
              <w:cnfStyle w:val="010000000000" w:firstRow="0" w:lastRow="1" w:firstColumn="0" w:lastColumn="0" w:oddVBand="0" w:evenVBand="0" w:oddHBand="0" w:evenHBand="0" w:firstRowFirstColumn="0" w:firstRowLastColumn="0" w:lastRowFirstColumn="0" w:lastRowLastColumn="0"/>
              <w:rPr>
                <w:i w:val="0"/>
                <w:noProof/>
                <w:sz w:val="18"/>
                <w:szCs w:val="18"/>
              </w:rPr>
            </w:pPr>
            <w:r w:rsidRPr="000939E3">
              <w:rPr>
                <w:bCs/>
                <w:noProof/>
                <w:sz w:val="18"/>
                <w:szCs w:val="18"/>
              </w:rPr>
              <w:t>Pozn</w:t>
            </w:r>
            <w:r w:rsidR="00794AE0" w:rsidRPr="000939E3">
              <w:rPr>
                <w:bCs/>
                <w:noProof/>
                <w:sz w:val="18"/>
                <w:szCs w:val="18"/>
              </w:rPr>
              <w:t>.</w:t>
            </w:r>
            <w:r w:rsidRPr="000939E3">
              <w:rPr>
                <w:bCs/>
                <w:noProof/>
                <w:sz w:val="18"/>
                <w:szCs w:val="18"/>
              </w:rPr>
              <w:t xml:space="preserve">: </w:t>
            </w:r>
            <w:r w:rsidR="00794AE0" w:rsidRPr="000939E3">
              <w:rPr>
                <w:bCs/>
                <w:noProof/>
                <w:sz w:val="18"/>
                <w:szCs w:val="18"/>
              </w:rPr>
              <w:t>B</w:t>
            </w:r>
            <w:r w:rsidRPr="000939E3">
              <w:rPr>
                <w:bCs/>
                <w:noProof/>
                <w:sz w:val="18"/>
                <w:szCs w:val="18"/>
              </w:rPr>
              <w:t>ez ozbrojených zložiek</w:t>
            </w:r>
            <w:r w:rsidR="00794AE0" w:rsidRPr="000939E3">
              <w:rPr>
                <w:bCs/>
                <w:noProof/>
                <w:sz w:val="18"/>
                <w:szCs w:val="18"/>
              </w:rPr>
              <w:t>.</w:t>
            </w:r>
          </w:p>
        </w:tc>
        <w:tc>
          <w:tcPr>
            <w:tcW w:w="1089" w:type="pct"/>
          </w:tcPr>
          <w:p w14:paraId="628E1B30" w14:textId="77777777" w:rsidR="001F617C" w:rsidRPr="000939E3" w:rsidDel="007361C3" w:rsidRDefault="001F617C" w:rsidP="00C51BE1">
            <w:pPr>
              <w:jc w:val="right"/>
              <w:cnfStyle w:val="010000000000" w:firstRow="0" w:lastRow="1" w:firstColumn="0" w:lastColumn="0" w:oddVBand="0" w:evenVBand="0" w:oddHBand="0" w:evenHBand="0" w:firstRowFirstColumn="0" w:firstRowLastColumn="0" w:lastRowFirstColumn="0" w:lastRowLastColumn="0"/>
              <w:rPr>
                <w:noProof/>
                <w:sz w:val="18"/>
                <w:szCs w:val="18"/>
              </w:rPr>
            </w:pPr>
            <w:r w:rsidRPr="000939E3">
              <w:rPr>
                <w:noProof/>
                <w:sz w:val="18"/>
                <w:szCs w:val="18"/>
              </w:rPr>
              <w:t>Zdroj: ISCP, prepočty ÚHP</w:t>
            </w:r>
          </w:p>
        </w:tc>
      </w:tr>
    </w:tbl>
    <w:p w14:paraId="798D380B" w14:textId="77777777" w:rsidR="00F778F9" w:rsidRPr="000939E3" w:rsidRDefault="00F778F9" w:rsidP="00BF44E1">
      <w:pPr>
        <w:pStyle w:val="Nadpis2"/>
      </w:pPr>
      <w:bookmarkStart w:id="132" w:name="_Toc34050699"/>
      <w:r w:rsidRPr="000939E3">
        <w:t>Rozdiely v štruktúre odmeňovania</w:t>
      </w:r>
      <w:bookmarkEnd w:id="132"/>
      <w:r w:rsidRPr="000939E3">
        <w:t xml:space="preserve"> </w:t>
      </w:r>
    </w:p>
    <w:p w14:paraId="39ABFBF4" w14:textId="0F7FC2FF" w:rsidR="00F778F9" w:rsidRPr="000939E3" w:rsidRDefault="00EC668E" w:rsidP="00EC668E">
      <w:pPr>
        <w:rPr>
          <w:rFonts w:eastAsia="Times New Roman" w:cs="Times New Roman"/>
          <w:bCs/>
          <w:lang w:eastAsia="sk-SK"/>
        </w:rPr>
      </w:pPr>
      <w:r w:rsidRPr="000939E3">
        <w:rPr>
          <w:b/>
        </w:rPr>
        <w:t xml:space="preserve">Prax odmeňovania vo verejnom sektore ovplyvňuje špecifická </w:t>
      </w:r>
      <w:r w:rsidR="00F778F9" w:rsidRPr="000939E3">
        <w:rPr>
          <w:b/>
        </w:rPr>
        <w:t>legislatívna úprava jednotlivých odmeňovacích predpisov</w:t>
      </w:r>
      <w:r w:rsidR="00070B82" w:rsidRPr="000939E3">
        <w:rPr>
          <w:rStyle w:val="Odkaznapoznmkupodiarou"/>
          <w:b/>
        </w:rPr>
        <w:footnoteReference w:id="48"/>
      </w:r>
      <w:r w:rsidR="00F778F9" w:rsidRPr="000939E3">
        <w:rPr>
          <w:b/>
        </w:rPr>
        <w:t>. Kým v súkromnom sektore tvorí</w:t>
      </w:r>
      <w:r w:rsidR="00F778F9" w:rsidRPr="000939E3">
        <w:rPr>
          <w:rFonts w:eastAsia="Times New Roman" w:cs="Times New Roman"/>
          <w:b/>
          <w:bCs/>
          <w:lang w:eastAsia="sk-SK"/>
        </w:rPr>
        <w:t xml:space="preserve"> základná mzda</w:t>
      </w:r>
      <w:r w:rsidR="00F778F9" w:rsidRPr="000939E3">
        <w:rPr>
          <w:rStyle w:val="Odkaznapoznmkupodiarou"/>
          <w:rFonts w:eastAsia="Times New Roman" w:cs="Times New Roman"/>
          <w:b/>
          <w:bCs/>
          <w:lang w:eastAsia="sk-SK"/>
        </w:rPr>
        <w:footnoteReference w:id="49"/>
      </w:r>
      <w:r w:rsidR="00F778F9" w:rsidRPr="000939E3">
        <w:rPr>
          <w:rFonts w:eastAsia="Times New Roman" w:cs="Times New Roman"/>
          <w:b/>
          <w:bCs/>
          <w:lang w:eastAsia="sk-SK"/>
        </w:rPr>
        <w:t xml:space="preserve"> </w:t>
      </w:r>
      <w:r w:rsidR="00627A39" w:rsidRPr="000939E3">
        <w:rPr>
          <w:rFonts w:eastAsia="Times New Roman" w:cs="Times New Roman"/>
          <w:b/>
          <w:bCs/>
          <w:lang w:eastAsia="sk-SK"/>
        </w:rPr>
        <w:t xml:space="preserve">spolu s príplatkami </w:t>
      </w:r>
      <w:r w:rsidR="00F778F9" w:rsidRPr="000939E3">
        <w:rPr>
          <w:rFonts w:eastAsia="Times New Roman" w:cs="Times New Roman"/>
          <w:b/>
          <w:bCs/>
          <w:lang w:eastAsia="sk-SK"/>
        </w:rPr>
        <w:t>asi 84 % celkovej mzdy, vo verejnom až 9</w:t>
      </w:r>
      <w:r w:rsidRPr="000939E3">
        <w:rPr>
          <w:rFonts w:eastAsia="Times New Roman" w:cs="Times New Roman"/>
          <w:b/>
          <w:bCs/>
          <w:lang w:eastAsia="sk-SK"/>
        </w:rPr>
        <w:t>1</w:t>
      </w:r>
      <w:r w:rsidR="00F778F9" w:rsidRPr="000939E3">
        <w:rPr>
          <w:rFonts w:eastAsia="Times New Roman" w:cs="Times New Roman"/>
          <w:b/>
          <w:bCs/>
          <w:lang w:eastAsia="sk-SK"/>
        </w:rPr>
        <w:t xml:space="preserve"> %. </w:t>
      </w:r>
      <w:r w:rsidR="00F778F9" w:rsidRPr="000939E3">
        <w:rPr>
          <w:rFonts w:eastAsia="Times New Roman" w:cs="Times New Roman"/>
          <w:bCs/>
          <w:lang w:eastAsia="sk-SK"/>
        </w:rPr>
        <w:t xml:space="preserve">Verejný sektor pritom významnejšiu časť mzdy </w:t>
      </w:r>
      <w:r w:rsidR="00627A39" w:rsidRPr="000939E3">
        <w:rPr>
          <w:rFonts w:eastAsia="Times New Roman" w:cs="Times New Roman"/>
          <w:bCs/>
          <w:lang w:eastAsia="sk-SK"/>
        </w:rPr>
        <w:t xml:space="preserve">(14 % vs. 5 %) </w:t>
      </w:r>
      <w:r w:rsidR="00F778F9" w:rsidRPr="000939E3">
        <w:rPr>
          <w:rFonts w:eastAsia="Times New Roman" w:cs="Times New Roman"/>
          <w:bCs/>
          <w:lang w:eastAsia="sk-SK"/>
        </w:rPr>
        <w:t>ako súkromný vypláca vo forme nárokovateľných príplatkov</w:t>
      </w:r>
      <w:r w:rsidR="00855AE6" w:rsidRPr="000939E3">
        <w:rPr>
          <w:rFonts w:eastAsia="Times New Roman" w:cs="Times New Roman"/>
          <w:bCs/>
          <w:lang w:eastAsia="sk-SK"/>
        </w:rPr>
        <w:t>, samotný základ je v oboch sektoroch porovnateľný</w:t>
      </w:r>
      <w:r w:rsidR="00FD2C91" w:rsidRPr="000939E3">
        <w:rPr>
          <w:rFonts w:eastAsia="Times New Roman" w:cs="Times New Roman"/>
          <w:bCs/>
          <w:lang w:eastAsia="sk-SK"/>
        </w:rPr>
        <w:t>. Na </w:t>
      </w:r>
      <w:r w:rsidR="00F778F9" w:rsidRPr="000939E3">
        <w:rPr>
          <w:rFonts w:eastAsia="Times New Roman" w:cs="Times New Roman"/>
          <w:bCs/>
          <w:lang w:eastAsia="sk-SK"/>
        </w:rPr>
        <w:t xml:space="preserve">odmeny, typicky výkonnostné, dáva súkromný sektor 16 %, verejný sektor len </w:t>
      </w:r>
      <w:r w:rsidRPr="000939E3">
        <w:rPr>
          <w:rFonts w:eastAsia="Times New Roman" w:cs="Times New Roman"/>
          <w:bCs/>
          <w:lang w:eastAsia="sk-SK"/>
        </w:rPr>
        <w:t>9</w:t>
      </w:r>
      <w:r w:rsidR="00F778F9" w:rsidRPr="000939E3">
        <w:rPr>
          <w:rFonts w:eastAsia="Times New Roman" w:cs="Times New Roman"/>
          <w:bCs/>
          <w:lang w:eastAsia="sk-SK"/>
        </w:rPr>
        <w:t xml:space="preserve"> %</w:t>
      </w:r>
      <w:r w:rsidRPr="000939E3">
        <w:rPr>
          <w:rFonts w:eastAsia="Times New Roman" w:cs="Times New Roman"/>
          <w:bCs/>
          <w:lang w:eastAsia="sk-SK"/>
        </w:rPr>
        <w:t xml:space="preserve"> (</w:t>
      </w:r>
      <w:r w:rsidRPr="000939E3">
        <w:rPr>
          <w:rFonts w:eastAsia="Times New Roman" w:cs="Times New Roman"/>
          <w:bCs/>
          <w:lang w:eastAsia="sk-SK"/>
        </w:rPr>
        <w:fldChar w:fldCharType="begin"/>
      </w:r>
      <w:r w:rsidRPr="000939E3">
        <w:rPr>
          <w:rFonts w:eastAsia="Times New Roman" w:cs="Times New Roman"/>
          <w:bCs/>
          <w:lang w:eastAsia="sk-SK"/>
        </w:rPr>
        <w:instrText xml:space="preserve"> REF _Ref527114190 \h  \* MERGEFORMAT </w:instrText>
      </w:r>
      <w:r w:rsidRPr="000939E3">
        <w:rPr>
          <w:rFonts w:eastAsia="Times New Roman" w:cs="Times New Roman"/>
          <w:bCs/>
          <w:lang w:eastAsia="sk-SK"/>
        </w:rPr>
      </w:r>
      <w:r w:rsidRPr="000939E3">
        <w:rPr>
          <w:rFonts w:eastAsia="Times New Roman" w:cs="Times New Roman"/>
          <w:bCs/>
          <w:lang w:eastAsia="sk-SK"/>
        </w:rPr>
        <w:fldChar w:fldCharType="separate"/>
      </w:r>
      <w:r w:rsidR="00BF69CA" w:rsidRPr="00BF69CA">
        <w:t xml:space="preserve">Graf </w:t>
      </w:r>
      <w:r w:rsidR="00BF69CA" w:rsidRPr="00BF69CA">
        <w:rPr>
          <w:noProof/>
        </w:rPr>
        <w:t>28</w:t>
      </w:r>
      <w:r w:rsidRPr="000939E3">
        <w:rPr>
          <w:rFonts w:eastAsia="Times New Roman" w:cs="Times New Roman"/>
          <w:bCs/>
          <w:lang w:eastAsia="sk-SK"/>
        </w:rPr>
        <w:fldChar w:fldCharType="end"/>
      </w:r>
      <w:r w:rsidRPr="000939E3">
        <w:rPr>
          <w:rFonts w:eastAsia="Times New Roman" w:cs="Times New Roman"/>
          <w:bCs/>
          <w:lang w:eastAsia="sk-SK"/>
        </w:rPr>
        <w:t>)</w:t>
      </w:r>
      <w:r w:rsidR="00F778F9" w:rsidRPr="000939E3">
        <w:rPr>
          <w:rFonts w:eastAsia="Times New Roman" w:cs="Times New Roman"/>
          <w:bCs/>
          <w:lang w:eastAsia="sk-SK"/>
        </w:rPr>
        <w:t xml:space="preserve">. </w:t>
      </w:r>
    </w:p>
    <w:p w14:paraId="4FC4F1B2" w14:textId="697111BB" w:rsidR="00CD6B55" w:rsidRPr="000939E3" w:rsidRDefault="00CD6B55" w:rsidP="00CD6B55">
      <w:pPr>
        <w:spacing w:before="240"/>
        <w:rPr>
          <w:lang w:eastAsia="sk-SK"/>
        </w:rPr>
      </w:pPr>
      <w:r w:rsidRPr="000939E3">
        <w:rPr>
          <w:b/>
        </w:rPr>
        <w:t>Najbližším ekvivalentom základného platu v súkromnom sektore je vo verejnom sektore súčet tarifnej mzdy a osobného príplatku. Tarifná mzda vychádza z platových tabuliek, ktoré sú zväčša dvojdimenzionálne.</w:t>
      </w:r>
      <w:r w:rsidRPr="000939E3">
        <w:t xml:space="preserve"> Jednou z dimenzií je tarifná trieda, do ktorej sa zamestnanec zaraďuje podľa najnáročnejšej vykonávanej činnosti a závisí od nej základná mzda. Druhou dimenziou, významne ovplyvňujúcou celkovú kompenzáciu, je prax, ktorá zvyšuje základnú mzdu v priemere o 0,5 až 1 % za odpracovaný rok. </w:t>
      </w:r>
      <w:r w:rsidRPr="000939E3">
        <w:rPr>
          <w:lang w:eastAsia="sk-SK"/>
        </w:rPr>
        <w:t>Vo väčšine krajín tvorí základný plat aspoň 80 % celkovej kompenzácie, podobná štruktúra platu je aj na Slovensku (</w:t>
      </w:r>
      <w:r w:rsidRPr="000939E3">
        <w:rPr>
          <w:lang w:eastAsia="sk-SK"/>
        </w:rPr>
        <w:fldChar w:fldCharType="begin"/>
      </w:r>
      <w:r w:rsidRPr="000939E3">
        <w:rPr>
          <w:lang w:eastAsia="sk-SK"/>
        </w:rPr>
        <w:instrText xml:space="preserve"> REF _Ref4076376 \h  \* MERGEFORMAT </w:instrText>
      </w:r>
      <w:r w:rsidRPr="000939E3">
        <w:rPr>
          <w:lang w:eastAsia="sk-SK"/>
        </w:rPr>
      </w:r>
      <w:r w:rsidRPr="000939E3">
        <w:rPr>
          <w:lang w:eastAsia="sk-SK"/>
        </w:rPr>
        <w:fldChar w:fldCharType="separate"/>
      </w:r>
      <w:r w:rsidR="00BF69CA" w:rsidRPr="00BF69CA">
        <w:t xml:space="preserve">Graf </w:t>
      </w:r>
      <w:r w:rsidR="00BF69CA" w:rsidRPr="00BF69CA">
        <w:rPr>
          <w:noProof/>
        </w:rPr>
        <w:t>29</w:t>
      </w:r>
      <w:r w:rsidRPr="000939E3">
        <w:rPr>
          <w:lang w:eastAsia="sk-SK"/>
        </w:rPr>
        <w:fldChar w:fldCharType="end"/>
      </w:r>
      <w:r w:rsidRPr="000939E3">
        <w:rPr>
          <w:lang w:eastAsia="sk-SK"/>
        </w:rPr>
        <w:t>).</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659"/>
        <w:gridCol w:w="2413"/>
      </w:tblGrid>
      <w:tr w:rsidR="00F778F9" w:rsidRPr="000939E3" w14:paraId="535A4111" w14:textId="77777777" w:rsidTr="00C61172">
        <w:trPr>
          <w:trHeight w:val="44"/>
        </w:trPr>
        <w:tc>
          <w:tcPr>
            <w:tcW w:w="5000" w:type="pct"/>
            <w:gridSpan w:val="2"/>
            <w:tcBorders>
              <w:bottom w:val="single" w:sz="4" w:space="0" w:color="auto"/>
            </w:tcBorders>
            <w:vAlign w:val="bottom"/>
          </w:tcPr>
          <w:p w14:paraId="15ED8028" w14:textId="16E1ED61" w:rsidR="00F778F9" w:rsidRPr="000939E3" w:rsidRDefault="00F778F9" w:rsidP="00C61172">
            <w:pPr>
              <w:keepNext/>
              <w:spacing w:after="0"/>
              <w:jc w:val="left"/>
              <w:rPr>
                <w:b/>
                <w:noProof/>
                <w:sz w:val="20"/>
                <w:szCs w:val="20"/>
              </w:rPr>
            </w:pPr>
            <w:bookmarkStart w:id="133" w:name="_Ref527114190"/>
            <w:bookmarkStart w:id="134" w:name="_Toc34226899"/>
            <w:r w:rsidRPr="000939E3">
              <w:rPr>
                <w:b/>
                <w:sz w:val="20"/>
                <w:szCs w:val="20"/>
              </w:rPr>
              <w:lastRenderedPageBreak/>
              <w:t xml:space="preserve">Graf </w:t>
            </w:r>
            <w:r w:rsidRPr="000939E3">
              <w:rPr>
                <w:b/>
                <w:sz w:val="20"/>
                <w:szCs w:val="20"/>
              </w:rPr>
              <w:fldChar w:fldCharType="begin"/>
            </w:r>
            <w:r w:rsidRPr="000939E3">
              <w:rPr>
                <w:b/>
                <w:sz w:val="20"/>
                <w:szCs w:val="20"/>
              </w:rPr>
              <w:instrText xml:space="preserve"> SEQ Graf \* ARABIC </w:instrText>
            </w:r>
            <w:r w:rsidRPr="000939E3">
              <w:rPr>
                <w:b/>
                <w:sz w:val="20"/>
                <w:szCs w:val="20"/>
              </w:rPr>
              <w:fldChar w:fldCharType="separate"/>
            </w:r>
            <w:r w:rsidR="00BF69CA">
              <w:rPr>
                <w:b/>
                <w:noProof/>
                <w:sz w:val="20"/>
                <w:szCs w:val="20"/>
              </w:rPr>
              <w:t>28</w:t>
            </w:r>
            <w:r w:rsidRPr="000939E3">
              <w:rPr>
                <w:b/>
                <w:sz w:val="20"/>
                <w:szCs w:val="20"/>
              </w:rPr>
              <w:fldChar w:fldCharType="end"/>
            </w:r>
            <w:bookmarkEnd w:id="133"/>
            <w:r w:rsidRPr="000939E3">
              <w:rPr>
                <w:rStyle w:val="Bodytext295pt"/>
                <w:b/>
              </w:rPr>
              <w:t>:</w:t>
            </w:r>
            <w:r w:rsidRPr="000939E3">
              <w:rPr>
                <w:rStyle w:val="Bodytext295pt"/>
              </w:rPr>
              <w:t xml:space="preserve"> </w:t>
            </w:r>
            <w:r w:rsidRPr="000939E3">
              <w:rPr>
                <w:rStyle w:val="Bodytext295pt"/>
                <w:b/>
                <w:szCs w:val="20"/>
              </w:rPr>
              <w:t>Zložky mzdy (2017)</w:t>
            </w:r>
            <w:bookmarkEnd w:id="134"/>
          </w:p>
        </w:tc>
      </w:tr>
      <w:tr w:rsidR="00F778F9" w:rsidRPr="000939E3" w14:paraId="4D586E78" w14:textId="77777777" w:rsidTr="00627A39">
        <w:tblPrEx>
          <w:tblCellMar>
            <w:left w:w="108" w:type="dxa"/>
            <w:right w:w="108" w:type="dxa"/>
          </w:tblCellMar>
        </w:tblPrEx>
        <w:trPr>
          <w:trHeight w:val="2169"/>
        </w:trPr>
        <w:tc>
          <w:tcPr>
            <w:tcW w:w="5000" w:type="pct"/>
            <w:gridSpan w:val="2"/>
            <w:tcBorders>
              <w:top w:val="single" w:sz="4" w:space="0" w:color="auto"/>
              <w:bottom w:val="single" w:sz="4" w:space="0" w:color="auto"/>
            </w:tcBorders>
          </w:tcPr>
          <w:p w14:paraId="487F0E67" w14:textId="1AA0876B" w:rsidR="00F778F9" w:rsidRPr="000939E3" w:rsidRDefault="00627A39" w:rsidP="00F778F9">
            <w:pPr>
              <w:spacing w:after="0"/>
            </w:pPr>
            <w:r w:rsidRPr="000939E3">
              <w:rPr>
                <w:noProof/>
                <w:lang w:eastAsia="sk-SK"/>
              </w:rPr>
              <w:drawing>
                <wp:inline distT="0" distB="0" distL="0" distR="0" wp14:anchorId="19C061CA" wp14:editId="47FF6618">
                  <wp:extent cx="5760720" cy="3140015"/>
                  <wp:effectExtent l="0" t="0" r="0" b="3810"/>
                  <wp:docPr id="239" name="Graf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F778F9" w:rsidRPr="000939E3" w14:paraId="1C3C410E" w14:textId="77777777" w:rsidTr="00627A39">
        <w:tblPrEx>
          <w:tblCellMar>
            <w:left w:w="108" w:type="dxa"/>
            <w:right w:w="108" w:type="dxa"/>
          </w:tblCellMar>
        </w:tblPrEx>
        <w:trPr>
          <w:trHeight w:val="169"/>
        </w:trPr>
        <w:tc>
          <w:tcPr>
            <w:tcW w:w="3671" w:type="pct"/>
            <w:tcBorders>
              <w:top w:val="single" w:sz="4" w:space="0" w:color="auto"/>
            </w:tcBorders>
          </w:tcPr>
          <w:p w14:paraId="51D50B05" w14:textId="77777777" w:rsidR="00D51E98" w:rsidRPr="000939E3" w:rsidRDefault="00F778F9" w:rsidP="00F778F9">
            <w:pPr>
              <w:spacing w:after="0"/>
              <w:jc w:val="left"/>
              <w:rPr>
                <w:rStyle w:val="Jemnodkaz"/>
                <w:rFonts w:eastAsiaTheme="minorHAnsi"/>
              </w:rPr>
            </w:pPr>
            <w:r w:rsidRPr="000939E3">
              <w:rPr>
                <w:rStyle w:val="Jemnodkaz"/>
                <w:rFonts w:eastAsiaTheme="minorHAnsi"/>
              </w:rPr>
              <w:t xml:space="preserve">Pozn.: VZ - zamestnanie vo verejnom záujme; ZP zamestnanie podľa Zákonníka práce. </w:t>
            </w:r>
          </w:p>
          <w:p w14:paraId="5492BE65" w14:textId="75148D57" w:rsidR="00F778F9" w:rsidRPr="000939E3" w:rsidRDefault="00F778F9" w:rsidP="00F778F9">
            <w:pPr>
              <w:spacing w:after="0"/>
              <w:jc w:val="left"/>
              <w:rPr>
                <w:rStyle w:val="Jemnodkaz"/>
                <w:rFonts w:eastAsiaTheme="minorHAnsi"/>
              </w:rPr>
            </w:pPr>
            <w:r w:rsidRPr="000939E3">
              <w:rPr>
                <w:rStyle w:val="Jemnodkaz"/>
                <w:rFonts w:eastAsiaTheme="minorHAnsi"/>
              </w:rPr>
              <w:t>Údaje sú bez ozbrojených zložiek.</w:t>
            </w:r>
          </w:p>
        </w:tc>
        <w:tc>
          <w:tcPr>
            <w:tcW w:w="1329" w:type="pct"/>
            <w:tcBorders>
              <w:top w:val="single" w:sz="4" w:space="0" w:color="auto"/>
            </w:tcBorders>
          </w:tcPr>
          <w:p w14:paraId="1C9F0980" w14:textId="77777777" w:rsidR="00F778F9" w:rsidRPr="000939E3" w:rsidRDefault="00F778F9" w:rsidP="00F778F9">
            <w:pPr>
              <w:spacing w:after="0"/>
              <w:jc w:val="right"/>
              <w:rPr>
                <w:rStyle w:val="Jemnodkaz"/>
                <w:rFonts w:eastAsiaTheme="minorHAnsi"/>
              </w:rPr>
            </w:pPr>
            <w:r w:rsidRPr="000939E3">
              <w:rPr>
                <w:rStyle w:val="Jemnodkaz"/>
                <w:rFonts w:eastAsiaTheme="minorHAnsi"/>
              </w:rPr>
              <w:t>Zdroj: ISCP, prepočty ÚHP</w:t>
            </w:r>
          </w:p>
        </w:tc>
      </w:tr>
    </w:tbl>
    <w:p w14:paraId="05A36550" w14:textId="3DC12842" w:rsidR="00377398" w:rsidRPr="000939E3" w:rsidRDefault="00CD6B55" w:rsidP="00E17ADC">
      <w:pPr>
        <w:spacing w:before="160"/>
        <w:rPr>
          <w:rFonts w:eastAsia="Times New Roman" w:cs="Times New Roman"/>
          <w:bCs/>
          <w:lang w:eastAsia="sk-SK"/>
        </w:rPr>
      </w:pPr>
      <w:r w:rsidRPr="000939E3">
        <w:rPr>
          <w:b/>
        </w:rPr>
        <w:t xml:space="preserve">Najvýznamnejší zo všetkých príplatkov v štátnej a verejnej službe je osobný príplatok. </w:t>
      </w:r>
      <w:r w:rsidRPr="000939E3">
        <w:t xml:space="preserve">Najčastejšie je ohraničený 100 % výšky tarifného platu a jeho najbližším ekvivalentom v súkromnom sektore je osobné ohodnotenie. Osobný príplatok je priznaný za kvalitné plnenie služobných úloh a jeho pridelenie a odobratie musí byť zdôvodnené. </w:t>
      </w:r>
      <w:r w:rsidRPr="000939E3">
        <w:rPr>
          <w:rFonts w:eastAsia="Times New Roman" w:cs="Times New Roman"/>
          <w:bCs/>
          <w:lang w:eastAsia="sk-SK"/>
        </w:rPr>
        <w:t>U zamestnancov v štátnej službe tvoril v roku 2016 asi 90 % objemu príplatkov, v priemere tvoril 18 % vyplatených miezd. Pri zamestnancoch vo verejnom záujme v rámci ústrednej správy je to približne 80 % z príplatkov, 15 % z vyplatených miezd.</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67"/>
        <w:gridCol w:w="147"/>
        <w:gridCol w:w="101"/>
        <w:gridCol w:w="4457"/>
      </w:tblGrid>
      <w:tr w:rsidR="0070455B" w:rsidRPr="000939E3" w14:paraId="321E0D68" w14:textId="77777777" w:rsidTr="00E17ADC">
        <w:tc>
          <w:tcPr>
            <w:tcW w:w="4367" w:type="dxa"/>
            <w:tcBorders>
              <w:bottom w:val="single" w:sz="4" w:space="0" w:color="auto"/>
            </w:tcBorders>
          </w:tcPr>
          <w:p w14:paraId="29BAAC3F" w14:textId="77777777" w:rsidR="0070455B" w:rsidRPr="000939E3" w:rsidRDefault="0070455B" w:rsidP="00226311">
            <w:pPr>
              <w:spacing w:after="0"/>
              <w:rPr>
                <w:noProof/>
                <w:lang w:eastAsia="sk-SK"/>
              </w:rPr>
            </w:pPr>
            <w:bookmarkStart w:id="135" w:name="_Ref4076376"/>
            <w:bookmarkStart w:id="136" w:name="_Toc34226900"/>
            <w:r w:rsidRPr="000939E3">
              <w:rPr>
                <w:b/>
                <w:sz w:val="20"/>
                <w:szCs w:val="20"/>
              </w:rPr>
              <w:t xml:space="preserve">Graf </w:t>
            </w:r>
            <w:r w:rsidRPr="000939E3">
              <w:rPr>
                <w:b/>
                <w:sz w:val="20"/>
                <w:szCs w:val="20"/>
              </w:rPr>
              <w:fldChar w:fldCharType="begin"/>
            </w:r>
            <w:r w:rsidRPr="000939E3">
              <w:rPr>
                <w:b/>
                <w:sz w:val="20"/>
                <w:szCs w:val="20"/>
              </w:rPr>
              <w:instrText xml:space="preserve"> SEQ Graf \* ARABIC </w:instrText>
            </w:r>
            <w:r w:rsidRPr="000939E3">
              <w:rPr>
                <w:b/>
                <w:sz w:val="20"/>
                <w:szCs w:val="20"/>
              </w:rPr>
              <w:fldChar w:fldCharType="separate"/>
            </w:r>
            <w:r w:rsidR="00BF69CA">
              <w:rPr>
                <w:b/>
                <w:noProof/>
                <w:sz w:val="20"/>
                <w:szCs w:val="20"/>
              </w:rPr>
              <w:t>29</w:t>
            </w:r>
            <w:r w:rsidRPr="000939E3">
              <w:rPr>
                <w:b/>
                <w:sz w:val="20"/>
                <w:szCs w:val="20"/>
              </w:rPr>
              <w:fldChar w:fldCharType="end"/>
            </w:r>
            <w:bookmarkEnd w:id="135"/>
            <w:r w:rsidRPr="000939E3">
              <w:rPr>
                <w:rStyle w:val="Bodytext295pt"/>
                <w:b/>
                <w:lang w:eastAsia="sk-SK"/>
              </w:rPr>
              <w:t xml:space="preserve">: </w:t>
            </w:r>
            <w:r w:rsidRPr="000939E3">
              <w:rPr>
                <w:rStyle w:val="Bodytext295pt"/>
                <w:b/>
              </w:rPr>
              <w:t>Štruktúra platu v OECD (2007)</w:t>
            </w:r>
            <w:bookmarkEnd w:id="136"/>
          </w:p>
        </w:tc>
        <w:tc>
          <w:tcPr>
            <w:tcW w:w="147" w:type="dxa"/>
          </w:tcPr>
          <w:p w14:paraId="796EC0F4" w14:textId="77777777" w:rsidR="0070455B" w:rsidRPr="000939E3" w:rsidRDefault="0070455B" w:rsidP="00226311">
            <w:pPr>
              <w:spacing w:after="0"/>
              <w:rPr>
                <w:lang w:eastAsia="sk-SK"/>
              </w:rPr>
            </w:pPr>
          </w:p>
        </w:tc>
        <w:tc>
          <w:tcPr>
            <w:tcW w:w="4558" w:type="dxa"/>
            <w:gridSpan w:val="2"/>
            <w:tcBorders>
              <w:bottom w:val="single" w:sz="4" w:space="0" w:color="auto"/>
            </w:tcBorders>
            <w:vAlign w:val="bottom"/>
          </w:tcPr>
          <w:p w14:paraId="28ED4934" w14:textId="77777777" w:rsidR="0070455B" w:rsidRPr="000939E3" w:rsidRDefault="0070455B" w:rsidP="00226311">
            <w:pPr>
              <w:spacing w:after="0"/>
              <w:jc w:val="left"/>
              <w:rPr>
                <w:noProof/>
                <w:lang w:eastAsia="sk-SK"/>
              </w:rPr>
            </w:pPr>
            <w:bookmarkStart w:id="137" w:name="_Ref4076638"/>
            <w:bookmarkStart w:id="138" w:name="_Toc34226901"/>
            <w:r w:rsidRPr="000939E3">
              <w:rPr>
                <w:b/>
                <w:sz w:val="20"/>
                <w:szCs w:val="20"/>
              </w:rPr>
              <w:t xml:space="preserve">Graf </w:t>
            </w:r>
            <w:r w:rsidRPr="000939E3">
              <w:rPr>
                <w:b/>
                <w:sz w:val="20"/>
                <w:szCs w:val="20"/>
              </w:rPr>
              <w:fldChar w:fldCharType="begin"/>
            </w:r>
            <w:r w:rsidRPr="000939E3">
              <w:rPr>
                <w:b/>
                <w:sz w:val="20"/>
                <w:szCs w:val="20"/>
              </w:rPr>
              <w:instrText xml:space="preserve"> SEQ Graf \* ARABIC </w:instrText>
            </w:r>
            <w:r w:rsidRPr="000939E3">
              <w:rPr>
                <w:b/>
                <w:sz w:val="20"/>
                <w:szCs w:val="20"/>
              </w:rPr>
              <w:fldChar w:fldCharType="separate"/>
            </w:r>
            <w:r w:rsidR="00BF69CA">
              <w:rPr>
                <w:b/>
                <w:noProof/>
                <w:sz w:val="20"/>
                <w:szCs w:val="20"/>
              </w:rPr>
              <w:t>30</w:t>
            </w:r>
            <w:r w:rsidRPr="000939E3">
              <w:rPr>
                <w:b/>
                <w:sz w:val="20"/>
                <w:szCs w:val="20"/>
              </w:rPr>
              <w:fldChar w:fldCharType="end"/>
            </w:r>
            <w:bookmarkEnd w:id="137"/>
            <w:r w:rsidRPr="000939E3">
              <w:rPr>
                <w:rStyle w:val="Bodytext295pt"/>
                <w:b/>
              </w:rPr>
              <w:t xml:space="preserve">: </w:t>
            </w:r>
            <w:r w:rsidRPr="000939E3">
              <w:rPr>
                <w:rStyle w:val="Bodytext295pt"/>
                <w:b/>
                <w:lang w:eastAsia="sk-SK"/>
              </w:rPr>
              <w:t>Rozptyl miezd v štátnej správe (2016)</w:t>
            </w:r>
            <w:bookmarkEnd w:id="138"/>
          </w:p>
        </w:tc>
      </w:tr>
      <w:tr w:rsidR="0070455B" w:rsidRPr="000939E3" w14:paraId="01209BE4" w14:textId="77777777" w:rsidTr="00E17ADC">
        <w:tc>
          <w:tcPr>
            <w:tcW w:w="4367" w:type="dxa"/>
            <w:tcBorders>
              <w:top w:val="single" w:sz="4" w:space="0" w:color="auto"/>
              <w:bottom w:val="single" w:sz="4" w:space="0" w:color="auto"/>
            </w:tcBorders>
          </w:tcPr>
          <w:p w14:paraId="45F52D7E" w14:textId="77777777" w:rsidR="0070455B" w:rsidRPr="000939E3" w:rsidRDefault="0070455B" w:rsidP="00226311">
            <w:pPr>
              <w:spacing w:after="0"/>
              <w:rPr>
                <w:lang w:eastAsia="sk-SK"/>
              </w:rPr>
            </w:pPr>
            <w:r w:rsidRPr="000939E3">
              <w:rPr>
                <w:noProof/>
                <w:lang w:eastAsia="sk-SK"/>
              </w:rPr>
              <w:drawing>
                <wp:inline distT="0" distB="0" distL="0" distR="0" wp14:anchorId="3F721A8D" wp14:editId="260A7FEE">
                  <wp:extent cx="2716578" cy="2181860"/>
                  <wp:effectExtent l="0" t="0" r="0" b="889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147" w:type="dxa"/>
          </w:tcPr>
          <w:p w14:paraId="69DF0506" w14:textId="77777777" w:rsidR="0070455B" w:rsidRPr="000939E3" w:rsidRDefault="0070455B" w:rsidP="00226311">
            <w:pPr>
              <w:spacing w:after="0"/>
              <w:rPr>
                <w:lang w:eastAsia="sk-SK"/>
              </w:rPr>
            </w:pPr>
          </w:p>
        </w:tc>
        <w:tc>
          <w:tcPr>
            <w:tcW w:w="4558" w:type="dxa"/>
            <w:gridSpan w:val="2"/>
            <w:tcBorders>
              <w:top w:val="single" w:sz="4" w:space="0" w:color="auto"/>
              <w:bottom w:val="single" w:sz="4" w:space="0" w:color="auto"/>
            </w:tcBorders>
          </w:tcPr>
          <w:p w14:paraId="2BD0B79C" w14:textId="6CF78292" w:rsidR="0070455B" w:rsidRPr="000939E3" w:rsidRDefault="0070455B" w:rsidP="00226311">
            <w:pPr>
              <w:spacing w:after="0"/>
              <w:jc w:val="right"/>
              <w:rPr>
                <w:lang w:eastAsia="sk-SK"/>
              </w:rPr>
            </w:pPr>
            <w:r w:rsidRPr="000939E3">
              <w:rPr>
                <w:noProof/>
                <w:lang w:eastAsia="sk-SK"/>
              </w:rPr>
              <w:drawing>
                <wp:inline distT="0" distB="0" distL="0" distR="0" wp14:anchorId="755231E7" wp14:editId="305923CD">
                  <wp:extent cx="2838091" cy="2190750"/>
                  <wp:effectExtent l="0" t="0" r="635"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70455B" w:rsidRPr="000939E3" w14:paraId="15C847AB" w14:textId="77777777" w:rsidTr="00FD2C91">
        <w:tblPrEx>
          <w:tblCellMar>
            <w:left w:w="108" w:type="dxa"/>
            <w:right w:w="108" w:type="dxa"/>
          </w:tblCellMar>
        </w:tblPrEx>
        <w:tc>
          <w:tcPr>
            <w:tcW w:w="4367" w:type="dxa"/>
            <w:tcBorders>
              <w:top w:val="single" w:sz="4" w:space="0" w:color="auto"/>
            </w:tcBorders>
          </w:tcPr>
          <w:p w14:paraId="5B09207D" w14:textId="77777777" w:rsidR="0070455B" w:rsidRPr="000939E3" w:rsidRDefault="0070455B" w:rsidP="00226311">
            <w:pPr>
              <w:spacing w:after="0"/>
              <w:jc w:val="right"/>
              <w:rPr>
                <w:lang w:eastAsia="sk-SK"/>
              </w:rPr>
            </w:pPr>
            <w:r w:rsidRPr="000939E3">
              <w:rPr>
                <w:rStyle w:val="Jemnodkaz"/>
                <w:rFonts w:eastAsiaTheme="minorHAnsi"/>
              </w:rPr>
              <w:t xml:space="preserve">Zdroj: </w:t>
            </w:r>
            <w:r w:rsidRPr="000939E3">
              <w:rPr>
                <w:rStyle w:val="Jemnodkaz"/>
                <w:rFonts w:eastAsiaTheme="minorHAnsi"/>
                <w:lang w:val="en-US"/>
              </w:rPr>
              <w:t>World Bank, 2007</w:t>
            </w:r>
          </w:p>
        </w:tc>
        <w:tc>
          <w:tcPr>
            <w:tcW w:w="254" w:type="dxa"/>
            <w:gridSpan w:val="2"/>
          </w:tcPr>
          <w:p w14:paraId="08305121" w14:textId="77777777" w:rsidR="0070455B" w:rsidRPr="000939E3" w:rsidRDefault="0070455B" w:rsidP="00F1731F">
            <w:pPr>
              <w:spacing w:after="0"/>
              <w:jc w:val="right"/>
              <w:rPr>
                <w:rStyle w:val="Jemnodkaz"/>
                <w:rFonts w:eastAsiaTheme="minorHAnsi"/>
              </w:rPr>
            </w:pPr>
          </w:p>
        </w:tc>
        <w:tc>
          <w:tcPr>
            <w:tcW w:w="4451" w:type="dxa"/>
            <w:tcBorders>
              <w:top w:val="single" w:sz="4" w:space="0" w:color="auto"/>
            </w:tcBorders>
          </w:tcPr>
          <w:p w14:paraId="40A50547" w14:textId="77777777" w:rsidR="0070455B" w:rsidRPr="000939E3" w:rsidRDefault="0070455B" w:rsidP="00226311">
            <w:pPr>
              <w:spacing w:after="0"/>
              <w:jc w:val="right"/>
              <w:rPr>
                <w:lang w:eastAsia="sk-SK"/>
              </w:rPr>
            </w:pPr>
            <w:r w:rsidRPr="000939E3">
              <w:rPr>
                <w:rStyle w:val="Jemnodkaz"/>
                <w:rFonts w:eastAsiaTheme="minorHAnsi"/>
              </w:rPr>
              <w:t>Zdroj: ÚV SR</w:t>
            </w:r>
          </w:p>
        </w:tc>
      </w:tr>
    </w:tbl>
    <w:p w14:paraId="3598550C" w14:textId="5CA2130E" w:rsidR="00F778F9" w:rsidRPr="000939E3" w:rsidRDefault="00F778F9" w:rsidP="00E17ADC">
      <w:pPr>
        <w:spacing w:before="240"/>
      </w:pPr>
      <w:r w:rsidRPr="000939E3">
        <w:t>Časť ďalších príplatkov je spoločná so Zákonníkom práce, časť je špecifická pre ver</w:t>
      </w:r>
      <w:r w:rsidR="00FD2C91" w:rsidRPr="000939E3">
        <w:t>ejný sektor (napr. príplatok za </w:t>
      </w:r>
      <w:r w:rsidRPr="000939E3">
        <w:t xml:space="preserve">starostlivosť a vedenie služobného motorového vozidla) alebo profesiu (kreditový príplatok pre učiteľov). </w:t>
      </w:r>
      <w:r w:rsidR="00ED2481" w:rsidRPr="000939E3">
        <w:t>Výška príplatkov je určená, prípadne obmedzená zákonom.</w:t>
      </w:r>
      <w:r w:rsidR="00843373" w:rsidRPr="000939E3">
        <w:t xml:space="preserve"> Väčšina príplatkov okrem</w:t>
      </w:r>
      <w:r w:rsidR="00CF399C">
        <w:t xml:space="preserve"> osobného je podľa zisťovaní MF </w:t>
      </w:r>
      <w:r w:rsidR="00843373" w:rsidRPr="000939E3">
        <w:t xml:space="preserve">SR („platová inventúra“) využívaná iba marginálne a tvorí zanedbateľnú časť mzdového balíka. </w:t>
      </w:r>
      <w:r w:rsidR="00ED2481" w:rsidRPr="000939E3">
        <w:t>Možnosť zjednodušenia systému príplatkov preskúma Koncepcia odmeňovania v štátnej službe pripravovaná Úradom vlády SR.</w:t>
      </w:r>
    </w:p>
    <w:p w14:paraId="30037B36" w14:textId="596FAC7B" w:rsidR="00F778F9" w:rsidRPr="000939E3" w:rsidRDefault="00F778F9" w:rsidP="00F778F9">
      <w:r w:rsidRPr="000939E3">
        <w:rPr>
          <w:b/>
        </w:rPr>
        <w:lastRenderedPageBreak/>
        <w:t>Oveľa menšiu časť mzdy tvoria odmeny</w:t>
      </w:r>
      <w:r w:rsidRPr="000939E3">
        <w:t xml:space="preserve">, od 4 % v zdravotníctve po 15 % pre zamestnancov odmeňovaných podľa zákonníka práce mimo školstva. V priemere tvoria odmeny iba </w:t>
      </w:r>
      <w:r w:rsidR="00053456" w:rsidRPr="000939E3">
        <w:t>9</w:t>
      </w:r>
      <w:r w:rsidRPr="000939E3">
        <w:t xml:space="preserve"> % celkového ohodnotenia, čo znižuje možnosť flexibilne odmeniť výkonnosť zamestnancov.</w:t>
      </w:r>
      <w:r w:rsidR="00053456" w:rsidRPr="000939E3">
        <w:t xml:space="preserve"> Výška odmien zákonom obmedzená nie je.</w:t>
      </w:r>
    </w:p>
    <w:p w14:paraId="109A95E5" w14:textId="1772D006" w:rsidR="00F778F9" w:rsidRPr="000939E3" w:rsidRDefault="00F778F9" w:rsidP="00F778F9">
      <w:r w:rsidRPr="000939E3">
        <w:rPr>
          <w:b/>
        </w:rPr>
        <w:t>Zamestnanci, na ktorých profesie sa vzťahuje zvýšenie tarify za prax, majú podiel odmien nižší.</w:t>
      </w:r>
      <w:r w:rsidRPr="000939E3">
        <w:t xml:space="preserve"> Zamestnanci verejného sektora odmeňovaní podľa Zákonníka práce, dostávajú v priemere rovnaký podiel odmien ako v súkromnom sektore (</w:t>
      </w:r>
      <w:r w:rsidRPr="000939E3">
        <w:fldChar w:fldCharType="begin"/>
      </w:r>
      <w:r w:rsidRPr="000939E3">
        <w:instrText xml:space="preserve"> REF _Ref527114190 \h  \* MERGEFORMAT </w:instrText>
      </w:r>
      <w:r w:rsidRPr="000939E3">
        <w:fldChar w:fldCharType="separate"/>
      </w:r>
      <w:r w:rsidR="00BF69CA" w:rsidRPr="00BF69CA">
        <w:t xml:space="preserve">Graf </w:t>
      </w:r>
      <w:r w:rsidR="00BF69CA" w:rsidRPr="00BF69CA">
        <w:rPr>
          <w:noProof/>
        </w:rPr>
        <w:t>28</w:t>
      </w:r>
      <w:r w:rsidRPr="000939E3">
        <w:fldChar w:fldCharType="end"/>
      </w:r>
      <w:r w:rsidRPr="000939E3">
        <w:t>). Naopak, profesie, na ktoré sa automaty vzťahujú, majú nižší podiel odmien – napríklad zamestnanci v zdravotníctve alebo vo verejnom záujme</w:t>
      </w:r>
      <w:r w:rsidR="00A75B5F" w:rsidRPr="000939E3">
        <w:t xml:space="preserve"> (Box 6</w:t>
      </w:r>
      <w:r w:rsidR="008B1601" w:rsidRPr="000939E3">
        <w:t>)</w:t>
      </w:r>
      <w:r w:rsidRPr="000939E3">
        <w:t xml:space="preserve">. Vplyv odmeňovacieho predpisu vidno medzi zamestnancami v školstve – zamestnanci so zmluvami podľa Zákonníka práce dostávajú v priemere vyšší podiel odmien ako zamestnanci vo verejnom záujme. </w:t>
      </w:r>
    </w:p>
    <w:p w14:paraId="4B359727" w14:textId="689717AB" w:rsidR="00F778F9" w:rsidRPr="000939E3" w:rsidRDefault="00F778F9" w:rsidP="00F778F9">
      <w:pPr>
        <w:rPr>
          <w:lang w:eastAsia="sk-SK"/>
        </w:rPr>
      </w:pPr>
      <w:r w:rsidRPr="000939E3">
        <w:rPr>
          <w:b/>
        </w:rPr>
        <w:t xml:space="preserve">Platy vo verejnom sektore majú nižší rozptyl ako v súkromnom sektore. </w:t>
      </w:r>
      <w:r w:rsidRPr="000939E3">
        <w:t>Väčší podiel kvalifikovaných zamestnancov</w:t>
      </w:r>
      <w:r w:rsidRPr="000939E3">
        <w:rPr>
          <w:rStyle w:val="Odkaznapoznmkupodiarou"/>
        </w:rPr>
        <w:footnoteReference w:id="50"/>
      </w:r>
      <w:r w:rsidRPr="000939E3">
        <w:t xml:space="preserve"> ako v súkromnom sektore zarába hodinovú mzdu v blízkosti mediánu. Naopak väčší podiel zamestnancov v súkromnom sektore zarába ako nižšie, tak aj vyššie mzdy (</w:t>
      </w:r>
      <w:r w:rsidR="00562C4C" w:rsidRPr="000939E3">
        <w:rPr>
          <w:b/>
          <w:bCs/>
        </w:rPr>
        <w:fldChar w:fldCharType="begin"/>
      </w:r>
      <w:r w:rsidR="00562C4C" w:rsidRPr="000939E3">
        <w:instrText xml:space="preserve"> REF _Ref5962455 \h </w:instrText>
      </w:r>
      <w:r w:rsidR="001D014A" w:rsidRPr="000939E3">
        <w:rPr>
          <w:b/>
          <w:bCs/>
        </w:rPr>
        <w:instrText xml:space="preserve"> \* MERGEFORMAT </w:instrText>
      </w:r>
      <w:r w:rsidR="00562C4C" w:rsidRPr="000939E3">
        <w:rPr>
          <w:b/>
          <w:bCs/>
        </w:rPr>
      </w:r>
      <w:r w:rsidR="00562C4C" w:rsidRPr="000939E3">
        <w:rPr>
          <w:b/>
          <w:bCs/>
        </w:rPr>
        <w:fldChar w:fldCharType="separate"/>
      </w:r>
      <w:r w:rsidR="00BF69CA" w:rsidRPr="000939E3">
        <w:t xml:space="preserve">Graf </w:t>
      </w:r>
      <w:r w:rsidR="00BF69CA">
        <w:rPr>
          <w:noProof/>
        </w:rPr>
        <w:t>31</w:t>
      </w:r>
      <w:r w:rsidR="00562C4C" w:rsidRPr="000939E3">
        <w:rPr>
          <w:b/>
          <w:bCs/>
        </w:rPr>
        <w:fldChar w:fldCharType="end"/>
      </w:r>
      <w:r w:rsidRPr="000939E3">
        <w:t xml:space="preserve">). Podobný rozdiel v distribúcii miezd sa dá pozorovať aj v ostatných skupinách zamestnancov. Pri nízkom rozptyle </w:t>
      </w:r>
      <w:r w:rsidRPr="000939E3">
        <w:rPr>
          <w:lang w:eastAsia="sk-SK"/>
        </w:rPr>
        <w:t>môže byť pre štát problém získať a udržať si kvalifikovaných ľudí na strategických a manažérskych pozíciách (Staroňová</w:t>
      </w:r>
      <w:r w:rsidR="00140B22" w:rsidRPr="000939E3">
        <w:rPr>
          <w:lang w:eastAsia="sk-SK"/>
        </w:rPr>
        <w:t xml:space="preserve"> et al.</w:t>
      </w:r>
      <w:r w:rsidRPr="000939E3">
        <w:rPr>
          <w:lang w:eastAsia="sk-SK"/>
        </w:rPr>
        <w:t xml:space="preserve">, 2014). </w:t>
      </w:r>
    </w:p>
    <w:p w14:paraId="4690346D" w14:textId="12B0F7D9" w:rsidR="00FD2C91" w:rsidRPr="000939E3" w:rsidRDefault="00FD2C91" w:rsidP="00F778F9">
      <w:pPr>
        <w:rPr>
          <w:lang w:eastAsia="sk-SK"/>
        </w:rPr>
      </w:pPr>
      <w:r w:rsidRPr="000939E3">
        <w:rPr>
          <w:b/>
          <w:lang w:eastAsia="sk-SK"/>
        </w:rPr>
        <w:t>Rozptyl miezd v štátnej správe je na Slovensku podstatne nižší ako v ostatných krajinách EÚ.</w:t>
      </w:r>
      <w:r w:rsidRPr="000939E3">
        <w:rPr>
          <w:lang w:eastAsia="sk-SK"/>
        </w:rPr>
        <w:t xml:space="preserve"> Podľa prieskumu Úradu vlády SR (Graf 29) je priemerný rozptyl v štátoch EÚ na úrovni 7,5, skutočný pomer medzi priemernou mzdou najvyššieho a najnižšieho decilu zamestnancov v štátnej službe na Slovensku je približne 2,9. Medzinárodné inštitúcie odporúčajú pomer medzi najnižšou a najvyššou tarifou aspoň 4 násobný, pri zamestnancoch na najvyšších politických postoch by mali byť 7 až 10 násobný (Rabrenovic, 2013).</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95"/>
        <w:gridCol w:w="160"/>
        <w:gridCol w:w="4517"/>
      </w:tblGrid>
      <w:tr w:rsidR="00F778F9" w:rsidRPr="000939E3" w14:paraId="1023610F" w14:textId="77777777" w:rsidTr="00C61172">
        <w:trPr>
          <w:trHeight w:val="397"/>
        </w:trPr>
        <w:tc>
          <w:tcPr>
            <w:tcW w:w="4395" w:type="dxa"/>
            <w:vAlign w:val="bottom"/>
          </w:tcPr>
          <w:p w14:paraId="41C4F2D5" w14:textId="16891F6E" w:rsidR="00F778F9" w:rsidRPr="000939E3" w:rsidRDefault="00024EC3" w:rsidP="00024EC3">
            <w:pPr>
              <w:pStyle w:val="Popis"/>
            </w:pPr>
            <w:bookmarkStart w:id="139" w:name="_Ref5962455"/>
            <w:bookmarkStart w:id="140" w:name="_Toc34226902"/>
            <w:r w:rsidRPr="000939E3">
              <w:t xml:space="preserve">Graf </w:t>
            </w:r>
            <w:r w:rsidR="0079127E" w:rsidRPr="000939E3">
              <w:rPr>
                <w:noProof/>
              </w:rPr>
              <w:fldChar w:fldCharType="begin"/>
            </w:r>
            <w:r w:rsidR="0079127E" w:rsidRPr="000939E3">
              <w:rPr>
                <w:noProof/>
              </w:rPr>
              <w:instrText xml:space="preserve"> SEQ Graf \* ARABIC </w:instrText>
            </w:r>
            <w:r w:rsidR="0079127E" w:rsidRPr="000939E3">
              <w:rPr>
                <w:noProof/>
              </w:rPr>
              <w:fldChar w:fldCharType="separate"/>
            </w:r>
            <w:r w:rsidR="00BF69CA">
              <w:rPr>
                <w:noProof/>
              </w:rPr>
              <w:t>31</w:t>
            </w:r>
            <w:r w:rsidR="0079127E" w:rsidRPr="000939E3">
              <w:rPr>
                <w:noProof/>
              </w:rPr>
              <w:fldChar w:fldCharType="end"/>
            </w:r>
            <w:bookmarkEnd w:id="139"/>
            <w:r w:rsidR="00F778F9" w:rsidRPr="000939E3">
              <w:rPr>
                <w:noProof/>
              </w:rPr>
              <w:t xml:space="preserve">: </w:t>
            </w:r>
            <w:r w:rsidR="00F778F9" w:rsidRPr="000939E3">
              <w:rPr>
                <w:rStyle w:val="Bodytext295pt"/>
              </w:rPr>
              <w:t>Podiel kvalifikovaných pracovníkov* s danou mzdou (2017)</w:t>
            </w:r>
            <w:bookmarkEnd w:id="140"/>
          </w:p>
        </w:tc>
        <w:tc>
          <w:tcPr>
            <w:tcW w:w="160" w:type="dxa"/>
            <w:vAlign w:val="center"/>
          </w:tcPr>
          <w:p w14:paraId="3BA4A242" w14:textId="77777777" w:rsidR="00F778F9" w:rsidRPr="000939E3" w:rsidRDefault="00F778F9" w:rsidP="00F778F9">
            <w:pPr>
              <w:pStyle w:val="Popis"/>
              <w:keepNext/>
              <w:jc w:val="center"/>
            </w:pPr>
          </w:p>
        </w:tc>
        <w:tc>
          <w:tcPr>
            <w:tcW w:w="4517" w:type="dxa"/>
            <w:vAlign w:val="bottom"/>
          </w:tcPr>
          <w:p w14:paraId="35F19665" w14:textId="74DC3298" w:rsidR="00F778F9" w:rsidRPr="000939E3" w:rsidRDefault="00F778F9" w:rsidP="00F778F9">
            <w:pPr>
              <w:pStyle w:val="Popis"/>
              <w:keepNext/>
              <w:rPr>
                <w:noProof/>
              </w:rPr>
            </w:pPr>
            <w:bookmarkStart w:id="141" w:name="_Ref3820013"/>
            <w:bookmarkStart w:id="142" w:name="_Toc34226903"/>
            <w:r w:rsidRPr="000939E3">
              <w:t xml:space="preserve">Graf </w:t>
            </w:r>
            <w:r w:rsidRPr="000939E3">
              <w:rPr>
                <w:noProof/>
              </w:rPr>
              <w:fldChar w:fldCharType="begin"/>
            </w:r>
            <w:r w:rsidRPr="000939E3">
              <w:rPr>
                <w:noProof/>
              </w:rPr>
              <w:instrText xml:space="preserve"> SEQ Graf \* ARABIC </w:instrText>
            </w:r>
            <w:r w:rsidRPr="000939E3">
              <w:rPr>
                <w:noProof/>
              </w:rPr>
              <w:fldChar w:fldCharType="separate"/>
            </w:r>
            <w:r w:rsidR="00BF69CA">
              <w:rPr>
                <w:noProof/>
              </w:rPr>
              <w:t>32</w:t>
            </w:r>
            <w:r w:rsidRPr="000939E3">
              <w:rPr>
                <w:noProof/>
              </w:rPr>
              <w:fldChar w:fldCharType="end"/>
            </w:r>
            <w:bookmarkEnd w:id="141"/>
            <w:r w:rsidRPr="000939E3">
              <w:rPr>
                <w:rStyle w:val="Bodytext295pt"/>
              </w:rPr>
              <w:t>: Podiel odmien na mzde podľa mzdového decilu (2017)</w:t>
            </w:r>
            <w:bookmarkEnd w:id="142"/>
          </w:p>
        </w:tc>
      </w:tr>
    </w:tbl>
    <w:tbl>
      <w:tblPr>
        <w:tblW w:w="0" w:type="auto"/>
        <w:tblLayout w:type="fixed"/>
        <w:tblCellMar>
          <w:left w:w="70" w:type="dxa"/>
          <w:right w:w="70" w:type="dxa"/>
        </w:tblCellMar>
        <w:tblLook w:val="04A0" w:firstRow="1" w:lastRow="0" w:firstColumn="1" w:lastColumn="0" w:noHBand="0" w:noVBand="1"/>
      </w:tblPr>
      <w:tblGrid>
        <w:gridCol w:w="4372"/>
        <w:gridCol w:w="164"/>
        <w:gridCol w:w="4536"/>
      </w:tblGrid>
      <w:tr w:rsidR="00F778F9" w:rsidRPr="000939E3" w14:paraId="1AFA0646" w14:textId="77777777" w:rsidTr="00C61172">
        <w:trPr>
          <w:trHeight w:val="3459"/>
        </w:trPr>
        <w:tc>
          <w:tcPr>
            <w:tcW w:w="4372" w:type="dxa"/>
            <w:tcBorders>
              <w:top w:val="single" w:sz="4" w:space="0" w:color="auto"/>
              <w:bottom w:val="single" w:sz="4" w:space="0" w:color="auto"/>
            </w:tcBorders>
          </w:tcPr>
          <w:p w14:paraId="384F310D" w14:textId="67A3989E" w:rsidR="00F778F9" w:rsidRPr="000939E3" w:rsidRDefault="00F778F9" w:rsidP="00F778F9">
            <w:pPr>
              <w:spacing w:after="0"/>
            </w:pPr>
            <w:r w:rsidRPr="000939E3">
              <w:rPr>
                <w:noProof/>
                <w:lang w:eastAsia="sk-SK"/>
              </w:rPr>
              <w:drawing>
                <wp:inline distT="0" distB="0" distL="0" distR="0" wp14:anchorId="3C3D9195" wp14:editId="4F134B9A">
                  <wp:extent cx="2676525" cy="2524836"/>
                  <wp:effectExtent l="0" t="0" r="0" b="889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164" w:type="dxa"/>
          </w:tcPr>
          <w:p w14:paraId="511986D4" w14:textId="77777777" w:rsidR="00F778F9" w:rsidRPr="000939E3" w:rsidRDefault="00F778F9" w:rsidP="00F778F9">
            <w:pPr>
              <w:spacing w:after="0"/>
              <w:rPr>
                <w:noProof/>
              </w:rPr>
            </w:pPr>
          </w:p>
        </w:tc>
        <w:tc>
          <w:tcPr>
            <w:tcW w:w="4536" w:type="dxa"/>
            <w:tcBorders>
              <w:top w:val="single" w:sz="4" w:space="0" w:color="auto"/>
              <w:bottom w:val="single" w:sz="4" w:space="0" w:color="auto"/>
            </w:tcBorders>
          </w:tcPr>
          <w:p w14:paraId="5B565B51" w14:textId="77777777" w:rsidR="00F778F9" w:rsidRPr="000939E3" w:rsidRDefault="00F778F9" w:rsidP="00F778F9">
            <w:pPr>
              <w:spacing w:after="0"/>
              <w:rPr>
                <w:noProof/>
              </w:rPr>
            </w:pPr>
            <w:r w:rsidRPr="000939E3">
              <w:rPr>
                <w:noProof/>
                <w:lang w:eastAsia="sk-SK"/>
              </w:rPr>
              <w:drawing>
                <wp:inline distT="0" distB="0" distL="0" distR="0" wp14:anchorId="206CBDDC" wp14:editId="605DEBD2">
                  <wp:extent cx="2771775" cy="2543175"/>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tbl>
      <w:tblPr>
        <w:tblStyle w:val="Mriekatabu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261"/>
        <w:gridCol w:w="1134"/>
        <w:gridCol w:w="283"/>
        <w:gridCol w:w="3119"/>
        <w:gridCol w:w="1275"/>
      </w:tblGrid>
      <w:tr w:rsidR="00F778F9" w:rsidRPr="000939E3" w14:paraId="45941B4F" w14:textId="77777777" w:rsidTr="00C61172">
        <w:tc>
          <w:tcPr>
            <w:tcW w:w="3261" w:type="dxa"/>
          </w:tcPr>
          <w:p w14:paraId="04CF68BA" w14:textId="2DF7E907" w:rsidR="00F778F9" w:rsidRPr="000939E3" w:rsidRDefault="00D51E98" w:rsidP="00F778F9">
            <w:pPr>
              <w:spacing w:after="0"/>
              <w:jc w:val="left"/>
              <w:rPr>
                <w:rStyle w:val="Jemnodkaz"/>
                <w:rFonts w:eastAsiaTheme="minorHAnsi"/>
              </w:rPr>
            </w:pPr>
            <w:r w:rsidRPr="000939E3">
              <w:rPr>
                <w:rStyle w:val="Jemnodkaz"/>
                <w:rFonts w:eastAsiaTheme="minorHAnsi"/>
              </w:rPr>
              <w:t>*</w:t>
            </w:r>
            <w:r w:rsidR="00F778F9" w:rsidRPr="000939E3">
              <w:rPr>
                <w:rStyle w:val="Jemnodkaz"/>
                <w:rFonts w:eastAsiaTheme="minorHAnsi"/>
              </w:rPr>
              <w:t xml:space="preserve"> Zahrnutí sú riadiaci pracovníci, špecialisti a odborní a technickí pracovníci.</w:t>
            </w:r>
          </w:p>
          <w:p w14:paraId="23F14B03" w14:textId="5E3C6D02" w:rsidR="00F778F9" w:rsidRPr="000939E3" w:rsidRDefault="00F778F9" w:rsidP="00D51E98">
            <w:pPr>
              <w:spacing w:after="0"/>
              <w:jc w:val="left"/>
              <w:rPr>
                <w:rStyle w:val="Jemnodkaz"/>
                <w:rFonts w:eastAsiaTheme="minorHAnsi"/>
              </w:rPr>
            </w:pPr>
            <w:r w:rsidRPr="000939E3">
              <w:rPr>
                <w:rStyle w:val="Jemnodkaz"/>
                <w:rFonts w:eastAsiaTheme="minorHAnsi"/>
              </w:rPr>
              <w:t xml:space="preserve">** Bez zamestnancov v služobnom pomere. </w:t>
            </w:r>
          </w:p>
        </w:tc>
        <w:tc>
          <w:tcPr>
            <w:tcW w:w="1134" w:type="dxa"/>
          </w:tcPr>
          <w:p w14:paraId="7AD788B4" w14:textId="77777777" w:rsidR="00F778F9" w:rsidRPr="000939E3" w:rsidRDefault="00F778F9" w:rsidP="00F778F9">
            <w:pPr>
              <w:spacing w:after="0"/>
              <w:jc w:val="right"/>
              <w:rPr>
                <w:rStyle w:val="Jemnodkaz"/>
                <w:rFonts w:eastAsiaTheme="minorHAnsi"/>
              </w:rPr>
            </w:pPr>
            <w:r w:rsidRPr="000939E3">
              <w:rPr>
                <w:rStyle w:val="Jemnodkaz"/>
                <w:rFonts w:eastAsiaTheme="minorHAnsi"/>
              </w:rPr>
              <w:t>Zdroj: ISCP, prepočty ÚHP</w:t>
            </w:r>
          </w:p>
        </w:tc>
        <w:tc>
          <w:tcPr>
            <w:tcW w:w="283" w:type="dxa"/>
          </w:tcPr>
          <w:p w14:paraId="39A460B2" w14:textId="77777777" w:rsidR="00F778F9" w:rsidRPr="000939E3" w:rsidRDefault="00F778F9" w:rsidP="00F778F9">
            <w:pPr>
              <w:spacing w:after="0"/>
              <w:jc w:val="right"/>
              <w:rPr>
                <w:rStyle w:val="Jemnodkaz"/>
                <w:rFonts w:eastAsiaTheme="minorHAnsi"/>
              </w:rPr>
            </w:pPr>
          </w:p>
        </w:tc>
        <w:tc>
          <w:tcPr>
            <w:tcW w:w="3119" w:type="dxa"/>
          </w:tcPr>
          <w:p w14:paraId="721E5784" w14:textId="77777777" w:rsidR="00F778F9" w:rsidRPr="000939E3" w:rsidRDefault="00F778F9" w:rsidP="00F778F9">
            <w:pPr>
              <w:spacing w:after="0"/>
              <w:jc w:val="left"/>
              <w:rPr>
                <w:rStyle w:val="Jemnodkaz"/>
                <w:rFonts w:eastAsiaTheme="minorHAnsi"/>
              </w:rPr>
            </w:pPr>
            <w:r w:rsidRPr="000939E3">
              <w:rPr>
                <w:rStyle w:val="Jemnodkaz"/>
                <w:rFonts w:eastAsiaTheme="minorHAnsi"/>
              </w:rPr>
              <w:t xml:space="preserve">Pozn.: Mzdové decily boli vyrátané zvlášť pre každú kategóriu zamestnancov. </w:t>
            </w:r>
          </w:p>
          <w:p w14:paraId="11104E67" w14:textId="77777777" w:rsidR="00F778F9" w:rsidRPr="000939E3" w:rsidRDefault="00F778F9" w:rsidP="00F778F9">
            <w:pPr>
              <w:spacing w:after="0"/>
              <w:jc w:val="left"/>
              <w:rPr>
                <w:rStyle w:val="Jemnodkaz"/>
                <w:rFonts w:eastAsiaTheme="minorHAnsi"/>
              </w:rPr>
            </w:pPr>
            <w:r w:rsidRPr="000939E3">
              <w:rPr>
                <w:rStyle w:val="Jemnodkaz"/>
                <w:rFonts w:eastAsiaTheme="minorHAnsi"/>
              </w:rPr>
              <w:t>* - Bez zamestnancov v služobnom pomere</w:t>
            </w:r>
          </w:p>
        </w:tc>
        <w:tc>
          <w:tcPr>
            <w:tcW w:w="1275" w:type="dxa"/>
          </w:tcPr>
          <w:p w14:paraId="399C8B2D" w14:textId="77777777" w:rsidR="00F778F9" w:rsidRPr="000939E3" w:rsidRDefault="00F778F9" w:rsidP="00F778F9">
            <w:pPr>
              <w:spacing w:after="0"/>
              <w:jc w:val="right"/>
              <w:rPr>
                <w:rStyle w:val="Jemnodkaz"/>
                <w:rFonts w:eastAsiaTheme="minorHAnsi"/>
              </w:rPr>
            </w:pPr>
            <w:r w:rsidRPr="000939E3">
              <w:rPr>
                <w:rStyle w:val="Jemnodkaz"/>
                <w:rFonts w:eastAsiaTheme="minorHAnsi"/>
              </w:rPr>
              <w:t>Zdroj: ISCP, prepočty ÚHP</w:t>
            </w:r>
          </w:p>
        </w:tc>
      </w:tr>
    </w:tbl>
    <w:p w14:paraId="5DE876FF" w14:textId="3FD87748" w:rsidR="00F778F9" w:rsidRPr="000939E3" w:rsidRDefault="00F778F9" w:rsidP="00F778F9">
      <w:pPr>
        <w:spacing w:before="240"/>
        <w:rPr>
          <w:rFonts w:eastAsia="Times New Roman" w:cs="Times New Roman"/>
          <w:b/>
          <w:bCs/>
          <w:lang w:eastAsia="sk-SK"/>
        </w:rPr>
      </w:pPr>
      <w:r w:rsidRPr="000939E3">
        <w:rPr>
          <w:b/>
        </w:rPr>
        <w:t xml:space="preserve">Verejný sektor je rovnostársky aj pri vyplácaní odmien. Kým v súkromnom sektore podiel odmien rastie s celkovou kompenzáciou zamestnanca, pre väčšinu verejných zamestnancov tvoria odmeny 7 až 10 % celkového príjmu bez ohľadu na príjem. </w:t>
      </w:r>
      <w:r w:rsidRPr="000939E3">
        <w:t>Zamestnanci 2. až 9. mzdového decilu vo verejnom sektore dostali v roku 2017 odmeny vo výške 7 až 10 % z celkovej kompenzácie, v súkromnom sektore od 5 % do 18 % (</w:t>
      </w:r>
      <w:r w:rsidRPr="000939E3">
        <w:fldChar w:fldCharType="begin"/>
      </w:r>
      <w:r w:rsidRPr="000939E3">
        <w:instrText xml:space="preserve"> REF _Ref3820013 \h </w:instrText>
      </w:r>
      <w:r w:rsidR="00DC481D" w:rsidRPr="000939E3">
        <w:instrText xml:space="preserve"> \* MERGEFORMAT </w:instrText>
      </w:r>
      <w:r w:rsidRPr="000939E3">
        <w:fldChar w:fldCharType="separate"/>
      </w:r>
      <w:r w:rsidR="00BF69CA" w:rsidRPr="000939E3">
        <w:t xml:space="preserve">Graf </w:t>
      </w:r>
      <w:r w:rsidR="00BF69CA">
        <w:rPr>
          <w:noProof/>
        </w:rPr>
        <w:t>32</w:t>
      </w:r>
      <w:r w:rsidRPr="000939E3">
        <w:fldChar w:fldCharType="end"/>
      </w:r>
      <w:r w:rsidRPr="000939E3">
        <w:t xml:space="preserve">). </w:t>
      </w:r>
      <w:r w:rsidRPr="000939E3">
        <w:lastRenderedPageBreak/>
        <w:t xml:space="preserve">Najväčší podiel odmien na mzdách vo verejnom sektore bol u zamestnancov zamestnaných podľa Zákonníka práce najvyššieho mzdového decilu – až 15 %, za súkromným sektorom zaostávajú o cca 6 p.b. </w:t>
      </w:r>
    </w:p>
    <w:p w14:paraId="576F1E16" w14:textId="04B67E1B" w:rsidR="00CD6B55" w:rsidRPr="000939E3" w:rsidRDefault="00F778F9" w:rsidP="00F778F9">
      <w:r w:rsidRPr="000939E3">
        <w:rPr>
          <w:b/>
        </w:rPr>
        <w:t xml:space="preserve">Mzda vo verejnom sektore s vekom rastie stabilne a pomalšie ako v súkromnom sektore. V súkromnom rastie na začiatku kariéry rýchlejšie, po dosiahnutí 40-42 rokov však začne klesať. </w:t>
      </w:r>
      <w:r w:rsidRPr="000939E3">
        <w:t>Takýto profil miezd znamená, že medzera medzi mzdami vo verejnom a súkromnom sektore sa na začiatku kariéry zväčšuje (</w:t>
      </w:r>
      <w:r w:rsidRPr="000939E3">
        <w:fldChar w:fldCharType="begin"/>
      </w:r>
      <w:r w:rsidRPr="000939E3">
        <w:instrText xml:space="preserve"> REF _Ref526695654 \h  \* MERGEFORMAT </w:instrText>
      </w:r>
      <w:r w:rsidRPr="000939E3">
        <w:fldChar w:fldCharType="separate"/>
      </w:r>
      <w:r w:rsidR="00BF69CA" w:rsidRPr="00BF69CA">
        <w:t xml:space="preserve">Graf </w:t>
      </w:r>
      <w:r w:rsidR="00BF69CA" w:rsidRPr="00BF69CA">
        <w:rPr>
          <w:noProof/>
        </w:rPr>
        <w:t>33</w:t>
      </w:r>
      <w:r w:rsidRPr="000939E3">
        <w:fldChar w:fldCharType="end"/>
      </w:r>
      <w:r w:rsidRPr="000939E3">
        <w:t xml:space="preserve">). Verejný sektor má v dôsledku toho problém pritiahnuť a udržať mladých, najmä </w:t>
      </w:r>
      <w:r w:rsidR="00201356" w:rsidRPr="000939E3">
        <w:t xml:space="preserve">vysokoškolsky </w:t>
      </w:r>
      <w:r w:rsidRPr="000939E3">
        <w:t>vzdelaných zamestnancov.</w:t>
      </w:r>
    </w:p>
    <w:p w14:paraId="0E2CD2D9" w14:textId="68A19676" w:rsidR="00FD2C91" w:rsidRPr="000939E3" w:rsidRDefault="002D293F" w:rsidP="00F778F9">
      <w:r w:rsidRPr="000939E3">
        <w:rPr>
          <w:b/>
        </w:rPr>
        <w:t>Automatické zvyšovanie mzdy za prax tvorí 15 % mzdových výdavkov</w:t>
      </w:r>
      <w:r w:rsidRPr="000939E3">
        <w:rPr>
          <w:rStyle w:val="Odkaznapoznmkupodiarou"/>
          <w:b/>
        </w:rPr>
        <w:footnoteReference w:id="51"/>
      </w:r>
      <w:r w:rsidRPr="000939E3">
        <w:rPr>
          <w:b/>
        </w:rPr>
        <w:t xml:space="preserve"> dotknutých skupín zamestnancov. Viaže porovnateľnú časť mzdových prostriedkov, akou súkromný sektor odmeňuje výkon (16 %). </w:t>
      </w:r>
      <w:r w:rsidRPr="000939E3">
        <w:t>Automatické zvýšenie tarifných platov za odpracované roky zvyšuje tarifné mzdy väčšiny verejných zamestnancov v priemere o 0,5 % až 1 % ročne. Vplyv praxe na mzdu sa líši, policajtom po 32 rokoch praxe vzrastie tarifná mzda až o 67 %, učiteľom v regionálnom školstve o 24 % a zamestnancom vo verejnom záujme od roku 2019 o 16 %</w:t>
      </w:r>
      <w:r w:rsidRPr="000939E3">
        <w:rPr>
          <w:rStyle w:val="Odkaznapoznmkupodiarou"/>
        </w:rPr>
        <w:footnoteReference w:id="52"/>
      </w:r>
      <w:r w:rsidRPr="000939E3">
        <w:t>. Samotná dĺžka praxe má pritom len neurčitú spojitosť s výkonom.</w:t>
      </w:r>
    </w:p>
    <w:p w14:paraId="29A27E5C" w14:textId="7B6DA549" w:rsidR="00AD08A3" w:rsidRPr="000939E3" w:rsidRDefault="00AD08A3" w:rsidP="00F778F9">
      <w:r w:rsidRPr="000939E3">
        <w:rPr>
          <w:b/>
        </w:rPr>
        <w:t>Možnosť flexibilne reagovať zo strany riadiacich pracovníkov na úsilie a výkon svojich podriadených v rámci jednej platovej štruktúry motivuje zamestnancov k zvýšeniu produktivity práce.</w:t>
      </w:r>
      <w:r w:rsidRPr="000939E3">
        <w:t xml:space="preserve"> Jednou z alternatív ako dosiahnuť vyššiu flexibilitu a priestor </w:t>
      </w:r>
      <w:r w:rsidR="00324611" w:rsidRPr="000939E3">
        <w:t xml:space="preserve">na </w:t>
      </w:r>
      <w:r w:rsidRPr="000939E3">
        <w:t>odmeny je zavedenie odmeňovacích pásiem, ktorých šírka by rástla s náročnosťou práce (</w:t>
      </w:r>
      <w:r w:rsidRPr="000939E3">
        <w:fldChar w:fldCharType="begin"/>
      </w:r>
      <w:r w:rsidRPr="000939E3">
        <w:instrText xml:space="preserve"> REF _Ref4078225 \h </w:instrText>
      </w:r>
      <w:r w:rsidR="00DC481D" w:rsidRPr="000939E3">
        <w:instrText xml:space="preserve"> \* MERGEFORMAT </w:instrText>
      </w:r>
      <w:r w:rsidRPr="000939E3">
        <w:fldChar w:fldCharType="separate"/>
      </w:r>
      <w:r w:rsidR="00BF69CA" w:rsidRPr="000939E3">
        <w:t xml:space="preserve">Graf </w:t>
      </w:r>
      <w:r w:rsidR="00BF69CA">
        <w:rPr>
          <w:noProof/>
        </w:rPr>
        <w:t>34</w:t>
      </w:r>
      <w:r w:rsidRPr="000939E3">
        <w:fldChar w:fldCharType="end"/>
      </w:r>
      <w:r w:rsidRPr="000939E3">
        <w:t>)</w:t>
      </w:r>
      <w:r w:rsidRPr="000939E3">
        <w:rPr>
          <w:rStyle w:val="Odkaznapoznmkupodiarou"/>
        </w:rPr>
        <w:footnoteReference w:id="53"/>
      </w:r>
      <w:r w:rsidRPr="000939E3">
        <w:t>. Vhodne nastavené pásma kladú dôraz na rozvoj individuálnej kariéry, flexibilné role a rast schopností zamestnanca (Armstrong, 2009).</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1987"/>
        <w:gridCol w:w="238"/>
        <w:gridCol w:w="2462"/>
        <w:gridCol w:w="1976"/>
      </w:tblGrid>
      <w:tr w:rsidR="00F778F9" w:rsidRPr="000939E3" w14:paraId="072BBEC5" w14:textId="77777777" w:rsidTr="00F41E6F">
        <w:trPr>
          <w:trHeight w:val="57"/>
        </w:trPr>
        <w:tc>
          <w:tcPr>
            <w:tcW w:w="2423" w:type="pct"/>
            <w:gridSpan w:val="2"/>
            <w:tcBorders>
              <w:bottom w:val="single" w:sz="4" w:space="0" w:color="auto"/>
            </w:tcBorders>
          </w:tcPr>
          <w:p w14:paraId="6E1DD22D" w14:textId="77777777" w:rsidR="00F778F9" w:rsidRPr="000939E3" w:rsidRDefault="00F778F9" w:rsidP="00F778F9">
            <w:pPr>
              <w:spacing w:after="0"/>
              <w:rPr>
                <w:b/>
                <w:sz w:val="20"/>
                <w:szCs w:val="20"/>
              </w:rPr>
            </w:pPr>
            <w:bookmarkStart w:id="143" w:name="_Ref526695654"/>
            <w:bookmarkStart w:id="144" w:name="_Toc34226904"/>
            <w:r w:rsidRPr="000939E3">
              <w:rPr>
                <w:b/>
                <w:sz w:val="20"/>
                <w:szCs w:val="20"/>
              </w:rPr>
              <w:t xml:space="preserve">Graf </w:t>
            </w:r>
            <w:r w:rsidRPr="000939E3">
              <w:rPr>
                <w:b/>
                <w:sz w:val="20"/>
                <w:szCs w:val="20"/>
              </w:rPr>
              <w:fldChar w:fldCharType="begin"/>
            </w:r>
            <w:r w:rsidRPr="000939E3">
              <w:rPr>
                <w:b/>
                <w:sz w:val="20"/>
                <w:szCs w:val="20"/>
              </w:rPr>
              <w:instrText xml:space="preserve"> SEQ Graf \* ARABIC </w:instrText>
            </w:r>
            <w:r w:rsidRPr="000939E3">
              <w:rPr>
                <w:b/>
                <w:sz w:val="20"/>
                <w:szCs w:val="20"/>
              </w:rPr>
              <w:fldChar w:fldCharType="separate"/>
            </w:r>
            <w:r w:rsidR="00BF69CA">
              <w:rPr>
                <w:b/>
                <w:noProof/>
                <w:sz w:val="20"/>
                <w:szCs w:val="20"/>
              </w:rPr>
              <w:t>33</w:t>
            </w:r>
            <w:r w:rsidRPr="000939E3">
              <w:rPr>
                <w:b/>
                <w:sz w:val="20"/>
                <w:szCs w:val="20"/>
              </w:rPr>
              <w:fldChar w:fldCharType="end"/>
            </w:r>
            <w:bookmarkEnd w:id="143"/>
            <w:r w:rsidRPr="000939E3">
              <w:rPr>
                <w:rStyle w:val="Bodytext295pt"/>
                <w:b/>
                <w:szCs w:val="20"/>
              </w:rPr>
              <w:t>: Hodinové mzdy v závislosti od veku zamestnanca, VŠ vzdelaní (2017)</w:t>
            </w:r>
            <w:bookmarkEnd w:id="144"/>
          </w:p>
        </w:tc>
        <w:tc>
          <w:tcPr>
            <w:tcW w:w="131" w:type="pct"/>
          </w:tcPr>
          <w:p w14:paraId="09150C73" w14:textId="77777777" w:rsidR="00F778F9" w:rsidRPr="000939E3" w:rsidRDefault="00F778F9" w:rsidP="00F778F9">
            <w:pPr>
              <w:spacing w:after="0"/>
              <w:rPr>
                <w:b/>
              </w:rPr>
            </w:pPr>
          </w:p>
        </w:tc>
        <w:tc>
          <w:tcPr>
            <w:tcW w:w="2446" w:type="pct"/>
            <w:gridSpan w:val="2"/>
            <w:tcBorders>
              <w:bottom w:val="single" w:sz="4" w:space="0" w:color="auto"/>
            </w:tcBorders>
          </w:tcPr>
          <w:p w14:paraId="078B5440" w14:textId="3BA8B18B" w:rsidR="00F778F9" w:rsidRPr="000939E3" w:rsidRDefault="00F778F9" w:rsidP="00EC766E">
            <w:pPr>
              <w:pStyle w:val="Popis"/>
              <w:rPr>
                <w:b w:val="0"/>
              </w:rPr>
            </w:pPr>
            <w:bookmarkStart w:id="145" w:name="_Ref4078225"/>
            <w:bookmarkStart w:id="146" w:name="_Toc34226905"/>
            <w:r w:rsidRPr="000939E3">
              <w:t xml:space="preserve">Graf </w:t>
            </w:r>
            <w:r w:rsidRPr="000939E3">
              <w:rPr>
                <w:noProof/>
              </w:rPr>
              <w:fldChar w:fldCharType="begin"/>
            </w:r>
            <w:r w:rsidRPr="000939E3">
              <w:rPr>
                <w:noProof/>
              </w:rPr>
              <w:instrText xml:space="preserve"> SEQ Graf \* ARABIC </w:instrText>
            </w:r>
            <w:r w:rsidRPr="000939E3">
              <w:rPr>
                <w:noProof/>
              </w:rPr>
              <w:fldChar w:fldCharType="separate"/>
            </w:r>
            <w:r w:rsidR="00BF69CA">
              <w:rPr>
                <w:noProof/>
              </w:rPr>
              <w:t>34</w:t>
            </w:r>
            <w:r w:rsidRPr="000939E3">
              <w:rPr>
                <w:noProof/>
              </w:rPr>
              <w:fldChar w:fldCharType="end"/>
            </w:r>
            <w:bookmarkEnd w:id="145"/>
            <w:r w:rsidRPr="000939E3">
              <w:rPr>
                <w:b w:val="0"/>
              </w:rPr>
              <w:t xml:space="preserve">: </w:t>
            </w:r>
            <w:r w:rsidR="001F17A4" w:rsidRPr="000939E3">
              <w:t>Ilustratívny príklad platových intervalov</w:t>
            </w:r>
            <w:r w:rsidR="009C25DC" w:rsidRPr="000939E3">
              <w:t xml:space="preserve"> podľa pl</w:t>
            </w:r>
            <w:r w:rsidR="00EC766E" w:rsidRPr="000939E3">
              <w:t>a</w:t>
            </w:r>
            <w:r w:rsidR="009C25DC" w:rsidRPr="000939E3">
              <w:t>tových tried</w:t>
            </w:r>
            <w:r w:rsidR="001F17A4" w:rsidRPr="000939E3">
              <w:t xml:space="preserve"> </w:t>
            </w:r>
            <w:r w:rsidR="008B1601" w:rsidRPr="000939E3">
              <w:rPr>
                <w:lang w:val="pt-BR"/>
              </w:rPr>
              <w:t>(hrubá mzda v eur mesačne)</w:t>
            </w:r>
            <w:bookmarkEnd w:id="146"/>
          </w:p>
        </w:tc>
      </w:tr>
      <w:tr w:rsidR="00F778F9" w:rsidRPr="000939E3" w14:paraId="3BB1B907" w14:textId="77777777" w:rsidTr="0014563E">
        <w:trPr>
          <w:trHeight w:val="57"/>
        </w:trPr>
        <w:tc>
          <w:tcPr>
            <w:tcW w:w="2423" w:type="pct"/>
            <w:gridSpan w:val="2"/>
            <w:tcBorders>
              <w:top w:val="single" w:sz="4" w:space="0" w:color="auto"/>
              <w:bottom w:val="single" w:sz="4" w:space="0" w:color="auto"/>
            </w:tcBorders>
          </w:tcPr>
          <w:p w14:paraId="344242CA" w14:textId="77777777" w:rsidR="00F778F9" w:rsidRPr="000939E3" w:rsidRDefault="00F778F9" w:rsidP="00F778F9">
            <w:pPr>
              <w:spacing w:after="0"/>
              <w:rPr>
                <w:b/>
              </w:rPr>
            </w:pPr>
            <w:r w:rsidRPr="000939E3">
              <w:rPr>
                <w:noProof/>
                <w:lang w:eastAsia="sk-SK"/>
              </w:rPr>
              <w:drawing>
                <wp:inline distT="0" distB="0" distL="0" distR="0" wp14:anchorId="0673CB63" wp14:editId="585F3B09">
                  <wp:extent cx="2552700" cy="2865755"/>
                  <wp:effectExtent l="0" t="0" r="0" b="0"/>
                  <wp:docPr id="244" name="Graf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131" w:type="pct"/>
          </w:tcPr>
          <w:p w14:paraId="6D091433" w14:textId="77777777" w:rsidR="00F778F9" w:rsidRPr="000939E3" w:rsidRDefault="00F778F9" w:rsidP="00F778F9">
            <w:pPr>
              <w:spacing w:before="240"/>
              <w:rPr>
                <w:b/>
              </w:rPr>
            </w:pPr>
          </w:p>
        </w:tc>
        <w:tc>
          <w:tcPr>
            <w:tcW w:w="2446" w:type="pct"/>
            <w:gridSpan w:val="2"/>
            <w:tcBorders>
              <w:top w:val="single" w:sz="4" w:space="0" w:color="auto"/>
              <w:bottom w:val="single" w:sz="4" w:space="0" w:color="auto"/>
            </w:tcBorders>
          </w:tcPr>
          <w:p w14:paraId="1058DA0C" w14:textId="11C06E02" w:rsidR="00F778F9" w:rsidRPr="000939E3" w:rsidRDefault="008B1601" w:rsidP="00F778F9">
            <w:pPr>
              <w:spacing w:after="0"/>
              <w:rPr>
                <w:b/>
              </w:rPr>
            </w:pPr>
            <w:r w:rsidRPr="000939E3">
              <w:rPr>
                <w:noProof/>
                <w:lang w:eastAsia="sk-SK"/>
              </w:rPr>
              <w:drawing>
                <wp:inline distT="0" distB="0" distL="0" distR="0" wp14:anchorId="653316E7" wp14:editId="6C09DEA8">
                  <wp:extent cx="2795752" cy="2752725"/>
                  <wp:effectExtent l="0" t="0" r="0"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F41BEB" w:rsidRPr="000939E3" w14:paraId="74A154F8" w14:textId="77777777" w:rsidTr="0014563E">
        <w:trPr>
          <w:trHeight w:val="20"/>
        </w:trPr>
        <w:tc>
          <w:tcPr>
            <w:tcW w:w="1328" w:type="pct"/>
            <w:tcBorders>
              <w:top w:val="single" w:sz="4" w:space="0" w:color="auto"/>
            </w:tcBorders>
          </w:tcPr>
          <w:p w14:paraId="2C142400" w14:textId="77777777" w:rsidR="00F778F9" w:rsidRPr="000939E3" w:rsidRDefault="00F778F9" w:rsidP="00F778F9">
            <w:pPr>
              <w:spacing w:after="0"/>
              <w:jc w:val="left"/>
              <w:rPr>
                <w:b/>
              </w:rPr>
            </w:pPr>
            <w:r w:rsidRPr="000939E3">
              <w:rPr>
                <w:rStyle w:val="Jemnodkaz"/>
                <w:rFonts w:eastAsiaTheme="minorHAnsi"/>
              </w:rPr>
              <w:t>Pozn.: Bez ozbrojených zložiek.</w:t>
            </w:r>
          </w:p>
        </w:tc>
        <w:tc>
          <w:tcPr>
            <w:tcW w:w="1095" w:type="pct"/>
            <w:tcBorders>
              <w:top w:val="single" w:sz="4" w:space="0" w:color="auto"/>
            </w:tcBorders>
          </w:tcPr>
          <w:p w14:paraId="1BB5E167" w14:textId="77777777" w:rsidR="00F778F9" w:rsidRPr="000939E3" w:rsidRDefault="00F778F9" w:rsidP="00F778F9">
            <w:pPr>
              <w:spacing w:after="0"/>
              <w:jc w:val="right"/>
              <w:rPr>
                <w:b/>
              </w:rPr>
            </w:pPr>
            <w:r w:rsidRPr="000939E3">
              <w:rPr>
                <w:rStyle w:val="Jemnodkaz"/>
                <w:rFonts w:eastAsiaTheme="minorHAnsi"/>
              </w:rPr>
              <w:t>Zdroj: ISCP, prepočty ÚHP</w:t>
            </w:r>
          </w:p>
        </w:tc>
        <w:tc>
          <w:tcPr>
            <w:tcW w:w="131" w:type="pct"/>
            <w:tcMar>
              <w:left w:w="0" w:type="dxa"/>
              <w:right w:w="0" w:type="dxa"/>
            </w:tcMar>
          </w:tcPr>
          <w:p w14:paraId="2B94F83F" w14:textId="77777777" w:rsidR="00F778F9" w:rsidRPr="000939E3" w:rsidRDefault="00F778F9" w:rsidP="00F778F9">
            <w:pPr>
              <w:spacing w:after="0"/>
              <w:rPr>
                <w:b/>
              </w:rPr>
            </w:pPr>
          </w:p>
        </w:tc>
        <w:tc>
          <w:tcPr>
            <w:tcW w:w="1357" w:type="pct"/>
            <w:tcBorders>
              <w:top w:val="single" w:sz="4" w:space="0" w:color="auto"/>
            </w:tcBorders>
          </w:tcPr>
          <w:p w14:paraId="0D045BD6" w14:textId="1E48FC46" w:rsidR="00F778F9" w:rsidRPr="000939E3" w:rsidRDefault="00F778F9" w:rsidP="00F778F9">
            <w:pPr>
              <w:spacing w:after="0"/>
              <w:jc w:val="left"/>
              <w:rPr>
                <w:b/>
              </w:rPr>
            </w:pPr>
          </w:p>
        </w:tc>
        <w:tc>
          <w:tcPr>
            <w:tcW w:w="1089" w:type="pct"/>
            <w:tcBorders>
              <w:top w:val="single" w:sz="4" w:space="0" w:color="auto"/>
            </w:tcBorders>
          </w:tcPr>
          <w:p w14:paraId="7B43D723" w14:textId="7102D016" w:rsidR="00F778F9" w:rsidRPr="000939E3" w:rsidRDefault="008B1601" w:rsidP="00F778F9">
            <w:pPr>
              <w:keepNext/>
              <w:spacing w:after="0"/>
              <w:jc w:val="right"/>
              <w:rPr>
                <w:b/>
                <w:i/>
                <w:sz w:val="18"/>
                <w:szCs w:val="18"/>
              </w:rPr>
            </w:pPr>
            <w:r w:rsidRPr="000939E3">
              <w:rPr>
                <w:i/>
                <w:sz w:val="18"/>
                <w:szCs w:val="18"/>
              </w:rPr>
              <w:t>Zdroj: ÚHP</w:t>
            </w:r>
          </w:p>
        </w:tc>
      </w:tr>
    </w:tbl>
    <w:p w14:paraId="184D9655" w14:textId="77777777" w:rsidR="00F41E6F" w:rsidRPr="000939E3" w:rsidRDefault="00F41E6F">
      <w:pPr>
        <w:spacing w:after="160" w:line="259" w:lineRule="auto"/>
        <w:jc w:val="left"/>
      </w:pPr>
      <w:r w:rsidRPr="000939E3">
        <w:br w:type="page"/>
      </w:r>
    </w:p>
    <w:tbl>
      <w:tblPr>
        <w:tblStyle w:val="Mriekatabuky1"/>
        <w:tblpPr w:leftFromText="141" w:rightFromText="141" w:vertAnchor="text" w:horzAnchor="margin" w:tblpY="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CellMar>
          <w:left w:w="70" w:type="dxa"/>
          <w:right w:w="70" w:type="dxa"/>
        </w:tblCellMar>
        <w:tblLook w:val="04A0" w:firstRow="1" w:lastRow="0" w:firstColumn="1" w:lastColumn="0" w:noHBand="0" w:noVBand="1"/>
      </w:tblPr>
      <w:tblGrid>
        <w:gridCol w:w="9072"/>
      </w:tblGrid>
      <w:tr w:rsidR="00F41E6F" w:rsidRPr="000939E3" w14:paraId="05FE6C50" w14:textId="77777777" w:rsidTr="0040330D">
        <w:trPr>
          <w:trHeight w:val="20"/>
        </w:trPr>
        <w:tc>
          <w:tcPr>
            <w:tcW w:w="5000" w:type="pct"/>
            <w:shd w:val="clear" w:color="auto" w:fill="BDD6EE" w:themeFill="accent1" w:themeFillTint="66"/>
          </w:tcPr>
          <w:p w14:paraId="52D0FB2D" w14:textId="77777777" w:rsidR="00F41E6F" w:rsidRPr="000939E3" w:rsidRDefault="00F41E6F" w:rsidP="00F41E6F">
            <w:pPr>
              <w:pStyle w:val="Popis"/>
              <w:spacing w:after="120" w:line="276" w:lineRule="auto"/>
              <w:rPr>
                <w:sz w:val="22"/>
                <w:szCs w:val="22"/>
              </w:rPr>
            </w:pPr>
            <w:r w:rsidRPr="000939E3">
              <w:lastRenderedPageBreak/>
              <w:br w:type="page"/>
            </w:r>
            <w:bookmarkStart w:id="147" w:name="_Ref527117162"/>
            <w:r w:rsidRPr="000939E3">
              <w:rPr>
                <w:sz w:val="22"/>
                <w:szCs w:val="22"/>
              </w:rPr>
              <w:t xml:space="preserve">Box </w:t>
            </w:r>
            <w:r w:rsidRPr="000939E3">
              <w:rPr>
                <w:sz w:val="22"/>
                <w:szCs w:val="22"/>
              </w:rPr>
              <w:fldChar w:fldCharType="begin"/>
            </w:r>
            <w:r w:rsidRPr="000939E3">
              <w:rPr>
                <w:sz w:val="22"/>
                <w:szCs w:val="22"/>
              </w:rPr>
              <w:instrText xml:space="preserve"> SEQ Box \* ARABIC </w:instrText>
            </w:r>
            <w:r w:rsidRPr="000939E3">
              <w:rPr>
                <w:sz w:val="22"/>
                <w:szCs w:val="22"/>
              </w:rPr>
              <w:fldChar w:fldCharType="separate"/>
            </w:r>
            <w:r w:rsidR="00BF69CA">
              <w:rPr>
                <w:noProof/>
                <w:sz w:val="22"/>
                <w:szCs w:val="22"/>
              </w:rPr>
              <w:t>6</w:t>
            </w:r>
            <w:r w:rsidRPr="000939E3">
              <w:rPr>
                <w:sz w:val="22"/>
                <w:szCs w:val="22"/>
              </w:rPr>
              <w:fldChar w:fldCharType="end"/>
            </w:r>
            <w:bookmarkEnd w:id="147"/>
            <w:r w:rsidRPr="000939E3">
              <w:rPr>
                <w:sz w:val="22"/>
                <w:szCs w:val="22"/>
              </w:rPr>
              <w:t>: Platové automaty v zdravotníctve</w:t>
            </w:r>
          </w:p>
          <w:p w14:paraId="3640C2EB" w14:textId="77777777" w:rsidR="00F41E6F" w:rsidRPr="000939E3" w:rsidRDefault="00F41E6F" w:rsidP="00F41E6F">
            <w:pPr>
              <w:tabs>
                <w:tab w:val="left" w:pos="142"/>
              </w:tabs>
              <w:rPr>
                <w:b/>
              </w:rPr>
            </w:pPr>
            <w:r w:rsidRPr="000939E3">
              <w:rPr>
                <w:b/>
              </w:rPr>
              <w:t>Zdravotnícki pracovníci v ústavnej starostlivosti sú jediní verejní zamestnanci, ktorých platový automat nevyplýva z požiadavky na nezávislosť</w:t>
            </w:r>
            <w:r w:rsidRPr="000939E3">
              <w:rPr>
                <w:rStyle w:val="Odkaznapoznmkupodiarou"/>
                <w:b/>
              </w:rPr>
              <w:footnoteReference w:id="54"/>
            </w:r>
            <w:r w:rsidRPr="000939E3">
              <w:rPr>
                <w:b/>
              </w:rPr>
              <w:t xml:space="preserve">. </w:t>
            </w:r>
            <w:r w:rsidRPr="000939E3">
              <w:t>Automatická valorizácia miezd zdravotníkov funguje súbežne s minimálnymi mzdovými nárokmi definovanými v Zákonníku práce, vzťahuje sa aj na zamestnancov súkromných ústavných zariadení. Jednotliví zdravotnícki pracovníci majú podľa povolania a kvalifikácie garantovanú základnú mzdu ako násobok priemernej mzdy spred dvoch rokov</w:t>
            </w:r>
            <w:r w:rsidRPr="000939E3">
              <w:rPr>
                <w:rStyle w:val="Odkaznapoznmkupodiarou"/>
              </w:rPr>
              <w:footnoteReference w:id="55"/>
            </w:r>
            <w:r w:rsidRPr="000939E3">
              <w:t xml:space="preserve">. Jedná sa tak o akúsi minimálnu sektorovú mzdu, dohodnutá mzda jednotlivcov môže byť vyššia. </w:t>
            </w:r>
          </w:p>
          <w:p w14:paraId="6D828C7B" w14:textId="77777777" w:rsidR="00F41E6F" w:rsidRPr="000939E3" w:rsidRDefault="00F41E6F" w:rsidP="00F41E6F">
            <w:pPr>
              <w:tabs>
                <w:tab w:val="left" w:pos="142"/>
              </w:tabs>
            </w:pPr>
            <w:r w:rsidRPr="000939E3">
              <w:t>Výhody automatickej valorizácie pre zamestnancov aj štát sú rovnaké – odbúranie transakčných nákladov a rizík spojených s kolektívnym vyjednávaním a predvídateľnosť budúcich výdavkov a príjmov. Systém automatických valorizácii má niekoľko nevýhod – nezohľadňuje rozdielnu mieru produktivity povolaní, poskytuje menej flexibility a schopnosti absorbovať šoky (IMF, 2016).</w:t>
            </w:r>
          </w:p>
          <w:p w14:paraId="44544617" w14:textId="77777777" w:rsidR="00F41E6F" w:rsidRPr="000939E3" w:rsidRDefault="00F41E6F" w:rsidP="00F41E6F">
            <w:pPr>
              <w:tabs>
                <w:tab w:val="left" w:pos="142"/>
              </w:tabs>
            </w:pPr>
            <w:r w:rsidRPr="000939E3">
              <w:rPr>
                <w:b/>
              </w:rPr>
              <w:t xml:space="preserve">Problémom súčasného nastavenia platových automatov je ich výška, ktorá obmedzuje priestor na variabilnú zložku platu s väčším potenciálom odmeňovať výkon. </w:t>
            </w:r>
            <w:r w:rsidRPr="000939E3">
              <w:t>V roku 2017 zostalo na odmeny lekárov po zohľadnení minimálnych mzdových nárokov len približne 10 % celkového mzdového balíka. Tarifné mzdy lekárov boli v priemere iba o 5 % vyššie ako mzdové nároky stanovené automatom, priemerná celková mzda bola približne o 11 % vyššia ako minimálna základná mzda a od nej odvodené príplatky za prácu v sobotu, nedeľu, sviatok či za nočnú prácu.</w:t>
            </w:r>
          </w:p>
          <w:tbl>
            <w:tblPr>
              <w:tblStyle w:val="Mriekatabuky"/>
              <w:tblpPr w:leftFromText="141" w:rightFromText="141" w:vertAnchor="text" w:horzAnchor="margin" w:tblpY="-150"/>
              <w:tblOverlap w:val="nev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29"/>
              <w:gridCol w:w="2188"/>
              <w:gridCol w:w="1459"/>
              <w:gridCol w:w="1604"/>
              <w:gridCol w:w="1052"/>
            </w:tblGrid>
            <w:tr w:rsidR="00F41E6F" w:rsidRPr="000939E3" w14:paraId="741256F8" w14:textId="77777777" w:rsidTr="00783F9C">
              <w:trPr>
                <w:trHeight w:val="191"/>
              </w:trPr>
              <w:tc>
                <w:tcPr>
                  <w:tcW w:w="5000" w:type="pct"/>
                  <w:gridSpan w:val="5"/>
                </w:tcPr>
                <w:p w14:paraId="7011C07C" w14:textId="77777777" w:rsidR="00F41E6F" w:rsidRPr="000939E3" w:rsidRDefault="00F41E6F" w:rsidP="00F41E6F">
                  <w:pPr>
                    <w:tabs>
                      <w:tab w:val="left" w:pos="142"/>
                    </w:tabs>
                    <w:spacing w:after="0"/>
                    <w:contextualSpacing/>
                    <w:jc w:val="left"/>
                    <w:rPr>
                      <w:b/>
                      <w:sz w:val="20"/>
                      <w:szCs w:val="20"/>
                    </w:rPr>
                  </w:pPr>
                  <w:bookmarkStart w:id="148" w:name="_Toc34226936"/>
                  <w:r w:rsidRPr="000939E3">
                    <w:rPr>
                      <w:b/>
                      <w:sz w:val="20"/>
                      <w:szCs w:val="20"/>
                    </w:rPr>
                    <w:t xml:space="preserve">Tabuľka </w:t>
                  </w:r>
                  <w:r w:rsidRPr="000939E3">
                    <w:rPr>
                      <w:b/>
                      <w:sz w:val="20"/>
                      <w:szCs w:val="20"/>
                    </w:rPr>
                    <w:fldChar w:fldCharType="begin"/>
                  </w:r>
                  <w:r w:rsidRPr="000939E3">
                    <w:rPr>
                      <w:b/>
                      <w:sz w:val="20"/>
                      <w:szCs w:val="20"/>
                    </w:rPr>
                    <w:instrText xml:space="preserve"> SEQ Tabuľka \* ARABIC </w:instrText>
                  </w:r>
                  <w:r w:rsidRPr="000939E3">
                    <w:rPr>
                      <w:b/>
                      <w:sz w:val="20"/>
                      <w:szCs w:val="20"/>
                    </w:rPr>
                    <w:fldChar w:fldCharType="separate"/>
                  </w:r>
                  <w:r w:rsidR="00BF69CA">
                    <w:rPr>
                      <w:b/>
                      <w:noProof/>
                      <w:sz w:val="20"/>
                      <w:szCs w:val="20"/>
                    </w:rPr>
                    <w:t>3</w:t>
                  </w:r>
                  <w:r w:rsidRPr="000939E3">
                    <w:rPr>
                      <w:b/>
                      <w:sz w:val="20"/>
                      <w:szCs w:val="20"/>
                    </w:rPr>
                    <w:fldChar w:fldCharType="end"/>
                  </w:r>
                  <w:r w:rsidRPr="000939E3">
                    <w:rPr>
                      <w:b/>
                      <w:sz w:val="20"/>
                      <w:szCs w:val="20"/>
                    </w:rPr>
                    <w:t>: Porovnanie hrubej mzdy lekárov a minimálnych mzdových nárokov (v eur a %, 2017)</w:t>
                  </w:r>
                  <w:bookmarkEnd w:id="148"/>
                </w:p>
              </w:tc>
            </w:tr>
            <w:tr w:rsidR="00F41E6F" w:rsidRPr="000939E3" w14:paraId="5AB84C6E" w14:textId="77777777" w:rsidTr="00783F9C">
              <w:trPr>
                <w:trHeight w:val="191"/>
              </w:trPr>
              <w:tc>
                <w:tcPr>
                  <w:tcW w:w="1471" w:type="pct"/>
                  <w:tcBorders>
                    <w:bottom w:val="single" w:sz="4" w:space="0" w:color="auto"/>
                  </w:tcBorders>
                  <w:vAlign w:val="center"/>
                </w:tcPr>
                <w:p w14:paraId="7E9F6718" w14:textId="77777777" w:rsidR="00F41E6F" w:rsidRPr="000939E3" w:rsidRDefault="00F41E6F" w:rsidP="00F41E6F">
                  <w:pPr>
                    <w:tabs>
                      <w:tab w:val="left" w:pos="142"/>
                    </w:tabs>
                    <w:contextualSpacing/>
                    <w:jc w:val="left"/>
                    <w:rPr>
                      <w:b/>
                      <w:sz w:val="20"/>
                      <w:szCs w:val="20"/>
                    </w:rPr>
                  </w:pPr>
                  <w:r w:rsidRPr="000939E3">
                    <w:rPr>
                      <w:b/>
                      <w:sz w:val="20"/>
                      <w:szCs w:val="20"/>
                    </w:rPr>
                    <w:t>Zložka mzdy</w:t>
                  </w:r>
                </w:p>
              </w:tc>
              <w:tc>
                <w:tcPr>
                  <w:tcW w:w="1225" w:type="pct"/>
                  <w:tcBorders>
                    <w:bottom w:val="single" w:sz="4" w:space="0" w:color="auto"/>
                  </w:tcBorders>
                  <w:vAlign w:val="center"/>
                </w:tcPr>
                <w:p w14:paraId="4442FF6D" w14:textId="77777777" w:rsidR="00F41E6F" w:rsidRPr="000939E3" w:rsidRDefault="00F41E6F" w:rsidP="00F41E6F">
                  <w:pPr>
                    <w:tabs>
                      <w:tab w:val="left" w:pos="142"/>
                    </w:tabs>
                    <w:contextualSpacing/>
                    <w:jc w:val="center"/>
                    <w:rPr>
                      <w:b/>
                      <w:sz w:val="20"/>
                      <w:szCs w:val="20"/>
                    </w:rPr>
                  </w:pPr>
                  <w:r w:rsidRPr="000939E3">
                    <w:rPr>
                      <w:b/>
                      <w:sz w:val="20"/>
                      <w:szCs w:val="20"/>
                    </w:rPr>
                    <w:t>Mzda odvodená z minimálnych nárokov</w:t>
                  </w:r>
                </w:p>
              </w:tc>
              <w:tc>
                <w:tcPr>
                  <w:tcW w:w="817" w:type="pct"/>
                  <w:tcBorders>
                    <w:bottom w:val="single" w:sz="4" w:space="0" w:color="auto"/>
                  </w:tcBorders>
                  <w:vAlign w:val="center"/>
                </w:tcPr>
                <w:p w14:paraId="594DCE3D" w14:textId="77777777" w:rsidR="00F41E6F" w:rsidRPr="000939E3" w:rsidRDefault="00F41E6F" w:rsidP="00F41E6F">
                  <w:pPr>
                    <w:tabs>
                      <w:tab w:val="left" w:pos="142"/>
                    </w:tabs>
                    <w:contextualSpacing/>
                    <w:jc w:val="center"/>
                    <w:rPr>
                      <w:b/>
                      <w:sz w:val="20"/>
                      <w:szCs w:val="20"/>
                    </w:rPr>
                  </w:pPr>
                  <w:r w:rsidRPr="000939E3">
                    <w:rPr>
                      <w:b/>
                      <w:sz w:val="20"/>
                      <w:szCs w:val="20"/>
                    </w:rPr>
                    <w:t>Skutočná hrubá mzda</w:t>
                  </w:r>
                </w:p>
              </w:tc>
              <w:tc>
                <w:tcPr>
                  <w:tcW w:w="898" w:type="pct"/>
                  <w:tcBorders>
                    <w:bottom w:val="single" w:sz="4" w:space="0" w:color="auto"/>
                  </w:tcBorders>
                  <w:vAlign w:val="center"/>
                </w:tcPr>
                <w:p w14:paraId="18EDEB9B" w14:textId="77777777" w:rsidR="00F41E6F" w:rsidRPr="000939E3" w:rsidRDefault="00F41E6F" w:rsidP="00F41E6F">
                  <w:pPr>
                    <w:tabs>
                      <w:tab w:val="left" w:pos="142"/>
                    </w:tabs>
                    <w:contextualSpacing/>
                    <w:jc w:val="center"/>
                    <w:rPr>
                      <w:b/>
                      <w:sz w:val="20"/>
                      <w:szCs w:val="20"/>
                    </w:rPr>
                  </w:pPr>
                  <w:r w:rsidRPr="000939E3">
                    <w:rPr>
                      <w:b/>
                      <w:sz w:val="20"/>
                      <w:szCs w:val="20"/>
                    </w:rPr>
                    <w:t>Bonus oproti minimu</w:t>
                  </w:r>
                </w:p>
              </w:tc>
              <w:tc>
                <w:tcPr>
                  <w:tcW w:w="588" w:type="pct"/>
                  <w:tcBorders>
                    <w:bottom w:val="single" w:sz="4" w:space="0" w:color="auto"/>
                  </w:tcBorders>
                  <w:vAlign w:val="center"/>
                </w:tcPr>
                <w:p w14:paraId="7A744CEE" w14:textId="77777777" w:rsidR="00F41E6F" w:rsidRPr="000939E3" w:rsidRDefault="00F41E6F" w:rsidP="00F41E6F">
                  <w:pPr>
                    <w:tabs>
                      <w:tab w:val="left" w:pos="142"/>
                    </w:tabs>
                    <w:contextualSpacing/>
                    <w:jc w:val="center"/>
                    <w:rPr>
                      <w:b/>
                      <w:sz w:val="20"/>
                      <w:szCs w:val="20"/>
                    </w:rPr>
                  </w:pPr>
                  <w:r w:rsidRPr="000939E3">
                    <w:rPr>
                      <w:b/>
                      <w:sz w:val="20"/>
                      <w:szCs w:val="20"/>
                    </w:rPr>
                    <w:t xml:space="preserve">Voľné % balíka </w:t>
                  </w:r>
                </w:p>
              </w:tc>
            </w:tr>
            <w:tr w:rsidR="00F41E6F" w:rsidRPr="000939E3" w14:paraId="7B647B38" w14:textId="77777777" w:rsidTr="00783F9C">
              <w:trPr>
                <w:trHeight w:val="205"/>
              </w:trPr>
              <w:tc>
                <w:tcPr>
                  <w:tcW w:w="1471" w:type="pct"/>
                  <w:tcBorders>
                    <w:top w:val="single" w:sz="4" w:space="0" w:color="auto"/>
                    <w:bottom w:val="nil"/>
                  </w:tcBorders>
                </w:tcPr>
                <w:p w14:paraId="6B590F78" w14:textId="77777777" w:rsidR="00F41E6F" w:rsidRPr="000939E3" w:rsidRDefault="00F41E6F" w:rsidP="00F41E6F">
                  <w:pPr>
                    <w:tabs>
                      <w:tab w:val="left" w:pos="142"/>
                    </w:tabs>
                    <w:contextualSpacing/>
                    <w:rPr>
                      <w:sz w:val="20"/>
                      <w:szCs w:val="20"/>
                    </w:rPr>
                  </w:pPr>
                  <w:r w:rsidRPr="000939E3">
                    <w:rPr>
                      <w:sz w:val="20"/>
                      <w:szCs w:val="20"/>
                    </w:rPr>
                    <w:t>Tarif plus náhrady mzdy</w:t>
                  </w:r>
                </w:p>
              </w:tc>
              <w:tc>
                <w:tcPr>
                  <w:tcW w:w="1225" w:type="pct"/>
                  <w:tcBorders>
                    <w:top w:val="single" w:sz="4" w:space="0" w:color="auto"/>
                    <w:bottom w:val="nil"/>
                  </w:tcBorders>
                  <w:vAlign w:val="bottom"/>
                </w:tcPr>
                <w:p w14:paraId="52B363EE" w14:textId="77777777" w:rsidR="00F41E6F" w:rsidRPr="000939E3" w:rsidRDefault="00F41E6F" w:rsidP="00F41E6F">
                  <w:pPr>
                    <w:tabs>
                      <w:tab w:val="left" w:pos="142"/>
                    </w:tabs>
                    <w:ind w:right="510"/>
                    <w:contextualSpacing/>
                    <w:jc w:val="right"/>
                    <w:rPr>
                      <w:rFonts w:cs="Arial"/>
                      <w:sz w:val="20"/>
                      <w:szCs w:val="20"/>
                    </w:rPr>
                  </w:pPr>
                  <w:r w:rsidRPr="000939E3">
                    <w:rPr>
                      <w:rFonts w:cs="Arial"/>
                      <w:sz w:val="20"/>
                      <w:szCs w:val="20"/>
                    </w:rPr>
                    <w:t xml:space="preserve"> 1 660</w:t>
                  </w:r>
                </w:p>
              </w:tc>
              <w:tc>
                <w:tcPr>
                  <w:tcW w:w="817" w:type="pct"/>
                  <w:tcBorders>
                    <w:top w:val="single" w:sz="4" w:space="0" w:color="auto"/>
                    <w:bottom w:val="nil"/>
                  </w:tcBorders>
                </w:tcPr>
                <w:p w14:paraId="470D8CAF" w14:textId="77777777" w:rsidR="00F41E6F" w:rsidRPr="000939E3" w:rsidRDefault="00F41E6F" w:rsidP="00F41E6F">
                  <w:pPr>
                    <w:tabs>
                      <w:tab w:val="left" w:pos="142"/>
                    </w:tabs>
                    <w:ind w:right="317"/>
                    <w:contextualSpacing/>
                    <w:jc w:val="right"/>
                    <w:rPr>
                      <w:rFonts w:cs="Arial"/>
                      <w:sz w:val="20"/>
                      <w:szCs w:val="20"/>
                    </w:rPr>
                  </w:pPr>
                  <w:r w:rsidRPr="000939E3">
                    <w:rPr>
                      <w:rFonts w:cs="Arial"/>
                      <w:sz w:val="20"/>
                      <w:szCs w:val="20"/>
                    </w:rPr>
                    <w:t>1 747</w:t>
                  </w:r>
                </w:p>
              </w:tc>
              <w:tc>
                <w:tcPr>
                  <w:tcW w:w="898" w:type="pct"/>
                  <w:tcBorders>
                    <w:top w:val="single" w:sz="4" w:space="0" w:color="auto"/>
                    <w:bottom w:val="nil"/>
                  </w:tcBorders>
                  <w:vAlign w:val="bottom"/>
                </w:tcPr>
                <w:p w14:paraId="6DDAECA3" w14:textId="77777777" w:rsidR="00F41E6F" w:rsidRPr="000939E3" w:rsidRDefault="00F41E6F" w:rsidP="00F41E6F">
                  <w:pPr>
                    <w:tabs>
                      <w:tab w:val="left" w:pos="0"/>
                      <w:tab w:val="left" w:pos="459"/>
                    </w:tabs>
                    <w:ind w:right="98"/>
                    <w:contextualSpacing/>
                    <w:jc w:val="right"/>
                    <w:rPr>
                      <w:rFonts w:cs="Arial"/>
                      <w:b/>
                      <w:sz w:val="20"/>
                      <w:szCs w:val="20"/>
                    </w:rPr>
                  </w:pPr>
                  <w:r w:rsidRPr="000939E3">
                    <w:rPr>
                      <w:color w:val="000000"/>
                      <w:sz w:val="20"/>
                      <w:szCs w:val="20"/>
                    </w:rPr>
                    <w:t>87</w:t>
                  </w:r>
                </w:p>
              </w:tc>
              <w:tc>
                <w:tcPr>
                  <w:tcW w:w="588" w:type="pct"/>
                  <w:tcBorders>
                    <w:top w:val="single" w:sz="4" w:space="0" w:color="auto"/>
                    <w:bottom w:val="nil"/>
                  </w:tcBorders>
                </w:tcPr>
                <w:p w14:paraId="02B52BF8" w14:textId="77777777" w:rsidR="00F41E6F" w:rsidRPr="000939E3" w:rsidRDefault="00F41E6F" w:rsidP="00F41E6F">
                  <w:pPr>
                    <w:tabs>
                      <w:tab w:val="left" w:pos="142"/>
                    </w:tabs>
                    <w:contextualSpacing/>
                    <w:jc w:val="right"/>
                    <w:rPr>
                      <w:rFonts w:cs="Arial"/>
                      <w:sz w:val="20"/>
                      <w:szCs w:val="20"/>
                    </w:rPr>
                  </w:pPr>
                  <w:r w:rsidRPr="000939E3">
                    <w:rPr>
                      <w:rFonts w:cs="Arial"/>
                      <w:sz w:val="20"/>
                      <w:szCs w:val="20"/>
                    </w:rPr>
                    <w:t>5%</w:t>
                  </w:r>
                </w:p>
              </w:tc>
            </w:tr>
            <w:tr w:rsidR="00F41E6F" w:rsidRPr="000939E3" w14:paraId="1C4E4128" w14:textId="77777777" w:rsidTr="00783F9C">
              <w:trPr>
                <w:trHeight w:val="191"/>
              </w:trPr>
              <w:tc>
                <w:tcPr>
                  <w:tcW w:w="1471" w:type="pct"/>
                  <w:tcBorders>
                    <w:top w:val="nil"/>
                    <w:bottom w:val="nil"/>
                  </w:tcBorders>
                </w:tcPr>
                <w:p w14:paraId="58D8010A" w14:textId="77777777" w:rsidR="00F41E6F" w:rsidRPr="000939E3" w:rsidRDefault="00F41E6F" w:rsidP="00F41E6F">
                  <w:pPr>
                    <w:tabs>
                      <w:tab w:val="left" w:pos="142"/>
                    </w:tabs>
                    <w:contextualSpacing/>
                    <w:rPr>
                      <w:sz w:val="20"/>
                      <w:szCs w:val="20"/>
                    </w:rPr>
                  </w:pPr>
                  <w:r w:rsidRPr="000939E3">
                    <w:rPr>
                      <w:sz w:val="20"/>
                      <w:szCs w:val="20"/>
                    </w:rPr>
                    <w:t>Príplatky, nadčasy, pohotovosť</w:t>
                  </w:r>
                </w:p>
              </w:tc>
              <w:tc>
                <w:tcPr>
                  <w:tcW w:w="1225" w:type="pct"/>
                  <w:tcBorders>
                    <w:top w:val="nil"/>
                    <w:bottom w:val="nil"/>
                  </w:tcBorders>
                  <w:vAlign w:val="bottom"/>
                </w:tcPr>
                <w:p w14:paraId="71ACCA8D" w14:textId="77777777" w:rsidR="00F41E6F" w:rsidRPr="000939E3" w:rsidRDefault="00F41E6F" w:rsidP="00F41E6F">
                  <w:pPr>
                    <w:tabs>
                      <w:tab w:val="left" w:pos="142"/>
                    </w:tabs>
                    <w:ind w:right="510"/>
                    <w:contextualSpacing/>
                    <w:jc w:val="right"/>
                    <w:rPr>
                      <w:rFonts w:cs="Arial"/>
                      <w:sz w:val="20"/>
                      <w:szCs w:val="20"/>
                    </w:rPr>
                  </w:pPr>
                  <w:r w:rsidRPr="000939E3">
                    <w:rPr>
                      <w:rFonts w:cs="Arial"/>
                      <w:sz w:val="20"/>
                      <w:szCs w:val="20"/>
                    </w:rPr>
                    <w:t>683</w:t>
                  </w:r>
                </w:p>
              </w:tc>
              <w:tc>
                <w:tcPr>
                  <w:tcW w:w="817" w:type="pct"/>
                  <w:tcBorders>
                    <w:top w:val="nil"/>
                    <w:bottom w:val="nil"/>
                  </w:tcBorders>
                </w:tcPr>
                <w:p w14:paraId="0CE36EF9" w14:textId="77777777" w:rsidR="00F41E6F" w:rsidRPr="000939E3" w:rsidRDefault="00F41E6F" w:rsidP="00F41E6F">
                  <w:pPr>
                    <w:tabs>
                      <w:tab w:val="left" w:pos="142"/>
                    </w:tabs>
                    <w:ind w:right="317"/>
                    <w:contextualSpacing/>
                    <w:jc w:val="right"/>
                    <w:rPr>
                      <w:rFonts w:cs="Arial"/>
                      <w:sz w:val="20"/>
                      <w:szCs w:val="20"/>
                    </w:rPr>
                  </w:pPr>
                  <w:r w:rsidRPr="000939E3">
                    <w:rPr>
                      <w:rFonts w:cs="Arial"/>
                      <w:sz w:val="20"/>
                      <w:szCs w:val="20"/>
                    </w:rPr>
                    <w:t>719</w:t>
                  </w:r>
                </w:p>
              </w:tc>
              <w:tc>
                <w:tcPr>
                  <w:tcW w:w="898" w:type="pct"/>
                  <w:tcBorders>
                    <w:top w:val="nil"/>
                    <w:bottom w:val="nil"/>
                  </w:tcBorders>
                  <w:vAlign w:val="bottom"/>
                </w:tcPr>
                <w:p w14:paraId="0C2501BB" w14:textId="77777777" w:rsidR="00F41E6F" w:rsidRPr="000939E3" w:rsidRDefault="00F41E6F" w:rsidP="00F41E6F">
                  <w:pPr>
                    <w:tabs>
                      <w:tab w:val="left" w:pos="0"/>
                      <w:tab w:val="left" w:pos="459"/>
                    </w:tabs>
                    <w:ind w:right="98"/>
                    <w:contextualSpacing/>
                    <w:jc w:val="right"/>
                    <w:rPr>
                      <w:rFonts w:cs="Arial"/>
                      <w:sz w:val="20"/>
                      <w:szCs w:val="20"/>
                    </w:rPr>
                  </w:pPr>
                  <w:r w:rsidRPr="000939E3">
                    <w:rPr>
                      <w:color w:val="000000"/>
                      <w:sz w:val="20"/>
                      <w:szCs w:val="20"/>
                    </w:rPr>
                    <w:t>36</w:t>
                  </w:r>
                </w:p>
              </w:tc>
              <w:tc>
                <w:tcPr>
                  <w:tcW w:w="588" w:type="pct"/>
                  <w:tcBorders>
                    <w:top w:val="nil"/>
                    <w:bottom w:val="nil"/>
                  </w:tcBorders>
                </w:tcPr>
                <w:p w14:paraId="02C00A0D" w14:textId="77777777" w:rsidR="00F41E6F" w:rsidRPr="000939E3" w:rsidRDefault="00F41E6F" w:rsidP="00F41E6F">
                  <w:pPr>
                    <w:tabs>
                      <w:tab w:val="left" w:pos="142"/>
                    </w:tabs>
                    <w:contextualSpacing/>
                    <w:jc w:val="right"/>
                    <w:rPr>
                      <w:rFonts w:cs="Arial"/>
                      <w:sz w:val="20"/>
                      <w:szCs w:val="20"/>
                    </w:rPr>
                  </w:pPr>
                  <w:r w:rsidRPr="000939E3">
                    <w:rPr>
                      <w:rFonts w:cs="Arial"/>
                      <w:sz w:val="20"/>
                      <w:szCs w:val="20"/>
                    </w:rPr>
                    <w:t>5%</w:t>
                  </w:r>
                </w:p>
              </w:tc>
            </w:tr>
            <w:tr w:rsidR="00F41E6F" w:rsidRPr="000939E3" w14:paraId="59F98642" w14:textId="77777777" w:rsidTr="00783F9C">
              <w:trPr>
                <w:trHeight w:val="191"/>
              </w:trPr>
              <w:tc>
                <w:tcPr>
                  <w:tcW w:w="1471" w:type="pct"/>
                  <w:tcBorders>
                    <w:top w:val="nil"/>
                    <w:bottom w:val="nil"/>
                  </w:tcBorders>
                </w:tcPr>
                <w:p w14:paraId="01266A5D" w14:textId="77777777" w:rsidR="00F41E6F" w:rsidRPr="000939E3" w:rsidRDefault="00F41E6F" w:rsidP="00F41E6F">
                  <w:pPr>
                    <w:tabs>
                      <w:tab w:val="left" w:pos="142"/>
                    </w:tabs>
                    <w:contextualSpacing/>
                    <w:rPr>
                      <w:b/>
                      <w:sz w:val="20"/>
                      <w:szCs w:val="20"/>
                    </w:rPr>
                  </w:pPr>
                  <w:r w:rsidRPr="000939E3">
                    <w:rPr>
                      <w:b/>
                      <w:sz w:val="20"/>
                      <w:szCs w:val="20"/>
                    </w:rPr>
                    <w:t>Spolu „povinné zložky“</w:t>
                  </w:r>
                </w:p>
              </w:tc>
              <w:tc>
                <w:tcPr>
                  <w:tcW w:w="1225" w:type="pct"/>
                  <w:tcBorders>
                    <w:top w:val="nil"/>
                    <w:bottom w:val="nil"/>
                  </w:tcBorders>
                  <w:vAlign w:val="bottom"/>
                </w:tcPr>
                <w:p w14:paraId="39CB1933" w14:textId="77777777" w:rsidR="00F41E6F" w:rsidRPr="000939E3" w:rsidRDefault="00F41E6F" w:rsidP="00F41E6F">
                  <w:pPr>
                    <w:tabs>
                      <w:tab w:val="left" w:pos="142"/>
                    </w:tabs>
                    <w:ind w:right="510"/>
                    <w:contextualSpacing/>
                    <w:jc w:val="right"/>
                    <w:rPr>
                      <w:rFonts w:cs="Arial"/>
                      <w:b/>
                      <w:sz w:val="20"/>
                      <w:szCs w:val="20"/>
                    </w:rPr>
                  </w:pPr>
                  <w:r w:rsidRPr="000939E3">
                    <w:rPr>
                      <w:rFonts w:cs="Arial"/>
                      <w:b/>
                      <w:sz w:val="20"/>
                      <w:szCs w:val="20"/>
                    </w:rPr>
                    <w:t>2 343</w:t>
                  </w:r>
                </w:p>
              </w:tc>
              <w:tc>
                <w:tcPr>
                  <w:tcW w:w="817" w:type="pct"/>
                  <w:tcBorders>
                    <w:top w:val="nil"/>
                    <w:bottom w:val="nil"/>
                  </w:tcBorders>
                </w:tcPr>
                <w:p w14:paraId="3F9281D6" w14:textId="77777777" w:rsidR="00F41E6F" w:rsidRPr="000939E3" w:rsidRDefault="00F41E6F" w:rsidP="00F41E6F">
                  <w:pPr>
                    <w:tabs>
                      <w:tab w:val="left" w:pos="142"/>
                    </w:tabs>
                    <w:ind w:right="317"/>
                    <w:contextualSpacing/>
                    <w:jc w:val="right"/>
                    <w:rPr>
                      <w:rFonts w:cs="Arial"/>
                      <w:b/>
                      <w:sz w:val="20"/>
                      <w:szCs w:val="20"/>
                    </w:rPr>
                  </w:pPr>
                  <w:r w:rsidRPr="000939E3">
                    <w:rPr>
                      <w:rFonts w:cs="Arial"/>
                      <w:b/>
                      <w:sz w:val="20"/>
                      <w:szCs w:val="20"/>
                    </w:rPr>
                    <w:t>2 466</w:t>
                  </w:r>
                </w:p>
              </w:tc>
              <w:tc>
                <w:tcPr>
                  <w:tcW w:w="898" w:type="pct"/>
                  <w:tcBorders>
                    <w:top w:val="nil"/>
                    <w:bottom w:val="nil"/>
                  </w:tcBorders>
                  <w:vAlign w:val="bottom"/>
                </w:tcPr>
                <w:p w14:paraId="728BB88B" w14:textId="77777777" w:rsidR="00F41E6F" w:rsidRPr="000939E3" w:rsidRDefault="00F41E6F" w:rsidP="00F41E6F">
                  <w:pPr>
                    <w:tabs>
                      <w:tab w:val="left" w:pos="0"/>
                      <w:tab w:val="left" w:pos="459"/>
                    </w:tabs>
                    <w:ind w:right="98"/>
                    <w:contextualSpacing/>
                    <w:jc w:val="right"/>
                    <w:rPr>
                      <w:rFonts w:cs="Arial"/>
                      <w:b/>
                      <w:sz w:val="20"/>
                      <w:szCs w:val="20"/>
                    </w:rPr>
                  </w:pPr>
                  <w:r w:rsidRPr="000939E3">
                    <w:rPr>
                      <w:b/>
                      <w:color w:val="000000"/>
                      <w:sz w:val="20"/>
                      <w:szCs w:val="20"/>
                    </w:rPr>
                    <w:t>123</w:t>
                  </w:r>
                </w:p>
              </w:tc>
              <w:tc>
                <w:tcPr>
                  <w:tcW w:w="588" w:type="pct"/>
                  <w:tcBorders>
                    <w:top w:val="nil"/>
                    <w:bottom w:val="nil"/>
                  </w:tcBorders>
                </w:tcPr>
                <w:p w14:paraId="7533A979" w14:textId="77777777" w:rsidR="00F41E6F" w:rsidRPr="000939E3" w:rsidRDefault="00F41E6F" w:rsidP="00F41E6F">
                  <w:pPr>
                    <w:tabs>
                      <w:tab w:val="left" w:pos="142"/>
                    </w:tabs>
                    <w:contextualSpacing/>
                    <w:jc w:val="right"/>
                    <w:rPr>
                      <w:rFonts w:cs="Arial"/>
                      <w:b/>
                      <w:sz w:val="20"/>
                      <w:szCs w:val="20"/>
                    </w:rPr>
                  </w:pPr>
                  <w:r w:rsidRPr="000939E3">
                    <w:rPr>
                      <w:rFonts w:cs="Arial"/>
                      <w:b/>
                      <w:sz w:val="20"/>
                      <w:szCs w:val="20"/>
                    </w:rPr>
                    <w:t>5%</w:t>
                  </w:r>
                </w:p>
              </w:tc>
            </w:tr>
            <w:tr w:rsidR="00F41E6F" w:rsidRPr="000939E3" w14:paraId="1ABCCC61" w14:textId="77777777" w:rsidTr="00783F9C">
              <w:trPr>
                <w:trHeight w:val="191"/>
              </w:trPr>
              <w:tc>
                <w:tcPr>
                  <w:tcW w:w="1471" w:type="pct"/>
                  <w:tcBorders>
                    <w:top w:val="nil"/>
                    <w:bottom w:val="single" w:sz="4" w:space="0" w:color="auto"/>
                  </w:tcBorders>
                </w:tcPr>
                <w:p w14:paraId="54A08331" w14:textId="77777777" w:rsidR="00F41E6F" w:rsidRPr="000939E3" w:rsidRDefault="00F41E6F" w:rsidP="00F41E6F">
                  <w:pPr>
                    <w:tabs>
                      <w:tab w:val="left" w:pos="142"/>
                    </w:tabs>
                    <w:contextualSpacing/>
                    <w:rPr>
                      <w:sz w:val="20"/>
                      <w:szCs w:val="20"/>
                    </w:rPr>
                  </w:pPr>
                  <w:r w:rsidRPr="000939E3">
                    <w:rPr>
                      <w:sz w:val="20"/>
                      <w:szCs w:val="20"/>
                    </w:rPr>
                    <w:t>Odmeny a osobný príplatok</w:t>
                  </w:r>
                </w:p>
              </w:tc>
              <w:tc>
                <w:tcPr>
                  <w:tcW w:w="1225" w:type="pct"/>
                  <w:tcBorders>
                    <w:top w:val="nil"/>
                    <w:bottom w:val="single" w:sz="4" w:space="0" w:color="auto"/>
                  </w:tcBorders>
                  <w:vAlign w:val="bottom"/>
                </w:tcPr>
                <w:p w14:paraId="2CD5DA40" w14:textId="77777777" w:rsidR="00F41E6F" w:rsidRPr="000939E3" w:rsidRDefault="00F41E6F" w:rsidP="00F41E6F">
                  <w:pPr>
                    <w:tabs>
                      <w:tab w:val="left" w:pos="142"/>
                    </w:tabs>
                    <w:ind w:right="510"/>
                    <w:contextualSpacing/>
                    <w:jc w:val="right"/>
                    <w:rPr>
                      <w:rFonts w:cs="Arial"/>
                      <w:sz w:val="20"/>
                      <w:szCs w:val="20"/>
                    </w:rPr>
                  </w:pPr>
                </w:p>
              </w:tc>
              <w:tc>
                <w:tcPr>
                  <w:tcW w:w="817" w:type="pct"/>
                  <w:tcBorders>
                    <w:top w:val="nil"/>
                    <w:bottom w:val="single" w:sz="4" w:space="0" w:color="auto"/>
                  </w:tcBorders>
                </w:tcPr>
                <w:p w14:paraId="23228EDC" w14:textId="77777777" w:rsidR="00F41E6F" w:rsidRPr="000939E3" w:rsidRDefault="00F41E6F" w:rsidP="00F41E6F">
                  <w:pPr>
                    <w:tabs>
                      <w:tab w:val="left" w:pos="142"/>
                    </w:tabs>
                    <w:ind w:right="317"/>
                    <w:contextualSpacing/>
                    <w:jc w:val="right"/>
                    <w:rPr>
                      <w:rFonts w:cs="Arial"/>
                      <w:sz w:val="20"/>
                      <w:szCs w:val="20"/>
                    </w:rPr>
                  </w:pPr>
                  <w:r w:rsidRPr="000939E3">
                    <w:rPr>
                      <w:rFonts w:cs="Arial"/>
                      <w:sz w:val="20"/>
                      <w:szCs w:val="20"/>
                    </w:rPr>
                    <w:t>132</w:t>
                  </w:r>
                </w:p>
              </w:tc>
              <w:tc>
                <w:tcPr>
                  <w:tcW w:w="898" w:type="pct"/>
                  <w:tcBorders>
                    <w:top w:val="nil"/>
                    <w:bottom w:val="single" w:sz="4" w:space="0" w:color="auto"/>
                  </w:tcBorders>
                  <w:vAlign w:val="bottom"/>
                </w:tcPr>
                <w:p w14:paraId="7FCF5DF1" w14:textId="77777777" w:rsidR="00F41E6F" w:rsidRPr="000939E3" w:rsidRDefault="00F41E6F" w:rsidP="00F41E6F">
                  <w:pPr>
                    <w:tabs>
                      <w:tab w:val="left" w:pos="0"/>
                      <w:tab w:val="left" w:pos="459"/>
                    </w:tabs>
                    <w:ind w:right="98"/>
                    <w:contextualSpacing/>
                    <w:jc w:val="right"/>
                    <w:rPr>
                      <w:rFonts w:cs="Arial"/>
                      <w:sz w:val="20"/>
                      <w:szCs w:val="20"/>
                    </w:rPr>
                  </w:pPr>
                  <w:r w:rsidRPr="000939E3">
                    <w:rPr>
                      <w:color w:val="000000"/>
                      <w:sz w:val="20"/>
                      <w:szCs w:val="20"/>
                    </w:rPr>
                    <w:t>132</w:t>
                  </w:r>
                </w:p>
              </w:tc>
              <w:tc>
                <w:tcPr>
                  <w:tcW w:w="588" w:type="pct"/>
                  <w:tcBorders>
                    <w:top w:val="nil"/>
                    <w:bottom w:val="single" w:sz="4" w:space="0" w:color="auto"/>
                  </w:tcBorders>
                </w:tcPr>
                <w:p w14:paraId="5153E674" w14:textId="77777777" w:rsidR="00F41E6F" w:rsidRPr="000939E3" w:rsidRDefault="00F41E6F" w:rsidP="00F41E6F">
                  <w:pPr>
                    <w:tabs>
                      <w:tab w:val="left" w:pos="142"/>
                    </w:tabs>
                    <w:contextualSpacing/>
                    <w:jc w:val="right"/>
                    <w:rPr>
                      <w:rFonts w:cs="Arial"/>
                      <w:sz w:val="20"/>
                      <w:szCs w:val="20"/>
                    </w:rPr>
                  </w:pPr>
                </w:p>
              </w:tc>
            </w:tr>
            <w:tr w:rsidR="00F41E6F" w:rsidRPr="000939E3" w14:paraId="025DC234" w14:textId="77777777" w:rsidTr="00783F9C">
              <w:trPr>
                <w:trHeight w:val="191"/>
              </w:trPr>
              <w:tc>
                <w:tcPr>
                  <w:tcW w:w="1471" w:type="pct"/>
                  <w:tcBorders>
                    <w:top w:val="single" w:sz="4" w:space="0" w:color="auto"/>
                    <w:bottom w:val="single" w:sz="4" w:space="0" w:color="auto"/>
                  </w:tcBorders>
                </w:tcPr>
                <w:p w14:paraId="57F96FB7" w14:textId="77777777" w:rsidR="00F41E6F" w:rsidRPr="000939E3" w:rsidRDefault="00F41E6F" w:rsidP="00F41E6F">
                  <w:pPr>
                    <w:tabs>
                      <w:tab w:val="left" w:pos="142"/>
                    </w:tabs>
                    <w:contextualSpacing/>
                    <w:rPr>
                      <w:b/>
                      <w:sz w:val="20"/>
                      <w:szCs w:val="20"/>
                    </w:rPr>
                  </w:pPr>
                  <w:r w:rsidRPr="000939E3">
                    <w:rPr>
                      <w:b/>
                      <w:sz w:val="20"/>
                      <w:szCs w:val="20"/>
                    </w:rPr>
                    <w:t>Spolu</w:t>
                  </w:r>
                </w:p>
              </w:tc>
              <w:tc>
                <w:tcPr>
                  <w:tcW w:w="1225" w:type="pct"/>
                  <w:tcBorders>
                    <w:top w:val="single" w:sz="4" w:space="0" w:color="auto"/>
                    <w:bottom w:val="single" w:sz="4" w:space="0" w:color="auto"/>
                  </w:tcBorders>
                  <w:vAlign w:val="bottom"/>
                </w:tcPr>
                <w:p w14:paraId="173FAE74" w14:textId="77777777" w:rsidR="00F41E6F" w:rsidRPr="000939E3" w:rsidRDefault="00F41E6F" w:rsidP="00F41E6F">
                  <w:pPr>
                    <w:tabs>
                      <w:tab w:val="left" w:pos="142"/>
                    </w:tabs>
                    <w:ind w:right="510"/>
                    <w:contextualSpacing/>
                    <w:jc w:val="right"/>
                    <w:rPr>
                      <w:rFonts w:cs="Arial"/>
                      <w:b/>
                      <w:sz w:val="20"/>
                      <w:szCs w:val="20"/>
                    </w:rPr>
                  </w:pPr>
                  <w:r w:rsidRPr="000939E3">
                    <w:rPr>
                      <w:rFonts w:cs="Arial"/>
                      <w:b/>
                      <w:sz w:val="20"/>
                      <w:szCs w:val="20"/>
                    </w:rPr>
                    <w:t>2 343</w:t>
                  </w:r>
                </w:p>
              </w:tc>
              <w:tc>
                <w:tcPr>
                  <w:tcW w:w="817" w:type="pct"/>
                  <w:tcBorders>
                    <w:top w:val="single" w:sz="4" w:space="0" w:color="auto"/>
                    <w:bottom w:val="single" w:sz="4" w:space="0" w:color="auto"/>
                  </w:tcBorders>
                </w:tcPr>
                <w:p w14:paraId="01144BFF" w14:textId="77777777" w:rsidR="00F41E6F" w:rsidRPr="000939E3" w:rsidRDefault="00F41E6F" w:rsidP="00F41E6F">
                  <w:pPr>
                    <w:tabs>
                      <w:tab w:val="left" w:pos="142"/>
                    </w:tabs>
                    <w:ind w:right="317"/>
                    <w:contextualSpacing/>
                    <w:jc w:val="right"/>
                    <w:rPr>
                      <w:rFonts w:cs="Arial"/>
                      <w:b/>
                      <w:sz w:val="20"/>
                      <w:szCs w:val="20"/>
                    </w:rPr>
                  </w:pPr>
                  <w:r w:rsidRPr="000939E3">
                    <w:rPr>
                      <w:rFonts w:cs="Arial"/>
                      <w:b/>
                      <w:sz w:val="20"/>
                      <w:szCs w:val="20"/>
                    </w:rPr>
                    <w:t>2 598</w:t>
                  </w:r>
                </w:p>
              </w:tc>
              <w:tc>
                <w:tcPr>
                  <w:tcW w:w="898" w:type="pct"/>
                  <w:tcBorders>
                    <w:top w:val="single" w:sz="4" w:space="0" w:color="auto"/>
                    <w:bottom w:val="single" w:sz="4" w:space="0" w:color="auto"/>
                  </w:tcBorders>
                  <w:vAlign w:val="bottom"/>
                </w:tcPr>
                <w:p w14:paraId="02B41D6D" w14:textId="77777777" w:rsidR="00F41E6F" w:rsidRPr="000939E3" w:rsidRDefault="00F41E6F" w:rsidP="00F41E6F">
                  <w:pPr>
                    <w:tabs>
                      <w:tab w:val="left" w:pos="0"/>
                      <w:tab w:val="left" w:pos="459"/>
                    </w:tabs>
                    <w:ind w:right="98"/>
                    <w:contextualSpacing/>
                    <w:jc w:val="right"/>
                    <w:rPr>
                      <w:rFonts w:cs="Arial"/>
                      <w:b/>
                      <w:sz w:val="20"/>
                      <w:szCs w:val="20"/>
                    </w:rPr>
                  </w:pPr>
                  <w:r w:rsidRPr="000939E3">
                    <w:rPr>
                      <w:b/>
                      <w:color w:val="000000"/>
                      <w:sz w:val="20"/>
                      <w:szCs w:val="20"/>
                    </w:rPr>
                    <w:t>255</w:t>
                  </w:r>
                </w:p>
              </w:tc>
              <w:tc>
                <w:tcPr>
                  <w:tcW w:w="588" w:type="pct"/>
                  <w:tcBorders>
                    <w:top w:val="single" w:sz="4" w:space="0" w:color="auto"/>
                    <w:bottom w:val="single" w:sz="4" w:space="0" w:color="auto"/>
                  </w:tcBorders>
                </w:tcPr>
                <w:p w14:paraId="52D9A362" w14:textId="77777777" w:rsidR="00F41E6F" w:rsidRPr="000939E3" w:rsidRDefault="00F41E6F" w:rsidP="00F41E6F">
                  <w:pPr>
                    <w:tabs>
                      <w:tab w:val="left" w:pos="142"/>
                    </w:tabs>
                    <w:contextualSpacing/>
                    <w:jc w:val="right"/>
                    <w:rPr>
                      <w:rFonts w:cs="Arial"/>
                      <w:b/>
                      <w:sz w:val="20"/>
                      <w:szCs w:val="20"/>
                    </w:rPr>
                  </w:pPr>
                  <w:r w:rsidRPr="000939E3">
                    <w:rPr>
                      <w:rFonts w:cs="Arial"/>
                      <w:b/>
                      <w:sz w:val="20"/>
                      <w:szCs w:val="20"/>
                    </w:rPr>
                    <w:t>10%</w:t>
                  </w:r>
                </w:p>
              </w:tc>
            </w:tr>
            <w:tr w:rsidR="00F41E6F" w:rsidRPr="000939E3" w14:paraId="12441946" w14:textId="77777777" w:rsidTr="00783F9C">
              <w:trPr>
                <w:trHeight w:val="191"/>
              </w:trPr>
              <w:tc>
                <w:tcPr>
                  <w:tcW w:w="1471" w:type="pct"/>
                  <w:tcBorders>
                    <w:top w:val="single" w:sz="4" w:space="0" w:color="auto"/>
                  </w:tcBorders>
                </w:tcPr>
                <w:p w14:paraId="61EFF6B7" w14:textId="77777777" w:rsidR="00F41E6F" w:rsidRPr="000939E3" w:rsidRDefault="00F41E6F" w:rsidP="00F41E6F">
                  <w:pPr>
                    <w:tabs>
                      <w:tab w:val="left" w:pos="142"/>
                    </w:tabs>
                    <w:contextualSpacing/>
                    <w:rPr>
                      <w:b/>
                      <w:sz w:val="18"/>
                    </w:rPr>
                  </w:pPr>
                </w:p>
              </w:tc>
              <w:tc>
                <w:tcPr>
                  <w:tcW w:w="1225" w:type="pct"/>
                  <w:tcBorders>
                    <w:top w:val="single" w:sz="4" w:space="0" w:color="auto"/>
                  </w:tcBorders>
                  <w:vAlign w:val="bottom"/>
                </w:tcPr>
                <w:p w14:paraId="4DD8C2AB" w14:textId="77777777" w:rsidR="00F41E6F" w:rsidRPr="000939E3" w:rsidRDefault="00F41E6F" w:rsidP="00F41E6F">
                  <w:pPr>
                    <w:tabs>
                      <w:tab w:val="left" w:pos="142"/>
                    </w:tabs>
                    <w:ind w:right="510"/>
                    <w:contextualSpacing/>
                    <w:jc w:val="right"/>
                    <w:rPr>
                      <w:rFonts w:cs="Arial"/>
                      <w:b/>
                      <w:sz w:val="18"/>
                    </w:rPr>
                  </w:pPr>
                </w:p>
              </w:tc>
              <w:tc>
                <w:tcPr>
                  <w:tcW w:w="2304" w:type="pct"/>
                  <w:gridSpan w:val="3"/>
                  <w:tcBorders>
                    <w:top w:val="single" w:sz="4" w:space="0" w:color="auto"/>
                  </w:tcBorders>
                </w:tcPr>
                <w:p w14:paraId="0FB0F217" w14:textId="77777777" w:rsidR="00F41E6F" w:rsidRPr="000939E3" w:rsidRDefault="00F41E6F" w:rsidP="00F41E6F">
                  <w:pPr>
                    <w:tabs>
                      <w:tab w:val="left" w:pos="142"/>
                    </w:tabs>
                    <w:contextualSpacing/>
                    <w:jc w:val="right"/>
                    <w:rPr>
                      <w:rFonts w:cs="Arial"/>
                      <w:i/>
                      <w:sz w:val="18"/>
                    </w:rPr>
                  </w:pPr>
                  <w:r w:rsidRPr="000939E3">
                    <w:rPr>
                      <w:rFonts w:cs="Arial"/>
                      <w:i/>
                      <w:sz w:val="18"/>
                    </w:rPr>
                    <w:t xml:space="preserve">Zdroj: NCZI, prepočty ÚHP </w:t>
                  </w:r>
                </w:p>
              </w:tc>
            </w:tr>
          </w:tbl>
          <w:p w14:paraId="598A5FC1" w14:textId="2F1726D7" w:rsidR="00F41E6F" w:rsidRPr="000939E3" w:rsidRDefault="00F41E6F" w:rsidP="00F41E6F">
            <w:pPr>
              <w:spacing w:before="120"/>
              <w:rPr>
                <w:b/>
              </w:rPr>
            </w:pPr>
            <w:r w:rsidRPr="000939E3">
              <w:rPr>
                <w:b/>
              </w:rPr>
              <w:t>Automatické zvyšovanie miezd zdravotníckych pracovníkov</w:t>
            </w:r>
            <w:r w:rsidR="00DC2F85" w:rsidRPr="000939E3">
              <w:rPr>
                <w:b/>
              </w:rPr>
              <w:t xml:space="preserve"> spolu so zvýšenou minimálnou mzdou</w:t>
            </w:r>
            <w:r w:rsidRPr="000939E3">
              <w:rPr>
                <w:b/>
              </w:rPr>
              <w:t xml:space="preserve"> </w:t>
            </w:r>
            <w:r w:rsidR="009C6942" w:rsidRPr="000939E3">
              <w:rPr>
                <w:b/>
              </w:rPr>
              <w:t>stálo</w:t>
            </w:r>
            <w:r w:rsidRPr="000939E3">
              <w:rPr>
                <w:b/>
              </w:rPr>
              <w:t xml:space="preserve"> v roku 2019 približne </w:t>
            </w:r>
            <w:r w:rsidR="00DC2F85" w:rsidRPr="000939E3">
              <w:rPr>
                <w:b/>
              </w:rPr>
              <w:t>65</w:t>
            </w:r>
            <w:r w:rsidRPr="000939E3">
              <w:rPr>
                <w:b/>
              </w:rPr>
              <w:t xml:space="preserve"> mil. eur. </w:t>
            </w:r>
          </w:p>
          <w:p w14:paraId="2C885A56" w14:textId="539F5130" w:rsidR="00F41E6F" w:rsidRPr="000939E3" w:rsidRDefault="00F41E6F" w:rsidP="00F41E6F">
            <w:pPr>
              <w:tabs>
                <w:tab w:val="left" w:pos="284"/>
              </w:tabs>
              <w:spacing w:before="120"/>
            </w:pPr>
            <w:r w:rsidRPr="000939E3">
              <w:t>Neexistuje jeden najefektívnejší systém odmeňovania zdravotníkov, každá odmeňovacia schéma má špecifické nedostatky (Flodgren et al., 2011). Odmeny výlučne vo forme fixného platu môžu znižovať motiváciu poskytovať starostlivosť v želanej kvantite a kvalite. Platby za jednotlivé výkony môžu viesť k nadmernej diagnostike a preskripcii a plytvaniu zdrojmi. Odmeny viazané na výkonnosť (performance pay) nepreukázali dopad na výsledky v zdraví. Kombinované schémy prinášajú zmiešané výsledky.</w:t>
            </w:r>
          </w:p>
        </w:tc>
      </w:tr>
    </w:tbl>
    <w:p w14:paraId="4717388C" w14:textId="5F929A92" w:rsidR="00F778F9" w:rsidRPr="000939E3" w:rsidRDefault="00F778F9" w:rsidP="00C1597F">
      <w:pPr>
        <w:spacing w:after="0"/>
        <w:rPr>
          <w:sz w:val="2"/>
          <w:szCs w:val="2"/>
        </w:rPr>
      </w:pPr>
    </w:p>
    <w:p w14:paraId="32E0EAFF" w14:textId="661B6EF5" w:rsidR="0004409E" w:rsidRPr="000939E3" w:rsidRDefault="0004409E" w:rsidP="0004409E">
      <w:pPr>
        <w:pStyle w:val="Nadpis2"/>
      </w:pPr>
      <w:bookmarkStart w:id="149" w:name="_Toc34050700"/>
      <w:r w:rsidRPr="000939E3">
        <w:t>Mzdový diferenciál podľa profesií</w:t>
      </w:r>
      <w:bookmarkEnd w:id="149"/>
      <w:r w:rsidRPr="000939E3">
        <w:t xml:space="preserve"> </w:t>
      </w:r>
    </w:p>
    <w:p w14:paraId="06AF47D9" w14:textId="78CF47A8" w:rsidR="007F622F" w:rsidRPr="000939E3" w:rsidRDefault="0004409E" w:rsidP="0004409E">
      <w:pPr>
        <w:rPr>
          <w:rFonts w:eastAsiaTheme="majorEastAsia" w:cstheme="majorBidi"/>
        </w:rPr>
      </w:pPr>
      <w:r w:rsidRPr="000939E3">
        <w:rPr>
          <w:rFonts w:eastAsiaTheme="majorEastAsia" w:cstheme="majorBidi"/>
          <w:b/>
        </w:rPr>
        <w:t>Približne 5</w:t>
      </w:r>
      <w:r w:rsidR="002A56B3" w:rsidRPr="000939E3">
        <w:rPr>
          <w:rFonts w:eastAsiaTheme="majorEastAsia" w:cstheme="majorBidi"/>
          <w:b/>
        </w:rPr>
        <w:t>5</w:t>
      </w:r>
      <w:r w:rsidRPr="000939E3">
        <w:rPr>
          <w:rFonts w:eastAsiaTheme="majorEastAsia" w:cstheme="majorBidi"/>
          <w:b/>
        </w:rPr>
        <w:t xml:space="preserve"> % zamestnancov vo verejnom sektore zarába vyššiu hodinovú mzdu ako medián zamestnancov pracujúcich na rovnakej pozícií v súkromnom sektore</w:t>
      </w:r>
      <w:r w:rsidR="00AB3CA0" w:rsidRPr="000939E3">
        <w:rPr>
          <w:rFonts w:eastAsiaTheme="majorEastAsia" w:cstheme="majorBidi"/>
          <w:b/>
        </w:rPr>
        <w:t xml:space="preserve"> (</w:t>
      </w:r>
      <w:r w:rsidR="00AB3CA0" w:rsidRPr="000939E3">
        <w:rPr>
          <w:rFonts w:eastAsiaTheme="majorEastAsia" w:cstheme="majorBidi"/>
          <w:b/>
        </w:rPr>
        <w:fldChar w:fldCharType="begin"/>
      </w:r>
      <w:r w:rsidR="00AB3CA0" w:rsidRPr="000939E3">
        <w:rPr>
          <w:rFonts w:eastAsiaTheme="majorEastAsia" w:cstheme="majorBidi"/>
          <w:b/>
        </w:rPr>
        <w:instrText xml:space="preserve"> REF _Ref4084241 \h  \* MERGEFORMAT </w:instrText>
      </w:r>
      <w:r w:rsidR="00AB3CA0" w:rsidRPr="000939E3">
        <w:rPr>
          <w:rFonts w:eastAsiaTheme="majorEastAsia" w:cstheme="majorBidi"/>
          <w:b/>
        </w:rPr>
      </w:r>
      <w:r w:rsidR="00AB3CA0" w:rsidRPr="000939E3">
        <w:rPr>
          <w:rFonts w:eastAsiaTheme="majorEastAsia" w:cstheme="majorBidi"/>
          <w:b/>
        </w:rPr>
        <w:fldChar w:fldCharType="separate"/>
      </w:r>
      <w:r w:rsidR="00BF69CA" w:rsidRPr="00BF69CA">
        <w:rPr>
          <w:b/>
        </w:rPr>
        <w:t xml:space="preserve">Graf </w:t>
      </w:r>
      <w:r w:rsidR="00BF69CA" w:rsidRPr="00BF69CA">
        <w:rPr>
          <w:b/>
          <w:noProof/>
        </w:rPr>
        <w:t>35</w:t>
      </w:r>
      <w:r w:rsidR="00AB3CA0" w:rsidRPr="000939E3">
        <w:rPr>
          <w:rFonts w:eastAsiaTheme="majorEastAsia" w:cstheme="majorBidi"/>
          <w:b/>
        </w:rPr>
        <w:fldChar w:fldCharType="end"/>
      </w:r>
      <w:r w:rsidR="00AB3CA0" w:rsidRPr="000939E3">
        <w:rPr>
          <w:rFonts w:eastAsiaTheme="majorEastAsia" w:cstheme="majorBidi"/>
          <w:b/>
        </w:rPr>
        <w:t>)</w:t>
      </w:r>
      <w:r w:rsidR="00035A65" w:rsidRPr="000939E3">
        <w:rPr>
          <w:rStyle w:val="Odkaznapoznmkupodiarou"/>
          <w:rFonts w:eastAsiaTheme="majorEastAsia" w:cstheme="majorBidi"/>
          <w:b/>
        </w:rPr>
        <w:footnoteReference w:id="56"/>
      </w:r>
      <w:r w:rsidRPr="000939E3">
        <w:rPr>
          <w:rFonts w:eastAsiaTheme="majorEastAsia" w:cstheme="majorBidi"/>
          <w:b/>
        </w:rPr>
        <w:t>.</w:t>
      </w:r>
      <w:r w:rsidRPr="000939E3">
        <w:rPr>
          <w:rFonts w:eastAsiaTheme="majorEastAsia" w:cstheme="majorBidi"/>
        </w:rPr>
        <w:t xml:space="preserve"> Porovnanie využíva zaradenie zamestnancov podľa medzinárodnej klasifikácie zamestnaní ISCO (</w:t>
      </w:r>
      <w:r w:rsidR="006D7E51" w:rsidRPr="000939E3">
        <w:rPr>
          <w:rFonts w:eastAsiaTheme="majorEastAsia" w:cstheme="majorBidi"/>
        </w:rPr>
        <w:t>Box 5</w:t>
      </w:r>
      <w:r w:rsidRPr="000939E3">
        <w:rPr>
          <w:rFonts w:eastAsiaTheme="majorEastAsia" w:cstheme="majorBidi"/>
        </w:rPr>
        <w:t xml:space="preserve">) tak, aby boli porovnávaní </w:t>
      </w:r>
      <w:r w:rsidRPr="000939E3">
        <w:rPr>
          <w:rFonts w:eastAsiaTheme="majorEastAsia" w:cstheme="majorBidi"/>
        </w:rPr>
        <w:lastRenderedPageBreak/>
        <w:t xml:space="preserve">pracovníci vykonávajúci čo najpodobnejšiu činnosť. </w:t>
      </w:r>
      <w:r w:rsidR="00035A65" w:rsidRPr="000939E3">
        <w:rPr>
          <w:rFonts w:eastAsiaTheme="majorEastAsia" w:cstheme="majorBidi"/>
        </w:rPr>
        <w:t xml:space="preserve">Polovica </w:t>
      </w:r>
      <w:r w:rsidR="007F622F" w:rsidRPr="000939E3">
        <w:rPr>
          <w:rFonts w:eastAsiaTheme="majorEastAsia" w:cstheme="majorBidi"/>
        </w:rPr>
        <w:t xml:space="preserve">verejných </w:t>
      </w:r>
      <w:r w:rsidR="00035A65" w:rsidRPr="000939E3">
        <w:rPr>
          <w:rFonts w:eastAsiaTheme="majorEastAsia" w:cstheme="majorBidi"/>
        </w:rPr>
        <w:t>zamestnancov sa nachádza v rozpätí ±20%, dve tretiny v intervale ±30 % voči mediánu</w:t>
      </w:r>
      <w:r w:rsidR="007F622F" w:rsidRPr="000939E3">
        <w:rPr>
          <w:rFonts w:eastAsiaTheme="majorEastAsia" w:cstheme="majorBidi"/>
        </w:rPr>
        <w:t xml:space="preserve"> súkromného sektora</w:t>
      </w:r>
      <w:r w:rsidR="002D293F" w:rsidRPr="000939E3">
        <w:rPr>
          <w:rFonts w:eastAsiaTheme="majorEastAsia" w:cstheme="majorBidi"/>
        </w:rPr>
        <w:t>.</w:t>
      </w:r>
      <w:r w:rsidR="007F622F" w:rsidRPr="000939E3" w:rsidDel="007F622F">
        <w:rPr>
          <w:rFonts w:eastAsiaTheme="majorEastAsia" w:cstheme="majorBidi"/>
        </w:rPr>
        <w:t xml:space="preserve"> </w:t>
      </w:r>
    </w:p>
    <w:p w14:paraId="0D64082E" w14:textId="41F21974" w:rsidR="007F622F" w:rsidRPr="000939E3" w:rsidRDefault="007F622F" w:rsidP="0004409E">
      <w:pPr>
        <w:rPr>
          <w:rFonts w:eastAsiaTheme="majorEastAsia" w:cstheme="majorBidi"/>
        </w:rPr>
      </w:pPr>
      <w:r w:rsidRPr="000939E3">
        <w:rPr>
          <w:rFonts w:eastAsiaTheme="majorEastAsia" w:cstheme="majorBidi"/>
          <w:b/>
          <w:szCs w:val="32"/>
        </w:rPr>
        <w:t>Vo verejnom sektore zarobia za hodinu viac ako ich kolegovia v súkromnom sektore najmä zdravotníci, učitelia, sociálni pracovníci a</w:t>
      </w:r>
      <w:r w:rsidR="00BF44E1" w:rsidRPr="000939E3">
        <w:rPr>
          <w:rFonts w:eastAsiaTheme="majorEastAsia" w:cstheme="majorBidi"/>
          <w:b/>
          <w:szCs w:val="32"/>
        </w:rPr>
        <w:t> </w:t>
      </w:r>
      <w:r w:rsidRPr="000939E3">
        <w:rPr>
          <w:rFonts w:eastAsiaTheme="majorEastAsia" w:cstheme="majorBidi"/>
          <w:b/>
        </w:rPr>
        <w:t>vodiči</w:t>
      </w:r>
      <w:r w:rsidR="00BF44E1" w:rsidRPr="000939E3">
        <w:rPr>
          <w:rFonts w:eastAsiaTheme="majorEastAsia" w:cstheme="majorBidi"/>
          <w:b/>
        </w:rPr>
        <w:t xml:space="preserve"> (</w:t>
      </w:r>
      <w:r w:rsidR="00BF44E1" w:rsidRPr="000939E3">
        <w:rPr>
          <w:rFonts w:eastAsiaTheme="majorEastAsia" w:cstheme="majorBidi"/>
          <w:b/>
        </w:rPr>
        <w:fldChar w:fldCharType="begin"/>
      </w:r>
      <w:r w:rsidR="00BF44E1" w:rsidRPr="000939E3">
        <w:rPr>
          <w:rFonts w:eastAsiaTheme="majorEastAsia" w:cstheme="majorBidi"/>
          <w:b/>
        </w:rPr>
        <w:instrText xml:space="preserve"> REF _Ref4085106 \h  \* MERGEFORMAT </w:instrText>
      </w:r>
      <w:r w:rsidR="00BF44E1" w:rsidRPr="000939E3">
        <w:rPr>
          <w:rFonts w:eastAsiaTheme="majorEastAsia" w:cstheme="majorBidi"/>
          <w:b/>
        </w:rPr>
      </w:r>
      <w:r w:rsidR="00BF44E1" w:rsidRPr="000939E3">
        <w:rPr>
          <w:rFonts w:eastAsiaTheme="majorEastAsia" w:cstheme="majorBidi"/>
          <w:b/>
        </w:rPr>
        <w:fldChar w:fldCharType="separate"/>
      </w:r>
      <w:r w:rsidR="00BF69CA" w:rsidRPr="00BF69CA">
        <w:rPr>
          <w:b/>
        </w:rPr>
        <w:t xml:space="preserve">Tabuľka </w:t>
      </w:r>
      <w:r w:rsidR="00BF69CA" w:rsidRPr="00BF69CA">
        <w:rPr>
          <w:b/>
          <w:noProof/>
        </w:rPr>
        <w:t>4</w:t>
      </w:r>
      <w:r w:rsidR="00BF44E1" w:rsidRPr="000939E3">
        <w:rPr>
          <w:rFonts w:eastAsiaTheme="majorEastAsia" w:cstheme="majorBidi"/>
          <w:b/>
        </w:rPr>
        <w:fldChar w:fldCharType="end"/>
      </w:r>
      <w:r w:rsidR="00BF44E1" w:rsidRPr="000939E3">
        <w:rPr>
          <w:rFonts w:eastAsiaTheme="majorEastAsia" w:cstheme="majorBidi"/>
          <w:b/>
        </w:rPr>
        <w:t>)</w:t>
      </w:r>
      <w:r w:rsidRPr="000939E3">
        <w:rPr>
          <w:rFonts w:eastAsiaTheme="majorEastAsia" w:cstheme="majorBidi"/>
          <w:b/>
        </w:rPr>
        <w:t>.</w:t>
      </w:r>
      <w:r w:rsidRPr="000939E3">
        <w:rPr>
          <w:rFonts w:eastAsiaTheme="majorEastAsia" w:cstheme="majorBidi"/>
          <w:b/>
          <w:szCs w:val="32"/>
        </w:rPr>
        <w:t xml:space="preserve"> </w:t>
      </w:r>
      <w:r w:rsidRPr="000939E3">
        <w:rPr>
          <w:rFonts w:eastAsiaTheme="majorEastAsia" w:cstheme="majorBidi"/>
          <w:szCs w:val="32"/>
        </w:rPr>
        <w:t>Pri učiteľoch a zdravotníkoch je to však štát, kto určuje pravidlá odmeňovania a do veľkej miery vytvára trh. Porovnávanie so súkromným sektorom, ktorý sa z veľkej časti iba prispôsobil verejnému, nemusí byť dostatočne výpovedné. Relevantnejšie je medzinárodné porovnanie, v ktorom zarábajú učitelia v pomere k </w:t>
      </w:r>
      <w:r w:rsidR="00201356" w:rsidRPr="000939E3">
        <w:rPr>
          <w:rFonts w:eastAsiaTheme="majorEastAsia" w:cstheme="majorBidi"/>
          <w:szCs w:val="32"/>
        </w:rPr>
        <w:t xml:space="preserve">vysokoškolsky </w:t>
      </w:r>
      <w:r w:rsidRPr="000939E3">
        <w:rPr>
          <w:rFonts w:eastAsiaTheme="majorEastAsia" w:cstheme="majorBidi"/>
          <w:szCs w:val="32"/>
        </w:rPr>
        <w:t xml:space="preserve">vzdelaným zamestnancom o približne 30 % menej ako učitelia v krajinách OECD a zdravotníci o približne 15 % menej ako zdravotníci v krajinách OECD (OECD </w:t>
      </w:r>
      <w:r w:rsidR="000F1B03" w:rsidRPr="000939E3">
        <w:rPr>
          <w:rFonts w:eastAsiaTheme="majorEastAsia" w:cstheme="majorBidi"/>
          <w:szCs w:val="32"/>
        </w:rPr>
        <w:t>2019</w:t>
      </w:r>
      <w:r w:rsidRPr="000939E3">
        <w:rPr>
          <w:rFonts w:eastAsiaTheme="majorEastAsia" w:cstheme="majorBidi"/>
          <w:szCs w:val="32"/>
        </w:rPr>
        <w:t xml:space="preserve">, OECD 2017b). </w:t>
      </w:r>
      <w:r w:rsidR="00BA6424" w:rsidRPr="000939E3">
        <w:rPr>
          <w:rFonts w:eastAsiaTheme="majorEastAsia" w:cstheme="majorBidi"/>
          <w:szCs w:val="32"/>
        </w:rPr>
        <w:t xml:space="preserve">Sociálni pracovníci zarábajú viac vo verejnom sektore, kde tabuľková mzda rastie s vekom, ako v súkromnom, kde </w:t>
      </w:r>
      <w:r w:rsidR="00C642A7" w:rsidRPr="000939E3">
        <w:rPr>
          <w:rFonts w:eastAsiaTheme="majorEastAsia" w:cstheme="majorBidi"/>
          <w:szCs w:val="32"/>
        </w:rPr>
        <w:t xml:space="preserve">väčšina </w:t>
      </w:r>
      <w:r w:rsidR="00BA6424" w:rsidRPr="000939E3">
        <w:rPr>
          <w:rFonts w:eastAsiaTheme="majorEastAsia" w:cstheme="majorBidi"/>
          <w:szCs w:val="32"/>
        </w:rPr>
        <w:t>dostáva minimálnu mzdu bez ohľadu na vek.</w:t>
      </w:r>
      <w:r w:rsidR="000A3C55" w:rsidRPr="000939E3">
        <w:rPr>
          <w:rFonts w:eastAsiaTheme="majorEastAsia" w:cstheme="majorBidi"/>
          <w:szCs w:val="32"/>
        </w:rPr>
        <w:t xml:space="preserve"> Pre niektoré profesie môže byť zdrojom rozdielov aj rôzne rozmiestnenie podobných pracovníkov medzi regiónmi (napríklad súkromné a verejné zdravotnícke zariadenia alebo školy nie sú rovnako regionálne rozmiestnené).</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7058"/>
        <w:gridCol w:w="1990"/>
        <w:gridCol w:w="24"/>
      </w:tblGrid>
      <w:tr w:rsidR="007F622F" w:rsidRPr="000939E3" w14:paraId="00346154" w14:textId="77777777" w:rsidTr="007D5A9D">
        <w:trPr>
          <w:trHeight w:val="62"/>
        </w:trPr>
        <w:tc>
          <w:tcPr>
            <w:tcW w:w="9072" w:type="dxa"/>
            <w:gridSpan w:val="3"/>
            <w:tcBorders>
              <w:bottom w:val="single" w:sz="4" w:space="0" w:color="auto"/>
            </w:tcBorders>
            <w:vAlign w:val="bottom"/>
          </w:tcPr>
          <w:p w14:paraId="329E5BCC" w14:textId="455CAF3E" w:rsidR="007F622F" w:rsidRPr="000939E3" w:rsidRDefault="007F622F" w:rsidP="005B2A4B">
            <w:pPr>
              <w:pStyle w:val="Popis"/>
              <w:keepNext/>
              <w:rPr>
                <w:noProof/>
              </w:rPr>
            </w:pPr>
            <w:bookmarkStart w:id="150" w:name="_Ref4084241"/>
            <w:bookmarkStart w:id="151" w:name="_Toc34226906"/>
            <w:r w:rsidRPr="000939E3">
              <w:t xml:space="preserve">Graf </w:t>
            </w:r>
            <w:r w:rsidRPr="000939E3">
              <w:rPr>
                <w:noProof/>
              </w:rPr>
              <w:fldChar w:fldCharType="begin"/>
            </w:r>
            <w:r w:rsidRPr="000939E3">
              <w:rPr>
                <w:noProof/>
              </w:rPr>
              <w:instrText xml:space="preserve"> SEQ Graf \* ARABIC </w:instrText>
            </w:r>
            <w:r w:rsidRPr="000939E3">
              <w:rPr>
                <w:noProof/>
              </w:rPr>
              <w:fldChar w:fldCharType="separate"/>
            </w:r>
            <w:r w:rsidR="00BF69CA">
              <w:rPr>
                <w:noProof/>
              </w:rPr>
              <w:t>35</w:t>
            </w:r>
            <w:r w:rsidRPr="000939E3">
              <w:rPr>
                <w:noProof/>
              </w:rPr>
              <w:fldChar w:fldCharType="end"/>
            </w:r>
            <w:bookmarkEnd w:id="150"/>
            <w:r w:rsidRPr="000939E3">
              <w:rPr>
                <w:noProof/>
              </w:rPr>
              <w:t>:</w:t>
            </w:r>
            <w:r w:rsidRPr="000939E3">
              <w:rPr>
                <w:rStyle w:val="Bodytext295pt"/>
                <w:szCs w:val="20"/>
              </w:rPr>
              <w:t xml:space="preserve"> Mzda vo verejnom sektore voči mediánovej mzde porovnateľných zamestnancov súkromného sektora (2017)</w:t>
            </w:r>
            <w:bookmarkEnd w:id="151"/>
          </w:p>
        </w:tc>
      </w:tr>
      <w:tr w:rsidR="00F41BEB" w:rsidRPr="000939E3" w14:paraId="29976377" w14:textId="77777777" w:rsidTr="007D5A9D">
        <w:trPr>
          <w:gridAfter w:val="1"/>
          <w:wAfter w:w="24" w:type="dxa"/>
          <w:trHeight w:val="177"/>
        </w:trPr>
        <w:tc>
          <w:tcPr>
            <w:tcW w:w="9048" w:type="dxa"/>
            <w:gridSpan w:val="2"/>
            <w:tcBorders>
              <w:top w:val="single" w:sz="4" w:space="0" w:color="auto"/>
            </w:tcBorders>
          </w:tcPr>
          <w:p w14:paraId="74867A2D" w14:textId="77777777" w:rsidR="00F41BEB" w:rsidRPr="000939E3" w:rsidRDefault="00F41BEB" w:rsidP="005B2A4B">
            <w:pPr>
              <w:keepNext/>
              <w:spacing w:after="0"/>
              <w:jc w:val="left"/>
              <w:rPr>
                <w:rStyle w:val="Jemnodkaz"/>
                <w:rFonts w:eastAsiaTheme="minorHAnsi"/>
              </w:rPr>
            </w:pPr>
            <w:r w:rsidRPr="000939E3">
              <w:rPr>
                <w:noProof/>
                <w:lang w:eastAsia="sk-SK"/>
              </w:rPr>
              <w:drawing>
                <wp:inline distT="0" distB="0" distL="0" distR="0" wp14:anchorId="2D009ADB" wp14:editId="2FCC55DA">
                  <wp:extent cx="5760720" cy="2390775"/>
                  <wp:effectExtent l="0" t="0" r="0" b="0"/>
                  <wp:docPr id="288" name="Graf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7F622F" w:rsidRPr="000939E3" w14:paraId="67E73C49" w14:textId="77777777" w:rsidTr="007D5A9D">
        <w:trPr>
          <w:trHeight w:val="177"/>
        </w:trPr>
        <w:tc>
          <w:tcPr>
            <w:tcW w:w="6804" w:type="dxa"/>
            <w:tcBorders>
              <w:top w:val="single" w:sz="4" w:space="0" w:color="auto"/>
            </w:tcBorders>
          </w:tcPr>
          <w:p w14:paraId="2FCF82EE" w14:textId="77777777" w:rsidR="007F622F" w:rsidRPr="000939E3" w:rsidRDefault="007F622F" w:rsidP="005B2A4B">
            <w:pPr>
              <w:keepNext/>
              <w:spacing w:after="0"/>
              <w:jc w:val="left"/>
              <w:rPr>
                <w:rStyle w:val="Jemnodkaz"/>
                <w:rFonts w:eastAsiaTheme="minorHAnsi"/>
              </w:rPr>
            </w:pPr>
            <w:r w:rsidRPr="000939E3">
              <w:rPr>
                <w:rStyle w:val="Jemnodkaz"/>
                <w:rFonts w:eastAsiaTheme="minorHAnsi"/>
              </w:rPr>
              <w:t>Pozn.: Bez ozbrojených zložiek, pracovníkov s neznámou pracovnou pozíciou a tých, pre ktorých v súkromnom sektore nebolo aspoň 30 rôznych pozorovaní v rovnakej ISCO kategórii.</w:t>
            </w:r>
          </w:p>
        </w:tc>
        <w:tc>
          <w:tcPr>
            <w:tcW w:w="2268" w:type="dxa"/>
            <w:gridSpan w:val="2"/>
            <w:tcBorders>
              <w:top w:val="single" w:sz="4" w:space="0" w:color="auto"/>
            </w:tcBorders>
          </w:tcPr>
          <w:p w14:paraId="46DEAEDD" w14:textId="77777777" w:rsidR="007F622F" w:rsidRPr="000939E3" w:rsidRDefault="007F622F" w:rsidP="005B2A4B">
            <w:pPr>
              <w:keepNext/>
              <w:spacing w:after="0"/>
              <w:jc w:val="right"/>
              <w:rPr>
                <w:rStyle w:val="Jemnodkaz"/>
                <w:rFonts w:eastAsiaTheme="minorHAnsi"/>
              </w:rPr>
            </w:pPr>
            <w:r w:rsidRPr="000939E3">
              <w:rPr>
                <w:rStyle w:val="Jemnodkaz"/>
                <w:rFonts w:eastAsiaTheme="minorHAnsi"/>
              </w:rPr>
              <w:t>Zdroj: ISCP, prepočty ÚHP</w:t>
            </w:r>
          </w:p>
        </w:tc>
      </w:tr>
    </w:tbl>
    <w:p w14:paraId="06A50503" w14:textId="19469F5F" w:rsidR="0004409E" w:rsidRDefault="0004409E" w:rsidP="007F622F">
      <w:pPr>
        <w:spacing w:before="120" w:after="0"/>
        <w:rPr>
          <w:rFonts w:eastAsiaTheme="majorEastAsia" w:cstheme="majorBidi"/>
          <w:sz w:val="2"/>
          <w:szCs w:val="2"/>
        </w:rPr>
      </w:pPr>
    </w:p>
    <w:p w14:paraId="7EBB5209" w14:textId="77777777" w:rsidR="00783F9C" w:rsidRPr="000939E3" w:rsidRDefault="00783F9C" w:rsidP="00783F9C"/>
    <w:tbl>
      <w:tblPr>
        <w:tblW w:w="5000" w:type="pct"/>
        <w:tblCellMar>
          <w:left w:w="70" w:type="dxa"/>
          <w:right w:w="70" w:type="dxa"/>
        </w:tblCellMar>
        <w:tblLook w:val="04A0" w:firstRow="1" w:lastRow="0" w:firstColumn="1" w:lastColumn="0" w:noHBand="0" w:noVBand="1"/>
      </w:tblPr>
      <w:tblGrid>
        <w:gridCol w:w="3171"/>
        <w:gridCol w:w="1636"/>
        <w:gridCol w:w="746"/>
        <w:gridCol w:w="332"/>
        <w:gridCol w:w="590"/>
        <w:gridCol w:w="492"/>
        <w:gridCol w:w="978"/>
        <w:gridCol w:w="1127"/>
      </w:tblGrid>
      <w:tr w:rsidR="0004409E" w:rsidRPr="000939E3" w14:paraId="641A80C8" w14:textId="77777777" w:rsidTr="00783F9C">
        <w:trPr>
          <w:trHeight w:val="20"/>
        </w:trPr>
        <w:tc>
          <w:tcPr>
            <w:tcW w:w="5000" w:type="pct"/>
            <w:gridSpan w:val="8"/>
            <w:tcBorders>
              <w:top w:val="nil"/>
              <w:left w:val="nil"/>
              <w:bottom w:val="single" w:sz="4" w:space="0" w:color="auto"/>
              <w:right w:val="nil"/>
            </w:tcBorders>
            <w:shd w:val="clear" w:color="auto" w:fill="auto"/>
            <w:noWrap/>
            <w:vAlign w:val="bottom"/>
          </w:tcPr>
          <w:p w14:paraId="519F3754" w14:textId="77777777" w:rsidR="0004409E" w:rsidRPr="000939E3" w:rsidRDefault="0004409E" w:rsidP="00783F9C">
            <w:pPr>
              <w:spacing w:after="0" w:line="240" w:lineRule="auto"/>
              <w:contextualSpacing/>
              <w:rPr>
                <w:rFonts w:eastAsia="Times New Roman" w:cs="Times New Roman"/>
                <w:color w:val="000000"/>
                <w:sz w:val="20"/>
                <w:lang w:eastAsia="sk-SK"/>
              </w:rPr>
            </w:pPr>
            <w:bookmarkStart w:id="152" w:name="_Ref4085106"/>
            <w:bookmarkStart w:id="153" w:name="_Toc34226937"/>
            <w:r w:rsidRPr="000939E3">
              <w:rPr>
                <w:b/>
                <w:sz w:val="20"/>
              </w:rPr>
              <w:t xml:space="preserve">Tabuľka </w:t>
            </w:r>
            <w:r w:rsidRPr="000939E3">
              <w:rPr>
                <w:b/>
                <w:sz w:val="20"/>
              </w:rPr>
              <w:fldChar w:fldCharType="begin"/>
            </w:r>
            <w:r w:rsidRPr="000939E3">
              <w:rPr>
                <w:b/>
                <w:sz w:val="20"/>
              </w:rPr>
              <w:instrText xml:space="preserve"> SEQ Tabuľka \* ARABIC </w:instrText>
            </w:r>
            <w:r w:rsidRPr="000939E3">
              <w:rPr>
                <w:b/>
                <w:sz w:val="20"/>
              </w:rPr>
              <w:fldChar w:fldCharType="separate"/>
            </w:r>
            <w:r w:rsidR="00BF69CA">
              <w:rPr>
                <w:b/>
                <w:noProof/>
                <w:sz w:val="20"/>
              </w:rPr>
              <w:t>4</w:t>
            </w:r>
            <w:r w:rsidRPr="000939E3">
              <w:rPr>
                <w:b/>
                <w:sz w:val="20"/>
              </w:rPr>
              <w:fldChar w:fldCharType="end"/>
            </w:r>
            <w:bookmarkEnd w:id="152"/>
            <w:r w:rsidR="007B4D5C" w:rsidRPr="000939E3">
              <w:rPr>
                <w:b/>
                <w:sz w:val="20"/>
              </w:rPr>
              <w:t>:</w:t>
            </w:r>
            <w:r w:rsidRPr="000939E3">
              <w:rPr>
                <w:rFonts w:eastAsia="Times New Roman" w:cs="Times New Roman"/>
                <w:b/>
                <w:bCs/>
                <w:sz w:val="20"/>
                <w:lang w:eastAsia="sk-SK"/>
              </w:rPr>
              <w:t xml:space="preserve"> Vybrané povolania, v ktorých verejný sektor platí viac ako súkromný (2017)</w:t>
            </w:r>
            <w:bookmarkEnd w:id="153"/>
          </w:p>
        </w:tc>
      </w:tr>
      <w:tr w:rsidR="0004409E" w:rsidRPr="000939E3" w14:paraId="11B03D51" w14:textId="77777777" w:rsidTr="00783F9C">
        <w:trPr>
          <w:trHeight w:val="20"/>
        </w:trPr>
        <w:tc>
          <w:tcPr>
            <w:tcW w:w="1748" w:type="pct"/>
            <w:vMerge w:val="restart"/>
            <w:tcBorders>
              <w:top w:val="single" w:sz="4" w:space="0" w:color="auto"/>
              <w:left w:val="nil"/>
              <w:right w:val="single" w:sz="4" w:space="0" w:color="auto"/>
            </w:tcBorders>
            <w:shd w:val="clear" w:color="auto" w:fill="auto"/>
            <w:noWrap/>
            <w:vAlign w:val="center"/>
            <w:hideMark/>
          </w:tcPr>
          <w:p w14:paraId="0264530F" w14:textId="4D066BE1" w:rsidR="0004409E" w:rsidRPr="000939E3" w:rsidRDefault="0004409E" w:rsidP="00783F9C">
            <w:pPr>
              <w:spacing w:after="0" w:line="240" w:lineRule="auto"/>
              <w:contextualSpacing/>
              <w:jc w:val="center"/>
              <w:rPr>
                <w:rFonts w:ascii="Times New Roman" w:eastAsia="Times New Roman" w:hAnsi="Times New Roman" w:cs="Times New Roman"/>
                <w:sz w:val="24"/>
                <w:szCs w:val="24"/>
                <w:lang w:eastAsia="sk-SK"/>
              </w:rPr>
            </w:pPr>
            <w:r w:rsidRPr="000939E3">
              <w:t>povolanie</w:t>
            </w:r>
          </w:p>
        </w:tc>
        <w:tc>
          <w:tcPr>
            <w:tcW w:w="902" w:type="pct"/>
            <w:vMerge w:val="restart"/>
            <w:tcBorders>
              <w:top w:val="single" w:sz="4" w:space="0" w:color="auto"/>
              <w:left w:val="single" w:sz="4" w:space="0" w:color="auto"/>
              <w:right w:val="single" w:sz="4" w:space="0" w:color="auto"/>
            </w:tcBorders>
            <w:shd w:val="clear" w:color="auto" w:fill="auto"/>
            <w:noWrap/>
            <w:vAlign w:val="center"/>
          </w:tcPr>
          <w:p w14:paraId="5DD3065E" w14:textId="77777777" w:rsidR="0004409E" w:rsidRPr="000939E3" w:rsidRDefault="0004409E" w:rsidP="00783F9C">
            <w:pPr>
              <w:spacing w:after="0" w:line="240" w:lineRule="auto"/>
              <w:contextualSpacing/>
              <w:jc w:val="center"/>
              <w:rPr>
                <w:rFonts w:eastAsia="Times New Roman" w:cs="Times New Roman"/>
                <w:szCs w:val="20"/>
                <w:lang w:eastAsia="sk-SK"/>
              </w:rPr>
            </w:pPr>
            <w:r w:rsidRPr="000939E3">
              <w:t>mzdový diferenciál</w:t>
            </w:r>
          </w:p>
          <w:p w14:paraId="03A82C88" w14:textId="77777777" w:rsidR="0004409E" w:rsidRPr="000939E3" w:rsidRDefault="0004409E" w:rsidP="00783F9C">
            <w:pPr>
              <w:spacing w:after="0" w:line="240" w:lineRule="auto"/>
              <w:contextualSpacing/>
              <w:jc w:val="center"/>
              <w:rPr>
                <w:rFonts w:eastAsia="Times New Roman" w:cs="Times New Roman"/>
                <w:szCs w:val="20"/>
                <w:lang w:eastAsia="sk-SK"/>
              </w:rPr>
            </w:pPr>
            <w:r w:rsidRPr="000939E3">
              <w:rPr>
                <w:rFonts w:eastAsia="Times New Roman" w:cs="Times New Roman"/>
                <w:szCs w:val="20"/>
                <w:lang w:eastAsia="sk-SK"/>
              </w:rPr>
              <w:t>(v %)</w:t>
            </w:r>
          </w:p>
        </w:tc>
        <w:tc>
          <w:tcPr>
            <w:tcW w:w="1190" w:type="pct"/>
            <w:gridSpan w:val="4"/>
            <w:tcBorders>
              <w:top w:val="single" w:sz="4" w:space="0" w:color="auto"/>
              <w:left w:val="single" w:sz="4" w:space="0" w:color="auto"/>
              <w:right w:val="single" w:sz="4" w:space="0" w:color="auto"/>
            </w:tcBorders>
            <w:shd w:val="clear" w:color="auto" w:fill="auto"/>
            <w:noWrap/>
            <w:vAlign w:val="center"/>
            <w:hideMark/>
          </w:tcPr>
          <w:p w14:paraId="65C1027E" w14:textId="77777777" w:rsidR="0004409E" w:rsidRPr="000939E3" w:rsidRDefault="0004409E" w:rsidP="00783F9C">
            <w:pPr>
              <w:spacing w:after="0" w:line="240" w:lineRule="auto"/>
              <w:contextualSpacing/>
              <w:jc w:val="center"/>
              <w:rPr>
                <w:rFonts w:eastAsia="Times New Roman" w:cs="Times New Roman"/>
                <w:color w:val="000000"/>
                <w:lang w:eastAsia="sk-SK"/>
              </w:rPr>
            </w:pPr>
            <w:r w:rsidRPr="000939E3">
              <w:t>počet zamestnancov</w:t>
            </w:r>
          </w:p>
        </w:tc>
        <w:tc>
          <w:tcPr>
            <w:tcW w:w="1159" w:type="pct"/>
            <w:gridSpan w:val="2"/>
            <w:tcBorders>
              <w:top w:val="single" w:sz="4" w:space="0" w:color="auto"/>
              <w:left w:val="single" w:sz="4" w:space="0" w:color="auto"/>
              <w:right w:val="nil"/>
            </w:tcBorders>
            <w:shd w:val="clear" w:color="auto" w:fill="auto"/>
            <w:noWrap/>
            <w:vAlign w:val="center"/>
            <w:hideMark/>
          </w:tcPr>
          <w:p w14:paraId="3889989B" w14:textId="77777777" w:rsidR="0004409E" w:rsidRPr="000939E3" w:rsidRDefault="0004409E" w:rsidP="00783F9C">
            <w:pPr>
              <w:spacing w:after="0" w:line="240" w:lineRule="auto"/>
              <w:contextualSpacing/>
              <w:jc w:val="center"/>
              <w:rPr>
                <w:rFonts w:eastAsia="Times New Roman" w:cs="Times New Roman"/>
                <w:color w:val="000000"/>
                <w:lang w:eastAsia="sk-SK"/>
              </w:rPr>
            </w:pPr>
            <w:r w:rsidRPr="000939E3">
              <w:rPr>
                <w:rFonts w:eastAsia="Times New Roman" w:cs="Times New Roman"/>
                <w:color w:val="000000"/>
                <w:lang w:eastAsia="sk-SK"/>
              </w:rPr>
              <w:t>hodinová mzda</w:t>
            </w:r>
          </w:p>
        </w:tc>
      </w:tr>
      <w:tr w:rsidR="0004409E" w:rsidRPr="000939E3" w14:paraId="4FC667BF" w14:textId="77777777" w:rsidTr="00783F9C">
        <w:trPr>
          <w:trHeight w:val="20"/>
        </w:trPr>
        <w:tc>
          <w:tcPr>
            <w:tcW w:w="1748" w:type="pct"/>
            <w:vMerge/>
            <w:tcBorders>
              <w:left w:val="nil"/>
              <w:bottom w:val="single" w:sz="4" w:space="0" w:color="auto"/>
              <w:right w:val="single" w:sz="4" w:space="0" w:color="auto"/>
            </w:tcBorders>
            <w:shd w:val="clear" w:color="auto" w:fill="auto"/>
            <w:noWrap/>
            <w:vAlign w:val="center"/>
            <w:hideMark/>
          </w:tcPr>
          <w:p w14:paraId="312CF916" w14:textId="77777777" w:rsidR="0004409E" w:rsidRPr="000939E3" w:rsidRDefault="0004409E" w:rsidP="00783F9C">
            <w:pPr>
              <w:spacing w:after="0" w:line="240" w:lineRule="auto"/>
              <w:contextualSpacing/>
              <w:jc w:val="center"/>
              <w:rPr>
                <w:rFonts w:eastAsia="Times New Roman" w:cs="Times New Roman"/>
                <w:b/>
                <w:bCs/>
                <w:lang w:eastAsia="sk-SK"/>
              </w:rPr>
            </w:pPr>
          </w:p>
        </w:tc>
        <w:tc>
          <w:tcPr>
            <w:tcW w:w="902" w:type="pct"/>
            <w:vMerge/>
            <w:tcBorders>
              <w:left w:val="single" w:sz="4" w:space="0" w:color="auto"/>
              <w:bottom w:val="single" w:sz="4" w:space="0" w:color="auto"/>
              <w:right w:val="single" w:sz="4" w:space="0" w:color="auto"/>
            </w:tcBorders>
            <w:shd w:val="clear" w:color="auto" w:fill="auto"/>
            <w:noWrap/>
            <w:vAlign w:val="center"/>
          </w:tcPr>
          <w:p w14:paraId="255C7E5C" w14:textId="77777777" w:rsidR="0004409E" w:rsidRPr="000939E3" w:rsidRDefault="0004409E" w:rsidP="00783F9C">
            <w:pPr>
              <w:spacing w:after="0" w:line="240" w:lineRule="auto"/>
              <w:contextualSpacing/>
              <w:jc w:val="center"/>
              <w:rPr>
                <w:rFonts w:eastAsia="Times New Roman" w:cs="Times New Roman"/>
                <w:szCs w:val="20"/>
                <w:lang w:eastAsia="sk-SK"/>
              </w:rPr>
            </w:pPr>
          </w:p>
        </w:tc>
        <w:tc>
          <w:tcPr>
            <w:tcW w:w="594" w:type="pct"/>
            <w:gridSpan w:val="2"/>
            <w:tcBorders>
              <w:top w:val="nil"/>
              <w:left w:val="single" w:sz="4" w:space="0" w:color="auto"/>
              <w:bottom w:val="single" w:sz="4" w:space="0" w:color="auto"/>
              <w:right w:val="nil"/>
            </w:tcBorders>
            <w:shd w:val="clear" w:color="auto" w:fill="auto"/>
            <w:noWrap/>
            <w:vAlign w:val="center"/>
          </w:tcPr>
          <w:p w14:paraId="68686031" w14:textId="77777777" w:rsidR="0004409E" w:rsidRPr="000939E3" w:rsidRDefault="0004409E" w:rsidP="00783F9C">
            <w:pPr>
              <w:spacing w:after="0" w:line="240" w:lineRule="auto"/>
              <w:contextualSpacing/>
              <w:jc w:val="center"/>
              <w:rPr>
                <w:rFonts w:eastAsia="Times New Roman" w:cs="Times New Roman"/>
                <w:bCs/>
                <w:lang w:eastAsia="sk-SK"/>
              </w:rPr>
            </w:pPr>
            <w:r w:rsidRPr="000939E3">
              <w:t>verejný</w:t>
            </w:r>
          </w:p>
        </w:tc>
        <w:tc>
          <w:tcPr>
            <w:tcW w:w="596" w:type="pct"/>
            <w:gridSpan w:val="2"/>
            <w:tcBorders>
              <w:top w:val="nil"/>
              <w:left w:val="nil"/>
              <w:bottom w:val="single" w:sz="4" w:space="0" w:color="auto"/>
              <w:right w:val="single" w:sz="4" w:space="0" w:color="auto"/>
            </w:tcBorders>
            <w:shd w:val="clear" w:color="auto" w:fill="auto"/>
            <w:noWrap/>
            <w:vAlign w:val="center"/>
          </w:tcPr>
          <w:p w14:paraId="073F30AA" w14:textId="77777777" w:rsidR="0004409E" w:rsidRPr="000939E3" w:rsidRDefault="0004409E" w:rsidP="00783F9C">
            <w:pPr>
              <w:spacing w:after="0" w:line="240" w:lineRule="auto"/>
              <w:contextualSpacing/>
              <w:jc w:val="center"/>
              <w:rPr>
                <w:rFonts w:eastAsia="Times New Roman" w:cs="Times New Roman"/>
                <w:bCs/>
                <w:lang w:eastAsia="sk-SK"/>
              </w:rPr>
            </w:pPr>
            <w:r w:rsidRPr="000939E3">
              <w:t>súkromný</w:t>
            </w:r>
          </w:p>
        </w:tc>
        <w:tc>
          <w:tcPr>
            <w:tcW w:w="539" w:type="pct"/>
            <w:tcBorders>
              <w:top w:val="nil"/>
              <w:left w:val="single" w:sz="4" w:space="0" w:color="auto"/>
              <w:bottom w:val="single" w:sz="4" w:space="0" w:color="auto"/>
              <w:right w:val="nil"/>
            </w:tcBorders>
            <w:shd w:val="clear" w:color="auto" w:fill="auto"/>
            <w:noWrap/>
            <w:vAlign w:val="center"/>
          </w:tcPr>
          <w:p w14:paraId="1E3A9CB6" w14:textId="77777777" w:rsidR="0004409E" w:rsidRPr="000939E3" w:rsidRDefault="0004409E" w:rsidP="00783F9C">
            <w:pPr>
              <w:spacing w:after="0" w:line="240" w:lineRule="auto"/>
              <w:contextualSpacing/>
              <w:jc w:val="center"/>
              <w:rPr>
                <w:rFonts w:eastAsia="Times New Roman" w:cs="Times New Roman"/>
                <w:bCs/>
                <w:lang w:eastAsia="sk-SK"/>
              </w:rPr>
            </w:pPr>
            <w:r w:rsidRPr="000939E3">
              <w:t>verejný</w:t>
            </w:r>
          </w:p>
        </w:tc>
        <w:tc>
          <w:tcPr>
            <w:tcW w:w="620" w:type="pct"/>
            <w:tcBorders>
              <w:top w:val="nil"/>
              <w:left w:val="nil"/>
              <w:bottom w:val="single" w:sz="4" w:space="0" w:color="auto"/>
              <w:right w:val="nil"/>
            </w:tcBorders>
            <w:shd w:val="clear" w:color="auto" w:fill="auto"/>
            <w:noWrap/>
            <w:vAlign w:val="center"/>
          </w:tcPr>
          <w:p w14:paraId="499AB960" w14:textId="77777777" w:rsidR="0004409E" w:rsidRPr="000939E3" w:rsidRDefault="0004409E" w:rsidP="00783F9C">
            <w:pPr>
              <w:spacing w:after="0" w:line="240" w:lineRule="auto"/>
              <w:contextualSpacing/>
              <w:jc w:val="center"/>
              <w:rPr>
                <w:rFonts w:eastAsia="Times New Roman" w:cs="Times New Roman"/>
                <w:bCs/>
                <w:lang w:eastAsia="sk-SK"/>
              </w:rPr>
            </w:pPr>
            <w:r w:rsidRPr="000939E3">
              <w:t>súkromný</w:t>
            </w:r>
          </w:p>
        </w:tc>
      </w:tr>
      <w:tr w:rsidR="00786BEE" w:rsidRPr="000939E3" w14:paraId="4DAA23A5" w14:textId="77777777" w:rsidTr="00783F9C">
        <w:trPr>
          <w:trHeight w:val="20"/>
        </w:trPr>
        <w:tc>
          <w:tcPr>
            <w:tcW w:w="1748" w:type="pct"/>
            <w:tcBorders>
              <w:top w:val="single" w:sz="4" w:space="0" w:color="auto"/>
              <w:left w:val="nil"/>
              <w:bottom w:val="nil"/>
              <w:right w:val="single" w:sz="4" w:space="0" w:color="auto"/>
            </w:tcBorders>
            <w:shd w:val="clear" w:color="auto" w:fill="auto"/>
            <w:noWrap/>
          </w:tcPr>
          <w:p w14:paraId="0986FC5B" w14:textId="77777777" w:rsidR="00786BEE" w:rsidRPr="000939E3" w:rsidRDefault="00786BEE" w:rsidP="00783F9C">
            <w:pPr>
              <w:spacing w:after="0" w:line="240" w:lineRule="auto"/>
              <w:contextualSpacing/>
              <w:rPr>
                <w:rFonts w:eastAsia="Times New Roman" w:cs="Times New Roman"/>
                <w:color w:val="000000"/>
                <w:lang w:eastAsia="sk-SK"/>
              </w:rPr>
            </w:pPr>
            <w:r w:rsidRPr="000939E3">
              <w:t>Učitelia v základných školách</w:t>
            </w:r>
          </w:p>
        </w:tc>
        <w:tc>
          <w:tcPr>
            <w:tcW w:w="902" w:type="pct"/>
            <w:tcBorders>
              <w:top w:val="single" w:sz="4" w:space="0" w:color="auto"/>
              <w:left w:val="single" w:sz="4" w:space="0" w:color="auto"/>
              <w:bottom w:val="nil"/>
              <w:right w:val="single" w:sz="4" w:space="0" w:color="auto"/>
            </w:tcBorders>
            <w:shd w:val="clear" w:color="auto" w:fill="auto"/>
            <w:noWrap/>
            <w:vAlign w:val="bottom"/>
          </w:tcPr>
          <w:p w14:paraId="1A8BED1A" w14:textId="77777777" w:rsidR="00786BEE" w:rsidRPr="000939E3" w:rsidRDefault="00786BEE" w:rsidP="00783F9C">
            <w:pPr>
              <w:tabs>
                <w:tab w:val="left" w:pos="345"/>
                <w:tab w:val="center" w:pos="748"/>
              </w:tabs>
              <w:spacing w:after="0" w:line="240" w:lineRule="auto"/>
              <w:contextualSpacing/>
              <w:jc w:val="center"/>
              <w:rPr>
                <w:rFonts w:eastAsia="Times New Roman" w:cs="Times New Roman"/>
                <w:color w:val="000000"/>
                <w:lang w:eastAsia="sk-SK"/>
              </w:rPr>
            </w:pPr>
            <w:r w:rsidRPr="000939E3">
              <w:rPr>
                <w:color w:val="000000"/>
              </w:rPr>
              <w:t>15,8%</w:t>
            </w:r>
          </w:p>
        </w:tc>
        <w:tc>
          <w:tcPr>
            <w:tcW w:w="594" w:type="pct"/>
            <w:gridSpan w:val="2"/>
            <w:tcBorders>
              <w:top w:val="single" w:sz="4" w:space="0" w:color="auto"/>
              <w:left w:val="single" w:sz="4" w:space="0" w:color="auto"/>
              <w:bottom w:val="nil"/>
              <w:right w:val="nil"/>
            </w:tcBorders>
            <w:shd w:val="clear" w:color="auto" w:fill="auto"/>
            <w:noWrap/>
            <w:vAlign w:val="bottom"/>
          </w:tcPr>
          <w:p w14:paraId="0513C136"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31 573</w:t>
            </w:r>
          </w:p>
        </w:tc>
        <w:tc>
          <w:tcPr>
            <w:tcW w:w="596" w:type="pct"/>
            <w:gridSpan w:val="2"/>
            <w:tcBorders>
              <w:top w:val="single" w:sz="4" w:space="0" w:color="auto"/>
              <w:left w:val="nil"/>
              <w:bottom w:val="nil"/>
              <w:right w:val="single" w:sz="4" w:space="0" w:color="auto"/>
            </w:tcBorders>
            <w:shd w:val="clear" w:color="auto" w:fill="auto"/>
            <w:noWrap/>
            <w:vAlign w:val="bottom"/>
          </w:tcPr>
          <w:p w14:paraId="61E7E206"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2 713</w:t>
            </w:r>
          </w:p>
        </w:tc>
        <w:tc>
          <w:tcPr>
            <w:tcW w:w="539" w:type="pct"/>
            <w:tcBorders>
              <w:top w:val="single" w:sz="4" w:space="0" w:color="auto"/>
              <w:left w:val="single" w:sz="4" w:space="0" w:color="auto"/>
              <w:bottom w:val="nil"/>
              <w:right w:val="nil"/>
            </w:tcBorders>
            <w:shd w:val="clear" w:color="auto" w:fill="auto"/>
            <w:noWrap/>
            <w:vAlign w:val="bottom"/>
          </w:tcPr>
          <w:p w14:paraId="17D6DCDE"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8,7</w:t>
            </w:r>
          </w:p>
        </w:tc>
        <w:tc>
          <w:tcPr>
            <w:tcW w:w="620" w:type="pct"/>
            <w:tcBorders>
              <w:top w:val="single" w:sz="4" w:space="0" w:color="auto"/>
              <w:left w:val="nil"/>
              <w:bottom w:val="nil"/>
              <w:right w:val="nil"/>
            </w:tcBorders>
            <w:shd w:val="clear" w:color="auto" w:fill="auto"/>
            <w:noWrap/>
            <w:vAlign w:val="bottom"/>
          </w:tcPr>
          <w:p w14:paraId="28E3FE93"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7,5</w:t>
            </w:r>
          </w:p>
        </w:tc>
      </w:tr>
      <w:tr w:rsidR="00786BEE" w:rsidRPr="000939E3" w14:paraId="23578513" w14:textId="77777777" w:rsidTr="00783F9C">
        <w:trPr>
          <w:trHeight w:val="20"/>
        </w:trPr>
        <w:tc>
          <w:tcPr>
            <w:tcW w:w="1748" w:type="pct"/>
            <w:tcBorders>
              <w:left w:val="nil"/>
              <w:bottom w:val="nil"/>
              <w:right w:val="single" w:sz="4" w:space="0" w:color="auto"/>
            </w:tcBorders>
            <w:shd w:val="clear" w:color="auto" w:fill="auto"/>
            <w:noWrap/>
          </w:tcPr>
          <w:p w14:paraId="13264D68" w14:textId="77777777" w:rsidR="00786BEE" w:rsidRPr="000939E3" w:rsidRDefault="00786BEE" w:rsidP="00783F9C">
            <w:pPr>
              <w:spacing w:after="0" w:line="240" w:lineRule="auto"/>
              <w:contextualSpacing/>
              <w:rPr>
                <w:rFonts w:eastAsia="Times New Roman" w:cs="Times New Roman"/>
                <w:color w:val="000000"/>
                <w:lang w:eastAsia="sk-SK"/>
              </w:rPr>
            </w:pPr>
            <w:r w:rsidRPr="000939E3">
              <w:t>Špecialisti v ošetrovateľstve</w:t>
            </w:r>
          </w:p>
        </w:tc>
        <w:tc>
          <w:tcPr>
            <w:tcW w:w="902" w:type="pct"/>
            <w:tcBorders>
              <w:left w:val="single" w:sz="4" w:space="0" w:color="auto"/>
              <w:bottom w:val="nil"/>
              <w:right w:val="single" w:sz="4" w:space="0" w:color="auto"/>
            </w:tcBorders>
            <w:shd w:val="clear" w:color="auto" w:fill="auto"/>
            <w:noWrap/>
            <w:vAlign w:val="bottom"/>
          </w:tcPr>
          <w:p w14:paraId="3F7447CD" w14:textId="77777777" w:rsidR="00786BEE" w:rsidRPr="000939E3" w:rsidRDefault="00786BEE" w:rsidP="00783F9C">
            <w:pPr>
              <w:spacing w:after="0" w:line="240" w:lineRule="auto"/>
              <w:contextualSpacing/>
              <w:jc w:val="center"/>
              <w:rPr>
                <w:rFonts w:eastAsia="Times New Roman" w:cs="Times New Roman"/>
                <w:color w:val="000000"/>
                <w:lang w:eastAsia="sk-SK"/>
              </w:rPr>
            </w:pPr>
            <w:r w:rsidRPr="000939E3">
              <w:rPr>
                <w:color w:val="000000"/>
              </w:rPr>
              <w:t>26,1%</w:t>
            </w:r>
          </w:p>
        </w:tc>
        <w:tc>
          <w:tcPr>
            <w:tcW w:w="594" w:type="pct"/>
            <w:gridSpan w:val="2"/>
            <w:tcBorders>
              <w:left w:val="single" w:sz="4" w:space="0" w:color="auto"/>
              <w:bottom w:val="nil"/>
              <w:right w:val="nil"/>
            </w:tcBorders>
            <w:shd w:val="clear" w:color="auto" w:fill="auto"/>
            <w:noWrap/>
            <w:vAlign w:val="bottom"/>
          </w:tcPr>
          <w:p w14:paraId="6AF36613"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13 502</w:t>
            </w:r>
          </w:p>
        </w:tc>
        <w:tc>
          <w:tcPr>
            <w:tcW w:w="596" w:type="pct"/>
            <w:gridSpan w:val="2"/>
            <w:tcBorders>
              <w:left w:val="nil"/>
              <w:bottom w:val="nil"/>
              <w:right w:val="single" w:sz="4" w:space="0" w:color="auto"/>
            </w:tcBorders>
            <w:shd w:val="clear" w:color="auto" w:fill="auto"/>
            <w:noWrap/>
            <w:vAlign w:val="bottom"/>
          </w:tcPr>
          <w:p w14:paraId="169FE89B"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5 939</w:t>
            </w:r>
          </w:p>
        </w:tc>
        <w:tc>
          <w:tcPr>
            <w:tcW w:w="539" w:type="pct"/>
            <w:tcBorders>
              <w:left w:val="single" w:sz="4" w:space="0" w:color="auto"/>
              <w:bottom w:val="nil"/>
              <w:right w:val="nil"/>
            </w:tcBorders>
            <w:shd w:val="clear" w:color="auto" w:fill="auto"/>
            <w:noWrap/>
            <w:vAlign w:val="bottom"/>
          </w:tcPr>
          <w:p w14:paraId="0FAB45F9"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8,1</w:t>
            </w:r>
          </w:p>
        </w:tc>
        <w:tc>
          <w:tcPr>
            <w:tcW w:w="620" w:type="pct"/>
            <w:tcBorders>
              <w:left w:val="nil"/>
              <w:bottom w:val="nil"/>
              <w:right w:val="nil"/>
            </w:tcBorders>
            <w:shd w:val="clear" w:color="auto" w:fill="auto"/>
            <w:noWrap/>
            <w:vAlign w:val="bottom"/>
          </w:tcPr>
          <w:p w14:paraId="38A815C2"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6,4</w:t>
            </w:r>
          </w:p>
        </w:tc>
      </w:tr>
      <w:tr w:rsidR="00786BEE" w:rsidRPr="000939E3" w14:paraId="2C1F4DE1" w14:textId="77777777" w:rsidTr="00783F9C">
        <w:trPr>
          <w:trHeight w:val="20"/>
        </w:trPr>
        <w:tc>
          <w:tcPr>
            <w:tcW w:w="1748" w:type="pct"/>
            <w:tcBorders>
              <w:left w:val="nil"/>
              <w:bottom w:val="nil"/>
              <w:right w:val="single" w:sz="4" w:space="0" w:color="auto"/>
            </w:tcBorders>
            <w:shd w:val="clear" w:color="auto" w:fill="auto"/>
            <w:noWrap/>
          </w:tcPr>
          <w:p w14:paraId="6F98FC52" w14:textId="77777777" w:rsidR="00786BEE" w:rsidRPr="000939E3" w:rsidRDefault="00786BEE" w:rsidP="00783F9C">
            <w:pPr>
              <w:spacing w:after="0" w:line="240" w:lineRule="auto"/>
              <w:contextualSpacing/>
              <w:rPr>
                <w:rFonts w:eastAsia="Times New Roman" w:cs="Times New Roman"/>
                <w:color w:val="000000"/>
                <w:lang w:eastAsia="sk-SK"/>
              </w:rPr>
            </w:pPr>
            <w:r w:rsidRPr="000939E3">
              <w:t>Vysokoškolskí učitelia</w:t>
            </w:r>
          </w:p>
        </w:tc>
        <w:tc>
          <w:tcPr>
            <w:tcW w:w="902" w:type="pct"/>
            <w:tcBorders>
              <w:left w:val="single" w:sz="4" w:space="0" w:color="auto"/>
              <w:bottom w:val="nil"/>
              <w:right w:val="single" w:sz="4" w:space="0" w:color="auto"/>
            </w:tcBorders>
            <w:shd w:val="clear" w:color="auto" w:fill="auto"/>
            <w:noWrap/>
            <w:vAlign w:val="bottom"/>
          </w:tcPr>
          <w:p w14:paraId="5B14CE7F" w14:textId="77777777" w:rsidR="00786BEE" w:rsidRPr="000939E3" w:rsidRDefault="00786BEE" w:rsidP="00783F9C">
            <w:pPr>
              <w:spacing w:after="0" w:line="240" w:lineRule="auto"/>
              <w:contextualSpacing/>
              <w:jc w:val="center"/>
              <w:rPr>
                <w:rFonts w:eastAsia="Times New Roman" w:cs="Times New Roman"/>
                <w:color w:val="000000"/>
                <w:lang w:eastAsia="sk-SK"/>
              </w:rPr>
            </w:pPr>
            <w:r w:rsidRPr="000939E3">
              <w:rPr>
                <w:color w:val="000000"/>
              </w:rPr>
              <w:t>31,0%</w:t>
            </w:r>
          </w:p>
        </w:tc>
        <w:tc>
          <w:tcPr>
            <w:tcW w:w="594" w:type="pct"/>
            <w:gridSpan w:val="2"/>
            <w:tcBorders>
              <w:left w:val="single" w:sz="4" w:space="0" w:color="auto"/>
              <w:bottom w:val="nil"/>
              <w:right w:val="nil"/>
            </w:tcBorders>
            <w:shd w:val="clear" w:color="auto" w:fill="auto"/>
            <w:noWrap/>
            <w:vAlign w:val="bottom"/>
          </w:tcPr>
          <w:p w14:paraId="4842CFF4"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9 974</w:t>
            </w:r>
          </w:p>
        </w:tc>
        <w:tc>
          <w:tcPr>
            <w:tcW w:w="596" w:type="pct"/>
            <w:gridSpan w:val="2"/>
            <w:tcBorders>
              <w:left w:val="nil"/>
              <w:bottom w:val="nil"/>
              <w:right w:val="single" w:sz="4" w:space="0" w:color="auto"/>
            </w:tcBorders>
            <w:shd w:val="clear" w:color="auto" w:fill="auto"/>
            <w:noWrap/>
            <w:vAlign w:val="bottom"/>
          </w:tcPr>
          <w:p w14:paraId="46309A1C"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485</w:t>
            </w:r>
          </w:p>
        </w:tc>
        <w:tc>
          <w:tcPr>
            <w:tcW w:w="539" w:type="pct"/>
            <w:tcBorders>
              <w:left w:val="single" w:sz="4" w:space="0" w:color="auto"/>
              <w:bottom w:val="nil"/>
              <w:right w:val="nil"/>
            </w:tcBorders>
            <w:shd w:val="clear" w:color="auto" w:fill="auto"/>
            <w:noWrap/>
            <w:vAlign w:val="bottom"/>
          </w:tcPr>
          <w:p w14:paraId="5194EF2D"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10,9</w:t>
            </w:r>
          </w:p>
        </w:tc>
        <w:tc>
          <w:tcPr>
            <w:tcW w:w="620" w:type="pct"/>
            <w:tcBorders>
              <w:left w:val="nil"/>
              <w:bottom w:val="nil"/>
              <w:right w:val="nil"/>
            </w:tcBorders>
            <w:shd w:val="clear" w:color="auto" w:fill="auto"/>
            <w:noWrap/>
            <w:vAlign w:val="bottom"/>
          </w:tcPr>
          <w:p w14:paraId="59A8645E"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8,3</w:t>
            </w:r>
          </w:p>
        </w:tc>
      </w:tr>
      <w:tr w:rsidR="00786BEE" w:rsidRPr="000939E3" w14:paraId="5610FE15" w14:textId="77777777" w:rsidTr="00783F9C">
        <w:trPr>
          <w:trHeight w:val="20"/>
        </w:trPr>
        <w:tc>
          <w:tcPr>
            <w:tcW w:w="1748" w:type="pct"/>
            <w:tcBorders>
              <w:left w:val="nil"/>
              <w:bottom w:val="nil"/>
              <w:right w:val="single" w:sz="4" w:space="0" w:color="auto"/>
            </w:tcBorders>
            <w:shd w:val="clear" w:color="auto" w:fill="auto"/>
            <w:noWrap/>
          </w:tcPr>
          <w:p w14:paraId="47FB8183" w14:textId="77777777" w:rsidR="00786BEE" w:rsidRPr="000939E3" w:rsidRDefault="00786BEE" w:rsidP="00783F9C">
            <w:pPr>
              <w:spacing w:after="0" w:line="240" w:lineRule="auto"/>
              <w:contextualSpacing/>
              <w:rPr>
                <w:rFonts w:eastAsia="Times New Roman" w:cs="Times New Roman"/>
                <w:color w:val="000000"/>
                <w:lang w:eastAsia="sk-SK"/>
              </w:rPr>
            </w:pPr>
            <w:r w:rsidRPr="000939E3">
              <w:t>Vodiči nákl. aut. a kamiónov</w:t>
            </w:r>
          </w:p>
        </w:tc>
        <w:tc>
          <w:tcPr>
            <w:tcW w:w="902" w:type="pct"/>
            <w:tcBorders>
              <w:left w:val="single" w:sz="4" w:space="0" w:color="auto"/>
              <w:bottom w:val="nil"/>
              <w:right w:val="single" w:sz="4" w:space="0" w:color="auto"/>
            </w:tcBorders>
            <w:shd w:val="clear" w:color="auto" w:fill="auto"/>
            <w:noWrap/>
            <w:vAlign w:val="bottom"/>
          </w:tcPr>
          <w:p w14:paraId="16A45117" w14:textId="77777777" w:rsidR="00786BEE" w:rsidRPr="000939E3" w:rsidRDefault="00786BEE" w:rsidP="00783F9C">
            <w:pPr>
              <w:spacing w:after="0" w:line="240" w:lineRule="auto"/>
              <w:contextualSpacing/>
              <w:jc w:val="center"/>
              <w:rPr>
                <w:rFonts w:eastAsia="Times New Roman" w:cs="Times New Roman"/>
                <w:color w:val="000000"/>
                <w:lang w:eastAsia="sk-SK"/>
              </w:rPr>
            </w:pPr>
            <w:r w:rsidRPr="000939E3">
              <w:rPr>
                <w:color w:val="000000"/>
              </w:rPr>
              <w:t>20,6%</w:t>
            </w:r>
          </w:p>
        </w:tc>
        <w:tc>
          <w:tcPr>
            <w:tcW w:w="594" w:type="pct"/>
            <w:gridSpan w:val="2"/>
            <w:tcBorders>
              <w:left w:val="single" w:sz="4" w:space="0" w:color="auto"/>
              <w:bottom w:val="nil"/>
              <w:right w:val="nil"/>
            </w:tcBorders>
            <w:shd w:val="clear" w:color="auto" w:fill="auto"/>
            <w:noWrap/>
            <w:vAlign w:val="bottom"/>
          </w:tcPr>
          <w:p w14:paraId="38C7924F"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4 988</w:t>
            </w:r>
          </w:p>
        </w:tc>
        <w:tc>
          <w:tcPr>
            <w:tcW w:w="596" w:type="pct"/>
            <w:gridSpan w:val="2"/>
            <w:tcBorders>
              <w:left w:val="nil"/>
              <w:bottom w:val="nil"/>
              <w:right w:val="single" w:sz="4" w:space="0" w:color="auto"/>
            </w:tcBorders>
            <w:shd w:val="clear" w:color="auto" w:fill="auto"/>
            <w:noWrap/>
            <w:vAlign w:val="bottom"/>
          </w:tcPr>
          <w:p w14:paraId="5B44A7F4"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40 377</w:t>
            </w:r>
          </w:p>
        </w:tc>
        <w:tc>
          <w:tcPr>
            <w:tcW w:w="539" w:type="pct"/>
            <w:tcBorders>
              <w:left w:val="single" w:sz="4" w:space="0" w:color="auto"/>
              <w:bottom w:val="nil"/>
              <w:right w:val="nil"/>
            </w:tcBorders>
            <w:shd w:val="clear" w:color="auto" w:fill="auto"/>
            <w:noWrap/>
            <w:vAlign w:val="bottom"/>
          </w:tcPr>
          <w:p w14:paraId="73EC31E0"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6,3</w:t>
            </w:r>
          </w:p>
        </w:tc>
        <w:tc>
          <w:tcPr>
            <w:tcW w:w="620" w:type="pct"/>
            <w:tcBorders>
              <w:left w:val="nil"/>
              <w:bottom w:val="nil"/>
              <w:right w:val="nil"/>
            </w:tcBorders>
            <w:shd w:val="clear" w:color="auto" w:fill="auto"/>
            <w:noWrap/>
            <w:vAlign w:val="bottom"/>
          </w:tcPr>
          <w:p w14:paraId="47425057"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5,2</w:t>
            </w:r>
          </w:p>
        </w:tc>
      </w:tr>
      <w:tr w:rsidR="00786BEE" w:rsidRPr="000939E3" w14:paraId="48BEDF3E" w14:textId="77777777" w:rsidTr="00783F9C">
        <w:trPr>
          <w:trHeight w:val="20"/>
        </w:trPr>
        <w:tc>
          <w:tcPr>
            <w:tcW w:w="1748" w:type="pct"/>
            <w:tcBorders>
              <w:left w:val="nil"/>
              <w:bottom w:val="nil"/>
              <w:right w:val="single" w:sz="4" w:space="0" w:color="auto"/>
            </w:tcBorders>
            <w:shd w:val="clear" w:color="auto" w:fill="auto"/>
            <w:noWrap/>
          </w:tcPr>
          <w:p w14:paraId="64F05BB8" w14:textId="77777777" w:rsidR="00786BEE" w:rsidRPr="000939E3" w:rsidRDefault="00786BEE" w:rsidP="00783F9C">
            <w:pPr>
              <w:spacing w:after="0" w:line="240" w:lineRule="auto"/>
              <w:contextualSpacing/>
              <w:rPr>
                <w:rFonts w:eastAsia="Times New Roman" w:cs="Times New Roman"/>
                <w:color w:val="000000"/>
                <w:lang w:eastAsia="sk-SK"/>
              </w:rPr>
            </w:pPr>
            <w:r w:rsidRPr="000939E3">
              <w:t>Lekári špecialisti</w:t>
            </w:r>
          </w:p>
        </w:tc>
        <w:tc>
          <w:tcPr>
            <w:tcW w:w="902" w:type="pct"/>
            <w:tcBorders>
              <w:left w:val="single" w:sz="4" w:space="0" w:color="auto"/>
              <w:bottom w:val="nil"/>
              <w:right w:val="single" w:sz="4" w:space="0" w:color="auto"/>
            </w:tcBorders>
            <w:shd w:val="clear" w:color="auto" w:fill="auto"/>
            <w:noWrap/>
            <w:vAlign w:val="bottom"/>
          </w:tcPr>
          <w:p w14:paraId="73FB97DA" w14:textId="77777777" w:rsidR="00786BEE" w:rsidRPr="000939E3" w:rsidRDefault="00786BEE" w:rsidP="00783F9C">
            <w:pPr>
              <w:spacing w:after="0" w:line="240" w:lineRule="auto"/>
              <w:contextualSpacing/>
              <w:jc w:val="center"/>
              <w:rPr>
                <w:rFonts w:eastAsia="Times New Roman" w:cs="Times New Roman"/>
                <w:color w:val="000000"/>
                <w:lang w:eastAsia="sk-SK"/>
              </w:rPr>
            </w:pPr>
            <w:r w:rsidRPr="000939E3">
              <w:rPr>
                <w:color w:val="000000"/>
              </w:rPr>
              <w:t>31,8%</w:t>
            </w:r>
          </w:p>
        </w:tc>
        <w:tc>
          <w:tcPr>
            <w:tcW w:w="594" w:type="pct"/>
            <w:gridSpan w:val="2"/>
            <w:tcBorders>
              <w:left w:val="single" w:sz="4" w:space="0" w:color="auto"/>
              <w:bottom w:val="nil"/>
              <w:right w:val="nil"/>
            </w:tcBorders>
            <w:shd w:val="clear" w:color="auto" w:fill="auto"/>
            <w:noWrap/>
            <w:vAlign w:val="bottom"/>
          </w:tcPr>
          <w:p w14:paraId="15FD899F"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4 803</w:t>
            </w:r>
          </w:p>
        </w:tc>
        <w:tc>
          <w:tcPr>
            <w:tcW w:w="596" w:type="pct"/>
            <w:gridSpan w:val="2"/>
            <w:tcBorders>
              <w:left w:val="nil"/>
              <w:bottom w:val="nil"/>
              <w:right w:val="single" w:sz="4" w:space="0" w:color="auto"/>
            </w:tcBorders>
            <w:shd w:val="clear" w:color="auto" w:fill="auto"/>
            <w:noWrap/>
            <w:vAlign w:val="bottom"/>
          </w:tcPr>
          <w:p w14:paraId="3A956351"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4 271</w:t>
            </w:r>
          </w:p>
        </w:tc>
        <w:tc>
          <w:tcPr>
            <w:tcW w:w="539" w:type="pct"/>
            <w:tcBorders>
              <w:left w:val="single" w:sz="4" w:space="0" w:color="auto"/>
              <w:bottom w:val="nil"/>
              <w:right w:val="nil"/>
            </w:tcBorders>
            <w:shd w:val="clear" w:color="auto" w:fill="auto"/>
            <w:noWrap/>
            <w:vAlign w:val="bottom"/>
          </w:tcPr>
          <w:p w14:paraId="100FEA01"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18,0</w:t>
            </w:r>
          </w:p>
        </w:tc>
        <w:tc>
          <w:tcPr>
            <w:tcW w:w="620" w:type="pct"/>
            <w:tcBorders>
              <w:left w:val="nil"/>
              <w:bottom w:val="nil"/>
              <w:right w:val="nil"/>
            </w:tcBorders>
            <w:shd w:val="clear" w:color="auto" w:fill="auto"/>
            <w:noWrap/>
            <w:vAlign w:val="bottom"/>
          </w:tcPr>
          <w:p w14:paraId="4D90D818"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13,7</w:t>
            </w:r>
          </w:p>
        </w:tc>
      </w:tr>
      <w:tr w:rsidR="00786BEE" w:rsidRPr="000939E3" w14:paraId="243F6CB2" w14:textId="77777777" w:rsidTr="00783F9C">
        <w:trPr>
          <w:trHeight w:val="20"/>
        </w:trPr>
        <w:tc>
          <w:tcPr>
            <w:tcW w:w="1748" w:type="pct"/>
            <w:tcBorders>
              <w:top w:val="nil"/>
              <w:left w:val="nil"/>
              <w:bottom w:val="nil"/>
              <w:right w:val="single" w:sz="4" w:space="0" w:color="auto"/>
            </w:tcBorders>
            <w:shd w:val="clear" w:color="auto" w:fill="auto"/>
            <w:noWrap/>
          </w:tcPr>
          <w:p w14:paraId="5D873526" w14:textId="77777777" w:rsidR="00786BEE" w:rsidRPr="000939E3" w:rsidRDefault="00786BEE" w:rsidP="00783F9C">
            <w:pPr>
              <w:spacing w:after="0" w:line="240" w:lineRule="auto"/>
              <w:contextualSpacing/>
              <w:rPr>
                <w:rFonts w:eastAsia="Times New Roman" w:cs="Times New Roman"/>
                <w:color w:val="000000"/>
                <w:lang w:eastAsia="sk-SK"/>
              </w:rPr>
            </w:pPr>
            <w:r w:rsidRPr="000939E3">
              <w:t>Všeobecní lekári</w:t>
            </w:r>
          </w:p>
        </w:tc>
        <w:tc>
          <w:tcPr>
            <w:tcW w:w="902" w:type="pct"/>
            <w:tcBorders>
              <w:top w:val="nil"/>
              <w:left w:val="single" w:sz="4" w:space="0" w:color="auto"/>
              <w:bottom w:val="nil"/>
              <w:right w:val="single" w:sz="4" w:space="0" w:color="auto"/>
            </w:tcBorders>
            <w:shd w:val="clear" w:color="auto" w:fill="auto"/>
            <w:noWrap/>
            <w:vAlign w:val="bottom"/>
          </w:tcPr>
          <w:p w14:paraId="270ED4AA" w14:textId="77777777" w:rsidR="00786BEE" w:rsidRPr="000939E3" w:rsidRDefault="00786BEE" w:rsidP="00783F9C">
            <w:pPr>
              <w:spacing w:after="0" w:line="240" w:lineRule="auto"/>
              <w:contextualSpacing/>
              <w:jc w:val="center"/>
              <w:rPr>
                <w:rFonts w:eastAsia="Times New Roman" w:cs="Times New Roman"/>
                <w:color w:val="000000"/>
                <w:lang w:eastAsia="sk-SK"/>
              </w:rPr>
            </w:pPr>
            <w:r w:rsidRPr="000939E3">
              <w:rPr>
                <w:color w:val="000000"/>
              </w:rPr>
              <w:t>17,7%</w:t>
            </w:r>
          </w:p>
        </w:tc>
        <w:tc>
          <w:tcPr>
            <w:tcW w:w="594" w:type="pct"/>
            <w:gridSpan w:val="2"/>
            <w:tcBorders>
              <w:top w:val="nil"/>
              <w:left w:val="single" w:sz="4" w:space="0" w:color="auto"/>
              <w:bottom w:val="nil"/>
              <w:right w:val="nil"/>
            </w:tcBorders>
            <w:shd w:val="clear" w:color="auto" w:fill="auto"/>
            <w:noWrap/>
            <w:vAlign w:val="bottom"/>
          </w:tcPr>
          <w:p w14:paraId="7F0139C6"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3 770</w:t>
            </w:r>
          </w:p>
        </w:tc>
        <w:tc>
          <w:tcPr>
            <w:tcW w:w="596" w:type="pct"/>
            <w:gridSpan w:val="2"/>
            <w:tcBorders>
              <w:top w:val="nil"/>
              <w:left w:val="nil"/>
              <w:bottom w:val="nil"/>
              <w:right w:val="single" w:sz="4" w:space="0" w:color="auto"/>
            </w:tcBorders>
            <w:shd w:val="clear" w:color="auto" w:fill="auto"/>
            <w:noWrap/>
            <w:vAlign w:val="bottom"/>
          </w:tcPr>
          <w:p w14:paraId="6D124DB9"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2 023</w:t>
            </w:r>
          </w:p>
        </w:tc>
        <w:tc>
          <w:tcPr>
            <w:tcW w:w="539" w:type="pct"/>
            <w:tcBorders>
              <w:top w:val="nil"/>
              <w:left w:val="single" w:sz="4" w:space="0" w:color="auto"/>
              <w:bottom w:val="nil"/>
              <w:right w:val="nil"/>
            </w:tcBorders>
            <w:shd w:val="clear" w:color="auto" w:fill="auto"/>
            <w:noWrap/>
            <w:vAlign w:val="bottom"/>
          </w:tcPr>
          <w:p w14:paraId="723CA884"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11,4</w:t>
            </w:r>
          </w:p>
        </w:tc>
        <w:tc>
          <w:tcPr>
            <w:tcW w:w="620" w:type="pct"/>
            <w:tcBorders>
              <w:top w:val="nil"/>
              <w:left w:val="nil"/>
              <w:bottom w:val="nil"/>
              <w:right w:val="nil"/>
            </w:tcBorders>
            <w:shd w:val="clear" w:color="auto" w:fill="auto"/>
            <w:noWrap/>
            <w:vAlign w:val="bottom"/>
          </w:tcPr>
          <w:p w14:paraId="1C19C8F7"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9,7</w:t>
            </w:r>
          </w:p>
        </w:tc>
      </w:tr>
      <w:tr w:rsidR="00786BEE" w:rsidRPr="000939E3" w14:paraId="4009EDEA" w14:textId="77777777" w:rsidTr="00783F9C">
        <w:trPr>
          <w:trHeight w:val="20"/>
        </w:trPr>
        <w:tc>
          <w:tcPr>
            <w:tcW w:w="1748" w:type="pct"/>
            <w:tcBorders>
              <w:top w:val="nil"/>
              <w:left w:val="nil"/>
              <w:bottom w:val="nil"/>
              <w:right w:val="single" w:sz="4" w:space="0" w:color="auto"/>
            </w:tcBorders>
            <w:shd w:val="clear" w:color="auto" w:fill="auto"/>
            <w:noWrap/>
          </w:tcPr>
          <w:p w14:paraId="3039AEA6" w14:textId="77777777" w:rsidR="00786BEE" w:rsidRPr="000939E3" w:rsidRDefault="00786BEE" w:rsidP="00783F9C">
            <w:pPr>
              <w:spacing w:after="0" w:line="240" w:lineRule="auto"/>
              <w:contextualSpacing/>
              <w:rPr>
                <w:rFonts w:eastAsia="Times New Roman" w:cs="Times New Roman"/>
                <w:color w:val="000000"/>
                <w:lang w:eastAsia="sk-SK"/>
              </w:rPr>
            </w:pPr>
            <w:r w:rsidRPr="000939E3">
              <w:t>Zdravotné sestry</w:t>
            </w:r>
          </w:p>
        </w:tc>
        <w:tc>
          <w:tcPr>
            <w:tcW w:w="902" w:type="pct"/>
            <w:tcBorders>
              <w:top w:val="nil"/>
              <w:left w:val="single" w:sz="4" w:space="0" w:color="auto"/>
              <w:bottom w:val="nil"/>
              <w:right w:val="single" w:sz="4" w:space="0" w:color="auto"/>
            </w:tcBorders>
            <w:shd w:val="clear" w:color="auto" w:fill="auto"/>
            <w:noWrap/>
            <w:vAlign w:val="bottom"/>
          </w:tcPr>
          <w:p w14:paraId="2FEDE2CF" w14:textId="77777777" w:rsidR="00786BEE" w:rsidRPr="000939E3" w:rsidRDefault="00786BEE" w:rsidP="00783F9C">
            <w:pPr>
              <w:spacing w:after="0" w:line="240" w:lineRule="auto"/>
              <w:contextualSpacing/>
              <w:jc w:val="center"/>
              <w:rPr>
                <w:rFonts w:eastAsia="Times New Roman" w:cs="Times New Roman"/>
                <w:color w:val="000000"/>
                <w:lang w:eastAsia="sk-SK"/>
              </w:rPr>
            </w:pPr>
            <w:r w:rsidRPr="000939E3">
              <w:rPr>
                <w:color w:val="000000"/>
              </w:rPr>
              <w:t>18,1%</w:t>
            </w:r>
          </w:p>
        </w:tc>
        <w:tc>
          <w:tcPr>
            <w:tcW w:w="594" w:type="pct"/>
            <w:gridSpan w:val="2"/>
            <w:tcBorders>
              <w:top w:val="nil"/>
              <w:left w:val="single" w:sz="4" w:space="0" w:color="auto"/>
              <w:bottom w:val="nil"/>
              <w:right w:val="nil"/>
            </w:tcBorders>
            <w:shd w:val="clear" w:color="auto" w:fill="auto"/>
            <w:noWrap/>
            <w:vAlign w:val="bottom"/>
          </w:tcPr>
          <w:p w14:paraId="5422E422"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3 645</w:t>
            </w:r>
          </w:p>
        </w:tc>
        <w:tc>
          <w:tcPr>
            <w:tcW w:w="596" w:type="pct"/>
            <w:gridSpan w:val="2"/>
            <w:tcBorders>
              <w:top w:val="nil"/>
              <w:left w:val="nil"/>
              <w:bottom w:val="nil"/>
              <w:right w:val="single" w:sz="4" w:space="0" w:color="auto"/>
            </w:tcBorders>
            <w:shd w:val="clear" w:color="auto" w:fill="auto"/>
            <w:noWrap/>
            <w:vAlign w:val="bottom"/>
          </w:tcPr>
          <w:p w14:paraId="5996CA63"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5 161</w:t>
            </w:r>
          </w:p>
        </w:tc>
        <w:tc>
          <w:tcPr>
            <w:tcW w:w="539" w:type="pct"/>
            <w:tcBorders>
              <w:top w:val="nil"/>
              <w:left w:val="single" w:sz="4" w:space="0" w:color="auto"/>
              <w:bottom w:val="nil"/>
              <w:right w:val="nil"/>
            </w:tcBorders>
            <w:shd w:val="clear" w:color="auto" w:fill="auto"/>
            <w:noWrap/>
            <w:vAlign w:val="bottom"/>
          </w:tcPr>
          <w:p w14:paraId="08DF103C"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6,8</w:t>
            </w:r>
          </w:p>
        </w:tc>
        <w:tc>
          <w:tcPr>
            <w:tcW w:w="620" w:type="pct"/>
            <w:tcBorders>
              <w:top w:val="nil"/>
              <w:left w:val="nil"/>
              <w:bottom w:val="nil"/>
              <w:right w:val="nil"/>
            </w:tcBorders>
            <w:shd w:val="clear" w:color="auto" w:fill="auto"/>
            <w:noWrap/>
            <w:vAlign w:val="bottom"/>
          </w:tcPr>
          <w:p w14:paraId="707E8039"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5,7</w:t>
            </w:r>
          </w:p>
        </w:tc>
      </w:tr>
      <w:tr w:rsidR="00786BEE" w:rsidRPr="000939E3" w14:paraId="00EE9048" w14:textId="77777777" w:rsidTr="00783F9C">
        <w:trPr>
          <w:trHeight w:val="20"/>
        </w:trPr>
        <w:tc>
          <w:tcPr>
            <w:tcW w:w="1748" w:type="pct"/>
            <w:tcBorders>
              <w:top w:val="nil"/>
              <w:left w:val="nil"/>
              <w:bottom w:val="nil"/>
              <w:right w:val="single" w:sz="4" w:space="0" w:color="auto"/>
            </w:tcBorders>
            <w:shd w:val="clear" w:color="auto" w:fill="auto"/>
            <w:noWrap/>
            <w:hideMark/>
          </w:tcPr>
          <w:p w14:paraId="57F8F05D" w14:textId="77777777" w:rsidR="00786BEE" w:rsidRPr="000939E3" w:rsidRDefault="00786BEE" w:rsidP="00783F9C">
            <w:pPr>
              <w:spacing w:after="0" w:line="240" w:lineRule="auto"/>
              <w:contextualSpacing/>
              <w:rPr>
                <w:rFonts w:eastAsia="Times New Roman" w:cs="Times New Roman"/>
                <w:color w:val="000000"/>
                <w:lang w:eastAsia="sk-SK"/>
              </w:rPr>
            </w:pPr>
            <w:r w:rsidRPr="000939E3">
              <w:t>Vodiči hromadnej dopravy</w:t>
            </w:r>
          </w:p>
        </w:tc>
        <w:tc>
          <w:tcPr>
            <w:tcW w:w="902" w:type="pct"/>
            <w:tcBorders>
              <w:top w:val="nil"/>
              <w:left w:val="single" w:sz="4" w:space="0" w:color="auto"/>
              <w:bottom w:val="nil"/>
              <w:right w:val="single" w:sz="4" w:space="0" w:color="auto"/>
            </w:tcBorders>
            <w:shd w:val="clear" w:color="auto" w:fill="auto"/>
            <w:noWrap/>
            <w:vAlign w:val="bottom"/>
            <w:hideMark/>
          </w:tcPr>
          <w:p w14:paraId="042A0F22" w14:textId="77777777" w:rsidR="00786BEE" w:rsidRPr="000939E3" w:rsidRDefault="00786BEE" w:rsidP="00783F9C">
            <w:pPr>
              <w:spacing w:after="0" w:line="240" w:lineRule="auto"/>
              <w:contextualSpacing/>
              <w:jc w:val="center"/>
              <w:rPr>
                <w:rFonts w:eastAsia="Times New Roman" w:cs="Times New Roman"/>
                <w:color w:val="000000"/>
                <w:lang w:eastAsia="sk-SK"/>
              </w:rPr>
            </w:pPr>
            <w:r w:rsidRPr="000939E3">
              <w:rPr>
                <w:color w:val="000000"/>
              </w:rPr>
              <w:t>27,1%</w:t>
            </w:r>
          </w:p>
        </w:tc>
        <w:tc>
          <w:tcPr>
            <w:tcW w:w="594" w:type="pct"/>
            <w:gridSpan w:val="2"/>
            <w:tcBorders>
              <w:top w:val="nil"/>
              <w:left w:val="single" w:sz="4" w:space="0" w:color="auto"/>
              <w:bottom w:val="nil"/>
              <w:right w:val="nil"/>
            </w:tcBorders>
            <w:shd w:val="clear" w:color="auto" w:fill="auto"/>
            <w:noWrap/>
            <w:vAlign w:val="bottom"/>
          </w:tcPr>
          <w:p w14:paraId="5C933BAE"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2 791</w:t>
            </w:r>
          </w:p>
        </w:tc>
        <w:tc>
          <w:tcPr>
            <w:tcW w:w="596" w:type="pct"/>
            <w:gridSpan w:val="2"/>
            <w:tcBorders>
              <w:top w:val="nil"/>
              <w:left w:val="nil"/>
              <w:bottom w:val="nil"/>
              <w:right w:val="single" w:sz="4" w:space="0" w:color="auto"/>
            </w:tcBorders>
            <w:shd w:val="clear" w:color="auto" w:fill="auto"/>
            <w:noWrap/>
            <w:vAlign w:val="bottom"/>
          </w:tcPr>
          <w:p w14:paraId="1765621F"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6 481</w:t>
            </w:r>
          </w:p>
        </w:tc>
        <w:tc>
          <w:tcPr>
            <w:tcW w:w="539" w:type="pct"/>
            <w:tcBorders>
              <w:top w:val="nil"/>
              <w:left w:val="single" w:sz="4" w:space="0" w:color="auto"/>
              <w:bottom w:val="nil"/>
              <w:right w:val="nil"/>
            </w:tcBorders>
            <w:shd w:val="clear" w:color="auto" w:fill="auto"/>
            <w:noWrap/>
            <w:vAlign w:val="bottom"/>
          </w:tcPr>
          <w:p w14:paraId="277205EC"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7,6</w:t>
            </w:r>
          </w:p>
        </w:tc>
        <w:tc>
          <w:tcPr>
            <w:tcW w:w="620" w:type="pct"/>
            <w:tcBorders>
              <w:top w:val="nil"/>
              <w:left w:val="nil"/>
              <w:bottom w:val="nil"/>
              <w:right w:val="nil"/>
            </w:tcBorders>
            <w:shd w:val="clear" w:color="auto" w:fill="auto"/>
            <w:noWrap/>
            <w:vAlign w:val="bottom"/>
          </w:tcPr>
          <w:p w14:paraId="5C59ED39"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6,0</w:t>
            </w:r>
          </w:p>
        </w:tc>
      </w:tr>
      <w:tr w:rsidR="00786BEE" w:rsidRPr="000939E3" w14:paraId="583B17E7" w14:textId="77777777" w:rsidTr="00783F9C">
        <w:trPr>
          <w:trHeight w:val="20"/>
        </w:trPr>
        <w:tc>
          <w:tcPr>
            <w:tcW w:w="1748" w:type="pct"/>
            <w:tcBorders>
              <w:top w:val="nil"/>
              <w:left w:val="nil"/>
              <w:bottom w:val="nil"/>
              <w:right w:val="single" w:sz="4" w:space="0" w:color="auto"/>
            </w:tcBorders>
            <w:shd w:val="clear" w:color="auto" w:fill="auto"/>
            <w:noWrap/>
          </w:tcPr>
          <w:p w14:paraId="5B21D533" w14:textId="77777777" w:rsidR="00786BEE" w:rsidRPr="000939E3" w:rsidRDefault="00786BEE" w:rsidP="00783F9C">
            <w:pPr>
              <w:spacing w:after="0" w:line="240" w:lineRule="auto"/>
              <w:contextualSpacing/>
              <w:rPr>
                <w:rFonts w:eastAsia="Times New Roman" w:cs="Times New Roman"/>
                <w:color w:val="000000"/>
                <w:lang w:eastAsia="sk-SK"/>
              </w:rPr>
            </w:pPr>
            <w:r w:rsidRPr="000939E3">
              <w:t>Zdravotnícki záchranári</w:t>
            </w:r>
          </w:p>
        </w:tc>
        <w:tc>
          <w:tcPr>
            <w:tcW w:w="902" w:type="pct"/>
            <w:tcBorders>
              <w:top w:val="nil"/>
              <w:left w:val="single" w:sz="4" w:space="0" w:color="auto"/>
              <w:right w:val="single" w:sz="4" w:space="0" w:color="auto"/>
            </w:tcBorders>
            <w:shd w:val="clear" w:color="auto" w:fill="auto"/>
            <w:noWrap/>
            <w:vAlign w:val="bottom"/>
          </w:tcPr>
          <w:p w14:paraId="3BFCE477" w14:textId="77777777" w:rsidR="00786BEE" w:rsidRPr="000939E3" w:rsidRDefault="00786BEE" w:rsidP="00783F9C">
            <w:pPr>
              <w:spacing w:after="0" w:line="240" w:lineRule="auto"/>
              <w:contextualSpacing/>
              <w:jc w:val="center"/>
              <w:rPr>
                <w:rFonts w:eastAsia="Times New Roman" w:cs="Times New Roman"/>
                <w:color w:val="000000"/>
                <w:lang w:eastAsia="sk-SK"/>
              </w:rPr>
            </w:pPr>
            <w:r w:rsidRPr="000939E3">
              <w:rPr>
                <w:color w:val="000000"/>
              </w:rPr>
              <w:t>21,7%</w:t>
            </w:r>
          </w:p>
        </w:tc>
        <w:tc>
          <w:tcPr>
            <w:tcW w:w="594" w:type="pct"/>
            <w:gridSpan w:val="2"/>
            <w:tcBorders>
              <w:top w:val="nil"/>
              <w:left w:val="single" w:sz="4" w:space="0" w:color="auto"/>
              <w:bottom w:val="nil"/>
              <w:right w:val="nil"/>
            </w:tcBorders>
            <w:shd w:val="clear" w:color="auto" w:fill="auto"/>
            <w:noWrap/>
            <w:vAlign w:val="bottom"/>
          </w:tcPr>
          <w:p w14:paraId="6FD56D7D"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1 465</w:t>
            </w:r>
          </w:p>
        </w:tc>
        <w:tc>
          <w:tcPr>
            <w:tcW w:w="596" w:type="pct"/>
            <w:gridSpan w:val="2"/>
            <w:tcBorders>
              <w:top w:val="nil"/>
              <w:left w:val="nil"/>
              <w:bottom w:val="nil"/>
              <w:right w:val="single" w:sz="4" w:space="0" w:color="auto"/>
            </w:tcBorders>
            <w:shd w:val="clear" w:color="auto" w:fill="auto"/>
            <w:noWrap/>
            <w:vAlign w:val="bottom"/>
          </w:tcPr>
          <w:p w14:paraId="69D64074"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714</w:t>
            </w:r>
          </w:p>
        </w:tc>
        <w:tc>
          <w:tcPr>
            <w:tcW w:w="539" w:type="pct"/>
            <w:tcBorders>
              <w:top w:val="nil"/>
              <w:left w:val="single" w:sz="4" w:space="0" w:color="auto"/>
              <w:bottom w:val="nil"/>
              <w:right w:val="nil"/>
            </w:tcBorders>
            <w:shd w:val="clear" w:color="auto" w:fill="auto"/>
            <w:noWrap/>
            <w:vAlign w:val="bottom"/>
          </w:tcPr>
          <w:p w14:paraId="5B739FA5"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8,1</w:t>
            </w:r>
          </w:p>
        </w:tc>
        <w:tc>
          <w:tcPr>
            <w:tcW w:w="620" w:type="pct"/>
            <w:tcBorders>
              <w:top w:val="nil"/>
              <w:left w:val="nil"/>
              <w:bottom w:val="nil"/>
              <w:right w:val="nil"/>
            </w:tcBorders>
            <w:shd w:val="clear" w:color="auto" w:fill="auto"/>
            <w:noWrap/>
            <w:vAlign w:val="bottom"/>
          </w:tcPr>
          <w:p w14:paraId="7DC0604B"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6,7</w:t>
            </w:r>
          </w:p>
        </w:tc>
      </w:tr>
      <w:tr w:rsidR="00786BEE" w:rsidRPr="000939E3" w14:paraId="41ECD8AF" w14:textId="77777777" w:rsidTr="00783F9C">
        <w:trPr>
          <w:trHeight w:val="20"/>
        </w:trPr>
        <w:tc>
          <w:tcPr>
            <w:tcW w:w="1748" w:type="pct"/>
            <w:tcBorders>
              <w:top w:val="nil"/>
              <w:left w:val="nil"/>
              <w:right w:val="single" w:sz="4" w:space="0" w:color="auto"/>
            </w:tcBorders>
            <w:shd w:val="clear" w:color="auto" w:fill="auto"/>
            <w:noWrap/>
          </w:tcPr>
          <w:p w14:paraId="6E10E017" w14:textId="77777777" w:rsidR="00786BEE" w:rsidRPr="000939E3" w:rsidRDefault="00786BEE" w:rsidP="00783F9C">
            <w:pPr>
              <w:spacing w:after="0" w:line="240" w:lineRule="auto"/>
              <w:contextualSpacing/>
              <w:rPr>
                <w:rFonts w:eastAsia="Times New Roman" w:cs="Times New Roman"/>
                <w:color w:val="000000"/>
                <w:lang w:eastAsia="sk-SK"/>
              </w:rPr>
            </w:pPr>
            <w:r w:rsidRPr="000939E3">
              <w:t>Opatrovatelia a asistenti v soc. zar.</w:t>
            </w:r>
          </w:p>
        </w:tc>
        <w:tc>
          <w:tcPr>
            <w:tcW w:w="902" w:type="pct"/>
            <w:tcBorders>
              <w:top w:val="nil"/>
              <w:left w:val="single" w:sz="4" w:space="0" w:color="auto"/>
              <w:right w:val="single" w:sz="4" w:space="0" w:color="auto"/>
            </w:tcBorders>
            <w:shd w:val="clear" w:color="auto" w:fill="auto"/>
            <w:noWrap/>
            <w:vAlign w:val="bottom"/>
          </w:tcPr>
          <w:p w14:paraId="1871D722" w14:textId="77777777" w:rsidR="00786BEE" w:rsidRPr="000939E3" w:rsidRDefault="00786BEE" w:rsidP="00783F9C">
            <w:pPr>
              <w:spacing w:after="0" w:line="240" w:lineRule="auto"/>
              <w:contextualSpacing/>
              <w:jc w:val="center"/>
              <w:rPr>
                <w:rFonts w:eastAsia="Times New Roman" w:cs="Times New Roman"/>
                <w:color w:val="000000"/>
                <w:lang w:eastAsia="sk-SK"/>
              </w:rPr>
            </w:pPr>
            <w:r w:rsidRPr="000939E3">
              <w:rPr>
                <w:color w:val="000000"/>
              </w:rPr>
              <w:t>22,6%</w:t>
            </w:r>
          </w:p>
        </w:tc>
        <w:tc>
          <w:tcPr>
            <w:tcW w:w="594" w:type="pct"/>
            <w:gridSpan w:val="2"/>
            <w:tcBorders>
              <w:top w:val="nil"/>
              <w:left w:val="single" w:sz="4" w:space="0" w:color="auto"/>
              <w:right w:val="nil"/>
            </w:tcBorders>
            <w:shd w:val="clear" w:color="auto" w:fill="auto"/>
            <w:noWrap/>
            <w:vAlign w:val="bottom"/>
          </w:tcPr>
          <w:p w14:paraId="6256E1BB"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1 240</w:t>
            </w:r>
          </w:p>
        </w:tc>
        <w:tc>
          <w:tcPr>
            <w:tcW w:w="596" w:type="pct"/>
            <w:gridSpan w:val="2"/>
            <w:tcBorders>
              <w:top w:val="nil"/>
              <w:left w:val="nil"/>
              <w:right w:val="single" w:sz="4" w:space="0" w:color="auto"/>
            </w:tcBorders>
            <w:shd w:val="clear" w:color="auto" w:fill="auto"/>
            <w:noWrap/>
            <w:vAlign w:val="bottom"/>
          </w:tcPr>
          <w:p w14:paraId="3A1EAD7B"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1 789</w:t>
            </w:r>
          </w:p>
        </w:tc>
        <w:tc>
          <w:tcPr>
            <w:tcW w:w="539" w:type="pct"/>
            <w:tcBorders>
              <w:top w:val="nil"/>
              <w:left w:val="single" w:sz="4" w:space="0" w:color="auto"/>
              <w:right w:val="nil"/>
            </w:tcBorders>
            <w:shd w:val="clear" w:color="auto" w:fill="auto"/>
            <w:noWrap/>
            <w:vAlign w:val="bottom"/>
          </w:tcPr>
          <w:p w14:paraId="45F22CC3"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4,8</w:t>
            </w:r>
          </w:p>
        </w:tc>
        <w:tc>
          <w:tcPr>
            <w:tcW w:w="620" w:type="pct"/>
            <w:tcBorders>
              <w:top w:val="nil"/>
              <w:left w:val="nil"/>
              <w:right w:val="nil"/>
            </w:tcBorders>
            <w:shd w:val="clear" w:color="auto" w:fill="auto"/>
            <w:noWrap/>
            <w:vAlign w:val="bottom"/>
          </w:tcPr>
          <w:p w14:paraId="76AC0FF3" w14:textId="77777777" w:rsidR="00786BEE" w:rsidRPr="000939E3" w:rsidRDefault="00786BEE" w:rsidP="00783F9C">
            <w:pPr>
              <w:spacing w:after="0" w:line="240" w:lineRule="auto"/>
              <w:contextualSpacing/>
              <w:jc w:val="right"/>
              <w:rPr>
                <w:rFonts w:eastAsia="Times New Roman" w:cs="Times New Roman"/>
                <w:color w:val="000000"/>
                <w:lang w:eastAsia="sk-SK"/>
              </w:rPr>
            </w:pPr>
            <w:r w:rsidRPr="000939E3">
              <w:rPr>
                <w:color w:val="000000"/>
              </w:rPr>
              <w:t>3,9</w:t>
            </w:r>
          </w:p>
        </w:tc>
      </w:tr>
      <w:tr w:rsidR="00786BEE" w:rsidRPr="000939E3" w14:paraId="0260D293" w14:textId="77777777" w:rsidTr="00783F9C">
        <w:trPr>
          <w:trHeight w:val="20"/>
        </w:trPr>
        <w:tc>
          <w:tcPr>
            <w:tcW w:w="1748" w:type="pct"/>
            <w:tcBorders>
              <w:top w:val="nil"/>
              <w:left w:val="nil"/>
              <w:bottom w:val="single" w:sz="4" w:space="0" w:color="auto"/>
              <w:right w:val="single" w:sz="4" w:space="0" w:color="auto"/>
            </w:tcBorders>
            <w:shd w:val="clear" w:color="auto" w:fill="auto"/>
            <w:noWrap/>
          </w:tcPr>
          <w:p w14:paraId="364191B5" w14:textId="77777777" w:rsidR="00786BEE" w:rsidRPr="000939E3" w:rsidRDefault="00786BEE" w:rsidP="00783F9C">
            <w:pPr>
              <w:spacing w:after="0" w:line="240" w:lineRule="auto"/>
              <w:contextualSpacing/>
            </w:pPr>
            <w:r w:rsidRPr="000939E3">
              <w:t>Odborní pracovníci v oblasti soc. star.</w:t>
            </w:r>
          </w:p>
        </w:tc>
        <w:tc>
          <w:tcPr>
            <w:tcW w:w="902" w:type="pct"/>
            <w:tcBorders>
              <w:top w:val="nil"/>
              <w:left w:val="single" w:sz="4" w:space="0" w:color="auto"/>
              <w:bottom w:val="single" w:sz="4" w:space="0" w:color="auto"/>
              <w:right w:val="single" w:sz="4" w:space="0" w:color="auto"/>
            </w:tcBorders>
            <w:shd w:val="clear" w:color="auto" w:fill="auto"/>
            <w:noWrap/>
            <w:vAlign w:val="bottom"/>
          </w:tcPr>
          <w:p w14:paraId="0C7FA852" w14:textId="77777777" w:rsidR="00786BEE" w:rsidRPr="000939E3" w:rsidRDefault="00786BEE" w:rsidP="00783F9C">
            <w:pPr>
              <w:spacing w:after="0" w:line="240" w:lineRule="auto"/>
              <w:contextualSpacing/>
              <w:jc w:val="center"/>
            </w:pPr>
            <w:r w:rsidRPr="000939E3">
              <w:rPr>
                <w:color w:val="000000"/>
              </w:rPr>
              <w:t>55,7%</w:t>
            </w:r>
          </w:p>
        </w:tc>
        <w:tc>
          <w:tcPr>
            <w:tcW w:w="594" w:type="pct"/>
            <w:gridSpan w:val="2"/>
            <w:tcBorders>
              <w:top w:val="nil"/>
              <w:left w:val="single" w:sz="4" w:space="0" w:color="auto"/>
              <w:bottom w:val="single" w:sz="4" w:space="0" w:color="auto"/>
              <w:right w:val="nil"/>
            </w:tcBorders>
            <w:shd w:val="clear" w:color="auto" w:fill="auto"/>
            <w:noWrap/>
            <w:vAlign w:val="bottom"/>
          </w:tcPr>
          <w:p w14:paraId="186903EB" w14:textId="77777777" w:rsidR="00786BEE" w:rsidRPr="000939E3" w:rsidRDefault="00786BEE" w:rsidP="00783F9C">
            <w:pPr>
              <w:spacing w:after="0" w:line="240" w:lineRule="auto"/>
              <w:contextualSpacing/>
              <w:jc w:val="right"/>
            </w:pPr>
            <w:r w:rsidRPr="000939E3">
              <w:rPr>
                <w:color w:val="000000"/>
              </w:rPr>
              <w:t>1 114</w:t>
            </w:r>
          </w:p>
        </w:tc>
        <w:tc>
          <w:tcPr>
            <w:tcW w:w="596" w:type="pct"/>
            <w:gridSpan w:val="2"/>
            <w:tcBorders>
              <w:top w:val="nil"/>
              <w:left w:val="nil"/>
              <w:bottom w:val="single" w:sz="4" w:space="0" w:color="auto"/>
              <w:right w:val="single" w:sz="4" w:space="0" w:color="auto"/>
            </w:tcBorders>
            <w:shd w:val="clear" w:color="auto" w:fill="auto"/>
            <w:noWrap/>
            <w:vAlign w:val="bottom"/>
          </w:tcPr>
          <w:p w14:paraId="0FC815B5" w14:textId="77777777" w:rsidR="00786BEE" w:rsidRPr="000939E3" w:rsidRDefault="00786BEE" w:rsidP="00783F9C">
            <w:pPr>
              <w:spacing w:after="0" w:line="240" w:lineRule="auto"/>
              <w:contextualSpacing/>
              <w:jc w:val="right"/>
            </w:pPr>
            <w:r w:rsidRPr="000939E3">
              <w:rPr>
                <w:color w:val="000000"/>
              </w:rPr>
              <w:t>356</w:t>
            </w:r>
          </w:p>
        </w:tc>
        <w:tc>
          <w:tcPr>
            <w:tcW w:w="539" w:type="pct"/>
            <w:tcBorders>
              <w:top w:val="nil"/>
              <w:left w:val="single" w:sz="4" w:space="0" w:color="auto"/>
              <w:bottom w:val="single" w:sz="4" w:space="0" w:color="auto"/>
              <w:right w:val="nil"/>
            </w:tcBorders>
            <w:shd w:val="clear" w:color="auto" w:fill="auto"/>
            <w:noWrap/>
            <w:vAlign w:val="bottom"/>
          </w:tcPr>
          <w:p w14:paraId="09F5713C" w14:textId="77777777" w:rsidR="00786BEE" w:rsidRPr="000939E3" w:rsidRDefault="00786BEE" w:rsidP="00783F9C">
            <w:pPr>
              <w:spacing w:after="0" w:line="240" w:lineRule="auto"/>
              <w:contextualSpacing/>
              <w:jc w:val="right"/>
            </w:pPr>
            <w:r w:rsidRPr="000939E3">
              <w:rPr>
                <w:color w:val="000000"/>
              </w:rPr>
              <w:t>6,0</w:t>
            </w:r>
          </w:p>
        </w:tc>
        <w:tc>
          <w:tcPr>
            <w:tcW w:w="620" w:type="pct"/>
            <w:tcBorders>
              <w:top w:val="nil"/>
              <w:left w:val="nil"/>
              <w:bottom w:val="single" w:sz="4" w:space="0" w:color="auto"/>
              <w:right w:val="nil"/>
            </w:tcBorders>
            <w:shd w:val="clear" w:color="auto" w:fill="auto"/>
            <w:noWrap/>
            <w:vAlign w:val="bottom"/>
          </w:tcPr>
          <w:p w14:paraId="2805D248" w14:textId="77777777" w:rsidR="00786BEE" w:rsidRPr="000939E3" w:rsidRDefault="00786BEE" w:rsidP="00783F9C">
            <w:pPr>
              <w:spacing w:after="0" w:line="240" w:lineRule="auto"/>
              <w:contextualSpacing/>
              <w:jc w:val="right"/>
            </w:pPr>
            <w:r w:rsidRPr="000939E3">
              <w:rPr>
                <w:color w:val="000000"/>
              </w:rPr>
              <w:t>3,9</w:t>
            </w:r>
          </w:p>
        </w:tc>
      </w:tr>
      <w:tr w:rsidR="0004409E" w:rsidRPr="000939E3" w14:paraId="7EFE02DE" w14:textId="77777777" w:rsidTr="00783F9C">
        <w:trPr>
          <w:trHeight w:val="20"/>
        </w:trPr>
        <w:tc>
          <w:tcPr>
            <w:tcW w:w="1748" w:type="pct"/>
            <w:tcBorders>
              <w:top w:val="single" w:sz="4" w:space="0" w:color="auto"/>
              <w:left w:val="nil"/>
              <w:right w:val="nil"/>
            </w:tcBorders>
            <w:shd w:val="clear" w:color="auto" w:fill="auto"/>
            <w:noWrap/>
            <w:vAlign w:val="bottom"/>
          </w:tcPr>
          <w:p w14:paraId="577B10A4" w14:textId="77777777" w:rsidR="0004409E" w:rsidRPr="000939E3" w:rsidRDefault="0004409E" w:rsidP="00783F9C">
            <w:pPr>
              <w:spacing w:after="0" w:line="240" w:lineRule="auto"/>
              <w:contextualSpacing/>
              <w:rPr>
                <w:rFonts w:eastAsia="Times New Roman" w:cs="Times New Roman"/>
                <w:color w:val="000000"/>
                <w:lang w:eastAsia="sk-SK"/>
              </w:rPr>
            </w:pPr>
          </w:p>
        </w:tc>
        <w:tc>
          <w:tcPr>
            <w:tcW w:w="902" w:type="pct"/>
            <w:tcBorders>
              <w:top w:val="single" w:sz="4" w:space="0" w:color="auto"/>
              <w:left w:val="nil"/>
              <w:right w:val="nil"/>
            </w:tcBorders>
            <w:shd w:val="clear" w:color="auto" w:fill="auto"/>
            <w:noWrap/>
            <w:vAlign w:val="bottom"/>
          </w:tcPr>
          <w:p w14:paraId="273A491C" w14:textId="77777777" w:rsidR="0004409E" w:rsidRPr="000939E3" w:rsidRDefault="0004409E" w:rsidP="00783F9C">
            <w:pPr>
              <w:spacing w:after="0" w:line="240" w:lineRule="auto"/>
              <w:contextualSpacing/>
              <w:rPr>
                <w:rFonts w:eastAsia="Times New Roman" w:cs="Times New Roman"/>
                <w:color w:val="000000"/>
                <w:lang w:eastAsia="sk-SK"/>
              </w:rPr>
            </w:pPr>
          </w:p>
        </w:tc>
        <w:tc>
          <w:tcPr>
            <w:tcW w:w="411" w:type="pct"/>
            <w:tcBorders>
              <w:top w:val="single" w:sz="4" w:space="0" w:color="auto"/>
              <w:left w:val="nil"/>
              <w:right w:val="nil"/>
            </w:tcBorders>
            <w:shd w:val="clear" w:color="auto" w:fill="auto"/>
            <w:noWrap/>
            <w:vAlign w:val="bottom"/>
          </w:tcPr>
          <w:p w14:paraId="02138660" w14:textId="77777777" w:rsidR="0004409E" w:rsidRPr="000939E3" w:rsidRDefault="0004409E" w:rsidP="00783F9C">
            <w:pPr>
              <w:spacing w:after="0" w:line="240" w:lineRule="auto"/>
              <w:contextualSpacing/>
              <w:jc w:val="right"/>
              <w:rPr>
                <w:rFonts w:eastAsia="Times New Roman" w:cs="Times New Roman"/>
                <w:color w:val="000000"/>
                <w:lang w:eastAsia="sk-SK"/>
              </w:rPr>
            </w:pPr>
          </w:p>
        </w:tc>
        <w:tc>
          <w:tcPr>
            <w:tcW w:w="508" w:type="pct"/>
            <w:gridSpan w:val="2"/>
            <w:tcBorders>
              <w:top w:val="single" w:sz="4" w:space="0" w:color="auto"/>
              <w:left w:val="nil"/>
              <w:right w:val="nil"/>
            </w:tcBorders>
            <w:shd w:val="clear" w:color="auto" w:fill="auto"/>
            <w:noWrap/>
            <w:vAlign w:val="bottom"/>
          </w:tcPr>
          <w:p w14:paraId="4216C420" w14:textId="77777777" w:rsidR="0004409E" w:rsidRPr="000939E3" w:rsidRDefault="0004409E" w:rsidP="00783F9C">
            <w:pPr>
              <w:spacing w:after="0" w:line="240" w:lineRule="auto"/>
              <w:contextualSpacing/>
              <w:jc w:val="right"/>
              <w:rPr>
                <w:rFonts w:eastAsia="Times New Roman" w:cs="Times New Roman"/>
                <w:color w:val="000000"/>
                <w:lang w:eastAsia="sk-SK"/>
              </w:rPr>
            </w:pPr>
          </w:p>
        </w:tc>
        <w:tc>
          <w:tcPr>
            <w:tcW w:w="1430" w:type="pct"/>
            <w:gridSpan w:val="3"/>
            <w:tcBorders>
              <w:top w:val="single" w:sz="4" w:space="0" w:color="auto"/>
              <w:left w:val="nil"/>
              <w:right w:val="nil"/>
            </w:tcBorders>
            <w:shd w:val="clear" w:color="auto" w:fill="auto"/>
            <w:noWrap/>
          </w:tcPr>
          <w:p w14:paraId="7E6EE2C1" w14:textId="77777777" w:rsidR="0004409E" w:rsidRPr="000939E3" w:rsidRDefault="0004409E" w:rsidP="00783F9C">
            <w:pPr>
              <w:spacing w:after="0" w:line="240" w:lineRule="auto"/>
              <w:contextualSpacing/>
              <w:jc w:val="right"/>
              <w:rPr>
                <w:rFonts w:eastAsia="Times New Roman" w:cs="Times New Roman"/>
                <w:color w:val="000000"/>
                <w:lang w:eastAsia="sk-SK"/>
              </w:rPr>
            </w:pPr>
            <w:r w:rsidRPr="000939E3">
              <w:rPr>
                <w:rStyle w:val="Jemnodkaz"/>
                <w:rFonts w:eastAsiaTheme="minorHAnsi"/>
              </w:rPr>
              <w:t>Zdroj: ISCP, prepočty ÚHP</w:t>
            </w:r>
          </w:p>
        </w:tc>
      </w:tr>
    </w:tbl>
    <w:p w14:paraId="3DE949C8" w14:textId="77777777" w:rsidR="0014563E" w:rsidRPr="000939E3" w:rsidRDefault="0014563E">
      <w:pPr>
        <w:spacing w:after="160" w:line="259" w:lineRule="auto"/>
        <w:jc w:val="left"/>
      </w:pPr>
      <w:r w:rsidRPr="000939E3">
        <w:br w:type="page"/>
      </w:r>
    </w:p>
    <w:tbl>
      <w:tblPr>
        <w:tblStyle w:val="Mriekatabuky1"/>
        <w:tblpPr w:leftFromText="142" w:rightFromText="142" w:horzAnchor="margin" w:tblpYSpec="top"/>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CellMar>
          <w:left w:w="70" w:type="dxa"/>
          <w:right w:w="70" w:type="dxa"/>
        </w:tblCellMar>
        <w:tblLook w:val="04A0" w:firstRow="1" w:lastRow="0" w:firstColumn="1" w:lastColumn="0" w:noHBand="0" w:noVBand="1"/>
      </w:tblPr>
      <w:tblGrid>
        <w:gridCol w:w="9072"/>
      </w:tblGrid>
      <w:tr w:rsidR="005918FD" w:rsidRPr="000939E3" w14:paraId="5ADF2CB6" w14:textId="77777777" w:rsidTr="007E0AB1">
        <w:trPr>
          <w:trHeight w:val="20"/>
        </w:trPr>
        <w:tc>
          <w:tcPr>
            <w:tcW w:w="5000" w:type="pct"/>
            <w:shd w:val="clear" w:color="auto" w:fill="BDD6EE" w:themeFill="accent1" w:themeFillTint="66"/>
          </w:tcPr>
          <w:p w14:paraId="0645037A" w14:textId="77777777" w:rsidR="005918FD" w:rsidRPr="000939E3" w:rsidRDefault="005918FD" w:rsidP="007E0AB1">
            <w:pPr>
              <w:pStyle w:val="Popis"/>
              <w:rPr>
                <w:sz w:val="22"/>
                <w:szCs w:val="22"/>
              </w:rPr>
            </w:pPr>
            <w:r w:rsidRPr="000939E3">
              <w:lastRenderedPageBreak/>
              <w:br w:type="page"/>
            </w:r>
            <w:bookmarkStart w:id="154" w:name="_Ref525562302"/>
            <w:r w:rsidRPr="000939E3">
              <w:rPr>
                <w:sz w:val="22"/>
                <w:szCs w:val="22"/>
              </w:rPr>
              <w:t xml:space="preserve">Box </w:t>
            </w:r>
            <w:r w:rsidRPr="000939E3">
              <w:rPr>
                <w:noProof/>
                <w:sz w:val="22"/>
                <w:szCs w:val="22"/>
              </w:rPr>
              <w:fldChar w:fldCharType="begin"/>
            </w:r>
            <w:r w:rsidRPr="000939E3">
              <w:rPr>
                <w:noProof/>
                <w:sz w:val="22"/>
                <w:szCs w:val="22"/>
              </w:rPr>
              <w:instrText xml:space="preserve"> SEQ Box \* ARABIC </w:instrText>
            </w:r>
            <w:r w:rsidRPr="000939E3">
              <w:rPr>
                <w:noProof/>
                <w:sz w:val="22"/>
                <w:szCs w:val="22"/>
              </w:rPr>
              <w:fldChar w:fldCharType="separate"/>
            </w:r>
            <w:r w:rsidR="00BF69CA">
              <w:rPr>
                <w:noProof/>
                <w:sz w:val="22"/>
                <w:szCs w:val="22"/>
              </w:rPr>
              <w:t>7</w:t>
            </w:r>
            <w:r w:rsidRPr="000939E3">
              <w:rPr>
                <w:noProof/>
                <w:sz w:val="22"/>
                <w:szCs w:val="22"/>
              </w:rPr>
              <w:fldChar w:fldCharType="end"/>
            </w:r>
            <w:bookmarkEnd w:id="154"/>
            <w:r w:rsidRPr="000939E3">
              <w:rPr>
                <w:noProof/>
                <w:sz w:val="22"/>
                <w:szCs w:val="22"/>
              </w:rPr>
              <w:t>:</w:t>
            </w:r>
            <w:r w:rsidRPr="000939E3">
              <w:rPr>
                <w:sz w:val="22"/>
                <w:szCs w:val="22"/>
              </w:rPr>
              <w:t xml:space="preserve"> Mzdový diferenciál podľa medzinárodnej klasifikácie profesií ISCO</w:t>
            </w:r>
          </w:p>
          <w:p w14:paraId="20A3205C" w14:textId="77777777" w:rsidR="005918FD" w:rsidRPr="000939E3" w:rsidRDefault="005918FD" w:rsidP="007E0AB1">
            <w:pPr>
              <w:spacing w:before="120" w:after="120"/>
            </w:pPr>
            <w:r w:rsidRPr="000939E3">
              <w:t>Prepočet pracuje so zaradením zamestnancov podľa medzinárodnej klasifikácie ISCO</w:t>
            </w:r>
            <w:r w:rsidRPr="000939E3">
              <w:rPr>
                <w:rStyle w:val="Odkaznapoznmkupodiarou"/>
              </w:rPr>
              <w:footnoteReference w:id="57"/>
            </w:r>
            <w:r w:rsidRPr="000939E3">
              <w:t>.</w:t>
            </w:r>
            <w:r w:rsidRPr="000939E3">
              <w:rPr>
                <w:sz w:val="24"/>
              </w:rPr>
              <w:t xml:space="preserve"> </w:t>
            </w:r>
            <w:r w:rsidRPr="000939E3">
              <w:t xml:space="preserve">Pri použitej miere detailu (4 cifry ISCO identifikujú viac ako 400 profesií) väčšina kategórií predstavuje jedno konkrétne povolanie (sekretárka, rušňovodič), prípadne zahŕňa aj rozlíšenie podľa náročnosti práce (rozlíšené sú napríklad ambulantné a nemocničné zdravotné sestry). </w:t>
            </w:r>
          </w:p>
          <w:p w14:paraId="2D1D3660" w14:textId="6B8F69BC" w:rsidR="005918FD" w:rsidRPr="000939E3" w:rsidRDefault="005918FD" w:rsidP="007E0AB1">
            <w:pPr>
              <w:spacing w:before="120" w:after="120"/>
            </w:pPr>
            <w:r w:rsidRPr="000939E3">
              <w:t>Vzorka zahŕňa údaje o 1,2 mil. zamestnancov zamestnaných v roku 2017, z toh</w:t>
            </w:r>
            <w:r w:rsidR="00CF399C">
              <w:t>o 880 tisíc (navážených na 1,39 </w:t>
            </w:r>
            <w:r w:rsidRPr="000939E3">
              <w:t>mil.) zamestnancov v súkromnom a 311 tisíc (navážených na 469 tisíc) vo verejnom sektore. Vzorka dát nezahŕňa ozbrojené sily a políciu, živnostníkov a zamestnancov živnostníkov, spoločníkov obchodných spoločností, ktorí nemajú uzavretú pracovnú zmluvu, dohodárov, zamestnancov na materskej a rodičovskej dovolenke, či s dlhším neplateným voľnom.</w:t>
            </w:r>
          </w:p>
          <w:p w14:paraId="54BBC941" w14:textId="77777777" w:rsidR="005918FD" w:rsidRPr="000939E3" w:rsidRDefault="005918FD" w:rsidP="007E0AB1">
            <w:pPr>
              <w:spacing w:before="120" w:after="120"/>
            </w:pPr>
            <w:r w:rsidRPr="000939E3">
              <w:t xml:space="preserve">Príslušnosť ku verejnému a súkromnému sektoru je v tejto kapitole určená na základe </w:t>
            </w:r>
            <w:r w:rsidRPr="000939E3">
              <w:rPr>
                <w:b/>
              </w:rPr>
              <w:t>vlastníctva</w:t>
            </w:r>
            <w:r w:rsidRPr="000939E3">
              <w:t xml:space="preserve"> organizácie – štátne a samosprávne vlastníctvo ako verejný sektor, iné vlastníctvo ako súkromný sektor. Týmto sú do verejného sektora zahrnuté aj subjekty, ktoré nie sú súčasťou sektora verejnej správy podľa metodiky ESA 2010 (napríklad niektoré štátne podniky).</w:t>
            </w:r>
          </w:p>
          <w:p w14:paraId="4324AE49" w14:textId="77777777" w:rsidR="005918FD" w:rsidRPr="000939E3" w:rsidRDefault="005918FD" w:rsidP="007E0AB1">
            <w:pPr>
              <w:spacing w:before="120" w:after="120"/>
            </w:pPr>
            <w:r w:rsidRPr="000939E3">
              <w:t>Mzda zahŕňa všetky zložky mzdy, vrátane všetkých príplatkov, odmien či naturálnych miezd. Nezahŕňa odstupné a odchodné.</w:t>
            </w:r>
          </w:p>
          <w:p w14:paraId="713F0108" w14:textId="77777777" w:rsidR="005918FD" w:rsidRPr="000939E3" w:rsidRDefault="005918FD" w:rsidP="007E0AB1">
            <w:pPr>
              <w:spacing w:before="120" w:after="120"/>
            </w:pPr>
            <w:r w:rsidRPr="000939E3">
              <w:t>Zaradenie zamestnancov na pozície je deklarované zamestnávateľmi a negarantuje, že obsah práce zamestnancov v rovnakom povolaní je vo verejnom a súkromnom sektore rovnaký. Presnejšie porovnanie by si však vyžadovalo zozbieranie údajov o obsahoch práce na jednotlivých pozíciách (</w:t>
            </w:r>
            <w:r w:rsidRPr="000939E3">
              <w:rPr>
                <w:i/>
              </w:rPr>
              <w:t>job mapping</w:t>
            </w:r>
            <w:r w:rsidRPr="000939E3">
              <w:t>). Porovnanie pre konkrétnu spoločnosť bude súčasťou výkonnostných auditov.</w:t>
            </w:r>
          </w:p>
          <w:p w14:paraId="191779EF" w14:textId="77777777" w:rsidR="005918FD" w:rsidRPr="000939E3" w:rsidRDefault="005918FD" w:rsidP="007E0AB1">
            <w:pPr>
              <w:spacing w:before="120" w:after="120"/>
            </w:pPr>
            <w:r w:rsidRPr="000939E3">
              <w:t>Metodika:</w:t>
            </w:r>
          </w:p>
          <w:p w14:paraId="34AD7A33" w14:textId="1FF66101" w:rsidR="005918FD" w:rsidRPr="000939E3" w:rsidRDefault="005918FD" w:rsidP="007E0AB1">
            <w:pPr>
              <w:pStyle w:val="Odsekzoznamu"/>
              <w:numPr>
                <w:ilvl w:val="0"/>
                <w:numId w:val="18"/>
              </w:numPr>
              <w:spacing w:before="120" w:after="120"/>
              <w:ind w:left="714" w:hanging="357"/>
              <w:jc w:val="both"/>
            </w:pPr>
            <w:r w:rsidRPr="000939E3">
              <w:t>analýza sa pre lepšiu porovnateľnosť zameriava najmä na kategórie, v ktorých pracuje väčší počet zamestnancov (zvyčajne aspoň 1</w:t>
            </w:r>
            <w:r w:rsidR="00324611" w:rsidRPr="000939E3">
              <w:t xml:space="preserve"> </w:t>
            </w:r>
            <w:r w:rsidRPr="000939E3">
              <w:t>000) ako vo verejnom, tak v súkromnom sektore, výnimočne sú uverejnené aj iné skupiny.</w:t>
            </w:r>
          </w:p>
          <w:p w14:paraId="7E35CF17" w14:textId="77777777" w:rsidR="005918FD" w:rsidRPr="000939E3" w:rsidRDefault="005918FD" w:rsidP="007E0AB1">
            <w:pPr>
              <w:pStyle w:val="Odsekzoznamu"/>
              <w:numPr>
                <w:ilvl w:val="0"/>
                <w:numId w:val="18"/>
              </w:numPr>
              <w:spacing w:before="120" w:after="120"/>
              <w:ind w:left="714" w:hanging="357"/>
              <w:jc w:val="both"/>
            </w:pPr>
            <w:r w:rsidRPr="000939E3">
              <w:t>porovnávané sú mzdy zamestnancov pracujúcich na rovnakej pozícii podľa medzinárodnej klasifikácie ISCO. Pri použitej granularite (ISCO v rozlíšení na 4 cifry) väčšina kategórií kóduje jedno konkrétne povolanie (sekretárka, rušňovodič), prípadne zahŕňa aj rozlíšenie podľa náročnosti práce (rozlíšené sú napríklad ambulantné a nemocničné zdravotné sestry).</w:t>
            </w:r>
          </w:p>
          <w:p w14:paraId="71569A04" w14:textId="77777777" w:rsidR="005918FD" w:rsidRPr="000939E3" w:rsidRDefault="005918FD" w:rsidP="007E0AB1">
            <w:pPr>
              <w:pStyle w:val="Odsekzoznamu"/>
              <w:numPr>
                <w:ilvl w:val="0"/>
                <w:numId w:val="18"/>
              </w:numPr>
              <w:spacing w:before="120" w:after="120"/>
              <w:ind w:left="714" w:hanging="357"/>
              <w:jc w:val="both"/>
            </w:pPr>
            <w:r w:rsidRPr="000939E3">
              <w:t>počty zamestnancov sú počítané zo všetkých záznamov za rok 2017, teda vrátane zamestnancov pracujúcich na čiastočný úväzok</w:t>
            </w:r>
          </w:p>
          <w:p w14:paraId="225F849D" w14:textId="77777777" w:rsidR="005918FD" w:rsidRPr="000939E3" w:rsidRDefault="005918FD" w:rsidP="007E0AB1">
            <w:pPr>
              <w:pStyle w:val="Odsekzoznamu"/>
              <w:numPr>
                <w:ilvl w:val="0"/>
                <w:numId w:val="18"/>
              </w:numPr>
              <w:spacing w:before="120" w:after="120"/>
              <w:ind w:left="714" w:hanging="357"/>
              <w:jc w:val="both"/>
            </w:pPr>
            <w:r w:rsidRPr="000939E3">
              <w:t>dovolenky, PN, nadčasy sú kvantifikované pre zamestnancov pracujúcich celý rok 2017 na plný úväzok</w:t>
            </w:r>
          </w:p>
          <w:p w14:paraId="456F49EF" w14:textId="77777777" w:rsidR="005918FD" w:rsidRPr="000939E3" w:rsidRDefault="005918FD" w:rsidP="007E0AB1">
            <w:pPr>
              <w:pStyle w:val="Odsekzoznamu"/>
              <w:numPr>
                <w:ilvl w:val="0"/>
                <w:numId w:val="18"/>
              </w:numPr>
              <w:spacing w:before="120" w:after="120"/>
              <w:ind w:left="714" w:hanging="357"/>
              <w:jc w:val="both"/>
            </w:pPr>
            <w:r w:rsidRPr="000939E3">
              <w:t>priemerná hodinová mzda je vypočítaná ako celková vyplatená mzda, vydelená celkovým počtom odpracovaných hodín za rok 2017</w:t>
            </w:r>
          </w:p>
          <w:p w14:paraId="597439ED" w14:textId="77777777" w:rsidR="005918FD" w:rsidRPr="000939E3" w:rsidRDefault="005918FD" w:rsidP="007E0AB1">
            <w:pPr>
              <w:pStyle w:val="Odsekzoznamu"/>
              <w:spacing w:after="0" w:line="240" w:lineRule="auto"/>
              <w:ind w:left="1440" w:right="214"/>
              <w:jc w:val="both"/>
            </w:pPr>
          </w:p>
        </w:tc>
      </w:tr>
    </w:tbl>
    <w:p w14:paraId="71C0E91E" w14:textId="344F8B0C" w:rsidR="0004409E" w:rsidRPr="000939E3" w:rsidRDefault="0004409E" w:rsidP="0004409E">
      <w:pPr>
        <w:spacing w:before="240" w:after="120"/>
        <w:rPr>
          <w:rFonts w:eastAsiaTheme="majorEastAsia" w:cstheme="majorBidi"/>
          <w:szCs w:val="32"/>
        </w:rPr>
      </w:pPr>
      <w:r w:rsidRPr="000939E3">
        <w:rPr>
          <w:rFonts w:eastAsiaTheme="majorEastAsia" w:cstheme="majorBidi"/>
          <w:b/>
          <w:szCs w:val="32"/>
        </w:rPr>
        <w:t xml:space="preserve">Mnohé skupiny zamestnancov však verejný sektor platí horšie ako súkromný. Medzi najväčšie patria najmä technickí pracovníci, prevažne pracujúci v doprave, ale aj časť administratívnych pracovníkov napríklad pri </w:t>
      </w:r>
      <w:r w:rsidRPr="000939E3">
        <w:rPr>
          <w:rFonts w:eastAsiaTheme="majorEastAsia" w:cstheme="majorBidi"/>
          <w:b/>
        </w:rPr>
        <w:t>priehradkách</w:t>
      </w:r>
      <w:r w:rsidR="00BF44E1" w:rsidRPr="000939E3">
        <w:rPr>
          <w:rFonts w:eastAsiaTheme="majorEastAsia" w:cstheme="majorBidi"/>
          <w:b/>
        </w:rPr>
        <w:t xml:space="preserve"> (</w:t>
      </w:r>
      <w:r w:rsidR="00BF44E1" w:rsidRPr="000939E3">
        <w:rPr>
          <w:rFonts w:eastAsiaTheme="majorEastAsia" w:cstheme="majorBidi"/>
          <w:b/>
        </w:rPr>
        <w:fldChar w:fldCharType="begin"/>
      </w:r>
      <w:r w:rsidR="00BF44E1" w:rsidRPr="000939E3">
        <w:rPr>
          <w:rFonts w:eastAsiaTheme="majorEastAsia" w:cstheme="majorBidi"/>
          <w:b/>
        </w:rPr>
        <w:instrText xml:space="preserve"> REF _Ref4085141 \h  \* MERGEFORMAT </w:instrText>
      </w:r>
      <w:r w:rsidR="00BF44E1" w:rsidRPr="000939E3">
        <w:rPr>
          <w:rFonts w:eastAsiaTheme="majorEastAsia" w:cstheme="majorBidi"/>
          <w:b/>
        </w:rPr>
      </w:r>
      <w:r w:rsidR="00BF44E1" w:rsidRPr="000939E3">
        <w:rPr>
          <w:rFonts w:eastAsiaTheme="majorEastAsia" w:cstheme="majorBidi"/>
          <w:b/>
        </w:rPr>
        <w:fldChar w:fldCharType="separate"/>
      </w:r>
      <w:r w:rsidR="00BF69CA" w:rsidRPr="00BF69CA">
        <w:rPr>
          <w:b/>
        </w:rPr>
        <w:t xml:space="preserve">Tabuľka </w:t>
      </w:r>
      <w:r w:rsidR="00BF69CA" w:rsidRPr="00BF69CA">
        <w:rPr>
          <w:b/>
          <w:noProof/>
        </w:rPr>
        <w:t>5</w:t>
      </w:r>
      <w:r w:rsidR="00BF44E1" w:rsidRPr="000939E3">
        <w:rPr>
          <w:rFonts w:eastAsiaTheme="majorEastAsia" w:cstheme="majorBidi"/>
          <w:b/>
        </w:rPr>
        <w:fldChar w:fldCharType="end"/>
      </w:r>
      <w:r w:rsidR="00BF44E1" w:rsidRPr="000939E3">
        <w:rPr>
          <w:rFonts w:eastAsiaTheme="majorEastAsia" w:cstheme="majorBidi"/>
          <w:b/>
        </w:rPr>
        <w:t>)</w:t>
      </w:r>
      <w:r w:rsidRPr="000939E3">
        <w:rPr>
          <w:rFonts w:eastAsiaTheme="majorEastAsia" w:cstheme="majorBidi"/>
          <w:b/>
        </w:rPr>
        <w:t xml:space="preserve">. </w:t>
      </w:r>
      <w:r w:rsidRPr="000939E3">
        <w:rPr>
          <w:rFonts w:eastAsiaTheme="majorEastAsia" w:cstheme="majorBidi"/>
          <w:szCs w:val="32"/>
        </w:rPr>
        <w:t>Menej platení ako ich kolegovia v súkromnom sektore sú napríklad posunovači a výhybkári, rušňovodiči, dispečeri a iní technickí pracovníci. Niektoré kategórie sa pravdepodobne líšia aj obsahom práce, keď pod riadiacich pracovníkov v doprave a poštových službách môž</w:t>
      </w:r>
      <w:r w:rsidR="001A7B6C" w:rsidRPr="000939E3">
        <w:rPr>
          <w:rFonts w:eastAsiaTheme="majorEastAsia" w:cstheme="majorBidi"/>
          <w:szCs w:val="32"/>
        </w:rPr>
        <w:t>e</w:t>
      </w:r>
      <w:r w:rsidRPr="000939E3">
        <w:rPr>
          <w:rFonts w:eastAsiaTheme="majorEastAsia" w:cstheme="majorBidi"/>
          <w:szCs w:val="32"/>
        </w:rPr>
        <w:t xml:space="preserve"> spadať riaditeľka </w:t>
      </w:r>
      <w:r w:rsidR="001A7B6C" w:rsidRPr="000939E3">
        <w:rPr>
          <w:rFonts w:eastAsiaTheme="majorEastAsia" w:cstheme="majorBidi"/>
          <w:szCs w:val="32"/>
        </w:rPr>
        <w:t xml:space="preserve">súkromnej </w:t>
      </w:r>
      <w:r w:rsidRPr="000939E3">
        <w:rPr>
          <w:rFonts w:eastAsiaTheme="majorEastAsia" w:cstheme="majorBidi"/>
          <w:szCs w:val="32"/>
        </w:rPr>
        <w:t xml:space="preserve">prepravnej firmy, </w:t>
      </w:r>
      <w:r w:rsidR="001A7B6C" w:rsidRPr="000939E3">
        <w:rPr>
          <w:rFonts w:eastAsiaTheme="majorEastAsia" w:cstheme="majorBidi"/>
          <w:szCs w:val="32"/>
        </w:rPr>
        <w:t xml:space="preserve">ako aj </w:t>
      </w:r>
      <w:r w:rsidRPr="000939E3">
        <w:rPr>
          <w:rFonts w:eastAsiaTheme="majorEastAsia" w:cstheme="majorBidi"/>
          <w:szCs w:val="32"/>
        </w:rPr>
        <w:t>vedúci pobočky pošty.</w:t>
      </w:r>
    </w:p>
    <w:tbl>
      <w:tblPr>
        <w:tblW w:w="5000" w:type="pct"/>
        <w:tblLayout w:type="fixed"/>
        <w:tblCellMar>
          <w:left w:w="70" w:type="dxa"/>
          <w:right w:w="70" w:type="dxa"/>
        </w:tblCellMar>
        <w:tblLook w:val="04A0" w:firstRow="1" w:lastRow="0" w:firstColumn="1" w:lastColumn="0" w:noHBand="0" w:noVBand="1"/>
      </w:tblPr>
      <w:tblGrid>
        <w:gridCol w:w="3829"/>
        <w:gridCol w:w="1561"/>
        <w:gridCol w:w="847"/>
        <w:gridCol w:w="992"/>
        <w:gridCol w:w="798"/>
        <w:gridCol w:w="1045"/>
      </w:tblGrid>
      <w:tr w:rsidR="0004409E" w:rsidRPr="000939E3" w14:paraId="1D6883B2" w14:textId="77777777" w:rsidTr="00783F9C">
        <w:trPr>
          <w:trHeight w:val="20"/>
        </w:trPr>
        <w:tc>
          <w:tcPr>
            <w:tcW w:w="5000" w:type="pct"/>
            <w:gridSpan w:val="6"/>
            <w:tcBorders>
              <w:top w:val="nil"/>
              <w:left w:val="nil"/>
              <w:bottom w:val="single" w:sz="4" w:space="0" w:color="auto"/>
              <w:right w:val="nil"/>
            </w:tcBorders>
            <w:shd w:val="clear" w:color="auto" w:fill="auto"/>
            <w:noWrap/>
            <w:vAlign w:val="bottom"/>
          </w:tcPr>
          <w:p w14:paraId="10BC2873" w14:textId="77777777" w:rsidR="0004409E" w:rsidRPr="000939E3" w:rsidRDefault="0004409E" w:rsidP="00783F9C">
            <w:pPr>
              <w:keepNext/>
              <w:spacing w:after="0" w:line="240" w:lineRule="auto"/>
              <w:contextualSpacing/>
              <w:rPr>
                <w:rFonts w:eastAsia="Times New Roman" w:cs="Times New Roman"/>
                <w:color w:val="000000"/>
                <w:sz w:val="20"/>
                <w:szCs w:val="20"/>
                <w:lang w:eastAsia="sk-SK"/>
              </w:rPr>
            </w:pPr>
            <w:bookmarkStart w:id="155" w:name="_Ref4085141"/>
            <w:bookmarkStart w:id="156" w:name="_Toc34226938"/>
            <w:r w:rsidRPr="000939E3">
              <w:rPr>
                <w:b/>
                <w:sz w:val="20"/>
                <w:szCs w:val="20"/>
              </w:rPr>
              <w:lastRenderedPageBreak/>
              <w:t xml:space="preserve">Tabuľka </w:t>
            </w:r>
            <w:r w:rsidRPr="000939E3">
              <w:rPr>
                <w:b/>
                <w:sz w:val="20"/>
                <w:szCs w:val="20"/>
              </w:rPr>
              <w:fldChar w:fldCharType="begin"/>
            </w:r>
            <w:r w:rsidRPr="000939E3">
              <w:rPr>
                <w:b/>
                <w:sz w:val="20"/>
                <w:szCs w:val="20"/>
              </w:rPr>
              <w:instrText xml:space="preserve"> SEQ Tabuľka \* ARABIC </w:instrText>
            </w:r>
            <w:r w:rsidRPr="000939E3">
              <w:rPr>
                <w:b/>
                <w:sz w:val="20"/>
                <w:szCs w:val="20"/>
              </w:rPr>
              <w:fldChar w:fldCharType="separate"/>
            </w:r>
            <w:r w:rsidR="00BF69CA">
              <w:rPr>
                <w:b/>
                <w:noProof/>
                <w:sz w:val="20"/>
                <w:szCs w:val="20"/>
              </w:rPr>
              <w:t>5</w:t>
            </w:r>
            <w:r w:rsidRPr="000939E3">
              <w:rPr>
                <w:b/>
                <w:sz w:val="20"/>
                <w:szCs w:val="20"/>
              </w:rPr>
              <w:fldChar w:fldCharType="end"/>
            </w:r>
            <w:bookmarkEnd w:id="155"/>
            <w:r w:rsidR="007B4D5C" w:rsidRPr="000939E3">
              <w:rPr>
                <w:b/>
                <w:sz w:val="20"/>
                <w:szCs w:val="20"/>
              </w:rPr>
              <w:t>:</w:t>
            </w:r>
            <w:r w:rsidRPr="000939E3">
              <w:rPr>
                <w:rFonts w:eastAsia="Times New Roman" w:cs="Times New Roman"/>
                <w:b/>
                <w:bCs/>
                <w:sz w:val="20"/>
                <w:szCs w:val="20"/>
                <w:lang w:eastAsia="sk-SK"/>
              </w:rPr>
              <w:t xml:space="preserve"> Vybrané povolania, v ktorých verejný sektor platí menej ako súkromný (2017)</w:t>
            </w:r>
            <w:bookmarkEnd w:id="156"/>
          </w:p>
        </w:tc>
      </w:tr>
      <w:tr w:rsidR="0004409E" w:rsidRPr="000939E3" w14:paraId="50237AA6" w14:textId="77777777" w:rsidTr="00903470">
        <w:trPr>
          <w:trHeight w:val="20"/>
        </w:trPr>
        <w:tc>
          <w:tcPr>
            <w:tcW w:w="2110" w:type="pct"/>
            <w:vMerge w:val="restart"/>
            <w:tcBorders>
              <w:top w:val="single" w:sz="4" w:space="0" w:color="auto"/>
              <w:left w:val="nil"/>
              <w:right w:val="single" w:sz="4" w:space="0" w:color="auto"/>
            </w:tcBorders>
            <w:shd w:val="clear" w:color="auto" w:fill="auto"/>
            <w:noWrap/>
            <w:vAlign w:val="center"/>
            <w:hideMark/>
          </w:tcPr>
          <w:p w14:paraId="4D90F4D1" w14:textId="77777777" w:rsidR="0004409E" w:rsidRPr="000939E3" w:rsidRDefault="0004409E" w:rsidP="00783F9C">
            <w:pPr>
              <w:keepNext/>
              <w:spacing w:after="0" w:line="240" w:lineRule="auto"/>
              <w:contextualSpacing/>
              <w:jc w:val="center"/>
              <w:rPr>
                <w:rFonts w:ascii="Times New Roman" w:eastAsia="Times New Roman" w:hAnsi="Times New Roman" w:cs="Times New Roman"/>
                <w:sz w:val="24"/>
                <w:szCs w:val="24"/>
                <w:lang w:eastAsia="sk-SK"/>
              </w:rPr>
            </w:pPr>
            <w:r w:rsidRPr="000939E3">
              <w:rPr>
                <w:rFonts w:eastAsia="Times New Roman" w:cs="Times New Roman"/>
                <w:b/>
                <w:bCs/>
                <w:lang w:eastAsia="sk-SK"/>
              </w:rPr>
              <w:t>povolanie</w:t>
            </w:r>
          </w:p>
        </w:tc>
        <w:tc>
          <w:tcPr>
            <w:tcW w:w="860" w:type="pct"/>
            <w:vMerge w:val="restart"/>
            <w:tcBorders>
              <w:top w:val="single" w:sz="4" w:space="0" w:color="auto"/>
              <w:left w:val="single" w:sz="4" w:space="0" w:color="auto"/>
              <w:right w:val="single" w:sz="4" w:space="0" w:color="auto"/>
            </w:tcBorders>
            <w:shd w:val="clear" w:color="auto" w:fill="auto"/>
            <w:noWrap/>
            <w:vAlign w:val="center"/>
          </w:tcPr>
          <w:p w14:paraId="4D0CD5C2" w14:textId="77777777" w:rsidR="0004409E" w:rsidRPr="000939E3" w:rsidRDefault="0004409E" w:rsidP="00783F9C">
            <w:pPr>
              <w:keepNext/>
              <w:spacing w:after="0" w:line="240" w:lineRule="auto"/>
              <w:contextualSpacing/>
              <w:jc w:val="center"/>
              <w:rPr>
                <w:rFonts w:eastAsia="Times New Roman" w:cs="Times New Roman"/>
                <w:szCs w:val="20"/>
                <w:lang w:eastAsia="sk-SK"/>
              </w:rPr>
            </w:pPr>
            <w:r w:rsidRPr="000939E3">
              <w:rPr>
                <w:rFonts w:eastAsia="Times New Roman" w:cs="Times New Roman"/>
                <w:szCs w:val="20"/>
                <w:lang w:eastAsia="sk-SK"/>
              </w:rPr>
              <w:t>mzdový diferenciál (v %)</w:t>
            </w:r>
          </w:p>
        </w:tc>
        <w:tc>
          <w:tcPr>
            <w:tcW w:w="1014" w:type="pct"/>
            <w:gridSpan w:val="2"/>
            <w:tcBorders>
              <w:top w:val="single" w:sz="4" w:space="0" w:color="auto"/>
              <w:left w:val="single" w:sz="4" w:space="0" w:color="auto"/>
              <w:right w:val="single" w:sz="4" w:space="0" w:color="auto"/>
            </w:tcBorders>
            <w:shd w:val="clear" w:color="auto" w:fill="auto"/>
            <w:noWrap/>
            <w:vAlign w:val="center"/>
            <w:hideMark/>
          </w:tcPr>
          <w:p w14:paraId="00715988" w14:textId="77777777" w:rsidR="0004409E" w:rsidRPr="000939E3" w:rsidRDefault="0004409E" w:rsidP="00783F9C">
            <w:pPr>
              <w:keepNext/>
              <w:spacing w:after="0" w:line="240" w:lineRule="auto"/>
              <w:contextualSpacing/>
              <w:jc w:val="center"/>
              <w:rPr>
                <w:rFonts w:eastAsia="Times New Roman" w:cs="Times New Roman"/>
                <w:color w:val="000000"/>
                <w:lang w:eastAsia="sk-SK"/>
              </w:rPr>
            </w:pPr>
            <w:r w:rsidRPr="000939E3">
              <w:rPr>
                <w:rFonts w:eastAsia="Times New Roman" w:cs="Times New Roman"/>
                <w:color w:val="000000"/>
                <w:lang w:eastAsia="sk-SK"/>
              </w:rPr>
              <w:t>počet zamestnancov</w:t>
            </w:r>
          </w:p>
        </w:tc>
        <w:tc>
          <w:tcPr>
            <w:tcW w:w="1017" w:type="pct"/>
            <w:gridSpan w:val="2"/>
            <w:tcBorders>
              <w:top w:val="single" w:sz="4" w:space="0" w:color="auto"/>
              <w:left w:val="single" w:sz="4" w:space="0" w:color="auto"/>
              <w:right w:val="nil"/>
            </w:tcBorders>
            <w:shd w:val="clear" w:color="auto" w:fill="auto"/>
            <w:noWrap/>
            <w:vAlign w:val="center"/>
            <w:hideMark/>
          </w:tcPr>
          <w:p w14:paraId="17847905" w14:textId="77777777" w:rsidR="0004409E" w:rsidRPr="000939E3" w:rsidRDefault="0004409E" w:rsidP="00783F9C">
            <w:pPr>
              <w:keepNext/>
              <w:spacing w:after="0" w:line="240" w:lineRule="auto"/>
              <w:contextualSpacing/>
              <w:jc w:val="center"/>
              <w:rPr>
                <w:rFonts w:eastAsia="Times New Roman" w:cs="Times New Roman"/>
                <w:color w:val="000000"/>
                <w:lang w:eastAsia="sk-SK"/>
              </w:rPr>
            </w:pPr>
            <w:r w:rsidRPr="000939E3">
              <w:rPr>
                <w:rFonts w:eastAsia="Times New Roman" w:cs="Times New Roman"/>
                <w:color w:val="000000"/>
                <w:lang w:eastAsia="sk-SK"/>
              </w:rPr>
              <w:t>hodinová mzda</w:t>
            </w:r>
          </w:p>
        </w:tc>
      </w:tr>
      <w:tr w:rsidR="0004409E" w:rsidRPr="000939E3" w14:paraId="56ED669E" w14:textId="77777777" w:rsidTr="00903470">
        <w:trPr>
          <w:trHeight w:val="20"/>
        </w:trPr>
        <w:tc>
          <w:tcPr>
            <w:tcW w:w="2110" w:type="pct"/>
            <w:vMerge/>
            <w:tcBorders>
              <w:left w:val="nil"/>
              <w:bottom w:val="single" w:sz="4" w:space="0" w:color="auto"/>
              <w:right w:val="single" w:sz="4" w:space="0" w:color="auto"/>
            </w:tcBorders>
            <w:shd w:val="clear" w:color="auto" w:fill="auto"/>
            <w:noWrap/>
            <w:hideMark/>
          </w:tcPr>
          <w:p w14:paraId="7C2522BB" w14:textId="77777777" w:rsidR="0004409E" w:rsidRPr="000939E3" w:rsidRDefault="0004409E" w:rsidP="00783F9C">
            <w:pPr>
              <w:keepNext/>
              <w:spacing w:after="0" w:line="240" w:lineRule="auto"/>
              <w:contextualSpacing/>
              <w:jc w:val="center"/>
              <w:rPr>
                <w:rFonts w:eastAsia="Times New Roman" w:cs="Times New Roman"/>
                <w:b/>
                <w:bCs/>
                <w:lang w:eastAsia="sk-SK"/>
              </w:rPr>
            </w:pPr>
          </w:p>
        </w:tc>
        <w:tc>
          <w:tcPr>
            <w:tcW w:w="860" w:type="pct"/>
            <w:vMerge/>
            <w:tcBorders>
              <w:left w:val="single" w:sz="4" w:space="0" w:color="auto"/>
              <w:bottom w:val="single" w:sz="4" w:space="0" w:color="auto"/>
              <w:right w:val="single" w:sz="4" w:space="0" w:color="auto"/>
            </w:tcBorders>
            <w:shd w:val="clear" w:color="auto" w:fill="auto"/>
            <w:noWrap/>
          </w:tcPr>
          <w:p w14:paraId="37B26229" w14:textId="77777777" w:rsidR="0004409E" w:rsidRPr="000939E3" w:rsidRDefault="0004409E" w:rsidP="00783F9C">
            <w:pPr>
              <w:keepNext/>
              <w:spacing w:after="0" w:line="240" w:lineRule="auto"/>
              <w:contextualSpacing/>
              <w:jc w:val="center"/>
              <w:rPr>
                <w:rFonts w:eastAsia="Times New Roman" w:cs="Times New Roman"/>
                <w:szCs w:val="20"/>
                <w:lang w:eastAsia="sk-SK"/>
              </w:rPr>
            </w:pPr>
          </w:p>
        </w:tc>
        <w:tc>
          <w:tcPr>
            <w:tcW w:w="467" w:type="pct"/>
            <w:tcBorders>
              <w:top w:val="nil"/>
              <w:left w:val="single" w:sz="4" w:space="0" w:color="auto"/>
              <w:bottom w:val="single" w:sz="4" w:space="0" w:color="auto"/>
              <w:right w:val="nil"/>
            </w:tcBorders>
            <w:shd w:val="clear" w:color="auto" w:fill="auto"/>
            <w:noWrap/>
            <w:vAlign w:val="center"/>
          </w:tcPr>
          <w:p w14:paraId="516C8D0B" w14:textId="77777777" w:rsidR="0004409E" w:rsidRPr="000939E3" w:rsidRDefault="0004409E" w:rsidP="00783F9C">
            <w:pPr>
              <w:keepNext/>
              <w:spacing w:after="0" w:line="240" w:lineRule="auto"/>
              <w:contextualSpacing/>
              <w:jc w:val="center"/>
              <w:rPr>
                <w:rFonts w:eastAsia="Times New Roman" w:cs="Times New Roman"/>
                <w:bCs/>
                <w:lang w:eastAsia="sk-SK"/>
              </w:rPr>
            </w:pPr>
            <w:r w:rsidRPr="000939E3">
              <w:rPr>
                <w:rFonts w:eastAsia="Times New Roman" w:cs="Times New Roman"/>
                <w:bCs/>
                <w:lang w:eastAsia="sk-SK"/>
              </w:rPr>
              <w:t>verejný</w:t>
            </w:r>
          </w:p>
        </w:tc>
        <w:tc>
          <w:tcPr>
            <w:tcW w:w="547" w:type="pct"/>
            <w:tcBorders>
              <w:top w:val="nil"/>
              <w:left w:val="nil"/>
              <w:bottom w:val="single" w:sz="4" w:space="0" w:color="auto"/>
              <w:right w:val="single" w:sz="4" w:space="0" w:color="auto"/>
            </w:tcBorders>
            <w:shd w:val="clear" w:color="auto" w:fill="auto"/>
            <w:noWrap/>
            <w:vAlign w:val="center"/>
          </w:tcPr>
          <w:p w14:paraId="4C6BCA25" w14:textId="77777777" w:rsidR="0004409E" w:rsidRPr="000939E3" w:rsidRDefault="0004409E" w:rsidP="00783F9C">
            <w:pPr>
              <w:keepNext/>
              <w:spacing w:after="0" w:line="240" w:lineRule="auto"/>
              <w:contextualSpacing/>
              <w:jc w:val="center"/>
              <w:rPr>
                <w:rFonts w:eastAsia="Times New Roman" w:cs="Times New Roman"/>
                <w:bCs/>
                <w:lang w:eastAsia="sk-SK"/>
              </w:rPr>
            </w:pPr>
            <w:r w:rsidRPr="000939E3">
              <w:rPr>
                <w:rFonts w:eastAsia="Times New Roman" w:cs="Times New Roman"/>
                <w:bCs/>
                <w:lang w:eastAsia="sk-SK"/>
              </w:rPr>
              <w:t>súkromný</w:t>
            </w:r>
          </w:p>
        </w:tc>
        <w:tc>
          <w:tcPr>
            <w:tcW w:w="440" w:type="pct"/>
            <w:tcBorders>
              <w:top w:val="nil"/>
              <w:left w:val="single" w:sz="4" w:space="0" w:color="auto"/>
              <w:bottom w:val="single" w:sz="4" w:space="0" w:color="auto"/>
              <w:right w:val="nil"/>
            </w:tcBorders>
            <w:shd w:val="clear" w:color="auto" w:fill="auto"/>
            <w:noWrap/>
            <w:vAlign w:val="center"/>
          </w:tcPr>
          <w:p w14:paraId="5E36BD8A" w14:textId="77777777" w:rsidR="0004409E" w:rsidRPr="000939E3" w:rsidRDefault="0004409E" w:rsidP="00783F9C">
            <w:pPr>
              <w:keepNext/>
              <w:spacing w:after="0" w:line="240" w:lineRule="auto"/>
              <w:contextualSpacing/>
              <w:jc w:val="center"/>
              <w:rPr>
                <w:rFonts w:eastAsia="Times New Roman" w:cs="Times New Roman"/>
                <w:bCs/>
                <w:lang w:eastAsia="sk-SK"/>
              </w:rPr>
            </w:pPr>
            <w:r w:rsidRPr="000939E3">
              <w:rPr>
                <w:rFonts w:eastAsia="Times New Roman" w:cs="Times New Roman"/>
                <w:bCs/>
                <w:lang w:eastAsia="sk-SK"/>
              </w:rPr>
              <w:t>verejný</w:t>
            </w:r>
          </w:p>
        </w:tc>
        <w:tc>
          <w:tcPr>
            <w:tcW w:w="577" w:type="pct"/>
            <w:tcBorders>
              <w:top w:val="nil"/>
              <w:left w:val="nil"/>
              <w:bottom w:val="single" w:sz="4" w:space="0" w:color="auto"/>
              <w:right w:val="nil"/>
            </w:tcBorders>
            <w:shd w:val="clear" w:color="auto" w:fill="auto"/>
            <w:noWrap/>
            <w:vAlign w:val="center"/>
          </w:tcPr>
          <w:p w14:paraId="751237A3" w14:textId="77777777" w:rsidR="0004409E" w:rsidRPr="000939E3" w:rsidRDefault="0004409E" w:rsidP="00783F9C">
            <w:pPr>
              <w:keepNext/>
              <w:spacing w:after="0" w:line="240" w:lineRule="auto"/>
              <w:contextualSpacing/>
              <w:jc w:val="center"/>
              <w:rPr>
                <w:rFonts w:eastAsia="Times New Roman" w:cs="Times New Roman"/>
                <w:bCs/>
                <w:lang w:eastAsia="sk-SK"/>
              </w:rPr>
            </w:pPr>
            <w:r w:rsidRPr="000939E3">
              <w:rPr>
                <w:rFonts w:eastAsia="Times New Roman" w:cs="Times New Roman"/>
                <w:bCs/>
                <w:lang w:eastAsia="sk-SK"/>
              </w:rPr>
              <w:t>súkromný</w:t>
            </w:r>
          </w:p>
        </w:tc>
      </w:tr>
      <w:tr w:rsidR="00B00B92" w:rsidRPr="000939E3" w14:paraId="1600FBED" w14:textId="77777777" w:rsidTr="00903470">
        <w:trPr>
          <w:trHeight w:val="20"/>
        </w:trPr>
        <w:tc>
          <w:tcPr>
            <w:tcW w:w="2110" w:type="pct"/>
            <w:tcBorders>
              <w:top w:val="single" w:sz="4" w:space="0" w:color="auto"/>
              <w:left w:val="nil"/>
              <w:bottom w:val="nil"/>
              <w:right w:val="single" w:sz="4" w:space="0" w:color="auto"/>
            </w:tcBorders>
            <w:shd w:val="clear" w:color="auto" w:fill="auto"/>
            <w:noWrap/>
            <w:vAlign w:val="center"/>
          </w:tcPr>
          <w:p w14:paraId="6C86A5B8" w14:textId="77777777" w:rsidR="00B00B92" w:rsidRPr="000939E3" w:rsidRDefault="00B00B92" w:rsidP="00783F9C">
            <w:pPr>
              <w:keepNext/>
              <w:spacing w:after="0" w:line="240" w:lineRule="auto"/>
              <w:contextualSpacing/>
              <w:rPr>
                <w:rFonts w:eastAsia="Times New Roman" w:cs="Times New Roman"/>
                <w:color w:val="000000"/>
                <w:szCs w:val="20"/>
                <w:lang w:eastAsia="sk-SK"/>
              </w:rPr>
            </w:pPr>
            <w:r w:rsidRPr="000939E3">
              <w:rPr>
                <w:rFonts w:cs="Calibri"/>
                <w:color w:val="000000"/>
                <w:szCs w:val="20"/>
              </w:rPr>
              <w:t>Technici a dispečeri v doprave</w:t>
            </w:r>
          </w:p>
        </w:tc>
        <w:tc>
          <w:tcPr>
            <w:tcW w:w="860" w:type="pct"/>
            <w:tcBorders>
              <w:top w:val="single" w:sz="4" w:space="0" w:color="auto"/>
              <w:left w:val="single" w:sz="4" w:space="0" w:color="auto"/>
              <w:bottom w:val="nil"/>
              <w:right w:val="single" w:sz="4" w:space="0" w:color="auto"/>
            </w:tcBorders>
            <w:shd w:val="clear" w:color="auto" w:fill="auto"/>
            <w:noWrap/>
            <w:vAlign w:val="bottom"/>
          </w:tcPr>
          <w:p w14:paraId="04907A62" w14:textId="77777777" w:rsidR="00B00B92" w:rsidRPr="000939E3" w:rsidRDefault="00B00B92" w:rsidP="00783F9C">
            <w:pPr>
              <w:keepNext/>
              <w:spacing w:after="0" w:line="240" w:lineRule="auto"/>
              <w:contextualSpacing/>
              <w:jc w:val="center"/>
              <w:rPr>
                <w:rFonts w:eastAsia="Times New Roman" w:cs="Times New Roman"/>
                <w:color w:val="000000"/>
                <w:szCs w:val="20"/>
                <w:lang w:eastAsia="sk-SK"/>
              </w:rPr>
            </w:pPr>
            <w:r w:rsidRPr="000939E3">
              <w:rPr>
                <w:color w:val="000000"/>
              </w:rPr>
              <w:t>-13,4%</w:t>
            </w:r>
          </w:p>
        </w:tc>
        <w:tc>
          <w:tcPr>
            <w:tcW w:w="467" w:type="pct"/>
            <w:tcBorders>
              <w:top w:val="single" w:sz="4" w:space="0" w:color="auto"/>
              <w:left w:val="single" w:sz="4" w:space="0" w:color="auto"/>
              <w:bottom w:val="nil"/>
              <w:right w:val="nil"/>
            </w:tcBorders>
            <w:shd w:val="clear" w:color="auto" w:fill="auto"/>
            <w:noWrap/>
            <w:vAlign w:val="bottom"/>
          </w:tcPr>
          <w:p w14:paraId="35B3C2DD" w14:textId="77777777" w:rsidR="00B00B92" w:rsidRPr="000939E3" w:rsidRDefault="00B00B92" w:rsidP="00783F9C">
            <w:pPr>
              <w:keepNext/>
              <w:spacing w:after="0" w:line="240" w:lineRule="auto"/>
              <w:contextualSpacing/>
              <w:jc w:val="right"/>
              <w:rPr>
                <w:rFonts w:eastAsia="Times New Roman" w:cs="Times New Roman"/>
                <w:color w:val="000000"/>
                <w:szCs w:val="20"/>
                <w:lang w:eastAsia="sk-SK"/>
              </w:rPr>
            </w:pPr>
            <w:r w:rsidRPr="000939E3">
              <w:rPr>
                <w:color w:val="000000"/>
              </w:rPr>
              <w:t>7 852</w:t>
            </w:r>
          </w:p>
        </w:tc>
        <w:tc>
          <w:tcPr>
            <w:tcW w:w="547" w:type="pct"/>
            <w:tcBorders>
              <w:top w:val="single" w:sz="4" w:space="0" w:color="auto"/>
              <w:left w:val="nil"/>
              <w:bottom w:val="nil"/>
              <w:right w:val="single" w:sz="4" w:space="0" w:color="auto"/>
            </w:tcBorders>
            <w:shd w:val="clear" w:color="auto" w:fill="auto"/>
            <w:noWrap/>
            <w:vAlign w:val="bottom"/>
          </w:tcPr>
          <w:p w14:paraId="4C477A24" w14:textId="77777777" w:rsidR="00B00B92" w:rsidRPr="000939E3" w:rsidRDefault="00B00B92" w:rsidP="00783F9C">
            <w:pPr>
              <w:keepNext/>
              <w:spacing w:after="0" w:line="240" w:lineRule="auto"/>
              <w:contextualSpacing/>
              <w:jc w:val="right"/>
              <w:rPr>
                <w:rFonts w:eastAsia="Times New Roman" w:cs="Times New Roman"/>
                <w:color w:val="000000"/>
                <w:szCs w:val="20"/>
                <w:lang w:eastAsia="sk-SK"/>
              </w:rPr>
            </w:pPr>
            <w:r w:rsidRPr="000939E3">
              <w:rPr>
                <w:color w:val="000000"/>
              </w:rPr>
              <w:t>11 893</w:t>
            </w:r>
          </w:p>
        </w:tc>
        <w:tc>
          <w:tcPr>
            <w:tcW w:w="440" w:type="pct"/>
            <w:tcBorders>
              <w:top w:val="single" w:sz="4" w:space="0" w:color="auto"/>
              <w:left w:val="single" w:sz="4" w:space="0" w:color="auto"/>
              <w:bottom w:val="nil"/>
              <w:right w:val="nil"/>
            </w:tcBorders>
            <w:shd w:val="clear" w:color="auto" w:fill="auto"/>
            <w:noWrap/>
            <w:vAlign w:val="bottom"/>
          </w:tcPr>
          <w:p w14:paraId="6D259975" w14:textId="77777777" w:rsidR="00B00B92" w:rsidRPr="000939E3" w:rsidRDefault="00B00B92" w:rsidP="00783F9C">
            <w:pPr>
              <w:keepNext/>
              <w:spacing w:after="0" w:line="240" w:lineRule="auto"/>
              <w:contextualSpacing/>
              <w:jc w:val="right"/>
              <w:rPr>
                <w:rFonts w:eastAsia="Times New Roman" w:cs="Times New Roman"/>
                <w:color w:val="000000"/>
                <w:szCs w:val="20"/>
                <w:lang w:eastAsia="sk-SK"/>
              </w:rPr>
            </w:pPr>
            <w:r w:rsidRPr="000939E3">
              <w:rPr>
                <w:color w:val="000000"/>
              </w:rPr>
              <w:t>7,2</w:t>
            </w:r>
          </w:p>
        </w:tc>
        <w:tc>
          <w:tcPr>
            <w:tcW w:w="577" w:type="pct"/>
            <w:tcBorders>
              <w:top w:val="single" w:sz="4" w:space="0" w:color="auto"/>
              <w:left w:val="nil"/>
              <w:bottom w:val="nil"/>
              <w:right w:val="nil"/>
            </w:tcBorders>
            <w:shd w:val="clear" w:color="auto" w:fill="auto"/>
            <w:noWrap/>
            <w:vAlign w:val="bottom"/>
          </w:tcPr>
          <w:p w14:paraId="567D0A4C" w14:textId="77777777" w:rsidR="00B00B92" w:rsidRPr="000939E3" w:rsidRDefault="00B00B92" w:rsidP="00783F9C">
            <w:pPr>
              <w:keepNext/>
              <w:spacing w:after="0" w:line="240" w:lineRule="auto"/>
              <w:contextualSpacing/>
              <w:jc w:val="right"/>
              <w:rPr>
                <w:rFonts w:eastAsia="Times New Roman" w:cs="Times New Roman"/>
                <w:color w:val="000000"/>
                <w:szCs w:val="20"/>
                <w:lang w:eastAsia="sk-SK"/>
              </w:rPr>
            </w:pPr>
            <w:r w:rsidRPr="000939E3">
              <w:rPr>
                <w:color w:val="000000"/>
              </w:rPr>
              <w:t>8,4</w:t>
            </w:r>
          </w:p>
        </w:tc>
      </w:tr>
      <w:tr w:rsidR="00B00B92" w:rsidRPr="000939E3" w14:paraId="7CBBADB1" w14:textId="77777777" w:rsidTr="00903470">
        <w:trPr>
          <w:trHeight w:val="20"/>
        </w:trPr>
        <w:tc>
          <w:tcPr>
            <w:tcW w:w="2110" w:type="pct"/>
            <w:tcBorders>
              <w:left w:val="nil"/>
              <w:bottom w:val="nil"/>
              <w:right w:val="single" w:sz="4" w:space="0" w:color="auto"/>
            </w:tcBorders>
            <w:shd w:val="clear" w:color="auto" w:fill="auto"/>
            <w:noWrap/>
            <w:vAlign w:val="center"/>
          </w:tcPr>
          <w:p w14:paraId="3ECD5F4E" w14:textId="77777777" w:rsidR="00B00B92" w:rsidRPr="000939E3" w:rsidRDefault="00B00B92" w:rsidP="00783F9C">
            <w:pPr>
              <w:keepNext/>
              <w:spacing w:after="0" w:line="240" w:lineRule="auto"/>
              <w:contextualSpacing/>
              <w:rPr>
                <w:rFonts w:eastAsia="Times New Roman" w:cs="Times New Roman"/>
                <w:color w:val="000000"/>
                <w:szCs w:val="20"/>
                <w:lang w:eastAsia="sk-SK"/>
              </w:rPr>
            </w:pPr>
            <w:r w:rsidRPr="000939E3">
              <w:rPr>
                <w:rFonts w:cs="Calibri"/>
                <w:color w:val="000000"/>
                <w:szCs w:val="20"/>
              </w:rPr>
              <w:t>Posunovači, signalisti, výhybkári</w:t>
            </w:r>
          </w:p>
        </w:tc>
        <w:tc>
          <w:tcPr>
            <w:tcW w:w="860" w:type="pct"/>
            <w:tcBorders>
              <w:left w:val="single" w:sz="4" w:space="0" w:color="auto"/>
              <w:bottom w:val="nil"/>
              <w:right w:val="single" w:sz="4" w:space="0" w:color="auto"/>
            </w:tcBorders>
            <w:shd w:val="clear" w:color="auto" w:fill="auto"/>
            <w:noWrap/>
            <w:vAlign w:val="bottom"/>
          </w:tcPr>
          <w:p w14:paraId="67CE139E" w14:textId="77777777" w:rsidR="00B00B92" w:rsidRPr="000939E3" w:rsidRDefault="00B00B92" w:rsidP="00783F9C">
            <w:pPr>
              <w:keepNext/>
              <w:spacing w:after="0" w:line="240" w:lineRule="auto"/>
              <w:contextualSpacing/>
              <w:jc w:val="center"/>
              <w:rPr>
                <w:rFonts w:eastAsia="Times New Roman" w:cs="Times New Roman"/>
                <w:color w:val="000000"/>
                <w:szCs w:val="20"/>
                <w:lang w:eastAsia="sk-SK"/>
              </w:rPr>
            </w:pPr>
            <w:r w:rsidRPr="000939E3">
              <w:rPr>
                <w:color w:val="000000"/>
              </w:rPr>
              <w:t>-33,2%</w:t>
            </w:r>
          </w:p>
        </w:tc>
        <w:tc>
          <w:tcPr>
            <w:tcW w:w="467" w:type="pct"/>
            <w:tcBorders>
              <w:left w:val="single" w:sz="4" w:space="0" w:color="auto"/>
              <w:bottom w:val="nil"/>
              <w:right w:val="nil"/>
            </w:tcBorders>
            <w:shd w:val="clear" w:color="auto" w:fill="auto"/>
            <w:noWrap/>
            <w:vAlign w:val="bottom"/>
          </w:tcPr>
          <w:p w14:paraId="67D37DE5" w14:textId="77777777" w:rsidR="00B00B92" w:rsidRPr="000939E3" w:rsidRDefault="00B00B92" w:rsidP="00783F9C">
            <w:pPr>
              <w:keepNext/>
              <w:spacing w:after="0" w:line="240" w:lineRule="auto"/>
              <w:contextualSpacing/>
              <w:jc w:val="right"/>
              <w:rPr>
                <w:rFonts w:eastAsia="Times New Roman" w:cs="Times New Roman"/>
                <w:color w:val="000000"/>
                <w:szCs w:val="20"/>
                <w:lang w:eastAsia="sk-SK"/>
              </w:rPr>
            </w:pPr>
            <w:r w:rsidRPr="000939E3">
              <w:rPr>
                <w:color w:val="000000"/>
              </w:rPr>
              <w:t>4 999</w:t>
            </w:r>
          </w:p>
        </w:tc>
        <w:tc>
          <w:tcPr>
            <w:tcW w:w="547" w:type="pct"/>
            <w:tcBorders>
              <w:left w:val="nil"/>
              <w:bottom w:val="nil"/>
              <w:right w:val="single" w:sz="4" w:space="0" w:color="auto"/>
            </w:tcBorders>
            <w:shd w:val="clear" w:color="auto" w:fill="auto"/>
            <w:noWrap/>
            <w:vAlign w:val="bottom"/>
          </w:tcPr>
          <w:p w14:paraId="3791B0CE" w14:textId="77777777" w:rsidR="00B00B92" w:rsidRPr="000939E3" w:rsidRDefault="00B00B92" w:rsidP="00783F9C">
            <w:pPr>
              <w:keepNext/>
              <w:spacing w:after="0" w:line="240" w:lineRule="auto"/>
              <w:contextualSpacing/>
              <w:jc w:val="right"/>
              <w:rPr>
                <w:rFonts w:eastAsia="Times New Roman" w:cs="Times New Roman"/>
                <w:color w:val="000000"/>
                <w:szCs w:val="20"/>
                <w:lang w:eastAsia="sk-SK"/>
              </w:rPr>
            </w:pPr>
            <w:r w:rsidRPr="000939E3">
              <w:rPr>
                <w:color w:val="000000"/>
              </w:rPr>
              <w:t>976</w:t>
            </w:r>
          </w:p>
        </w:tc>
        <w:tc>
          <w:tcPr>
            <w:tcW w:w="440" w:type="pct"/>
            <w:tcBorders>
              <w:left w:val="single" w:sz="4" w:space="0" w:color="auto"/>
              <w:bottom w:val="nil"/>
              <w:right w:val="nil"/>
            </w:tcBorders>
            <w:shd w:val="clear" w:color="auto" w:fill="auto"/>
            <w:noWrap/>
            <w:vAlign w:val="bottom"/>
          </w:tcPr>
          <w:p w14:paraId="6B3896EA" w14:textId="77777777" w:rsidR="00B00B92" w:rsidRPr="000939E3" w:rsidRDefault="00B00B92" w:rsidP="00783F9C">
            <w:pPr>
              <w:keepNext/>
              <w:spacing w:after="0" w:line="240" w:lineRule="auto"/>
              <w:contextualSpacing/>
              <w:jc w:val="right"/>
              <w:rPr>
                <w:rFonts w:eastAsia="Times New Roman" w:cs="Times New Roman"/>
                <w:color w:val="000000"/>
                <w:szCs w:val="20"/>
                <w:lang w:eastAsia="sk-SK"/>
              </w:rPr>
            </w:pPr>
            <w:r w:rsidRPr="000939E3">
              <w:rPr>
                <w:color w:val="000000"/>
              </w:rPr>
              <w:t>5,8</w:t>
            </w:r>
          </w:p>
        </w:tc>
        <w:tc>
          <w:tcPr>
            <w:tcW w:w="577" w:type="pct"/>
            <w:tcBorders>
              <w:left w:val="nil"/>
              <w:bottom w:val="nil"/>
              <w:right w:val="nil"/>
            </w:tcBorders>
            <w:shd w:val="clear" w:color="auto" w:fill="auto"/>
            <w:noWrap/>
            <w:vAlign w:val="bottom"/>
          </w:tcPr>
          <w:p w14:paraId="7502852B" w14:textId="77777777" w:rsidR="00B00B92" w:rsidRPr="000939E3" w:rsidRDefault="00B00B92" w:rsidP="00783F9C">
            <w:pPr>
              <w:keepNext/>
              <w:spacing w:after="0" w:line="240" w:lineRule="auto"/>
              <w:contextualSpacing/>
              <w:jc w:val="right"/>
              <w:rPr>
                <w:rFonts w:eastAsia="Times New Roman" w:cs="Times New Roman"/>
                <w:color w:val="000000"/>
                <w:szCs w:val="20"/>
                <w:lang w:eastAsia="sk-SK"/>
              </w:rPr>
            </w:pPr>
            <w:r w:rsidRPr="000939E3">
              <w:rPr>
                <w:color w:val="000000"/>
              </w:rPr>
              <w:t>8,7</w:t>
            </w:r>
          </w:p>
        </w:tc>
      </w:tr>
      <w:tr w:rsidR="00B00B92" w:rsidRPr="000939E3" w14:paraId="4F2CCC76" w14:textId="77777777" w:rsidTr="00903470">
        <w:trPr>
          <w:trHeight w:val="20"/>
        </w:trPr>
        <w:tc>
          <w:tcPr>
            <w:tcW w:w="2110" w:type="pct"/>
            <w:tcBorders>
              <w:left w:val="nil"/>
              <w:bottom w:val="nil"/>
              <w:right w:val="single" w:sz="4" w:space="0" w:color="auto"/>
            </w:tcBorders>
            <w:shd w:val="clear" w:color="auto" w:fill="auto"/>
            <w:noWrap/>
            <w:vAlign w:val="center"/>
          </w:tcPr>
          <w:p w14:paraId="47034EDE" w14:textId="77777777" w:rsidR="00B00B92" w:rsidRPr="000939E3" w:rsidRDefault="00B00B92" w:rsidP="00783F9C">
            <w:pPr>
              <w:keepNext/>
              <w:spacing w:after="0" w:line="240" w:lineRule="auto"/>
              <w:contextualSpacing/>
              <w:rPr>
                <w:rFonts w:eastAsia="Times New Roman" w:cs="Times New Roman"/>
                <w:color w:val="000000"/>
                <w:szCs w:val="20"/>
                <w:lang w:eastAsia="sk-SK"/>
              </w:rPr>
            </w:pPr>
            <w:r w:rsidRPr="000939E3">
              <w:rPr>
                <w:rFonts w:cs="Calibri"/>
                <w:color w:val="000000"/>
                <w:szCs w:val="20"/>
              </w:rPr>
              <w:t>Správcovia objektov</w:t>
            </w:r>
          </w:p>
        </w:tc>
        <w:tc>
          <w:tcPr>
            <w:tcW w:w="860" w:type="pct"/>
            <w:tcBorders>
              <w:left w:val="single" w:sz="4" w:space="0" w:color="auto"/>
              <w:bottom w:val="nil"/>
              <w:right w:val="single" w:sz="4" w:space="0" w:color="auto"/>
            </w:tcBorders>
            <w:shd w:val="clear" w:color="auto" w:fill="auto"/>
            <w:noWrap/>
            <w:vAlign w:val="bottom"/>
          </w:tcPr>
          <w:p w14:paraId="64F58652" w14:textId="77777777" w:rsidR="00B00B92" w:rsidRPr="000939E3" w:rsidRDefault="00B00B92" w:rsidP="00783F9C">
            <w:pPr>
              <w:keepNext/>
              <w:spacing w:after="0" w:line="240" w:lineRule="auto"/>
              <w:contextualSpacing/>
              <w:jc w:val="center"/>
              <w:rPr>
                <w:rFonts w:eastAsia="Times New Roman" w:cs="Times New Roman"/>
                <w:color w:val="000000"/>
                <w:szCs w:val="20"/>
                <w:lang w:eastAsia="sk-SK"/>
              </w:rPr>
            </w:pPr>
            <w:r w:rsidRPr="000939E3">
              <w:rPr>
                <w:color w:val="000000"/>
              </w:rPr>
              <w:t>-15,6%</w:t>
            </w:r>
          </w:p>
        </w:tc>
        <w:tc>
          <w:tcPr>
            <w:tcW w:w="467" w:type="pct"/>
            <w:tcBorders>
              <w:left w:val="single" w:sz="4" w:space="0" w:color="auto"/>
              <w:bottom w:val="nil"/>
              <w:right w:val="nil"/>
            </w:tcBorders>
            <w:shd w:val="clear" w:color="auto" w:fill="auto"/>
            <w:noWrap/>
            <w:vAlign w:val="bottom"/>
          </w:tcPr>
          <w:p w14:paraId="3A2ED24E" w14:textId="77777777" w:rsidR="00B00B92" w:rsidRPr="000939E3" w:rsidRDefault="00B00B92" w:rsidP="00783F9C">
            <w:pPr>
              <w:keepNext/>
              <w:spacing w:after="0" w:line="240" w:lineRule="auto"/>
              <w:contextualSpacing/>
              <w:jc w:val="right"/>
              <w:rPr>
                <w:rFonts w:eastAsia="Times New Roman" w:cs="Times New Roman"/>
                <w:color w:val="000000"/>
                <w:szCs w:val="20"/>
                <w:lang w:eastAsia="sk-SK"/>
              </w:rPr>
            </w:pPr>
            <w:r w:rsidRPr="000939E3">
              <w:rPr>
                <w:color w:val="000000"/>
              </w:rPr>
              <w:t>4 948</w:t>
            </w:r>
          </w:p>
        </w:tc>
        <w:tc>
          <w:tcPr>
            <w:tcW w:w="547" w:type="pct"/>
            <w:tcBorders>
              <w:left w:val="nil"/>
              <w:bottom w:val="nil"/>
              <w:right w:val="single" w:sz="4" w:space="0" w:color="auto"/>
            </w:tcBorders>
            <w:shd w:val="clear" w:color="auto" w:fill="auto"/>
            <w:noWrap/>
            <w:vAlign w:val="bottom"/>
          </w:tcPr>
          <w:p w14:paraId="3146BDFF" w14:textId="77777777" w:rsidR="00B00B92" w:rsidRPr="000939E3" w:rsidRDefault="00B00B92" w:rsidP="00783F9C">
            <w:pPr>
              <w:keepNext/>
              <w:spacing w:after="0" w:line="240" w:lineRule="auto"/>
              <w:contextualSpacing/>
              <w:jc w:val="right"/>
              <w:rPr>
                <w:rFonts w:eastAsia="Times New Roman" w:cs="Times New Roman"/>
                <w:color w:val="000000"/>
                <w:szCs w:val="20"/>
                <w:lang w:eastAsia="sk-SK"/>
              </w:rPr>
            </w:pPr>
            <w:r w:rsidRPr="000939E3">
              <w:rPr>
                <w:color w:val="000000"/>
              </w:rPr>
              <w:t>5 829</w:t>
            </w:r>
          </w:p>
        </w:tc>
        <w:tc>
          <w:tcPr>
            <w:tcW w:w="440" w:type="pct"/>
            <w:tcBorders>
              <w:left w:val="single" w:sz="4" w:space="0" w:color="auto"/>
              <w:bottom w:val="nil"/>
              <w:right w:val="nil"/>
            </w:tcBorders>
            <w:shd w:val="clear" w:color="auto" w:fill="auto"/>
            <w:noWrap/>
            <w:vAlign w:val="bottom"/>
          </w:tcPr>
          <w:p w14:paraId="01F3BA4E" w14:textId="77777777" w:rsidR="00B00B92" w:rsidRPr="000939E3" w:rsidRDefault="00B00B92" w:rsidP="00783F9C">
            <w:pPr>
              <w:keepNext/>
              <w:spacing w:after="0" w:line="240" w:lineRule="auto"/>
              <w:contextualSpacing/>
              <w:jc w:val="right"/>
              <w:rPr>
                <w:rFonts w:eastAsia="Times New Roman" w:cs="Times New Roman"/>
                <w:color w:val="000000"/>
                <w:szCs w:val="20"/>
                <w:lang w:eastAsia="sk-SK"/>
              </w:rPr>
            </w:pPr>
            <w:r w:rsidRPr="000939E3">
              <w:rPr>
                <w:color w:val="000000"/>
              </w:rPr>
              <w:t>5,1</w:t>
            </w:r>
          </w:p>
        </w:tc>
        <w:tc>
          <w:tcPr>
            <w:tcW w:w="577" w:type="pct"/>
            <w:tcBorders>
              <w:left w:val="nil"/>
              <w:bottom w:val="nil"/>
              <w:right w:val="nil"/>
            </w:tcBorders>
            <w:shd w:val="clear" w:color="auto" w:fill="auto"/>
            <w:noWrap/>
            <w:vAlign w:val="bottom"/>
          </w:tcPr>
          <w:p w14:paraId="7E3EED91" w14:textId="77777777" w:rsidR="00B00B92" w:rsidRPr="000939E3" w:rsidRDefault="00B00B92" w:rsidP="00783F9C">
            <w:pPr>
              <w:keepNext/>
              <w:spacing w:after="0" w:line="240" w:lineRule="auto"/>
              <w:contextualSpacing/>
              <w:jc w:val="right"/>
              <w:rPr>
                <w:rFonts w:eastAsia="Times New Roman" w:cs="Times New Roman"/>
                <w:color w:val="000000"/>
                <w:szCs w:val="20"/>
                <w:lang w:eastAsia="sk-SK"/>
              </w:rPr>
            </w:pPr>
            <w:r w:rsidRPr="000939E3">
              <w:rPr>
                <w:color w:val="000000"/>
              </w:rPr>
              <w:t>6,1</w:t>
            </w:r>
          </w:p>
        </w:tc>
      </w:tr>
      <w:tr w:rsidR="00B00B92" w:rsidRPr="000939E3" w14:paraId="26FA0825" w14:textId="77777777" w:rsidTr="00903470">
        <w:trPr>
          <w:trHeight w:val="20"/>
        </w:trPr>
        <w:tc>
          <w:tcPr>
            <w:tcW w:w="2110" w:type="pct"/>
            <w:tcBorders>
              <w:left w:val="nil"/>
              <w:bottom w:val="nil"/>
              <w:right w:val="single" w:sz="4" w:space="0" w:color="auto"/>
            </w:tcBorders>
            <w:shd w:val="clear" w:color="auto" w:fill="auto"/>
            <w:noWrap/>
            <w:vAlign w:val="center"/>
          </w:tcPr>
          <w:p w14:paraId="04ACB44C" w14:textId="6EAD4CA2" w:rsidR="00B00B92" w:rsidRPr="000939E3" w:rsidRDefault="00D946F1" w:rsidP="00783F9C">
            <w:pPr>
              <w:keepNext/>
              <w:spacing w:after="0" w:line="240" w:lineRule="auto"/>
              <w:contextualSpacing/>
              <w:rPr>
                <w:rFonts w:eastAsia="Times New Roman" w:cs="Times New Roman"/>
                <w:color w:val="000000"/>
                <w:szCs w:val="20"/>
                <w:lang w:eastAsia="sk-SK"/>
              </w:rPr>
            </w:pPr>
            <w:r w:rsidRPr="000939E3">
              <w:rPr>
                <w:rFonts w:cs="Calibri"/>
                <w:color w:val="000000"/>
                <w:szCs w:val="20"/>
              </w:rPr>
              <w:t>Riadiaci prac. v doprave, logistike a pošt. službách</w:t>
            </w:r>
          </w:p>
        </w:tc>
        <w:tc>
          <w:tcPr>
            <w:tcW w:w="860" w:type="pct"/>
            <w:tcBorders>
              <w:left w:val="single" w:sz="4" w:space="0" w:color="auto"/>
              <w:bottom w:val="nil"/>
              <w:right w:val="single" w:sz="4" w:space="0" w:color="auto"/>
            </w:tcBorders>
            <w:shd w:val="clear" w:color="auto" w:fill="auto"/>
            <w:noWrap/>
            <w:vAlign w:val="center"/>
          </w:tcPr>
          <w:p w14:paraId="708D6A86" w14:textId="77777777" w:rsidR="00B00B92" w:rsidRPr="000939E3" w:rsidRDefault="00B00B92" w:rsidP="00903470">
            <w:pPr>
              <w:keepNext/>
              <w:spacing w:after="0" w:line="240" w:lineRule="auto"/>
              <w:contextualSpacing/>
              <w:jc w:val="center"/>
              <w:rPr>
                <w:rFonts w:eastAsia="Times New Roman" w:cs="Times New Roman"/>
                <w:color w:val="000000"/>
                <w:szCs w:val="20"/>
                <w:lang w:eastAsia="sk-SK"/>
              </w:rPr>
            </w:pPr>
            <w:r w:rsidRPr="000939E3">
              <w:rPr>
                <w:color w:val="000000"/>
              </w:rPr>
              <w:t>-40,1%</w:t>
            </w:r>
          </w:p>
        </w:tc>
        <w:tc>
          <w:tcPr>
            <w:tcW w:w="467" w:type="pct"/>
            <w:tcBorders>
              <w:left w:val="single" w:sz="4" w:space="0" w:color="auto"/>
              <w:bottom w:val="nil"/>
              <w:right w:val="nil"/>
            </w:tcBorders>
            <w:shd w:val="clear" w:color="auto" w:fill="auto"/>
            <w:noWrap/>
            <w:vAlign w:val="center"/>
          </w:tcPr>
          <w:p w14:paraId="7C3C893E" w14:textId="77777777" w:rsidR="00B00B92" w:rsidRPr="000939E3" w:rsidRDefault="00B00B92" w:rsidP="00903470">
            <w:pPr>
              <w:keepNext/>
              <w:spacing w:after="0" w:line="240" w:lineRule="auto"/>
              <w:contextualSpacing/>
              <w:jc w:val="right"/>
              <w:rPr>
                <w:rFonts w:eastAsia="Times New Roman" w:cs="Times New Roman"/>
                <w:color w:val="000000"/>
                <w:szCs w:val="20"/>
                <w:lang w:eastAsia="sk-SK"/>
              </w:rPr>
            </w:pPr>
            <w:r w:rsidRPr="000939E3">
              <w:rPr>
                <w:color w:val="000000"/>
              </w:rPr>
              <w:t>3 035</w:t>
            </w:r>
          </w:p>
        </w:tc>
        <w:tc>
          <w:tcPr>
            <w:tcW w:w="547" w:type="pct"/>
            <w:tcBorders>
              <w:left w:val="nil"/>
              <w:bottom w:val="nil"/>
              <w:right w:val="single" w:sz="4" w:space="0" w:color="auto"/>
            </w:tcBorders>
            <w:shd w:val="clear" w:color="auto" w:fill="auto"/>
            <w:noWrap/>
            <w:vAlign w:val="center"/>
          </w:tcPr>
          <w:p w14:paraId="396A0563" w14:textId="77777777" w:rsidR="00B00B92" w:rsidRPr="000939E3" w:rsidRDefault="00B00B92" w:rsidP="00903470">
            <w:pPr>
              <w:keepNext/>
              <w:spacing w:after="0" w:line="240" w:lineRule="auto"/>
              <w:contextualSpacing/>
              <w:jc w:val="right"/>
              <w:rPr>
                <w:rFonts w:eastAsia="Times New Roman" w:cs="Times New Roman"/>
                <w:color w:val="000000"/>
                <w:szCs w:val="20"/>
                <w:lang w:eastAsia="sk-SK"/>
              </w:rPr>
            </w:pPr>
            <w:r w:rsidRPr="000939E3">
              <w:rPr>
                <w:color w:val="000000"/>
              </w:rPr>
              <w:t>2 459</w:t>
            </w:r>
          </w:p>
        </w:tc>
        <w:tc>
          <w:tcPr>
            <w:tcW w:w="440" w:type="pct"/>
            <w:tcBorders>
              <w:left w:val="single" w:sz="4" w:space="0" w:color="auto"/>
              <w:bottom w:val="nil"/>
              <w:right w:val="nil"/>
            </w:tcBorders>
            <w:shd w:val="clear" w:color="auto" w:fill="auto"/>
            <w:noWrap/>
            <w:vAlign w:val="center"/>
          </w:tcPr>
          <w:p w14:paraId="335D762A" w14:textId="77777777" w:rsidR="00B00B92" w:rsidRPr="000939E3" w:rsidRDefault="00B00B92" w:rsidP="00903470">
            <w:pPr>
              <w:keepNext/>
              <w:spacing w:after="0" w:line="240" w:lineRule="auto"/>
              <w:contextualSpacing/>
              <w:jc w:val="right"/>
              <w:rPr>
                <w:rFonts w:eastAsia="Times New Roman" w:cs="Times New Roman"/>
                <w:color w:val="000000"/>
                <w:szCs w:val="20"/>
                <w:lang w:eastAsia="sk-SK"/>
              </w:rPr>
            </w:pPr>
            <w:r w:rsidRPr="000939E3">
              <w:rPr>
                <w:color w:val="000000"/>
              </w:rPr>
              <w:t>8,8</w:t>
            </w:r>
          </w:p>
        </w:tc>
        <w:tc>
          <w:tcPr>
            <w:tcW w:w="577" w:type="pct"/>
            <w:tcBorders>
              <w:left w:val="nil"/>
              <w:bottom w:val="nil"/>
              <w:right w:val="nil"/>
            </w:tcBorders>
            <w:shd w:val="clear" w:color="auto" w:fill="auto"/>
            <w:noWrap/>
            <w:vAlign w:val="center"/>
          </w:tcPr>
          <w:p w14:paraId="238B02E0" w14:textId="77777777" w:rsidR="00B00B92" w:rsidRPr="000939E3" w:rsidRDefault="00B00B92" w:rsidP="00903470">
            <w:pPr>
              <w:keepNext/>
              <w:spacing w:after="0" w:line="240" w:lineRule="auto"/>
              <w:contextualSpacing/>
              <w:jc w:val="right"/>
              <w:rPr>
                <w:rFonts w:eastAsia="Times New Roman" w:cs="Times New Roman"/>
                <w:color w:val="000000"/>
                <w:szCs w:val="20"/>
                <w:lang w:eastAsia="sk-SK"/>
              </w:rPr>
            </w:pPr>
            <w:r w:rsidRPr="000939E3">
              <w:rPr>
                <w:color w:val="000000"/>
              </w:rPr>
              <w:t>14,6</w:t>
            </w:r>
          </w:p>
        </w:tc>
      </w:tr>
      <w:tr w:rsidR="00D946F1" w:rsidRPr="000939E3" w14:paraId="64B4DD7E" w14:textId="77777777" w:rsidTr="00903470">
        <w:trPr>
          <w:trHeight w:val="20"/>
        </w:trPr>
        <w:tc>
          <w:tcPr>
            <w:tcW w:w="2110" w:type="pct"/>
            <w:tcBorders>
              <w:left w:val="nil"/>
              <w:bottom w:val="nil"/>
              <w:right w:val="single" w:sz="4" w:space="0" w:color="auto"/>
            </w:tcBorders>
            <w:shd w:val="clear" w:color="auto" w:fill="auto"/>
            <w:noWrap/>
            <w:vAlign w:val="center"/>
          </w:tcPr>
          <w:p w14:paraId="611732D4" w14:textId="08FA7CBC" w:rsidR="00D946F1" w:rsidRPr="000939E3" w:rsidRDefault="00D946F1" w:rsidP="00783F9C">
            <w:pPr>
              <w:keepNext/>
              <w:spacing w:after="0" w:line="240" w:lineRule="auto"/>
              <w:contextualSpacing/>
              <w:rPr>
                <w:rFonts w:eastAsia="Times New Roman" w:cs="Times New Roman"/>
                <w:color w:val="000000"/>
                <w:szCs w:val="20"/>
                <w:lang w:eastAsia="sk-SK"/>
              </w:rPr>
            </w:pPr>
            <w:r w:rsidRPr="000939E3">
              <w:rPr>
                <w:rFonts w:cs="Calibri"/>
                <w:color w:val="000000"/>
                <w:szCs w:val="20"/>
              </w:rPr>
              <w:t xml:space="preserve">Pracovníci pri priehradkách a podobní </w:t>
            </w:r>
          </w:p>
        </w:tc>
        <w:tc>
          <w:tcPr>
            <w:tcW w:w="860" w:type="pct"/>
            <w:tcBorders>
              <w:left w:val="single" w:sz="4" w:space="0" w:color="auto"/>
              <w:bottom w:val="nil"/>
              <w:right w:val="single" w:sz="4" w:space="0" w:color="auto"/>
            </w:tcBorders>
            <w:shd w:val="clear" w:color="auto" w:fill="auto"/>
            <w:noWrap/>
            <w:vAlign w:val="bottom"/>
          </w:tcPr>
          <w:p w14:paraId="5205E27B" w14:textId="7528F69C" w:rsidR="00D946F1" w:rsidRPr="000939E3" w:rsidRDefault="00D946F1" w:rsidP="00783F9C">
            <w:pPr>
              <w:keepNext/>
              <w:spacing w:after="0" w:line="240" w:lineRule="auto"/>
              <w:contextualSpacing/>
              <w:jc w:val="center"/>
              <w:rPr>
                <w:rFonts w:eastAsia="Times New Roman" w:cs="Times New Roman"/>
                <w:color w:val="000000"/>
                <w:szCs w:val="20"/>
                <w:lang w:eastAsia="sk-SK"/>
              </w:rPr>
            </w:pPr>
            <w:r w:rsidRPr="000939E3">
              <w:rPr>
                <w:color w:val="000000"/>
              </w:rPr>
              <w:t>-31,7%</w:t>
            </w:r>
          </w:p>
        </w:tc>
        <w:tc>
          <w:tcPr>
            <w:tcW w:w="467" w:type="pct"/>
            <w:tcBorders>
              <w:left w:val="single" w:sz="4" w:space="0" w:color="auto"/>
              <w:bottom w:val="nil"/>
              <w:right w:val="nil"/>
            </w:tcBorders>
            <w:shd w:val="clear" w:color="auto" w:fill="auto"/>
            <w:noWrap/>
            <w:vAlign w:val="bottom"/>
          </w:tcPr>
          <w:p w14:paraId="46CE5F00" w14:textId="7E8038A3"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3 032</w:t>
            </w:r>
          </w:p>
        </w:tc>
        <w:tc>
          <w:tcPr>
            <w:tcW w:w="547" w:type="pct"/>
            <w:tcBorders>
              <w:left w:val="nil"/>
              <w:bottom w:val="nil"/>
              <w:right w:val="single" w:sz="4" w:space="0" w:color="auto"/>
            </w:tcBorders>
            <w:shd w:val="clear" w:color="auto" w:fill="auto"/>
            <w:noWrap/>
            <w:vAlign w:val="bottom"/>
          </w:tcPr>
          <w:p w14:paraId="761F666D" w14:textId="63ACFD59"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5 896</w:t>
            </w:r>
          </w:p>
        </w:tc>
        <w:tc>
          <w:tcPr>
            <w:tcW w:w="440" w:type="pct"/>
            <w:tcBorders>
              <w:left w:val="single" w:sz="4" w:space="0" w:color="auto"/>
              <w:bottom w:val="nil"/>
              <w:right w:val="nil"/>
            </w:tcBorders>
            <w:shd w:val="clear" w:color="auto" w:fill="auto"/>
            <w:noWrap/>
            <w:vAlign w:val="bottom"/>
          </w:tcPr>
          <w:p w14:paraId="2DA9653A"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5,3</w:t>
            </w:r>
          </w:p>
        </w:tc>
        <w:tc>
          <w:tcPr>
            <w:tcW w:w="577" w:type="pct"/>
            <w:tcBorders>
              <w:left w:val="nil"/>
              <w:bottom w:val="nil"/>
              <w:right w:val="nil"/>
            </w:tcBorders>
            <w:shd w:val="clear" w:color="auto" w:fill="auto"/>
            <w:noWrap/>
            <w:vAlign w:val="bottom"/>
          </w:tcPr>
          <w:p w14:paraId="569D1ED6"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7,8</w:t>
            </w:r>
          </w:p>
        </w:tc>
      </w:tr>
      <w:tr w:rsidR="00D946F1" w:rsidRPr="000939E3" w14:paraId="2FAEC067" w14:textId="77777777" w:rsidTr="00903470">
        <w:trPr>
          <w:trHeight w:val="20"/>
        </w:trPr>
        <w:tc>
          <w:tcPr>
            <w:tcW w:w="2110" w:type="pct"/>
            <w:tcBorders>
              <w:top w:val="nil"/>
              <w:left w:val="nil"/>
              <w:bottom w:val="nil"/>
              <w:right w:val="single" w:sz="4" w:space="0" w:color="auto"/>
            </w:tcBorders>
            <w:shd w:val="clear" w:color="auto" w:fill="auto"/>
            <w:noWrap/>
            <w:vAlign w:val="center"/>
          </w:tcPr>
          <w:p w14:paraId="09A21E3E" w14:textId="77777777" w:rsidR="00D946F1" w:rsidRPr="000939E3" w:rsidRDefault="00D946F1" w:rsidP="00783F9C">
            <w:pPr>
              <w:keepNext/>
              <w:spacing w:after="0" w:line="240" w:lineRule="auto"/>
              <w:contextualSpacing/>
              <w:rPr>
                <w:rFonts w:eastAsia="Times New Roman" w:cs="Times New Roman"/>
                <w:color w:val="000000"/>
                <w:szCs w:val="20"/>
                <w:lang w:eastAsia="sk-SK"/>
              </w:rPr>
            </w:pPr>
            <w:r w:rsidRPr="000939E3">
              <w:rPr>
                <w:rFonts w:cs="Calibri"/>
                <w:color w:val="000000"/>
                <w:szCs w:val="20"/>
              </w:rPr>
              <w:t>Rušňovodiči</w:t>
            </w:r>
          </w:p>
        </w:tc>
        <w:tc>
          <w:tcPr>
            <w:tcW w:w="860" w:type="pct"/>
            <w:tcBorders>
              <w:top w:val="nil"/>
              <w:left w:val="single" w:sz="4" w:space="0" w:color="auto"/>
              <w:bottom w:val="nil"/>
              <w:right w:val="single" w:sz="4" w:space="0" w:color="auto"/>
            </w:tcBorders>
            <w:shd w:val="clear" w:color="auto" w:fill="auto"/>
            <w:noWrap/>
            <w:vAlign w:val="bottom"/>
          </w:tcPr>
          <w:p w14:paraId="2B6EE07B" w14:textId="77777777" w:rsidR="00D946F1" w:rsidRPr="000939E3" w:rsidRDefault="00D946F1" w:rsidP="00783F9C">
            <w:pPr>
              <w:keepNext/>
              <w:spacing w:after="0" w:line="240" w:lineRule="auto"/>
              <w:contextualSpacing/>
              <w:jc w:val="center"/>
              <w:rPr>
                <w:rFonts w:eastAsia="Times New Roman" w:cs="Times New Roman"/>
                <w:color w:val="000000"/>
                <w:szCs w:val="20"/>
                <w:lang w:eastAsia="sk-SK"/>
              </w:rPr>
            </w:pPr>
            <w:r w:rsidRPr="000939E3">
              <w:rPr>
                <w:color w:val="000000"/>
              </w:rPr>
              <w:t>-20,3%</w:t>
            </w:r>
          </w:p>
        </w:tc>
        <w:tc>
          <w:tcPr>
            <w:tcW w:w="467" w:type="pct"/>
            <w:tcBorders>
              <w:top w:val="nil"/>
              <w:left w:val="single" w:sz="4" w:space="0" w:color="auto"/>
              <w:bottom w:val="nil"/>
              <w:right w:val="nil"/>
            </w:tcBorders>
            <w:shd w:val="clear" w:color="auto" w:fill="auto"/>
            <w:noWrap/>
            <w:vAlign w:val="bottom"/>
          </w:tcPr>
          <w:p w14:paraId="57A68BC0"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2 831</w:t>
            </w:r>
          </w:p>
        </w:tc>
        <w:tc>
          <w:tcPr>
            <w:tcW w:w="547" w:type="pct"/>
            <w:tcBorders>
              <w:top w:val="nil"/>
              <w:left w:val="nil"/>
              <w:bottom w:val="nil"/>
              <w:right w:val="single" w:sz="4" w:space="0" w:color="auto"/>
            </w:tcBorders>
            <w:shd w:val="clear" w:color="auto" w:fill="auto"/>
            <w:noWrap/>
            <w:vAlign w:val="bottom"/>
          </w:tcPr>
          <w:p w14:paraId="2B4C2004"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1 057</w:t>
            </w:r>
          </w:p>
        </w:tc>
        <w:tc>
          <w:tcPr>
            <w:tcW w:w="440" w:type="pct"/>
            <w:tcBorders>
              <w:top w:val="nil"/>
              <w:left w:val="single" w:sz="4" w:space="0" w:color="auto"/>
              <w:bottom w:val="nil"/>
              <w:right w:val="nil"/>
            </w:tcBorders>
            <w:shd w:val="clear" w:color="auto" w:fill="auto"/>
            <w:noWrap/>
            <w:vAlign w:val="bottom"/>
          </w:tcPr>
          <w:p w14:paraId="2274F612"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7,9</w:t>
            </w:r>
          </w:p>
        </w:tc>
        <w:tc>
          <w:tcPr>
            <w:tcW w:w="577" w:type="pct"/>
            <w:tcBorders>
              <w:top w:val="nil"/>
              <w:left w:val="nil"/>
              <w:bottom w:val="nil"/>
              <w:right w:val="nil"/>
            </w:tcBorders>
            <w:shd w:val="clear" w:color="auto" w:fill="auto"/>
            <w:noWrap/>
            <w:vAlign w:val="bottom"/>
          </w:tcPr>
          <w:p w14:paraId="7C10E85A"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9,9</w:t>
            </w:r>
          </w:p>
        </w:tc>
      </w:tr>
      <w:tr w:rsidR="00D946F1" w:rsidRPr="000939E3" w14:paraId="5E7466E9" w14:textId="77777777" w:rsidTr="00903470">
        <w:trPr>
          <w:trHeight w:val="20"/>
        </w:trPr>
        <w:tc>
          <w:tcPr>
            <w:tcW w:w="2110" w:type="pct"/>
            <w:tcBorders>
              <w:top w:val="nil"/>
              <w:left w:val="nil"/>
              <w:bottom w:val="nil"/>
              <w:right w:val="single" w:sz="4" w:space="0" w:color="auto"/>
            </w:tcBorders>
            <w:shd w:val="clear" w:color="auto" w:fill="auto"/>
            <w:noWrap/>
            <w:vAlign w:val="center"/>
          </w:tcPr>
          <w:p w14:paraId="5E18050F" w14:textId="77777777" w:rsidR="00D946F1" w:rsidRPr="000939E3" w:rsidRDefault="00D946F1" w:rsidP="00783F9C">
            <w:pPr>
              <w:keepNext/>
              <w:spacing w:after="0" w:line="240" w:lineRule="auto"/>
              <w:contextualSpacing/>
              <w:rPr>
                <w:rFonts w:eastAsia="Times New Roman" w:cs="Times New Roman"/>
                <w:color w:val="000000"/>
                <w:szCs w:val="20"/>
                <w:lang w:eastAsia="sk-SK"/>
              </w:rPr>
            </w:pPr>
            <w:r w:rsidRPr="000939E3">
              <w:rPr>
                <w:rFonts w:cs="Calibri"/>
                <w:color w:val="000000"/>
                <w:szCs w:val="20"/>
              </w:rPr>
              <w:t>Zámočníci, nástrojári a podobní</w:t>
            </w:r>
          </w:p>
        </w:tc>
        <w:tc>
          <w:tcPr>
            <w:tcW w:w="860" w:type="pct"/>
            <w:tcBorders>
              <w:top w:val="nil"/>
              <w:left w:val="single" w:sz="4" w:space="0" w:color="auto"/>
              <w:bottom w:val="nil"/>
              <w:right w:val="single" w:sz="4" w:space="0" w:color="auto"/>
            </w:tcBorders>
            <w:shd w:val="clear" w:color="auto" w:fill="auto"/>
            <w:noWrap/>
            <w:vAlign w:val="bottom"/>
          </w:tcPr>
          <w:p w14:paraId="5A8701E4" w14:textId="77777777" w:rsidR="00D946F1" w:rsidRPr="000939E3" w:rsidRDefault="00D946F1" w:rsidP="00783F9C">
            <w:pPr>
              <w:keepNext/>
              <w:spacing w:after="0" w:line="240" w:lineRule="auto"/>
              <w:contextualSpacing/>
              <w:jc w:val="center"/>
              <w:rPr>
                <w:rFonts w:eastAsia="Times New Roman" w:cs="Times New Roman"/>
                <w:color w:val="000000"/>
                <w:szCs w:val="20"/>
                <w:lang w:eastAsia="sk-SK"/>
              </w:rPr>
            </w:pPr>
            <w:r w:rsidRPr="000939E3">
              <w:rPr>
                <w:color w:val="000000"/>
              </w:rPr>
              <w:t>-25,7%</w:t>
            </w:r>
          </w:p>
        </w:tc>
        <w:tc>
          <w:tcPr>
            <w:tcW w:w="467" w:type="pct"/>
            <w:tcBorders>
              <w:top w:val="nil"/>
              <w:left w:val="single" w:sz="4" w:space="0" w:color="auto"/>
              <w:bottom w:val="nil"/>
              <w:right w:val="nil"/>
            </w:tcBorders>
            <w:shd w:val="clear" w:color="auto" w:fill="auto"/>
            <w:noWrap/>
            <w:vAlign w:val="bottom"/>
          </w:tcPr>
          <w:p w14:paraId="086061D2"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2 286</w:t>
            </w:r>
          </w:p>
        </w:tc>
        <w:tc>
          <w:tcPr>
            <w:tcW w:w="547" w:type="pct"/>
            <w:tcBorders>
              <w:top w:val="nil"/>
              <w:left w:val="nil"/>
              <w:bottom w:val="nil"/>
              <w:right w:val="single" w:sz="4" w:space="0" w:color="auto"/>
            </w:tcBorders>
            <w:shd w:val="clear" w:color="auto" w:fill="auto"/>
            <w:noWrap/>
            <w:vAlign w:val="bottom"/>
          </w:tcPr>
          <w:p w14:paraId="74956E88"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15 213</w:t>
            </w:r>
          </w:p>
        </w:tc>
        <w:tc>
          <w:tcPr>
            <w:tcW w:w="440" w:type="pct"/>
            <w:tcBorders>
              <w:top w:val="nil"/>
              <w:left w:val="single" w:sz="4" w:space="0" w:color="auto"/>
              <w:bottom w:val="nil"/>
              <w:right w:val="nil"/>
            </w:tcBorders>
            <w:shd w:val="clear" w:color="auto" w:fill="auto"/>
            <w:noWrap/>
            <w:vAlign w:val="bottom"/>
          </w:tcPr>
          <w:p w14:paraId="23BE4EEB"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5,7</w:t>
            </w:r>
          </w:p>
        </w:tc>
        <w:tc>
          <w:tcPr>
            <w:tcW w:w="577" w:type="pct"/>
            <w:tcBorders>
              <w:top w:val="nil"/>
              <w:left w:val="nil"/>
              <w:bottom w:val="nil"/>
              <w:right w:val="nil"/>
            </w:tcBorders>
            <w:shd w:val="clear" w:color="auto" w:fill="auto"/>
            <w:noWrap/>
            <w:vAlign w:val="bottom"/>
          </w:tcPr>
          <w:p w14:paraId="56E65C6B"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7,7</w:t>
            </w:r>
          </w:p>
        </w:tc>
      </w:tr>
      <w:tr w:rsidR="00D946F1" w:rsidRPr="000939E3" w14:paraId="338BFA80" w14:textId="77777777" w:rsidTr="00903470">
        <w:trPr>
          <w:trHeight w:val="20"/>
        </w:trPr>
        <w:tc>
          <w:tcPr>
            <w:tcW w:w="2110" w:type="pct"/>
            <w:tcBorders>
              <w:top w:val="nil"/>
              <w:left w:val="nil"/>
              <w:bottom w:val="nil"/>
              <w:right w:val="single" w:sz="4" w:space="0" w:color="auto"/>
            </w:tcBorders>
            <w:shd w:val="clear" w:color="auto" w:fill="auto"/>
            <w:noWrap/>
            <w:vAlign w:val="center"/>
          </w:tcPr>
          <w:p w14:paraId="329CE405" w14:textId="0B48DA98" w:rsidR="00D946F1" w:rsidRPr="00783F9C" w:rsidRDefault="00C26AB4" w:rsidP="00783F9C">
            <w:pPr>
              <w:keepNext/>
              <w:spacing w:after="0" w:line="240" w:lineRule="auto"/>
              <w:contextualSpacing/>
              <w:rPr>
                <w:rFonts w:eastAsia="Times New Roman" w:cs="Times New Roman"/>
                <w:color w:val="000000"/>
                <w:szCs w:val="20"/>
                <w:lang w:eastAsia="sk-SK"/>
              </w:rPr>
            </w:pPr>
            <w:r w:rsidRPr="00783F9C">
              <w:rPr>
                <w:rFonts w:eastAsia="Times New Roman" w:cs="Times New Roman"/>
                <w:szCs w:val="20"/>
                <w:lang w:eastAsia="sk-SK"/>
              </w:rPr>
              <w:t>Projektoví špecialisti/manažéri, špecialisti vnútornej kontroly a podobní</w:t>
            </w:r>
          </w:p>
        </w:tc>
        <w:tc>
          <w:tcPr>
            <w:tcW w:w="860" w:type="pct"/>
            <w:tcBorders>
              <w:top w:val="nil"/>
              <w:left w:val="single" w:sz="4" w:space="0" w:color="auto"/>
              <w:bottom w:val="nil"/>
              <w:right w:val="single" w:sz="4" w:space="0" w:color="auto"/>
            </w:tcBorders>
            <w:shd w:val="clear" w:color="auto" w:fill="auto"/>
            <w:noWrap/>
            <w:vAlign w:val="center"/>
          </w:tcPr>
          <w:p w14:paraId="47E45275" w14:textId="77777777" w:rsidR="00D946F1" w:rsidRPr="000939E3" w:rsidRDefault="00D946F1" w:rsidP="00783F9C">
            <w:pPr>
              <w:keepNext/>
              <w:spacing w:after="0" w:line="240" w:lineRule="auto"/>
              <w:contextualSpacing/>
              <w:jc w:val="center"/>
              <w:rPr>
                <w:rFonts w:eastAsia="Times New Roman" w:cs="Times New Roman"/>
                <w:color w:val="000000"/>
                <w:szCs w:val="20"/>
                <w:lang w:eastAsia="sk-SK"/>
              </w:rPr>
            </w:pPr>
            <w:r w:rsidRPr="000939E3">
              <w:rPr>
                <w:color w:val="000000"/>
              </w:rPr>
              <w:t>-20,7%</w:t>
            </w:r>
          </w:p>
        </w:tc>
        <w:tc>
          <w:tcPr>
            <w:tcW w:w="467" w:type="pct"/>
            <w:tcBorders>
              <w:top w:val="nil"/>
              <w:left w:val="single" w:sz="4" w:space="0" w:color="auto"/>
              <w:bottom w:val="nil"/>
              <w:right w:val="nil"/>
            </w:tcBorders>
            <w:shd w:val="clear" w:color="auto" w:fill="auto"/>
            <w:noWrap/>
            <w:vAlign w:val="center"/>
          </w:tcPr>
          <w:p w14:paraId="1D3C26A7"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2 251</w:t>
            </w:r>
          </w:p>
        </w:tc>
        <w:tc>
          <w:tcPr>
            <w:tcW w:w="547" w:type="pct"/>
            <w:tcBorders>
              <w:top w:val="nil"/>
              <w:left w:val="nil"/>
              <w:bottom w:val="nil"/>
              <w:right w:val="single" w:sz="4" w:space="0" w:color="auto"/>
            </w:tcBorders>
            <w:shd w:val="clear" w:color="auto" w:fill="auto"/>
            <w:noWrap/>
            <w:vAlign w:val="center"/>
          </w:tcPr>
          <w:p w14:paraId="27A38779"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6 308</w:t>
            </w:r>
          </w:p>
        </w:tc>
        <w:tc>
          <w:tcPr>
            <w:tcW w:w="440" w:type="pct"/>
            <w:tcBorders>
              <w:top w:val="nil"/>
              <w:left w:val="single" w:sz="4" w:space="0" w:color="auto"/>
              <w:bottom w:val="nil"/>
              <w:right w:val="nil"/>
            </w:tcBorders>
            <w:shd w:val="clear" w:color="auto" w:fill="auto"/>
            <w:noWrap/>
            <w:vAlign w:val="center"/>
          </w:tcPr>
          <w:p w14:paraId="4790E647"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10,7</w:t>
            </w:r>
          </w:p>
        </w:tc>
        <w:tc>
          <w:tcPr>
            <w:tcW w:w="577" w:type="pct"/>
            <w:tcBorders>
              <w:top w:val="nil"/>
              <w:left w:val="nil"/>
              <w:bottom w:val="nil"/>
              <w:right w:val="nil"/>
            </w:tcBorders>
            <w:shd w:val="clear" w:color="auto" w:fill="auto"/>
            <w:noWrap/>
            <w:vAlign w:val="center"/>
          </w:tcPr>
          <w:p w14:paraId="1CDF09E9"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13,5</w:t>
            </w:r>
          </w:p>
        </w:tc>
      </w:tr>
      <w:tr w:rsidR="00D946F1" w:rsidRPr="000939E3" w14:paraId="4120DFB3" w14:textId="77777777" w:rsidTr="00903470">
        <w:trPr>
          <w:trHeight w:val="20"/>
        </w:trPr>
        <w:tc>
          <w:tcPr>
            <w:tcW w:w="2110" w:type="pct"/>
            <w:tcBorders>
              <w:top w:val="nil"/>
              <w:left w:val="nil"/>
              <w:right w:val="single" w:sz="4" w:space="0" w:color="auto"/>
            </w:tcBorders>
            <w:shd w:val="clear" w:color="auto" w:fill="auto"/>
            <w:noWrap/>
            <w:vAlign w:val="center"/>
          </w:tcPr>
          <w:p w14:paraId="1C15C596" w14:textId="77777777" w:rsidR="00D946F1" w:rsidRPr="000939E3" w:rsidRDefault="00D946F1" w:rsidP="00783F9C">
            <w:pPr>
              <w:keepNext/>
              <w:spacing w:after="0" w:line="240" w:lineRule="auto"/>
              <w:contextualSpacing/>
              <w:rPr>
                <w:rFonts w:eastAsia="Times New Roman" w:cs="Times New Roman"/>
                <w:color w:val="000000"/>
                <w:szCs w:val="20"/>
                <w:lang w:eastAsia="sk-SK"/>
              </w:rPr>
            </w:pPr>
            <w:r w:rsidRPr="000939E3">
              <w:rPr>
                <w:rFonts w:cs="Calibri"/>
                <w:color w:val="000000"/>
                <w:szCs w:val="20"/>
              </w:rPr>
              <w:t xml:space="preserve">Operátori stacionárnych zariadení a strojov </w:t>
            </w:r>
          </w:p>
        </w:tc>
        <w:tc>
          <w:tcPr>
            <w:tcW w:w="860" w:type="pct"/>
            <w:tcBorders>
              <w:top w:val="nil"/>
              <w:left w:val="single" w:sz="4" w:space="0" w:color="auto"/>
              <w:right w:val="single" w:sz="4" w:space="0" w:color="auto"/>
            </w:tcBorders>
            <w:shd w:val="clear" w:color="auto" w:fill="auto"/>
            <w:noWrap/>
            <w:vAlign w:val="bottom"/>
          </w:tcPr>
          <w:p w14:paraId="0A49D11B" w14:textId="77777777" w:rsidR="00D946F1" w:rsidRPr="000939E3" w:rsidRDefault="00D946F1" w:rsidP="00783F9C">
            <w:pPr>
              <w:keepNext/>
              <w:spacing w:after="0" w:line="240" w:lineRule="auto"/>
              <w:contextualSpacing/>
              <w:jc w:val="center"/>
              <w:rPr>
                <w:rFonts w:eastAsia="Times New Roman" w:cs="Times New Roman"/>
                <w:color w:val="000000"/>
                <w:szCs w:val="20"/>
                <w:lang w:eastAsia="sk-SK"/>
              </w:rPr>
            </w:pPr>
            <w:r w:rsidRPr="000939E3">
              <w:rPr>
                <w:color w:val="000000"/>
              </w:rPr>
              <w:t>-13,3%</w:t>
            </w:r>
          </w:p>
        </w:tc>
        <w:tc>
          <w:tcPr>
            <w:tcW w:w="467" w:type="pct"/>
            <w:tcBorders>
              <w:top w:val="nil"/>
              <w:left w:val="single" w:sz="4" w:space="0" w:color="auto"/>
              <w:right w:val="nil"/>
            </w:tcBorders>
            <w:shd w:val="clear" w:color="auto" w:fill="auto"/>
            <w:noWrap/>
            <w:vAlign w:val="bottom"/>
          </w:tcPr>
          <w:p w14:paraId="4CE7A278"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1 597</w:t>
            </w:r>
          </w:p>
        </w:tc>
        <w:tc>
          <w:tcPr>
            <w:tcW w:w="547" w:type="pct"/>
            <w:tcBorders>
              <w:top w:val="nil"/>
              <w:left w:val="nil"/>
              <w:right w:val="single" w:sz="4" w:space="0" w:color="auto"/>
            </w:tcBorders>
            <w:shd w:val="clear" w:color="auto" w:fill="auto"/>
            <w:noWrap/>
            <w:vAlign w:val="bottom"/>
          </w:tcPr>
          <w:p w14:paraId="6D50AF21"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5 343</w:t>
            </w:r>
          </w:p>
        </w:tc>
        <w:tc>
          <w:tcPr>
            <w:tcW w:w="440" w:type="pct"/>
            <w:tcBorders>
              <w:top w:val="nil"/>
              <w:left w:val="single" w:sz="4" w:space="0" w:color="auto"/>
              <w:right w:val="nil"/>
            </w:tcBorders>
            <w:shd w:val="clear" w:color="auto" w:fill="auto"/>
            <w:noWrap/>
            <w:vAlign w:val="bottom"/>
          </w:tcPr>
          <w:p w14:paraId="4B5B8783"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6,1</w:t>
            </w:r>
          </w:p>
        </w:tc>
        <w:tc>
          <w:tcPr>
            <w:tcW w:w="577" w:type="pct"/>
            <w:tcBorders>
              <w:top w:val="nil"/>
              <w:left w:val="nil"/>
              <w:right w:val="nil"/>
            </w:tcBorders>
            <w:shd w:val="clear" w:color="auto" w:fill="auto"/>
            <w:noWrap/>
            <w:vAlign w:val="bottom"/>
          </w:tcPr>
          <w:p w14:paraId="116A969E" w14:textId="77777777" w:rsidR="00D946F1" w:rsidRPr="000939E3" w:rsidRDefault="00D946F1" w:rsidP="00783F9C">
            <w:pPr>
              <w:keepNext/>
              <w:spacing w:after="0" w:line="240" w:lineRule="auto"/>
              <w:contextualSpacing/>
              <w:jc w:val="right"/>
              <w:rPr>
                <w:rFonts w:eastAsia="Times New Roman" w:cs="Times New Roman"/>
                <w:color w:val="000000"/>
                <w:szCs w:val="20"/>
                <w:lang w:eastAsia="sk-SK"/>
              </w:rPr>
            </w:pPr>
            <w:r w:rsidRPr="000939E3">
              <w:rPr>
                <w:color w:val="000000"/>
              </w:rPr>
              <w:t>7,1</w:t>
            </w:r>
          </w:p>
        </w:tc>
      </w:tr>
      <w:tr w:rsidR="00D946F1" w:rsidRPr="000939E3" w14:paraId="451BAA5A" w14:textId="77777777" w:rsidTr="00903470">
        <w:trPr>
          <w:trHeight w:val="20"/>
        </w:trPr>
        <w:tc>
          <w:tcPr>
            <w:tcW w:w="2110" w:type="pct"/>
            <w:tcBorders>
              <w:top w:val="single" w:sz="4" w:space="0" w:color="auto"/>
              <w:left w:val="nil"/>
              <w:right w:val="nil"/>
            </w:tcBorders>
            <w:shd w:val="clear" w:color="auto" w:fill="auto"/>
            <w:noWrap/>
            <w:vAlign w:val="bottom"/>
          </w:tcPr>
          <w:p w14:paraId="2532A7A0" w14:textId="77777777" w:rsidR="00D946F1" w:rsidRPr="000939E3" w:rsidRDefault="00D946F1" w:rsidP="00783F9C">
            <w:pPr>
              <w:spacing w:after="0" w:line="240" w:lineRule="auto"/>
              <w:contextualSpacing/>
              <w:rPr>
                <w:color w:val="000000"/>
              </w:rPr>
            </w:pPr>
          </w:p>
        </w:tc>
        <w:tc>
          <w:tcPr>
            <w:tcW w:w="860" w:type="pct"/>
            <w:tcBorders>
              <w:top w:val="single" w:sz="4" w:space="0" w:color="auto"/>
              <w:left w:val="nil"/>
              <w:right w:val="nil"/>
            </w:tcBorders>
            <w:shd w:val="clear" w:color="auto" w:fill="auto"/>
            <w:noWrap/>
            <w:vAlign w:val="bottom"/>
          </w:tcPr>
          <w:p w14:paraId="2355778C" w14:textId="77777777" w:rsidR="00D946F1" w:rsidRPr="000939E3" w:rsidRDefault="00D946F1" w:rsidP="00783F9C">
            <w:pPr>
              <w:spacing w:after="0" w:line="240" w:lineRule="auto"/>
              <w:contextualSpacing/>
              <w:rPr>
                <w:color w:val="000000"/>
              </w:rPr>
            </w:pPr>
          </w:p>
        </w:tc>
        <w:tc>
          <w:tcPr>
            <w:tcW w:w="467" w:type="pct"/>
            <w:tcBorders>
              <w:top w:val="single" w:sz="4" w:space="0" w:color="auto"/>
              <w:left w:val="nil"/>
              <w:right w:val="nil"/>
            </w:tcBorders>
            <w:shd w:val="clear" w:color="auto" w:fill="auto"/>
            <w:noWrap/>
            <w:vAlign w:val="bottom"/>
          </w:tcPr>
          <w:p w14:paraId="20D80835" w14:textId="77777777" w:rsidR="00D946F1" w:rsidRPr="000939E3" w:rsidRDefault="00D946F1" w:rsidP="00783F9C">
            <w:pPr>
              <w:spacing w:after="0" w:line="240" w:lineRule="auto"/>
              <w:contextualSpacing/>
              <w:jc w:val="right"/>
              <w:rPr>
                <w:color w:val="000000"/>
              </w:rPr>
            </w:pPr>
          </w:p>
        </w:tc>
        <w:tc>
          <w:tcPr>
            <w:tcW w:w="1564" w:type="pct"/>
            <w:gridSpan w:val="3"/>
            <w:tcBorders>
              <w:top w:val="single" w:sz="4" w:space="0" w:color="auto"/>
              <w:left w:val="nil"/>
              <w:right w:val="nil"/>
            </w:tcBorders>
            <w:shd w:val="clear" w:color="auto" w:fill="auto"/>
            <w:noWrap/>
          </w:tcPr>
          <w:p w14:paraId="1ABFA4A2" w14:textId="77777777" w:rsidR="00D946F1" w:rsidRPr="000939E3" w:rsidRDefault="00D946F1" w:rsidP="00783F9C">
            <w:pPr>
              <w:spacing w:after="0" w:line="240" w:lineRule="auto"/>
              <w:contextualSpacing/>
              <w:jc w:val="right"/>
              <w:rPr>
                <w:i/>
                <w:color w:val="000000"/>
              </w:rPr>
            </w:pPr>
            <w:r w:rsidRPr="000939E3">
              <w:rPr>
                <w:i/>
                <w:color w:val="000000"/>
                <w:sz w:val="18"/>
              </w:rPr>
              <w:t>Zdroj: ISCP, prepočty ÚHP</w:t>
            </w:r>
          </w:p>
        </w:tc>
      </w:tr>
    </w:tbl>
    <w:p w14:paraId="390AA5A6" w14:textId="5FC287E1" w:rsidR="00AB3CA0" w:rsidRPr="000939E3" w:rsidRDefault="00AB3CA0" w:rsidP="0004409E">
      <w:pPr>
        <w:spacing w:before="120"/>
      </w:pPr>
      <w:r w:rsidRPr="000939E3">
        <w:rPr>
          <w:rFonts w:eastAsiaTheme="majorEastAsia" w:cstheme="majorBidi"/>
          <w:b/>
          <w:szCs w:val="32"/>
        </w:rPr>
        <w:t>Verejný sektor nevie porovnateľne zaplatiť zamestnancov drahých profesií</w:t>
      </w:r>
      <w:r w:rsidRPr="000939E3">
        <w:rPr>
          <w:rStyle w:val="Odkaznapoznmkupodiarou"/>
          <w:rFonts w:eastAsiaTheme="majorEastAsia" w:cstheme="majorBidi"/>
          <w:b/>
          <w:szCs w:val="32"/>
        </w:rPr>
        <w:footnoteReference w:id="58"/>
      </w:r>
      <w:r w:rsidRPr="000939E3">
        <w:rPr>
          <w:rFonts w:eastAsiaTheme="majorEastAsia" w:cstheme="majorBidi"/>
          <w:b/>
          <w:szCs w:val="32"/>
        </w:rPr>
        <w:t>.</w:t>
      </w:r>
      <w:r w:rsidRPr="000939E3">
        <w:rPr>
          <w:rFonts w:eastAsiaTheme="majorEastAsia" w:cstheme="majorBidi"/>
          <w:szCs w:val="32"/>
        </w:rPr>
        <w:t xml:space="preserve"> </w:t>
      </w:r>
      <w:r w:rsidRPr="000939E3">
        <w:t>Približne 7,5 tisíc verejných zamestnancov mimo veľkých profes</w:t>
      </w:r>
      <w:r w:rsidR="00A3261B" w:rsidRPr="000939E3">
        <w:t>ij</w:t>
      </w:r>
      <w:r w:rsidRPr="000939E3">
        <w:t xml:space="preserve">ných skupín </w:t>
      </w:r>
      <w:r w:rsidR="009C2681" w:rsidRPr="000939E3">
        <w:t xml:space="preserve">(napr. doktori, sestry a učitelia) </w:t>
      </w:r>
      <w:r w:rsidRPr="000939E3">
        <w:t>zarába výrazne menej ako v súkromnom sektore. Viac ako tretinu z toho tvoria riadiaci pracovníci (manažér</w:t>
      </w:r>
      <w:r w:rsidR="009C2681" w:rsidRPr="000939E3">
        <w:t>i</w:t>
      </w:r>
      <w:r w:rsidRPr="000939E3">
        <w:t>), právnici, a pracovníci v oblasti IT</w:t>
      </w:r>
      <w:r w:rsidR="00BF44E1" w:rsidRPr="000939E3">
        <w:t xml:space="preserve"> (</w:t>
      </w:r>
      <w:r w:rsidR="00BF44E1" w:rsidRPr="000939E3">
        <w:fldChar w:fldCharType="begin"/>
      </w:r>
      <w:r w:rsidR="00BF44E1" w:rsidRPr="000939E3">
        <w:instrText xml:space="preserve"> REF _Ref4085226 \h  \* MERGEFORMAT </w:instrText>
      </w:r>
      <w:r w:rsidR="00BF44E1" w:rsidRPr="000939E3">
        <w:fldChar w:fldCharType="separate"/>
      </w:r>
      <w:r w:rsidR="00BF69CA" w:rsidRPr="00BF69CA">
        <w:t xml:space="preserve">Tabuľka </w:t>
      </w:r>
      <w:r w:rsidR="00BF69CA" w:rsidRPr="00BF69CA">
        <w:rPr>
          <w:noProof/>
        </w:rPr>
        <w:t>6</w:t>
      </w:r>
      <w:r w:rsidR="00BF44E1" w:rsidRPr="000939E3">
        <w:fldChar w:fldCharType="end"/>
      </w:r>
      <w:r w:rsidR="00BF44E1" w:rsidRPr="000939E3">
        <w:t>)</w:t>
      </w:r>
      <w:r w:rsidRPr="000939E3">
        <w:t xml:space="preserve">. </w:t>
      </w:r>
    </w:p>
    <w:p w14:paraId="51630DD2" w14:textId="40DB0BE6" w:rsidR="0004409E" w:rsidRPr="000939E3" w:rsidRDefault="0004409E" w:rsidP="00BF44E1">
      <w:pPr>
        <w:spacing w:before="120"/>
        <w:rPr>
          <w:rFonts w:eastAsiaTheme="majorEastAsia" w:cstheme="majorBidi"/>
          <w:szCs w:val="32"/>
        </w:rPr>
      </w:pPr>
      <w:r w:rsidRPr="000939E3">
        <w:rPr>
          <w:rFonts w:eastAsiaTheme="majorEastAsia" w:cstheme="majorBidi"/>
          <w:b/>
          <w:szCs w:val="32"/>
        </w:rPr>
        <w:t xml:space="preserve">Veľké medzisektorové rozdiely v mzdách u týchto profesií môžu spôsobovať nižšiu schopnosť </w:t>
      </w:r>
      <w:r w:rsidR="009577F0" w:rsidRPr="000939E3">
        <w:rPr>
          <w:rFonts w:eastAsiaTheme="majorEastAsia" w:cstheme="majorBidi"/>
          <w:b/>
          <w:szCs w:val="32"/>
        </w:rPr>
        <w:t xml:space="preserve">získať a udržať </w:t>
      </w:r>
      <w:r w:rsidRPr="000939E3">
        <w:rPr>
          <w:rFonts w:eastAsiaTheme="majorEastAsia" w:cstheme="majorBidi"/>
          <w:b/>
          <w:szCs w:val="32"/>
        </w:rPr>
        <w:t xml:space="preserve">takýchto zamestnancov, </w:t>
      </w:r>
      <w:r w:rsidR="009577F0" w:rsidRPr="000939E3">
        <w:rPr>
          <w:rFonts w:eastAsiaTheme="majorEastAsia" w:cstheme="majorBidi"/>
          <w:b/>
          <w:szCs w:val="32"/>
        </w:rPr>
        <w:t xml:space="preserve">ako </w:t>
      </w:r>
      <w:r w:rsidRPr="000939E3">
        <w:rPr>
          <w:rFonts w:eastAsiaTheme="majorEastAsia" w:cstheme="majorBidi"/>
          <w:b/>
          <w:szCs w:val="32"/>
        </w:rPr>
        <w:t>aj nižšiu kvalitu verejných zamestnancov v týchto profesiách.</w:t>
      </w:r>
      <w:r w:rsidR="00CF399C">
        <w:rPr>
          <w:rFonts w:eastAsiaTheme="majorEastAsia" w:cstheme="majorBidi"/>
          <w:szCs w:val="32"/>
        </w:rPr>
        <w:t xml:space="preserve"> Tá </w:t>
      </w:r>
      <w:r w:rsidRPr="000939E3">
        <w:rPr>
          <w:rFonts w:eastAsiaTheme="majorEastAsia" w:cstheme="majorBidi"/>
          <w:szCs w:val="32"/>
        </w:rPr>
        <w:t xml:space="preserve">môže viesť až k nutnosti riešiť zložitejšiu agendu </w:t>
      </w:r>
      <w:r w:rsidR="000E0F36" w:rsidRPr="000939E3">
        <w:rPr>
          <w:rFonts w:eastAsiaTheme="majorEastAsia" w:cstheme="majorBidi"/>
          <w:szCs w:val="32"/>
        </w:rPr>
        <w:t>dodávateľsky</w:t>
      </w:r>
      <w:r w:rsidRPr="000939E3">
        <w:rPr>
          <w:rFonts w:eastAsiaTheme="majorEastAsia" w:cstheme="majorBidi"/>
          <w:szCs w:val="32"/>
        </w:rPr>
        <w:t xml:space="preserve"> (právne služby, analýzy, správa IT systémov), čo môže byť drahšie ako adekvátne ohodnotenie </w:t>
      </w:r>
      <w:r w:rsidR="009577F0" w:rsidRPr="000939E3">
        <w:rPr>
          <w:rFonts w:eastAsiaTheme="majorEastAsia" w:cstheme="majorBidi"/>
          <w:szCs w:val="32"/>
        </w:rPr>
        <w:t>interných kapacít</w:t>
      </w:r>
      <w:r w:rsidRPr="000939E3">
        <w:rPr>
          <w:rFonts w:eastAsiaTheme="majorEastAsia" w:cstheme="majorBidi"/>
          <w:szCs w:val="32"/>
        </w:rPr>
        <w:t xml:space="preserve">. </w:t>
      </w:r>
      <w:r w:rsidR="000E0F36" w:rsidRPr="000939E3">
        <w:t xml:space="preserve">Mechanizmus osobného platu je využívaný len čiastočne, náklady na </w:t>
      </w:r>
      <w:r w:rsidR="007B01E9" w:rsidRPr="000939E3">
        <w:t xml:space="preserve">vysoko kvalifikovaných </w:t>
      </w:r>
      <w:r w:rsidR="000E0F36" w:rsidRPr="000939E3">
        <w:t xml:space="preserve">zamestnancov nie sú rozpočtované samostatne. </w:t>
      </w:r>
    </w:p>
    <w:tbl>
      <w:tblPr>
        <w:tblW w:w="5000" w:type="pct"/>
        <w:tblLayout w:type="fixed"/>
        <w:tblCellMar>
          <w:left w:w="70" w:type="dxa"/>
          <w:right w:w="70" w:type="dxa"/>
        </w:tblCellMar>
        <w:tblLook w:val="04A0" w:firstRow="1" w:lastRow="0" w:firstColumn="1" w:lastColumn="0" w:noHBand="0" w:noVBand="1"/>
      </w:tblPr>
      <w:tblGrid>
        <w:gridCol w:w="4253"/>
        <w:gridCol w:w="1138"/>
        <w:gridCol w:w="847"/>
        <w:gridCol w:w="991"/>
        <w:gridCol w:w="849"/>
        <w:gridCol w:w="994"/>
      </w:tblGrid>
      <w:tr w:rsidR="0004409E" w:rsidRPr="000939E3" w14:paraId="47A1CF13" w14:textId="77777777" w:rsidTr="007A5828">
        <w:trPr>
          <w:trHeight w:val="20"/>
        </w:trPr>
        <w:tc>
          <w:tcPr>
            <w:tcW w:w="5000" w:type="pct"/>
            <w:gridSpan w:val="6"/>
            <w:tcBorders>
              <w:top w:val="nil"/>
              <w:left w:val="nil"/>
              <w:bottom w:val="single" w:sz="4" w:space="0" w:color="auto"/>
              <w:right w:val="nil"/>
            </w:tcBorders>
            <w:shd w:val="clear" w:color="auto" w:fill="auto"/>
            <w:noWrap/>
            <w:vAlign w:val="bottom"/>
          </w:tcPr>
          <w:p w14:paraId="601603EF" w14:textId="77777777" w:rsidR="0004409E" w:rsidRPr="000939E3" w:rsidRDefault="0004409E" w:rsidP="007A5828">
            <w:pPr>
              <w:keepNext/>
              <w:spacing w:after="0" w:line="240" w:lineRule="auto"/>
              <w:contextualSpacing/>
              <w:rPr>
                <w:rFonts w:eastAsia="Times New Roman" w:cs="Times New Roman"/>
                <w:color w:val="000000"/>
                <w:sz w:val="20"/>
                <w:szCs w:val="20"/>
                <w:lang w:eastAsia="sk-SK"/>
              </w:rPr>
            </w:pPr>
            <w:bookmarkStart w:id="157" w:name="_Ref4085226"/>
            <w:bookmarkStart w:id="158" w:name="_Toc34226939"/>
            <w:r w:rsidRPr="000939E3">
              <w:rPr>
                <w:b/>
                <w:sz w:val="20"/>
                <w:szCs w:val="20"/>
              </w:rPr>
              <w:t xml:space="preserve">Tabuľka </w:t>
            </w:r>
            <w:r w:rsidRPr="000939E3">
              <w:rPr>
                <w:b/>
                <w:sz w:val="20"/>
                <w:szCs w:val="20"/>
              </w:rPr>
              <w:fldChar w:fldCharType="begin"/>
            </w:r>
            <w:r w:rsidRPr="000939E3">
              <w:rPr>
                <w:b/>
                <w:sz w:val="20"/>
                <w:szCs w:val="20"/>
              </w:rPr>
              <w:instrText xml:space="preserve"> SEQ Tabuľka \* ARABIC </w:instrText>
            </w:r>
            <w:r w:rsidRPr="000939E3">
              <w:rPr>
                <w:b/>
                <w:sz w:val="20"/>
                <w:szCs w:val="20"/>
              </w:rPr>
              <w:fldChar w:fldCharType="separate"/>
            </w:r>
            <w:r w:rsidR="00BF69CA">
              <w:rPr>
                <w:b/>
                <w:noProof/>
                <w:sz w:val="20"/>
                <w:szCs w:val="20"/>
              </w:rPr>
              <w:t>6</w:t>
            </w:r>
            <w:r w:rsidRPr="000939E3">
              <w:rPr>
                <w:b/>
                <w:sz w:val="20"/>
                <w:szCs w:val="20"/>
              </w:rPr>
              <w:fldChar w:fldCharType="end"/>
            </w:r>
            <w:bookmarkEnd w:id="157"/>
            <w:r w:rsidR="007B4D5C" w:rsidRPr="000939E3">
              <w:rPr>
                <w:b/>
                <w:sz w:val="20"/>
                <w:szCs w:val="20"/>
              </w:rPr>
              <w:t>:</w:t>
            </w:r>
            <w:r w:rsidRPr="000939E3">
              <w:rPr>
                <w:rFonts w:eastAsia="Times New Roman" w:cs="Times New Roman"/>
                <w:b/>
                <w:bCs/>
                <w:sz w:val="20"/>
                <w:szCs w:val="20"/>
                <w:lang w:eastAsia="sk-SK"/>
              </w:rPr>
              <w:t xml:space="preserve"> Vybrané povolania s vyššou priemernou mzdou v súkromnom sektore (2017)</w:t>
            </w:r>
            <w:bookmarkEnd w:id="158"/>
          </w:p>
        </w:tc>
      </w:tr>
      <w:tr w:rsidR="0004409E" w:rsidRPr="000939E3" w14:paraId="2B13E2DA" w14:textId="77777777" w:rsidTr="00903470">
        <w:trPr>
          <w:trHeight w:val="20"/>
        </w:trPr>
        <w:tc>
          <w:tcPr>
            <w:tcW w:w="2344" w:type="pct"/>
            <w:vMerge w:val="restart"/>
            <w:tcBorders>
              <w:top w:val="single" w:sz="4" w:space="0" w:color="auto"/>
              <w:left w:val="nil"/>
              <w:right w:val="single" w:sz="4" w:space="0" w:color="auto"/>
            </w:tcBorders>
            <w:shd w:val="clear" w:color="auto" w:fill="auto"/>
            <w:noWrap/>
            <w:vAlign w:val="center"/>
            <w:hideMark/>
          </w:tcPr>
          <w:p w14:paraId="2591F148" w14:textId="77777777" w:rsidR="0004409E" w:rsidRPr="000939E3" w:rsidRDefault="0004409E" w:rsidP="007A5828">
            <w:pPr>
              <w:keepNext/>
              <w:spacing w:after="0" w:line="240" w:lineRule="auto"/>
              <w:contextualSpacing/>
              <w:jc w:val="center"/>
              <w:rPr>
                <w:rFonts w:ascii="Times New Roman" w:eastAsia="Times New Roman" w:hAnsi="Times New Roman" w:cs="Times New Roman"/>
                <w:sz w:val="24"/>
                <w:szCs w:val="24"/>
                <w:lang w:eastAsia="sk-SK"/>
              </w:rPr>
            </w:pPr>
            <w:r w:rsidRPr="000939E3">
              <w:rPr>
                <w:rFonts w:eastAsia="Times New Roman" w:cs="Times New Roman"/>
                <w:b/>
                <w:bCs/>
                <w:lang w:eastAsia="sk-SK"/>
              </w:rPr>
              <w:t>povolanie</w:t>
            </w:r>
          </w:p>
        </w:tc>
        <w:tc>
          <w:tcPr>
            <w:tcW w:w="627" w:type="pct"/>
            <w:vMerge w:val="restart"/>
            <w:tcBorders>
              <w:top w:val="single" w:sz="4" w:space="0" w:color="auto"/>
              <w:left w:val="single" w:sz="4" w:space="0" w:color="auto"/>
              <w:right w:val="single" w:sz="4" w:space="0" w:color="auto"/>
            </w:tcBorders>
            <w:shd w:val="clear" w:color="auto" w:fill="auto"/>
            <w:noWrap/>
            <w:vAlign w:val="center"/>
          </w:tcPr>
          <w:p w14:paraId="011CE838" w14:textId="6CE63F6B" w:rsidR="0004409E" w:rsidRPr="000939E3" w:rsidRDefault="007A5828" w:rsidP="007A5828">
            <w:pPr>
              <w:keepNext/>
              <w:spacing w:after="0" w:line="240" w:lineRule="auto"/>
              <w:contextualSpacing/>
              <w:jc w:val="center"/>
              <w:rPr>
                <w:rFonts w:eastAsia="Times New Roman" w:cs="Times New Roman"/>
                <w:szCs w:val="20"/>
                <w:lang w:eastAsia="sk-SK"/>
              </w:rPr>
            </w:pPr>
            <w:r>
              <w:rPr>
                <w:rFonts w:eastAsia="Times New Roman" w:cs="Times New Roman"/>
                <w:szCs w:val="20"/>
                <w:lang w:eastAsia="sk-SK"/>
              </w:rPr>
              <w:t xml:space="preserve">mzdový diferenciál </w:t>
            </w:r>
            <w:r w:rsidR="0004409E" w:rsidRPr="000939E3">
              <w:rPr>
                <w:rFonts w:eastAsia="Times New Roman" w:cs="Times New Roman"/>
                <w:szCs w:val="20"/>
                <w:lang w:eastAsia="sk-SK"/>
              </w:rPr>
              <w:t>(v %)</w:t>
            </w:r>
          </w:p>
        </w:tc>
        <w:tc>
          <w:tcPr>
            <w:tcW w:w="1013" w:type="pct"/>
            <w:gridSpan w:val="2"/>
            <w:tcBorders>
              <w:top w:val="single" w:sz="4" w:space="0" w:color="auto"/>
              <w:left w:val="single" w:sz="4" w:space="0" w:color="auto"/>
              <w:right w:val="single" w:sz="4" w:space="0" w:color="auto"/>
            </w:tcBorders>
            <w:shd w:val="clear" w:color="auto" w:fill="auto"/>
            <w:noWrap/>
            <w:vAlign w:val="center"/>
            <w:hideMark/>
          </w:tcPr>
          <w:p w14:paraId="4D05679D" w14:textId="77777777" w:rsidR="0004409E" w:rsidRPr="000939E3" w:rsidRDefault="0004409E" w:rsidP="007A5828">
            <w:pPr>
              <w:keepNext/>
              <w:spacing w:after="0" w:line="240" w:lineRule="auto"/>
              <w:contextualSpacing/>
              <w:jc w:val="center"/>
              <w:rPr>
                <w:rFonts w:eastAsia="Times New Roman" w:cs="Times New Roman"/>
                <w:color w:val="000000"/>
                <w:lang w:eastAsia="sk-SK"/>
              </w:rPr>
            </w:pPr>
            <w:r w:rsidRPr="000939E3">
              <w:rPr>
                <w:rFonts w:eastAsia="Times New Roman" w:cs="Times New Roman"/>
                <w:color w:val="000000"/>
                <w:lang w:eastAsia="sk-SK"/>
              </w:rPr>
              <w:t>počet zamestnancov</w:t>
            </w:r>
          </w:p>
        </w:tc>
        <w:tc>
          <w:tcPr>
            <w:tcW w:w="1016" w:type="pct"/>
            <w:gridSpan w:val="2"/>
            <w:tcBorders>
              <w:top w:val="single" w:sz="4" w:space="0" w:color="auto"/>
              <w:left w:val="single" w:sz="4" w:space="0" w:color="auto"/>
              <w:right w:val="nil"/>
            </w:tcBorders>
            <w:shd w:val="clear" w:color="auto" w:fill="auto"/>
            <w:noWrap/>
            <w:vAlign w:val="center"/>
            <w:hideMark/>
          </w:tcPr>
          <w:p w14:paraId="6364BF83" w14:textId="77777777" w:rsidR="0004409E" w:rsidRPr="000939E3" w:rsidRDefault="0004409E" w:rsidP="007A5828">
            <w:pPr>
              <w:keepNext/>
              <w:spacing w:after="0" w:line="240" w:lineRule="auto"/>
              <w:contextualSpacing/>
              <w:jc w:val="center"/>
              <w:rPr>
                <w:rFonts w:eastAsia="Times New Roman" w:cs="Times New Roman"/>
                <w:color w:val="000000"/>
                <w:lang w:eastAsia="sk-SK"/>
              </w:rPr>
            </w:pPr>
            <w:r w:rsidRPr="000939E3">
              <w:rPr>
                <w:rFonts w:eastAsia="Times New Roman" w:cs="Times New Roman"/>
                <w:color w:val="000000"/>
                <w:lang w:eastAsia="sk-SK"/>
              </w:rPr>
              <w:t>hodinová mzda</w:t>
            </w:r>
          </w:p>
        </w:tc>
      </w:tr>
      <w:tr w:rsidR="0004409E" w:rsidRPr="000939E3" w14:paraId="025F0CAE" w14:textId="77777777" w:rsidTr="00903470">
        <w:trPr>
          <w:trHeight w:val="20"/>
        </w:trPr>
        <w:tc>
          <w:tcPr>
            <w:tcW w:w="2344" w:type="pct"/>
            <w:vMerge/>
            <w:tcBorders>
              <w:left w:val="nil"/>
              <w:bottom w:val="single" w:sz="4" w:space="0" w:color="auto"/>
              <w:right w:val="single" w:sz="4" w:space="0" w:color="auto"/>
            </w:tcBorders>
            <w:shd w:val="clear" w:color="auto" w:fill="auto"/>
            <w:noWrap/>
            <w:hideMark/>
          </w:tcPr>
          <w:p w14:paraId="34F28C01" w14:textId="77777777" w:rsidR="0004409E" w:rsidRPr="000939E3" w:rsidRDefault="0004409E" w:rsidP="007A5828">
            <w:pPr>
              <w:keepNext/>
              <w:spacing w:after="0" w:line="240" w:lineRule="auto"/>
              <w:contextualSpacing/>
              <w:jc w:val="center"/>
              <w:rPr>
                <w:rFonts w:eastAsia="Times New Roman" w:cs="Times New Roman"/>
                <w:b/>
                <w:bCs/>
                <w:lang w:eastAsia="sk-SK"/>
              </w:rPr>
            </w:pPr>
          </w:p>
        </w:tc>
        <w:tc>
          <w:tcPr>
            <w:tcW w:w="627" w:type="pct"/>
            <w:vMerge/>
            <w:tcBorders>
              <w:left w:val="single" w:sz="4" w:space="0" w:color="auto"/>
              <w:bottom w:val="single" w:sz="4" w:space="0" w:color="auto"/>
              <w:right w:val="single" w:sz="4" w:space="0" w:color="auto"/>
            </w:tcBorders>
            <w:shd w:val="clear" w:color="auto" w:fill="auto"/>
            <w:noWrap/>
          </w:tcPr>
          <w:p w14:paraId="57F1CECA" w14:textId="77777777" w:rsidR="0004409E" w:rsidRPr="000939E3" w:rsidRDefault="0004409E" w:rsidP="007A5828">
            <w:pPr>
              <w:keepNext/>
              <w:spacing w:after="0" w:line="240" w:lineRule="auto"/>
              <w:contextualSpacing/>
              <w:jc w:val="center"/>
              <w:rPr>
                <w:rFonts w:eastAsia="Times New Roman" w:cs="Times New Roman"/>
                <w:szCs w:val="20"/>
                <w:lang w:eastAsia="sk-SK"/>
              </w:rPr>
            </w:pPr>
          </w:p>
        </w:tc>
        <w:tc>
          <w:tcPr>
            <w:tcW w:w="467" w:type="pct"/>
            <w:tcBorders>
              <w:top w:val="nil"/>
              <w:left w:val="single" w:sz="4" w:space="0" w:color="auto"/>
              <w:bottom w:val="single" w:sz="4" w:space="0" w:color="auto"/>
              <w:right w:val="nil"/>
            </w:tcBorders>
            <w:shd w:val="clear" w:color="auto" w:fill="auto"/>
            <w:noWrap/>
            <w:vAlign w:val="center"/>
          </w:tcPr>
          <w:p w14:paraId="7296FFB6" w14:textId="77777777" w:rsidR="0004409E" w:rsidRPr="000939E3" w:rsidRDefault="0004409E" w:rsidP="007A5828">
            <w:pPr>
              <w:keepNext/>
              <w:spacing w:after="0" w:line="240" w:lineRule="auto"/>
              <w:contextualSpacing/>
              <w:jc w:val="center"/>
              <w:rPr>
                <w:rFonts w:eastAsia="Times New Roman" w:cs="Times New Roman"/>
                <w:bCs/>
                <w:lang w:eastAsia="sk-SK"/>
              </w:rPr>
            </w:pPr>
            <w:r w:rsidRPr="000939E3">
              <w:rPr>
                <w:rFonts w:eastAsia="Times New Roman" w:cs="Times New Roman"/>
                <w:bCs/>
                <w:lang w:eastAsia="sk-SK"/>
              </w:rPr>
              <w:t>verejný</w:t>
            </w:r>
          </w:p>
        </w:tc>
        <w:tc>
          <w:tcPr>
            <w:tcW w:w="546" w:type="pct"/>
            <w:tcBorders>
              <w:top w:val="nil"/>
              <w:left w:val="nil"/>
              <w:bottom w:val="single" w:sz="4" w:space="0" w:color="auto"/>
              <w:right w:val="single" w:sz="4" w:space="0" w:color="auto"/>
            </w:tcBorders>
            <w:shd w:val="clear" w:color="auto" w:fill="auto"/>
            <w:noWrap/>
            <w:vAlign w:val="center"/>
          </w:tcPr>
          <w:p w14:paraId="25DCCB46" w14:textId="77777777" w:rsidR="0004409E" w:rsidRPr="000939E3" w:rsidRDefault="0004409E" w:rsidP="007A5828">
            <w:pPr>
              <w:keepNext/>
              <w:spacing w:after="0" w:line="240" w:lineRule="auto"/>
              <w:contextualSpacing/>
              <w:jc w:val="center"/>
              <w:rPr>
                <w:rFonts w:eastAsia="Times New Roman" w:cs="Times New Roman"/>
                <w:bCs/>
                <w:lang w:eastAsia="sk-SK"/>
              </w:rPr>
            </w:pPr>
            <w:r w:rsidRPr="000939E3">
              <w:rPr>
                <w:rFonts w:eastAsia="Times New Roman" w:cs="Times New Roman"/>
                <w:bCs/>
                <w:lang w:eastAsia="sk-SK"/>
              </w:rPr>
              <w:t>súkromný</w:t>
            </w:r>
          </w:p>
        </w:tc>
        <w:tc>
          <w:tcPr>
            <w:tcW w:w="468" w:type="pct"/>
            <w:tcBorders>
              <w:top w:val="nil"/>
              <w:left w:val="single" w:sz="4" w:space="0" w:color="auto"/>
              <w:bottom w:val="single" w:sz="4" w:space="0" w:color="auto"/>
              <w:right w:val="nil"/>
            </w:tcBorders>
            <w:shd w:val="clear" w:color="auto" w:fill="auto"/>
            <w:noWrap/>
            <w:vAlign w:val="center"/>
          </w:tcPr>
          <w:p w14:paraId="226F1479" w14:textId="77777777" w:rsidR="0004409E" w:rsidRPr="000939E3" w:rsidRDefault="0004409E" w:rsidP="007A5828">
            <w:pPr>
              <w:keepNext/>
              <w:spacing w:after="0" w:line="240" w:lineRule="auto"/>
              <w:contextualSpacing/>
              <w:jc w:val="center"/>
              <w:rPr>
                <w:rFonts w:eastAsia="Times New Roman" w:cs="Times New Roman"/>
                <w:bCs/>
                <w:lang w:eastAsia="sk-SK"/>
              </w:rPr>
            </w:pPr>
            <w:r w:rsidRPr="000939E3">
              <w:rPr>
                <w:rFonts w:eastAsia="Times New Roman" w:cs="Times New Roman"/>
                <w:bCs/>
                <w:lang w:eastAsia="sk-SK"/>
              </w:rPr>
              <w:t>verejný</w:t>
            </w:r>
          </w:p>
        </w:tc>
        <w:tc>
          <w:tcPr>
            <w:tcW w:w="548" w:type="pct"/>
            <w:tcBorders>
              <w:top w:val="nil"/>
              <w:left w:val="nil"/>
              <w:bottom w:val="single" w:sz="4" w:space="0" w:color="auto"/>
              <w:right w:val="nil"/>
            </w:tcBorders>
            <w:shd w:val="clear" w:color="auto" w:fill="auto"/>
            <w:noWrap/>
            <w:vAlign w:val="center"/>
          </w:tcPr>
          <w:p w14:paraId="1A7129D8" w14:textId="77777777" w:rsidR="0004409E" w:rsidRPr="000939E3" w:rsidRDefault="0004409E" w:rsidP="007A5828">
            <w:pPr>
              <w:keepNext/>
              <w:spacing w:after="0" w:line="240" w:lineRule="auto"/>
              <w:contextualSpacing/>
              <w:jc w:val="center"/>
              <w:rPr>
                <w:rFonts w:eastAsia="Times New Roman" w:cs="Times New Roman"/>
                <w:bCs/>
                <w:lang w:eastAsia="sk-SK"/>
              </w:rPr>
            </w:pPr>
            <w:r w:rsidRPr="000939E3">
              <w:rPr>
                <w:rFonts w:eastAsia="Times New Roman" w:cs="Times New Roman"/>
                <w:bCs/>
                <w:lang w:eastAsia="sk-SK"/>
              </w:rPr>
              <w:t>súkromný</w:t>
            </w:r>
          </w:p>
        </w:tc>
      </w:tr>
      <w:tr w:rsidR="001E5EA4" w:rsidRPr="000939E3" w14:paraId="0F93473E" w14:textId="77777777" w:rsidTr="00903470">
        <w:trPr>
          <w:trHeight w:val="20"/>
        </w:trPr>
        <w:tc>
          <w:tcPr>
            <w:tcW w:w="2344" w:type="pct"/>
            <w:tcBorders>
              <w:top w:val="single" w:sz="4" w:space="0" w:color="auto"/>
              <w:left w:val="nil"/>
              <w:bottom w:val="nil"/>
              <w:right w:val="single" w:sz="4" w:space="0" w:color="auto"/>
            </w:tcBorders>
            <w:shd w:val="clear" w:color="auto" w:fill="auto"/>
            <w:noWrap/>
            <w:vAlign w:val="center"/>
          </w:tcPr>
          <w:p w14:paraId="13760E16" w14:textId="77777777" w:rsidR="001E5EA4" w:rsidRPr="000939E3" w:rsidRDefault="001E5EA4" w:rsidP="007A5828">
            <w:pPr>
              <w:keepNext/>
              <w:spacing w:after="0" w:line="240" w:lineRule="auto"/>
              <w:contextualSpacing/>
              <w:rPr>
                <w:rFonts w:eastAsia="Times New Roman" w:cs="Times New Roman"/>
                <w:color w:val="000000"/>
                <w:szCs w:val="20"/>
                <w:lang w:eastAsia="sk-SK"/>
              </w:rPr>
            </w:pPr>
            <w:r w:rsidRPr="000939E3">
              <w:rPr>
                <w:rFonts w:cs="Calibri"/>
                <w:color w:val="000000"/>
              </w:rPr>
              <w:t>Právnici</w:t>
            </w:r>
          </w:p>
        </w:tc>
        <w:tc>
          <w:tcPr>
            <w:tcW w:w="627" w:type="pct"/>
            <w:tcBorders>
              <w:top w:val="single" w:sz="4" w:space="0" w:color="auto"/>
              <w:left w:val="single" w:sz="4" w:space="0" w:color="auto"/>
              <w:bottom w:val="nil"/>
              <w:right w:val="single" w:sz="4" w:space="0" w:color="auto"/>
            </w:tcBorders>
            <w:shd w:val="clear" w:color="auto" w:fill="auto"/>
            <w:noWrap/>
            <w:vAlign w:val="bottom"/>
          </w:tcPr>
          <w:p w14:paraId="33070F2D" w14:textId="77777777" w:rsidR="001E5EA4" w:rsidRPr="000939E3" w:rsidRDefault="001E5EA4" w:rsidP="007A5828">
            <w:pPr>
              <w:keepNext/>
              <w:spacing w:after="0" w:line="240" w:lineRule="auto"/>
              <w:contextualSpacing/>
              <w:jc w:val="center"/>
              <w:rPr>
                <w:rFonts w:eastAsia="Times New Roman" w:cs="Times New Roman"/>
                <w:color w:val="000000"/>
                <w:szCs w:val="20"/>
                <w:lang w:eastAsia="sk-SK"/>
              </w:rPr>
            </w:pPr>
            <w:r w:rsidRPr="000939E3">
              <w:rPr>
                <w:color w:val="000000"/>
              </w:rPr>
              <w:t>-20,1%</w:t>
            </w:r>
          </w:p>
        </w:tc>
        <w:tc>
          <w:tcPr>
            <w:tcW w:w="467" w:type="pct"/>
            <w:tcBorders>
              <w:top w:val="single" w:sz="4" w:space="0" w:color="auto"/>
              <w:left w:val="single" w:sz="4" w:space="0" w:color="auto"/>
              <w:bottom w:val="nil"/>
              <w:right w:val="nil"/>
            </w:tcBorders>
            <w:shd w:val="clear" w:color="auto" w:fill="auto"/>
            <w:noWrap/>
            <w:vAlign w:val="bottom"/>
          </w:tcPr>
          <w:p w14:paraId="30DE1022" w14:textId="77777777" w:rsidR="001E5EA4" w:rsidRPr="000939E3" w:rsidRDefault="001E5EA4" w:rsidP="007A5828">
            <w:pPr>
              <w:keepNext/>
              <w:spacing w:after="0" w:line="240" w:lineRule="auto"/>
              <w:contextualSpacing/>
              <w:jc w:val="right"/>
              <w:rPr>
                <w:rFonts w:eastAsia="Times New Roman" w:cs="Times New Roman"/>
                <w:color w:val="000000"/>
                <w:szCs w:val="20"/>
                <w:lang w:eastAsia="sk-SK"/>
              </w:rPr>
            </w:pPr>
            <w:r w:rsidRPr="000939E3">
              <w:rPr>
                <w:color w:val="000000"/>
              </w:rPr>
              <w:t>1 427</w:t>
            </w:r>
          </w:p>
        </w:tc>
        <w:tc>
          <w:tcPr>
            <w:tcW w:w="546" w:type="pct"/>
            <w:tcBorders>
              <w:top w:val="single" w:sz="4" w:space="0" w:color="auto"/>
              <w:left w:val="nil"/>
              <w:bottom w:val="nil"/>
              <w:right w:val="single" w:sz="4" w:space="0" w:color="auto"/>
            </w:tcBorders>
            <w:shd w:val="clear" w:color="auto" w:fill="auto"/>
            <w:noWrap/>
            <w:vAlign w:val="bottom"/>
          </w:tcPr>
          <w:p w14:paraId="521DB993" w14:textId="77777777" w:rsidR="001E5EA4" w:rsidRPr="000939E3" w:rsidRDefault="001E5EA4" w:rsidP="007A5828">
            <w:pPr>
              <w:keepNext/>
              <w:spacing w:after="0" w:line="240" w:lineRule="auto"/>
              <w:contextualSpacing/>
              <w:jc w:val="right"/>
              <w:rPr>
                <w:rFonts w:eastAsia="Times New Roman" w:cs="Times New Roman"/>
                <w:color w:val="000000"/>
                <w:szCs w:val="20"/>
                <w:lang w:eastAsia="sk-SK"/>
              </w:rPr>
            </w:pPr>
            <w:r w:rsidRPr="000939E3">
              <w:rPr>
                <w:color w:val="000000"/>
              </w:rPr>
              <w:t>1 203</w:t>
            </w:r>
          </w:p>
        </w:tc>
        <w:tc>
          <w:tcPr>
            <w:tcW w:w="468" w:type="pct"/>
            <w:tcBorders>
              <w:top w:val="single" w:sz="4" w:space="0" w:color="auto"/>
              <w:left w:val="single" w:sz="4" w:space="0" w:color="auto"/>
              <w:bottom w:val="nil"/>
              <w:right w:val="nil"/>
            </w:tcBorders>
            <w:shd w:val="clear" w:color="auto" w:fill="auto"/>
            <w:noWrap/>
            <w:vAlign w:val="bottom"/>
          </w:tcPr>
          <w:p w14:paraId="59651258" w14:textId="77777777" w:rsidR="001E5EA4" w:rsidRPr="000939E3" w:rsidRDefault="001E5EA4" w:rsidP="007A5828">
            <w:pPr>
              <w:keepNext/>
              <w:spacing w:after="0" w:line="240" w:lineRule="auto"/>
              <w:contextualSpacing/>
              <w:jc w:val="right"/>
              <w:rPr>
                <w:rFonts w:eastAsia="Times New Roman" w:cs="Times New Roman"/>
                <w:color w:val="000000"/>
                <w:szCs w:val="20"/>
                <w:lang w:eastAsia="sk-SK"/>
              </w:rPr>
            </w:pPr>
            <w:r w:rsidRPr="000939E3">
              <w:rPr>
                <w:color w:val="000000"/>
              </w:rPr>
              <w:t>11,2</w:t>
            </w:r>
          </w:p>
        </w:tc>
        <w:tc>
          <w:tcPr>
            <w:tcW w:w="548" w:type="pct"/>
            <w:tcBorders>
              <w:top w:val="single" w:sz="4" w:space="0" w:color="auto"/>
              <w:left w:val="nil"/>
              <w:bottom w:val="nil"/>
              <w:right w:val="nil"/>
            </w:tcBorders>
            <w:shd w:val="clear" w:color="auto" w:fill="auto"/>
            <w:noWrap/>
            <w:vAlign w:val="bottom"/>
          </w:tcPr>
          <w:p w14:paraId="157DA0EC" w14:textId="77777777" w:rsidR="001E5EA4" w:rsidRPr="000939E3" w:rsidRDefault="001E5EA4" w:rsidP="007A5828">
            <w:pPr>
              <w:keepNext/>
              <w:spacing w:after="0" w:line="240" w:lineRule="auto"/>
              <w:contextualSpacing/>
              <w:jc w:val="right"/>
              <w:rPr>
                <w:rFonts w:eastAsia="Times New Roman" w:cs="Times New Roman"/>
                <w:color w:val="000000"/>
                <w:szCs w:val="20"/>
                <w:lang w:eastAsia="sk-SK"/>
              </w:rPr>
            </w:pPr>
            <w:r w:rsidRPr="000939E3">
              <w:rPr>
                <w:color w:val="000000"/>
              </w:rPr>
              <w:t>14,0</w:t>
            </w:r>
          </w:p>
        </w:tc>
      </w:tr>
      <w:tr w:rsidR="001E5EA4" w:rsidRPr="000939E3" w14:paraId="0233783B" w14:textId="77777777" w:rsidTr="00903470">
        <w:trPr>
          <w:trHeight w:val="20"/>
        </w:trPr>
        <w:tc>
          <w:tcPr>
            <w:tcW w:w="2344" w:type="pct"/>
            <w:tcBorders>
              <w:left w:val="nil"/>
              <w:bottom w:val="nil"/>
              <w:right w:val="single" w:sz="4" w:space="0" w:color="auto"/>
            </w:tcBorders>
            <w:shd w:val="clear" w:color="auto" w:fill="auto"/>
            <w:noWrap/>
            <w:vAlign w:val="center"/>
          </w:tcPr>
          <w:p w14:paraId="2020D045" w14:textId="77777777" w:rsidR="001E5EA4" w:rsidRPr="000939E3" w:rsidRDefault="001E5EA4" w:rsidP="007A5828">
            <w:pPr>
              <w:keepNext/>
              <w:spacing w:after="0" w:line="240" w:lineRule="auto"/>
              <w:contextualSpacing/>
              <w:rPr>
                <w:rFonts w:eastAsia="Times New Roman" w:cs="Times New Roman"/>
                <w:color w:val="000000"/>
                <w:szCs w:val="20"/>
                <w:lang w:eastAsia="sk-SK"/>
              </w:rPr>
            </w:pPr>
            <w:r w:rsidRPr="000939E3">
              <w:rPr>
                <w:rFonts w:cs="Calibri"/>
                <w:color w:val="000000"/>
              </w:rPr>
              <w:t>Riadiaci pracovníci (manažéri) v oblasti financií</w:t>
            </w:r>
          </w:p>
        </w:tc>
        <w:tc>
          <w:tcPr>
            <w:tcW w:w="627" w:type="pct"/>
            <w:tcBorders>
              <w:left w:val="single" w:sz="4" w:space="0" w:color="auto"/>
              <w:bottom w:val="nil"/>
              <w:right w:val="single" w:sz="4" w:space="0" w:color="auto"/>
            </w:tcBorders>
            <w:shd w:val="clear" w:color="auto" w:fill="auto"/>
            <w:noWrap/>
            <w:vAlign w:val="bottom"/>
          </w:tcPr>
          <w:p w14:paraId="25E2AA21" w14:textId="77777777" w:rsidR="001E5EA4" w:rsidRPr="000939E3" w:rsidRDefault="001E5EA4" w:rsidP="007A5828">
            <w:pPr>
              <w:keepNext/>
              <w:spacing w:after="0" w:line="240" w:lineRule="auto"/>
              <w:contextualSpacing/>
              <w:jc w:val="center"/>
              <w:rPr>
                <w:rFonts w:eastAsia="Times New Roman" w:cs="Times New Roman"/>
                <w:color w:val="000000"/>
                <w:szCs w:val="20"/>
                <w:lang w:eastAsia="sk-SK"/>
              </w:rPr>
            </w:pPr>
            <w:r w:rsidRPr="000939E3">
              <w:rPr>
                <w:color w:val="000000"/>
              </w:rPr>
              <w:t>-23,6%</w:t>
            </w:r>
          </w:p>
        </w:tc>
        <w:tc>
          <w:tcPr>
            <w:tcW w:w="467" w:type="pct"/>
            <w:tcBorders>
              <w:left w:val="single" w:sz="4" w:space="0" w:color="auto"/>
              <w:bottom w:val="nil"/>
              <w:right w:val="nil"/>
            </w:tcBorders>
            <w:shd w:val="clear" w:color="auto" w:fill="auto"/>
            <w:noWrap/>
            <w:vAlign w:val="bottom"/>
          </w:tcPr>
          <w:p w14:paraId="03A57D46" w14:textId="77777777" w:rsidR="001E5EA4" w:rsidRPr="000939E3" w:rsidRDefault="001E5EA4" w:rsidP="007A5828">
            <w:pPr>
              <w:keepNext/>
              <w:spacing w:after="0" w:line="240" w:lineRule="auto"/>
              <w:contextualSpacing/>
              <w:jc w:val="right"/>
              <w:rPr>
                <w:rFonts w:eastAsia="Times New Roman" w:cs="Times New Roman"/>
                <w:color w:val="000000"/>
                <w:szCs w:val="20"/>
                <w:lang w:eastAsia="sk-SK"/>
              </w:rPr>
            </w:pPr>
            <w:r w:rsidRPr="000939E3">
              <w:rPr>
                <w:color w:val="000000"/>
              </w:rPr>
              <w:t>991</w:t>
            </w:r>
          </w:p>
        </w:tc>
        <w:tc>
          <w:tcPr>
            <w:tcW w:w="546" w:type="pct"/>
            <w:tcBorders>
              <w:left w:val="nil"/>
              <w:bottom w:val="nil"/>
              <w:right w:val="single" w:sz="4" w:space="0" w:color="auto"/>
            </w:tcBorders>
            <w:shd w:val="clear" w:color="auto" w:fill="auto"/>
            <w:noWrap/>
            <w:vAlign w:val="bottom"/>
          </w:tcPr>
          <w:p w14:paraId="7EC38C44" w14:textId="77777777" w:rsidR="001E5EA4" w:rsidRPr="000939E3" w:rsidRDefault="001E5EA4" w:rsidP="007A5828">
            <w:pPr>
              <w:keepNext/>
              <w:spacing w:after="0" w:line="240" w:lineRule="auto"/>
              <w:contextualSpacing/>
              <w:jc w:val="right"/>
              <w:rPr>
                <w:rFonts w:eastAsia="Times New Roman" w:cs="Times New Roman"/>
                <w:color w:val="000000"/>
                <w:szCs w:val="20"/>
                <w:lang w:eastAsia="sk-SK"/>
              </w:rPr>
            </w:pPr>
            <w:r w:rsidRPr="000939E3">
              <w:rPr>
                <w:color w:val="000000"/>
              </w:rPr>
              <w:t>5 312</w:t>
            </w:r>
          </w:p>
        </w:tc>
        <w:tc>
          <w:tcPr>
            <w:tcW w:w="468" w:type="pct"/>
            <w:tcBorders>
              <w:left w:val="single" w:sz="4" w:space="0" w:color="auto"/>
              <w:bottom w:val="nil"/>
              <w:right w:val="nil"/>
            </w:tcBorders>
            <w:shd w:val="clear" w:color="auto" w:fill="auto"/>
            <w:noWrap/>
            <w:vAlign w:val="bottom"/>
          </w:tcPr>
          <w:p w14:paraId="2EE9027E" w14:textId="77777777" w:rsidR="001E5EA4" w:rsidRPr="000939E3" w:rsidRDefault="001E5EA4" w:rsidP="007A5828">
            <w:pPr>
              <w:keepNext/>
              <w:spacing w:after="0" w:line="240" w:lineRule="auto"/>
              <w:contextualSpacing/>
              <w:jc w:val="right"/>
              <w:rPr>
                <w:rFonts w:eastAsia="Times New Roman" w:cs="Times New Roman"/>
                <w:color w:val="000000"/>
                <w:szCs w:val="20"/>
                <w:lang w:eastAsia="sk-SK"/>
              </w:rPr>
            </w:pPr>
            <w:r w:rsidRPr="000939E3">
              <w:rPr>
                <w:color w:val="000000"/>
              </w:rPr>
              <w:t>14,8</w:t>
            </w:r>
          </w:p>
        </w:tc>
        <w:tc>
          <w:tcPr>
            <w:tcW w:w="548" w:type="pct"/>
            <w:tcBorders>
              <w:left w:val="nil"/>
              <w:bottom w:val="nil"/>
              <w:right w:val="nil"/>
            </w:tcBorders>
            <w:shd w:val="clear" w:color="auto" w:fill="auto"/>
            <w:noWrap/>
            <w:vAlign w:val="bottom"/>
          </w:tcPr>
          <w:p w14:paraId="3C1163EE" w14:textId="77777777" w:rsidR="001E5EA4" w:rsidRPr="000939E3" w:rsidRDefault="001E5EA4" w:rsidP="007A5828">
            <w:pPr>
              <w:keepNext/>
              <w:spacing w:after="0" w:line="240" w:lineRule="auto"/>
              <w:contextualSpacing/>
              <w:jc w:val="right"/>
              <w:rPr>
                <w:rFonts w:eastAsia="Times New Roman" w:cs="Times New Roman"/>
                <w:color w:val="000000"/>
                <w:szCs w:val="20"/>
                <w:lang w:eastAsia="sk-SK"/>
              </w:rPr>
            </w:pPr>
            <w:r w:rsidRPr="000939E3">
              <w:rPr>
                <w:color w:val="000000"/>
              </w:rPr>
              <w:t>19,4</w:t>
            </w:r>
          </w:p>
        </w:tc>
      </w:tr>
      <w:tr w:rsidR="001E5EA4" w:rsidRPr="000939E3" w14:paraId="0204E92A" w14:textId="77777777" w:rsidTr="00903470">
        <w:trPr>
          <w:trHeight w:val="20"/>
        </w:trPr>
        <w:tc>
          <w:tcPr>
            <w:tcW w:w="2344" w:type="pct"/>
            <w:tcBorders>
              <w:left w:val="nil"/>
              <w:bottom w:val="nil"/>
              <w:right w:val="single" w:sz="4" w:space="0" w:color="auto"/>
            </w:tcBorders>
            <w:shd w:val="clear" w:color="auto" w:fill="auto"/>
            <w:noWrap/>
            <w:vAlign w:val="center"/>
          </w:tcPr>
          <w:p w14:paraId="0B982FF3" w14:textId="46E3AFEE" w:rsidR="001E5EA4" w:rsidRPr="000939E3" w:rsidRDefault="001E5EA4" w:rsidP="007A5828">
            <w:pPr>
              <w:keepNext/>
              <w:spacing w:after="0" w:line="240" w:lineRule="auto"/>
              <w:contextualSpacing/>
              <w:rPr>
                <w:rFonts w:eastAsia="Times New Roman" w:cs="Times New Roman"/>
                <w:color w:val="000000"/>
                <w:szCs w:val="20"/>
                <w:lang w:eastAsia="sk-SK"/>
              </w:rPr>
            </w:pPr>
            <w:r w:rsidRPr="000939E3">
              <w:rPr>
                <w:rFonts w:cs="Calibri"/>
                <w:color w:val="000000"/>
              </w:rPr>
              <w:t>Systémoví analytici</w:t>
            </w:r>
            <w:r w:rsidR="00390467" w:rsidRPr="000939E3">
              <w:rPr>
                <w:rFonts w:cs="Calibri"/>
                <w:color w:val="000000"/>
              </w:rPr>
              <w:t xml:space="preserve"> (IT)</w:t>
            </w:r>
          </w:p>
        </w:tc>
        <w:tc>
          <w:tcPr>
            <w:tcW w:w="627" w:type="pct"/>
            <w:tcBorders>
              <w:left w:val="single" w:sz="4" w:space="0" w:color="auto"/>
              <w:bottom w:val="nil"/>
              <w:right w:val="single" w:sz="4" w:space="0" w:color="auto"/>
            </w:tcBorders>
            <w:shd w:val="clear" w:color="auto" w:fill="auto"/>
            <w:noWrap/>
            <w:vAlign w:val="bottom"/>
          </w:tcPr>
          <w:p w14:paraId="68743FD0" w14:textId="77777777" w:rsidR="001E5EA4" w:rsidRPr="000939E3" w:rsidRDefault="001E5EA4" w:rsidP="007A5828">
            <w:pPr>
              <w:keepNext/>
              <w:spacing w:after="0" w:line="240" w:lineRule="auto"/>
              <w:contextualSpacing/>
              <w:jc w:val="center"/>
              <w:rPr>
                <w:rFonts w:eastAsia="Times New Roman" w:cs="Times New Roman"/>
                <w:color w:val="000000"/>
                <w:szCs w:val="20"/>
                <w:lang w:eastAsia="sk-SK"/>
              </w:rPr>
            </w:pPr>
            <w:r w:rsidRPr="000939E3">
              <w:rPr>
                <w:color w:val="000000"/>
              </w:rPr>
              <w:t>-25,2%</w:t>
            </w:r>
          </w:p>
        </w:tc>
        <w:tc>
          <w:tcPr>
            <w:tcW w:w="467" w:type="pct"/>
            <w:tcBorders>
              <w:left w:val="single" w:sz="4" w:space="0" w:color="auto"/>
              <w:bottom w:val="nil"/>
              <w:right w:val="nil"/>
            </w:tcBorders>
            <w:shd w:val="clear" w:color="auto" w:fill="auto"/>
            <w:noWrap/>
            <w:vAlign w:val="bottom"/>
          </w:tcPr>
          <w:p w14:paraId="4EC10AC9" w14:textId="77777777" w:rsidR="001E5EA4" w:rsidRPr="000939E3" w:rsidRDefault="001E5EA4" w:rsidP="007A5828">
            <w:pPr>
              <w:keepNext/>
              <w:spacing w:after="0" w:line="240" w:lineRule="auto"/>
              <w:contextualSpacing/>
              <w:jc w:val="right"/>
              <w:rPr>
                <w:rFonts w:eastAsia="Times New Roman" w:cs="Times New Roman"/>
                <w:color w:val="000000"/>
                <w:szCs w:val="20"/>
                <w:lang w:eastAsia="sk-SK"/>
              </w:rPr>
            </w:pPr>
            <w:r w:rsidRPr="000939E3">
              <w:rPr>
                <w:color w:val="000000"/>
              </w:rPr>
              <w:t>424</w:t>
            </w:r>
          </w:p>
        </w:tc>
        <w:tc>
          <w:tcPr>
            <w:tcW w:w="546" w:type="pct"/>
            <w:tcBorders>
              <w:left w:val="nil"/>
              <w:bottom w:val="nil"/>
              <w:right w:val="single" w:sz="4" w:space="0" w:color="auto"/>
            </w:tcBorders>
            <w:shd w:val="clear" w:color="auto" w:fill="auto"/>
            <w:noWrap/>
            <w:vAlign w:val="bottom"/>
          </w:tcPr>
          <w:p w14:paraId="5EC791B7" w14:textId="77777777" w:rsidR="001E5EA4" w:rsidRPr="000939E3" w:rsidRDefault="001E5EA4" w:rsidP="007A5828">
            <w:pPr>
              <w:keepNext/>
              <w:spacing w:after="0" w:line="240" w:lineRule="auto"/>
              <w:contextualSpacing/>
              <w:jc w:val="right"/>
              <w:rPr>
                <w:rFonts w:eastAsia="Times New Roman" w:cs="Times New Roman"/>
                <w:color w:val="000000"/>
                <w:szCs w:val="20"/>
                <w:lang w:eastAsia="sk-SK"/>
              </w:rPr>
            </w:pPr>
            <w:r w:rsidRPr="000939E3">
              <w:rPr>
                <w:color w:val="000000"/>
              </w:rPr>
              <w:t>5 005</w:t>
            </w:r>
          </w:p>
        </w:tc>
        <w:tc>
          <w:tcPr>
            <w:tcW w:w="468" w:type="pct"/>
            <w:tcBorders>
              <w:left w:val="single" w:sz="4" w:space="0" w:color="auto"/>
              <w:bottom w:val="nil"/>
              <w:right w:val="nil"/>
            </w:tcBorders>
            <w:shd w:val="clear" w:color="auto" w:fill="auto"/>
            <w:noWrap/>
            <w:vAlign w:val="bottom"/>
          </w:tcPr>
          <w:p w14:paraId="292E0B60" w14:textId="77777777" w:rsidR="001E5EA4" w:rsidRPr="000939E3" w:rsidRDefault="001E5EA4" w:rsidP="007A5828">
            <w:pPr>
              <w:keepNext/>
              <w:spacing w:after="0" w:line="240" w:lineRule="auto"/>
              <w:contextualSpacing/>
              <w:jc w:val="right"/>
              <w:rPr>
                <w:rFonts w:eastAsia="Times New Roman" w:cs="Times New Roman"/>
                <w:color w:val="000000"/>
                <w:szCs w:val="20"/>
                <w:lang w:eastAsia="sk-SK"/>
              </w:rPr>
            </w:pPr>
            <w:r w:rsidRPr="000939E3">
              <w:rPr>
                <w:color w:val="000000"/>
              </w:rPr>
              <w:t>11,4</w:t>
            </w:r>
          </w:p>
        </w:tc>
        <w:tc>
          <w:tcPr>
            <w:tcW w:w="548" w:type="pct"/>
            <w:tcBorders>
              <w:left w:val="nil"/>
              <w:bottom w:val="nil"/>
              <w:right w:val="nil"/>
            </w:tcBorders>
            <w:shd w:val="clear" w:color="auto" w:fill="auto"/>
            <w:noWrap/>
            <w:vAlign w:val="bottom"/>
          </w:tcPr>
          <w:p w14:paraId="667718F2" w14:textId="77777777" w:rsidR="001E5EA4" w:rsidRPr="000939E3" w:rsidRDefault="001E5EA4" w:rsidP="007A5828">
            <w:pPr>
              <w:keepNext/>
              <w:spacing w:after="0" w:line="240" w:lineRule="auto"/>
              <w:contextualSpacing/>
              <w:jc w:val="right"/>
              <w:rPr>
                <w:rFonts w:eastAsia="Times New Roman" w:cs="Times New Roman"/>
                <w:color w:val="000000"/>
                <w:szCs w:val="20"/>
                <w:lang w:eastAsia="sk-SK"/>
              </w:rPr>
            </w:pPr>
            <w:r w:rsidRPr="000939E3">
              <w:rPr>
                <w:color w:val="000000"/>
              </w:rPr>
              <w:t>15,2</w:t>
            </w:r>
          </w:p>
        </w:tc>
      </w:tr>
      <w:tr w:rsidR="0004409E" w:rsidRPr="000939E3" w14:paraId="10E441E3" w14:textId="77777777" w:rsidTr="00903470">
        <w:trPr>
          <w:trHeight w:val="20"/>
        </w:trPr>
        <w:tc>
          <w:tcPr>
            <w:tcW w:w="2344" w:type="pct"/>
            <w:tcBorders>
              <w:top w:val="single" w:sz="4" w:space="0" w:color="auto"/>
              <w:left w:val="nil"/>
              <w:right w:val="nil"/>
            </w:tcBorders>
            <w:shd w:val="clear" w:color="auto" w:fill="auto"/>
            <w:noWrap/>
            <w:vAlign w:val="bottom"/>
          </w:tcPr>
          <w:p w14:paraId="11719D4B" w14:textId="77777777" w:rsidR="0004409E" w:rsidRPr="000939E3" w:rsidRDefault="0004409E" w:rsidP="007A5828">
            <w:pPr>
              <w:spacing w:after="0" w:line="240" w:lineRule="auto"/>
              <w:contextualSpacing/>
              <w:rPr>
                <w:color w:val="000000"/>
              </w:rPr>
            </w:pPr>
          </w:p>
        </w:tc>
        <w:tc>
          <w:tcPr>
            <w:tcW w:w="627" w:type="pct"/>
            <w:tcBorders>
              <w:top w:val="single" w:sz="4" w:space="0" w:color="auto"/>
              <w:left w:val="nil"/>
              <w:right w:val="nil"/>
            </w:tcBorders>
            <w:shd w:val="clear" w:color="auto" w:fill="auto"/>
            <w:noWrap/>
            <w:vAlign w:val="bottom"/>
          </w:tcPr>
          <w:p w14:paraId="4EAC0018" w14:textId="77777777" w:rsidR="0004409E" w:rsidRPr="000939E3" w:rsidRDefault="0004409E" w:rsidP="007A5828">
            <w:pPr>
              <w:spacing w:after="0" w:line="240" w:lineRule="auto"/>
              <w:contextualSpacing/>
              <w:rPr>
                <w:color w:val="000000"/>
              </w:rPr>
            </w:pPr>
          </w:p>
        </w:tc>
        <w:tc>
          <w:tcPr>
            <w:tcW w:w="467" w:type="pct"/>
            <w:tcBorders>
              <w:top w:val="single" w:sz="4" w:space="0" w:color="auto"/>
              <w:left w:val="nil"/>
              <w:right w:val="nil"/>
            </w:tcBorders>
            <w:shd w:val="clear" w:color="auto" w:fill="auto"/>
            <w:noWrap/>
            <w:vAlign w:val="bottom"/>
          </w:tcPr>
          <w:p w14:paraId="378C6BE4" w14:textId="77777777" w:rsidR="0004409E" w:rsidRPr="000939E3" w:rsidRDefault="0004409E" w:rsidP="007A5828">
            <w:pPr>
              <w:spacing w:after="0" w:line="240" w:lineRule="auto"/>
              <w:contextualSpacing/>
              <w:jc w:val="right"/>
              <w:rPr>
                <w:color w:val="000000"/>
              </w:rPr>
            </w:pPr>
          </w:p>
        </w:tc>
        <w:tc>
          <w:tcPr>
            <w:tcW w:w="1562" w:type="pct"/>
            <w:gridSpan w:val="3"/>
            <w:tcBorders>
              <w:top w:val="single" w:sz="4" w:space="0" w:color="auto"/>
              <w:left w:val="nil"/>
              <w:right w:val="nil"/>
            </w:tcBorders>
            <w:shd w:val="clear" w:color="auto" w:fill="auto"/>
            <w:noWrap/>
          </w:tcPr>
          <w:p w14:paraId="2113D522" w14:textId="77777777" w:rsidR="0004409E" w:rsidRPr="000939E3" w:rsidRDefault="0004409E" w:rsidP="007A5828">
            <w:pPr>
              <w:spacing w:after="0" w:line="240" w:lineRule="auto"/>
              <w:contextualSpacing/>
              <w:jc w:val="right"/>
              <w:rPr>
                <w:i/>
                <w:color w:val="000000"/>
              </w:rPr>
            </w:pPr>
            <w:r w:rsidRPr="000939E3">
              <w:rPr>
                <w:i/>
                <w:color w:val="000000"/>
                <w:sz w:val="18"/>
              </w:rPr>
              <w:t>Zdroj: ISCP, prepočty ÚHP</w:t>
            </w:r>
          </w:p>
        </w:tc>
      </w:tr>
    </w:tbl>
    <w:p w14:paraId="7334F42D" w14:textId="695F369D" w:rsidR="00283EEF" w:rsidRPr="000939E3" w:rsidRDefault="00283EEF" w:rsidP="00903470">
      <w:pPr>
        <w:spacing w:before="120"/>
        <w:rPr>
          <w:rFonts w:eastAsiaTheme="majorEastAsia" w:cstheme="majorBidi"/>
          <w:szCs w:val="32"/>
        </w:rPr>
      </w:pPr>
      <w:r w:rsidRPr="000939E3">
        <w:rPr>
          <w:rFonts w:eastAsiaTheme="majorEastAsia" w:cstheme="majorBidi"/>
          <w:b/>
          <w:szCs w:val="32"/>
        </w:rPr>
        <w:t xml:space="preserve">Verejný sektor niektorých zamestnancov platí aj takmer rovnako ako súkromný sektor. Z veľkých skupín ide </w:t>
      </w:r>
      <w:r w:rsidRPr="000939E3">
        <w:rPr>
          <w:rFonts w:eastAsiaTheme="majorEastAsia" w:cstheme="majorBidi"/>
          <w:b/>
        </w:rPr>
        <w:t>najmä o upratovačky, sekretárky a pracovníkov v účtovníctve, ale aj učiteľov na stredných školách (</w:t>
      </w:r>
      <w:r w:rsidRPr="000939E3">
        <w:rPr>
          <w:rFonts w:eastAsiaTheme="majorEastAsia" w:cstheme="majorBidi"/>
          <w:b/>
        </w:rPr>
        <w:fldChar w:fldCharType="begin"/>
      </w:r>
      <w:r w:rsidRPr="000939E3">
        <w:rPr>
          <w:rFonts w:eastAsiaTheme="majorEastAsia" w:cstheme="majorBidi"/>
          <w:b/>
        </w:rPr>
        <w:instrText xml:space="preserve"> REF _Ref4085267 \h  \* MERGEFORMAT </w:instrText>
      </w:r>
      <w:r w:rsidRPr="000939E3">
        <w:rPr>
          <w:rFonts w:eastAsiaTheme="majorEastAsia" w:cstheme="majorBidi"/>
          <w:b/>
        </w:rPr>
      </w:r>
      <w:r w:rsidRPr="000939E3">
        <w:rPr>
          <w:rFonts w:eastAsiaTheme="majorEastAsia" w:cstheme="majorBidi"/>
          <w:b/>
        </w:rPr>
        <w:fldChar w:fldCharType="separate"/>
      </w:r>
      <w:r w:rsidR="00BF69CA" w:rsidRPr="00BF69CA">
        <w:rPr>
          <w:b/>
        </w:rPr>
        <w:t xml:space="preserve">Tabuľka </w:t>
      </w:r>
      <w:r w:rsidR="00BF69CA" w:rsidRPr="00BF69CA">
        <w:rPr>
          <w:b/>
          <w:noProof/>
        </w:rPr>
        <w:t>7</w:t>
      </w:r>
      <w:r w:rsidRPr="000939E3">
        <w:rPr>
          <w:rFonts w:eastAsiaTheme="majorEastAsia" w:cstheme="majorBidi"/>
          <w:b/>
        </w:rPr>
        <w:fldChar w:fldCharType="end"/>
      </w:r>
      <w:r w:rsidRPr="000939E3">
        <w:rPr>
          <w:rFonts w:eastAsiaTheme="majorEastAsia" w:cstheme="majorBidi"/>
          <w:b/>
        </w:rPr>
        <w:t>).</w:t>
      </w:r>
      <w:r w:rsidRPr="000939E3">
        <w:rPr>
          <w:rFonts w:eastAsiaTheme="majorEastAsia" w:cstheme="majorBidi"/>
          <w:b/>
          <w:szCs w:val="32"/>
        </w:rPr>
        <w:t xml:space="preserve"> </w:t>
      </w:r>
      <w:r w:rsidRPr="000939E3">
        <w:rPr>
          <w:rFonts w:eastAsiaTheme="majorEastAsia" w:cstheme="majorBidi"/>
          <w:szCs w:val="32"/>
        </w:rPr>
        <w:t>Kým pri upratovačkách ide o plat na úrovni minimálnej mzdy, pri účtovníkoch či sekretárkach je vyššia a v oboch sektoroch takmer totožná.</w:t>
      </w:r>
    </w:p>
    <w:tbl>
      <w:tblPr>
        <w:tblW w:w="9072" w:type="dxa"/>
        <w:tblCellMar>
          <w:left w:w="70" w:type="dxa"/>
          <w:right w:w="70" w:type="dxa"/>
        </w:tblCellMar>
        <w:tblLook w:val="04A0" w:firstRow="1" w:lastRow="0" w:firstColumn="1" w:lastColumn="0" w:noHBand="0" w:noVBand="1"/>
      </w:tblPr>
      <w:tblGrid>
        <w:gridCol w:w="4395"/>
        <w:gridCol w:w="992"/>
        <w:gridCol w:w="850"/>
        <w:gridCol w:w="995"/>
        <w:gridCol w:w="855"/>
        <w:gridCol w:w="985"/>
      </w:tblGrid>
      <w:tr w:rsidR="00283EEF" w:rsidRPr="000939E3" w14:paraId="72F2B38D" w14:textId="77777777" w:rsidTr="007A5828">
        <w:trPr>
          <w:trHeight w:val="20"/>
        </w:trPr>
        <w:tc>
          <w:tcPr>
            <w:tcW w:w="9072" w:type="dxa"/>
            <w:gridSpan w:val="6"/>
            <w:tcBorders>
              <w:top w:val="nil"/>
              <w:left w:val="nil"/>
              <w:bottom w:val="single" w:sz="4" w:space="0" w:color="auto"/>
              <w:right w:val="nil"/>
            </w:tcBorders>
            <w:shd w:val="clear" w:color="auto" w:fill="auto"/>
            <w:noWrap/>
            <w:vAlign w:val="bottom"/>
          </w:tcPr>
          <w:p w14:paraId="2314E06E" w14:textId="77777777" w:rsidR="00283EEF" w:rsidRPr="000939E3" w:rsidRDefault="00283EEF" w:rsidP="007A5828">
            <w:pPr>
              <w:spacing w:after="0" w:line="240" w:lineRule="auto"/>
              <w:contextualSpacing/>
              <w:rPr>
                <w:b/>
                <w:sz w:val="20"/>
              </w:rPr>
            </w:pPr>
            <w:bookmarkStart w:id="159" w:name="_Ref4085267"/>
            <w:bookmarkStart w:id="160" w:name="_Toc34226940"/>
            <w:r w:rsidRPr="000939E3">
              <w:rPr>
                <w:b/>
                <w:sz w:val="20"/>
              </w:rPr>
              <w:t xml:space="preserve">Tabuľka </w:t>
            </w:r>
            <w:r w:rsidRPr="000939E3">
              <w:rPr>
                <w:b/>
                <w:sz w:val="20"/>
              </w:rPr>
              <w:fldChar w:fldCharType="begin"/>
            </w:r>
            <w:r w:rsidRPr="000939E3">
              <w:rPr>
                <w:b/>
                <w:sz w:val="20"/>
              </w:rPr>
              <w:instrText xml:space="preserve"> SEQ Tabuľka \* ARABIC </w:instrText>
            </w:r>
            <w:r w:rsidRPr="000939E3">
              <w:rPr>
                <w:b/>
                <w:sz w:val="20"/>
              </w:rPr>
              <w:fldChar w:fldCharType="separate"/>
            </w:r>
            <w:r w:rsidR="00BF69CA">
              <w:rPr>
                <w:b/>
                <w:noProof/>
                <w:sz w:val="20"/>
              </w:rPr>
              <w:t>7</w:t>
            </w:r>
            <w:r w:rsidRPr="000939E3">
              <w:rPr>
                <w:b/>
                <w:sz w:val="20"/>
              </w:rPr>
              <w:fldChar w:fldCharType="end"/>
            </w:r>
            <w:bookmarkEnd w:id="159"/>
            <w:r w:rsidRPr="000939E3">
              <w:rPr>
                <w:b/>
                <w:sz w:val="20"/>
              </w:rPr>
              <w:t>:</w:t>
            </w:r>
            <w:r w:rsidRPr="000939E3">
              <w:rPr>
                <w:rFonts w:eastAsia="Times New Roman" w:cs="Times New Roman"/>
                <w:b/>
                <w:bCs/>
                <w:sz w:val="20"/>
                <w:lang w:eastAsia="sk-SK"/>
              </w:rPr>
              <w:t xml:space="preserve"> Vybrané povolania, v ktorých verejný sektor platí porovnateľne ako súkromný (2017)</w:t>
            </w:r>
            <w:bookmarkEnd w:id="160"/>
          </w:p>
        </w:tc>
      </w:tr>
      <w:tr w:rsidR="00283EEF" w:rsidRPr="000939E3" w14:paraId="27F0B857" w14:textId="77777777" w:rsidTr="007A5828">
        <w:trPr>
          <w:trHeight w:val="20"/>
        </w:trPr>
        <w:tc>
          <w:tcPr>
            <w:tcW w:w="4395" w:type="dxa"/>
            <w:vMerge w:val="restart"/>
            <w:tcBorders>
              <w:top w:val="single" w:sz="4" w:space="0" w:color="auto"/>
              <w:left w:val="nil"/>
              <w:right w:val="single" w:sz="4" w:space="0" w:color="auto"/>
            </w:tcBorders>
            <w:shd w:val="clear" w:color="auto" w:fill="auto"/>
            <w:noWrap/>
            <w:vAlign w:val="center"/>
            <w:hideMark/>
          </w:tcPr>
          <w:p w14:paraId="63DF0F06" w14:textId="77777777" w:rsidR="00283EEF" w:rsidRPr="000939E3" w:rsidRDefault="00283EEF" w:rsidP="007A5828">
            <w:pPr>
              <w:spacing w:after="0" w:line="240" w:lineRule="auto"/>
              <w:contextualSpacing/>
              <w:jc w:val="center"/>
              <w:rPr>
                <w:rFonts w:ascii="Times New Roman" w:eastAsia="Times New Roman" w:hAnsi="Times New Roman" w:cs="Times New Roman"/>
                <w:sz w:val="24"/>
                <w:szCs w:val="24"/>
                <w:lang w:eastAsia="sk-SK"/>
              </w:rPr>
            </w:pPr>
            <w:r w:rsidRPr="000939E3">
              <w:rPr>
                <w:rFonts w:eastAsia="Times New Roman" w:cs="Times New Roman"/>
                <w:b/>
                <w:bCs/>
                <w:lang w:eastAsia="sk-SK"/>
              </w:rPr>
              <w:t>povolanie</w:t>
            </w:r>
          </w:p>
        </w:tc>
        <w:tc>
          <w:tcPr>
            <w:tcW w:w="992" w:type="dxa"/>
            <w:vMerge w:val="restart"/>
            <w:tcBorders>
              <w:top w:val="single" w:sz="4" w:space="0" w:color="auto"/>
              <w:left w:val="single" w:sz="4" w:space="0" w:color="auto"/>
              <w:right w:val="single" w:sz="4" w:space="0" w:color="auto"/>
            </w:tcBorders>
            <w:shd w:val="clear" w:color="auto" w:fill="auto"/>
            <w:noWrap/>
            <w:vAlign w:val="center"/>
          </w:tcPr>
          <w:p w14:paraId="7F503B1C" w14:textId="77777777" w:rsidR="00283EEF" w:rsidRPr="000939E3" w:rsidRDefault="00283EEF" w:rsidP="007A5828">
            <w:pPr>
              <w:spacing w:after="0" w:line="240" w:lineRule="auto"/>
              <w:contextualSpacing/>
              <w:jc w:val="center"/>
              <w:rPr>
                <w:rFonts w:eastAsia="Times New Roman" w:cs="Times New Roman"/>
                <w:szCs w:val="20"/>
                <w:lang w:eastAsia="sk-SK"/>
              </w:rPr>
            </w:pPr>
            <w:r w:rsidRPr="000939E3">
              <w:rPr>
                <w:rFonts w:eastAsia="Times New Roman" w:cs="Times New Roman"/>
                <w:szCs w:val="20"/>
                <w:lang w:eastAsia="sk-SK"/>
              </w:rPr>
              <w:t>mzdový diferenciál (v %)</w:t>
            </w:r>
          </w:p>
        </w:tc>
        <w:tc>
          <w:tcPr>
            <w:tcW w:w="1845" w:type="dxa"/>
            <w:gridSpan w:val="2"/>
            <w:tcBorders>
              <w:top w:val="single" w:sz="4" w:space="0" w:color="auto"/>
              <w:left w:val="single" w:sz="4" w:space="0" w:color="auto"/>
              <w:right w:val="single" w:sz="4" w:space="0" w:color="auto"/>
            </w:tcBorders>
            <w:shd w:val="clear" w:color="auto" w:fill="auto"/>
            <w:noWrap/>
            <w:vAlign w:val="center"/>
            <w:hideMark/>
          </w:tcPr>
          <w:p w14:paraId="43F88A85" w14:textId="77777777" w:rsidR="00283EEF" w:rsidRPr="000939E3" w:rsidRDefault="00283EEF" w:rsidP="007A5828">
            <w:pPr>
              <w:spacing w:after="0" w:line="240" w:lineRule="auto"/>
              <w:contextualSpacing/>
              <w:jc w:val="center"/>
              <w:rPr>
                <w:rFonts w:eastAsia="Times New Roman" w:cs="Times New Roman"/>
                <w:color w:val="000000"/>
                <w:lang w:eastAsia="sk-SK"/>
              </w:rPr>
            </w:pPr>
            <w:r w:rsidRPr="000939E3">
              <w:rPr>
                <w:rFonts w:eastAsia="Times New Roman" w:cs="Times New Roman"/>
                <w:color w:val="000000"/>
                <w:lang w:eastAsia="sk-SK"/>
              </w:rPr>
              <w:t>počet zamestnancov</w:t>
            </w:r>
          </w:p>
        </w:tc>
        <w:tc>
          <w:tcPr>
            <w:tcW w:w="1840" w:type="dxa"/>
            <w:gridSpan w:val="2"/>
            <w:tcBorders>
              <w:top w:val="single" w:sz="4" w:space="0" w:color="auto"/>
              <w:left w:val="single" w:sz="4" w:space="0" w:color="auto"/>
              <w:right w:val="nil"/>
            </w:tcBorders>
            <w:shd w:val="clear" w:color="auto" w:fill="auto"/>
            <w:noWrap/>
            <w:vAlign w:val="center"/>
            <w:hideMark/>
          </w:tcPr>
          <w:p w14:paraId="30E6F924" w14:textId="77777777" w:rsidR="00283EEF" w:rsidRPr="000939E3" w:rsidRDefault="00283EEF" w:rsidP="007A5828">
            <w:pPr>
              <w:spacing w:after="0" w:line="240" w:lineRule="auto"/>
              <w:contextualSpacing/>
              <w:jc w:val="center"/>
              <w:rPr>
                <w:rFonts w:eastAsia="Times New Roman" w:cs="Times New Roman"/>
                <w:color w:val="000000"/>
                <w:lang w:eastAsia="sk-SK"/>
              </w:rPr>
            </w:pPr>
            <w:r w:rsidRPr="000939E3">
              <w:rPr>
                <w:rFonts w:eastAsia="Times New Roman" w:cs="Times New Roman"/>
                <w:color w:val="000000"/>
                <w:lang w:eastAsia="sk-SK"/>
              </w:rPr>
              <w:t>hodinová mzda</w:t>
            </w:r>
          </w:p>
        </w:tc>
      </w:tr>
      <w:tr w:rsidR="00283EEF" w:rsidRPr="000939E3" w14:paraId="4D514F25" w14:textId="77777777" w:rsidTr="007A5828">
        <w:trPr>
          <w:trHeight w:val="20"/>
        </w:trPr>
        <w:tc>
          <w:tcPr>
            <w:tcW w:w="4395" w:type="dxa"/>
            <w:vMerge/>
            <w:tcBorders>
              <w:left w:val="nil"/>
              <w:bottom w:val="single" w:sz="4" w:space="0" w:color="auto"/>
              <w:right w:val="single" w:sz="4" w:space="0" w:color="auto"/>
            </w:tcBorders>
            <w:shd w:val="clear" w:color="auto" w:fill="auto"/>
            <w:noWrap/>
            <w:hideMark/>
          </w:tcPr>
          <w:p w14:paraId="58DCA869" w14:textId="77777777" w:rsidR="00283EEF" w:rsidRPr="000939E3" w:rsidRDefault="00283EEF" w:rsidP="007A5828">
            <w:pPr>
              <w:spacing w:after="0" w:line="240" w:lineRule="auto"/>
              <w:contextualSpacing/>
              <w:jc w:val="center"/>
              <w:rPr>
                <w:rFonts w:eastAsia="Times New Roman" w:cs="Times New Roman"/>
                <w:b/>
                <w:bCs/>
                <w:lang w:eastAsia="sk-SK"/>
              </w:rPr>
            </w:pPr>
          </w:p>
        </w:tc>
        <w:tc>
          <w:tcPr>
            <w:tcW w:w="992" w:type="dxa"/>
            <w:vMerge/>
            <w:tcBorders>
              <w:left w:val="single" w:sz="4" w:space="0" w:color="auto"/>
              <w:bottom w:val="single" w:sz="4" w:space="0" w:color="auto"/>
              <w:right w:val="single" w:sz="4" w:space="0" w:color="auto"/>
            </w:tcBorders>
            <w:shd w:val="clear" w:color="auto" w:fill="auto"/>
            <w:noWrap/>
          </w:tcPr>
          <w:p w14:paraId="2435B6F0" w14:textId="77777777" w:rsidR="00283EEF" w:rsidRPr="000939E3" w:rsidRDefault="00283EEF" w:rsidP="007A5828">
            <w:pPr>
              <w:spacing w:after="0" w:line="240" w:lineRule="auto"/>
              <w:contextualSpacing/>
              <w:jc w:val="center"/>
              <w:rPr>
                <w:rFonts w:eastAsia="Times New Roman" w:cs="Times New Roman"/>
                <w:szCs w:val="20"/>
                <w:lang w:eastAsia="sk-SK"/>
              </w:rPr>
            </w:pPr>
          </w:p>
        </w:tc>
        <w:tc>
          <w:tcPr>
            <w:tcW w:w="850" w:type="dxa"/>
            <w:tcBorders>
              <w:top w:val="nil"/>
              <w:left w:val="single" w:sz="4" w:space="0" w:color="auto"/>
              <w:bottom w:val="single" w:sz="4" w:space="0" w:color="auto"/>
              <w:right w:val="nil"/>
            </w:tcBorders>
            <w:shd w:val="clear" w:color="auto" w:fill="auto"/>
            <w:noWrap/>
            <w:vAlign w:val="center"/>
          </w:tcPr>
          <w:p w14:paraId="3BB7D327" w14:textId="77777777" w:rsidR="00283EEF" w:rsidRPr="000939E3" w:rsidRDefault="00283EEF" w:rsidP="007A5828">
            <w:pPr>
              <w:spacing w:after="0" w:line="240" w:lineRule="auto"/>
              <w:contextualSpacing/>
              <w:jc w:val="center"/>
              <w:rPr>
                <w:rFonts w:eastAsia="Times New Roman" w:cs="Times New Roman"/>
                <w:bCs/>
                <w:lang w:eastAsia="sk-SK"/>
              </w:rPr>
            </w:pPr>
            <w:r w:rsidRPr="000939E3">
              <w:rPr>
                <w:rFonts w:eastAsia="Times New Roman" w:cs="Times New Roman"/>
                <w:bCs/>
                <w:lang w:eastAsia="sk-SK"/>
              </w:rPr>
              <w:t>verejný</w:t>
            </w:r>
          </w:p>
        </w:tc>
        <w:tc>
          <w:tcPr>
            <w:tcW w:w="995" w:type="dxa"/>
            <w:tcBorders>
              <w:top w:val="nil"/>
              <w:left w:val="nil"/>
              <w:bottom w:val="single" w:sz="4" w:space="0" w:color="auto"/>
              <w:right w:val="single" w:sz="4" w:space="0" w:color="auto"/>
            </w:tcBorders>
            <w:shd w:val="clear" w:color="auto" w:fill="auto"/>
            <w:noWrap/>
            <w:vAlign w:val="center"/>
          </w:tcPr>
          <w:p w14:paraId="162C6154" w14:textId="77777777" w:rsidR="00283EEF" w:rsidRPr="000939E3" w:rsidRDefault="00283EEF" w:rsidP="007A5828">
            <w:pPr>
              <w:spacing w:after="0" w:line="240" w:lineRule="auto"/>
              <w:contextualSpacing/>
              <w:jc w:val="center"/>
              <w:rPr>
                <w:rFonts w:eastAsia="Times New Roman" w:cs="Times New Roman"/>
                <w:bCs/>
                <w:lang w:eastAsia="sk-SK"/>
              </w:rPr>
            </w:pPr>
            <w:r w:rsidRPr="000939E3">
              <w:rPr>
                <w:rFonts w:eastAsia="Times New Roman" w:cs="Times New Roman"/>
                <w:bCs/>
                <w:lang w:eastAsia="sk-SK"/>
              </w:rPr>
              <w:t>súkromný</w:t>
            </w:r>
          </w:p>
        </w:tc>
        <w:tc>
          <w:tcPr>
            <w:tcW w:w="855" w:type="dxa"/>
            <w:tcBorders>
              <w:top w:val="nil"/>
              <w:left w:val="single" w:sz="4" w:space="0" w:color="auto"/>
              <w:bottom w:val="single" w:sz="4" w:space="0" w:color="auto"/>
              <w:right w:val="nil"/>
            </w:tcBorders>
            <w:shd w:val="clear" w:color="auto" w:fill="auto"/>
            <w:noWrap/>
            <w:vAlign w:val="center"/>
          </w:tcPr>
          <w:p w14:paraId="3F9E850B" w14:textId="77777777" w:rsidR="00283EEF" w:rsidRPr="000939E3" w:rsidRDefault="00283EEF" w:rsidP="007A5828">
            <w:pPr>
              <w:spacing w:after="0" w:line="240" w:lineRule="auto"/>
              <w:contextualSpacing/>
              <w:jc w:val="center"/>
              <w:rPr>
                <w:rFonts w:eastAsia="Times New Roman" w:cs="Times New Roman"/>
                <w:bCs/>
                <w:lang w:eastAsia="sk-SK"/>
              </w:rPr>
            </w:pPr>
            <w:r w:rsidRPr="000939E3">
              <w:rPr>
                <w:rFonts w:eastAsia="Times New Roman" w:cs="Times New Roman"/>
                <w:bCs/>
                <w:lang w:eastAsia="sk-SK"/>
              </w:rPr>
              <w:t>verejný</w:t>
            </w:r>
          </w:p>
        </w:tc>
        <w:tc>
          <w:tcPr>
            <w:tcW w:w="985" w:type="dxa"/>
            <w:tcBorders>
              <w:top w:val="nil"/>
              <w:left w:val="nil"/>
              <w:bottom w:val="single" w:sz="4" w:space="0" w:color="auto"/>
              <w:right w:val="nil"/>
            </w:tcBorders>
            <w:shd w:val="clear" w:color="auto" w:fill="auto"/>
            <w:noWrap/>
            <w:vAlign w:val="center"/>
          </w:tcPr>
          <w:p w14:paraId="3F62D34F" w14:textId="77777777" w:rsidR="00283EEF" w:rsidRPr="000939E3" w:rsidRDefault="00283EEF" w:rsidP="007A5828">
            <w:pPr>
              <w:spacing w:after="0" w:line="240" w:lineRule="auto"/>
              <w:contextualSpacing/>
              <w:jc w:val="center"/>
              <w:rPr>
                <w:rFonts w:eastAsia="Times New Roman" w:cs="Times New Roman"/>
                <w:bCs/>
                <w:lang w:eastAsia="sk-SK"/>
              </w:rPr>
            </w:pPr>
            <w:r w:rsidRPr="000939E3">
              <w:rPr>
                <w:rFonts w:eastAsia="Times New Roman" w:cs="Times New Roman"/>
                <w:bCs/>
                <w:lang w:eastAsia="sk-SK"/>
              </w:rPr>
              <w:t>súkromný</w:t>
            </w:r>
          </w:p>
        </w:tc>
      </w:tr>
      <w:tr w:rsidR="00283EEF" w:rsidRPr="000939E3" w14:paraId="53C44A56" w14:textId="77777777" w:rsidTr="007A5828">
        <w:trPr>
          <w:trHeight w:val="20"/>
        </w:trPr>
        <w:tc>
          <w:tcPr>
            <w:tcW w:w="4395" w:type="dxa"/>
            <w:tcBorders>
              <w:top w:val="single" w:sz="4" w:space="0" w:color="auto"/>
              <w:left w:val="nil"/>
              <w:bottom w:val="nil"/>
              <w:right w:val="single" w:sz="4" w:space="0" w:color="auto"/>
            </w:tcBorders>
            <w:shd w:val="clear" w:color="auto" w:fill="auto"/>
            <w:noWrap/>
            <w:vAlign w:val="center"/>
          </w:tcPr>
          <w:p w14:paraId="4356294A" w14:textId="77777777" w:rsidR="00283EEF" w:rsidRPr="000939E3" w:rsidRDefault="00283EEF" w:rsidP="007A5828">
            <w:pPr>
              <w:spacing w:after="0" w:line="240" w:lineRule="auto"/>
              <w:contextualSpacing/>
              <w:rPr>
                <w:rFonts w:eastAsia="Times New Roman" w:cs="Times New Roman"/>
                <w:color w:val="000000"/>
                <w:lang w:eastAsia="sk-SK"/>
              </w:rPr>
            </w:pPr>
            <w:r w:rsidRPr="000939E3">
              <w:rPr>
                <w:color w:val="000000"/>
              </w:rPr>
              <w:t>Upratovačky</w:t>
            </w:r>
          </w:p>
        </w:tc>
        <w:tc>
          <w:tcPr>
            <w:tcW w:w="992" w:type="dxa"/>
            <w:tcBorders>
              <w:top w:val="single" w:sz="4" w:space="0" w:color="auto"/>
              <w:left w:val="single" w:sz="4" w:space="0" w:color="auto"/>
              <w:bottom w:val="nil"/>
              <w:right w:val="single" w:sz="4" w:space="0" w:color="auto"/>
            </w:tcBorders>
            <w:shd w:val="clear" w:color="auto" w:fill="auto"/>
            <w:noWrap/>
            <w:vAlign w:val="bottom"/>
          </w:tcPr>
          <w:p w14:paraId="5B7AD678" w14:textId="77777777" w:rsidR="00283EEF" w:rsidRPr="000939E3" w:rsidRDefault="00283EEF" w:rsidP="007A5828">
            <w:pPr>
              <w:spacing w:after="0" w:line="240" w:lineRule="auto"/>
              <w:contextualSpacing/>
              <w:jc w:val="center"/>
              <w:rPr>
                <w:rFonts w:eastAsia="Times New Roman" w:cs="Times New Roman"/>
                <w:color w:val="000000"/>
                <w:lang w:eastAsia="sk-SK"/>
              </w:rPr>
            </w:pPr>
            <w:r w:rsidRPr="000939E3">
              <w:rPr>
                <w:color w:val="000000"/>
              </w:rPr>
              <w:t>-2,8%</w:t>
            </w:r>
          </w:p>
        </w:tc>
        <w:tc>
          <w:tcPr>
            <w:tcW w:w="850" w:type="dxa"/>
            <w:tcBorders>
              <w:top w:val="single" w:sz="4" w:space="0" w:color="auto"/>
              <w:left w:val="single" w:sz="4" w:space="0" w:color="auto"/>
              <w:bottom w:val="nil"/>
              <w:right w:val="nil"/>
            </w:tcBorders>
            <w:shd w:val="clear" w:color="auto" w:fill="auto"/>
            <w:noWrap/>
            <w:vAlign w:val="bottom"/>
          </w:tcPr>
          <w:p w14:paraId="1282AA97"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18 916</w:t>
            </w:r>
          </w:p>
        </w:tc>
        <w:tc>
          <w:tcPr>
            <w:tcW w:w="995" w:type="dxa"/>
            <w:tcBorders>
              <w:top w:val="single" w:sz="4" w:space="0" w:color="auto"/>
              <w:left w:val="nil"/>
              <w:bottom w:val="nil"/>
              <w:right w:val="single" w:sz="4" w:space="0" w:color="auto"/>
            </w:tcBorders>
            <w:shd w:val="clear" w:color="auto" w:fill="auto"/>
            <w:noWrap/>
            <w:vAlign w:val="bottom"/>
          </w:tcPr>
          <w:p w14:paraId="39D71309"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17 951</w:t>
            </w:r>
          </w:p>
        </w:tc>
        <w:tc>
          <w:tcPr>
            <w:tcW w:w="855" w:type="dxa"/>
            <w:tcBorders>
              <w:top w:val="single" w:sz="4" w:space="0" w:color="auto"/>
              <w:left w:val="single" w:sz="4" w:space="0" w:color="auto"/>
              <w:bottom w:val="nil"/>
              <w:right w:val="nil"/>
            </w:tcBorders>
            <w:shd w:val="clear" w:color="auto" w:fill="auto"/>
            <w:noWrap/>
            <w:vAlign w:val="bottom"/>
          </w:tcPr>
          <w:p w14:paraId="0B02123F"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3,7</w:t>
            </w:r>
          </w:p>
        </w:tc>
        <w:tc>
          <w:tcPr>
            <w:tcW w:w="985" w:type="dxa"/>
            <w:tcBorders>
              <w:top w:val="single" w:sz="4" w:space="0" w:color="auto"/>
              <w:left w:val="nil"/>
              <w:bottom w:val="nil"/>
              <w:right w:val="nil"/>
            </w:tcBorders>
            <w:shd w:val="clear" w:color="auto" w:fill="auto"/>
            <w:noWrap/>
            <w:vAlign w:val="bottom"/>
          </w:tcPr>
          <w:p w14:paraId="6982A36C"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3,8</w:t>
            </w:r>
          </w:p>
        </w:tc>
      </w:tr>
      <w:tr w:rsidR="00283EEF" w:rsidRPr="000939E3" w14:paraId="08B2D66F" w14:textId="77777777" w:rsidTr="007A5828">
        <w:trPr>
          <w:trHeight w:val="20"/>
        </w:trPr>
        <w:tc>
          <w:tcPr>
            <w:tcW w:w="4395" w:type="dxa"/>
            <w:tcBorders>
              <w:left w:val="nil"/>
              <w:bottom w:val="nil"/>
              <w:right w:val="single" w:sz="4" w:space="0" w:color="auto"/>
            </w:tcBorders>
            <w:shd w:val="clear" w:color="auto" w:fill="auto"/>
            <w:noWrap/>
            <w:vAlign w:val="center"/>
          </w:tcPr>
          <w:p w14:paraId="2C64B8DC" w14:textId="77777777" w:rsidR="00283EEF" w:rsidRPr="000939E3" w:rsidRDefault="00283EEF" w:rsidP="007A5828">
            <w:pPr>
              <w:spacing w:after="0" w:line="240" w:lineRule="auto"/>
              <w:contextualSpacing/>
              <w:rPr>
                <w:rFonts w:eastAsia="Times New Roman" w:cs="Times New Roman"/>
                <w:color w:val="000000"/>
                <w:lang w:eastAsia="sk-SK"/>
              </w:rPr>
            </w:pPr>
            <w:r w:rsidRPr="000939E3">
              <w:rPr>
                <w:color w:val="000000"/>
              </w:rPr>
              <w:t>Učitelia v stredných školách</w:t>
            </w:r>
          </w:p>
        </w:tc>
        <w:tc>
          <w:tcPr>
            <w:tcW w:w="992" w:type="dxa"/>
            <w:tcBorders>
              <w:left w:val="single" w:sz="4" w:space="0" w:color="auto"/>
              <w:bottom w:val="nil"/>
              <w:right w:val="single" w:sz="4" w:space="0" w:color="auto"/>
            </w:tcBorders>
            <w:shd w:val="clear" w:color="auto" w:fill="auto"/>
            <w:noWrap/>
            <w:vAlign w:val="bottom"/>
          </w:tcPr>
          <w:p w14:paraId="2F148DD0" w14:textId="77777777" w:rsidR="00283EEF" w:rsidRPr="000939E3" w:rsidRDefault="00283EEF" w:rsidP="007A5828">
            <w:pPr>
              <w:spacing w:after="0" w:line="240" w:lineRule="auto"/>
              <w:contextualSpacing/>
              <w:jc w:val="center"/>
              <w:rPr>
                <w:rFonts w:eastAsia="Times New Roman" w:cs="Times New Roman"/>
                <w:color w:val="000000"/>
                <w:lang w:eastAsia="sk-SK"/>
              </w:rPr>
            </w:pPr>
            <w:r w:rsidRPr="000939E3">
              <w:rPr>
                <w:color w:val="000000"/>
              </w:rPr>
              <w:t>5,1%</w:t>
            </w:r>
          </w:p>
        </w:tc>
        <w:tc>
          <w:tcPr>
            <w:tcW w:w="850" w:type="dxa"/>
            <w:tcBorders>
              <w:left w:val="single" w:sz="4" w:space="0" w:color="auto"/>
              <w:bottom w:val="nil"/>
              <w:right w:val="nil"/>
            </w:tcBorders>
            <w:shd w:val="clear" w:color="auto" w:fill="auto"/>
            <w:noWrap/>
            <w:vAlign w:val="bottom"/>
          </w:tcPr>
          <w:p w14:paraId="42913FC0"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14 882</w:t>
            </w:r>
          </w:p>
        </w:tc>
        <w:tc>
          <w:tcPr>
            <w:tcW w:w="995" w:type="dxa"/>
            <w:tcBorders>
              <w:left w:val="nil"/>
              <w:bottom w:val="nil"/>
              <w:right w:val="single" w:sz="4" w:space="0" w:color="auto"/>
            </w:tcBorders>
            <w:shd w:val="clear" w:color="auto" w:fill="auto"/>
            <w:noWrap/>
            <w:vAlign w:val="bottom"/>
          </w:tcPr>
          <w:p w14:paraId="594784C3"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1 488</w:t>
            </w:r>
          </w:p>
        </w:tc>
        <w:tc>
          <w:tcPr>
            <w:tcW w:w="855" w:type="dxa"/>
            <w:tcBorders>
              <w:left w:val="single" w:sz="4" w:space="0" w:color="auto"/>
              <w:bottom w:val="nil"/>
              <w:right w:val="nil"/>
            </w:tcBorders>
            <w:shd w:val="clear" w:color="auto" w:fill="auto"/>
            <w:noWrap/>
            <w:vAlign w:val="bottom"/>
          </w:tcPr>
          <w:p w14:paraId="27BD08C7"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9,0</w:t>
            </w:r>
          </w:p>
        </w:tc>
        <w:tc>
          <w:tcPr>
            <w:tcW w:w="985" w:type="dxa"/>
            <w:tcBorders>
              <w:left w:val="nil"/>
              <w:bottom w:val="nil"/>
              <w:right w:val="nil"/>
            </w:tcBorders>
            <w:shd w:val="clear" w:color="auto" w:fill="auto"/>
            <w:noWrap/>
            <w:vAlign w:val="bottom"/>
          </w:tcPr>
          <w:p w14:paraId="1A068F44"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8,6</w:t>
            </w:r>
          </w:p>
        </w:tc>
      </w:tr>
      <w:tr w:rsidR="00283EEF" w:rsidRPr="000939E3" w14:paraId="476644F3" w14:textId="77777777" w:rsidTr="007A5828">
        <w:trPr>
          <w:trHeight w:val="20"/>
        </w:trPr>
        <w:tc>
          <w:tcPr>
            <w:tcW w:w="4395" w:type="dxa"/>
            <w:tcBorders>
              <w:left w:val="nil"/>
              <w:bottom w:val="nil"/>
              <w:right w:val="single" w:sz="4" w:space="0" w:color="auto"/>
            </w:tcBorders>
            <w:shd w:val="clear" w:color="auto" w:fill="auto"/>
            <w:noWrap/>
            <w:vAlign w:val="center"/>
          </w:tcPr>
          <w:p w14:paraId="4FD912AD" w14:textId="77777777" w:rsidR="00283EEF" w:rsidRPr="000939E3" w:rsidRDefault="00283EEF" w:rsidP="007A5828">
            <w:pPr>
              <w:spacing w:after="0" w:line="240" w:lineRule="auto"/>
              <w:contextualSpacing/>
              <w:rPr>
                <w:rFonts w:eastAsia="Times New Roman" w:cs="Times New Roman"/>
                <w:color w:val="000000"/>
                <w:lang w:eastAsia="sk-SK"/>
              </w:rPr>
            </w:pPr>
            <w:r w:rsidRPr="000939E3">
              <w:rPr>
                <w:color w:val="000000"/>
              </w:rPr>
              <w:t>Špecialisti v oblasti účtovníctva a finančnej kontroly</w:t>
            </w:r>
          </w:p>
        </w:tc>
        <w:tc>
          <w:tcPr>
            <w:tcW w:w="992" w:type="dxa"/>
            <w:tcBorders>
              <w:left w:val="single" w:sz="4" w:space="0" w:color="auto"/>
              <w:bottom w:val="nil"/>
              <w:right w:val="single" w:sz="4" w:space="0" w:color="auto"/>
            </w:tcBorders>
            <w:shd w:val="clear" w:color="auto" w:fill="auto"/>
            <w:noWrap/>
            <w:vAlign w:val="bottom"/>
          </w:tcPr>
          <w:p w14:paraId="55AE5315" w14:textId="77777777" w:rsidR="00283EEF" w:rsidRPr="000939E3" w:rsidRDefault="00283EEF" w:rsidP="007A5828">
            <w:pPr>
              <w:spacing w:after="0" w:line="240" w:lineRule="auto"/>
              <w:contextualSpacing/>
              <w:jc w:val="center"/>
              <w:rPr>
                <w:rFonts w:eastAsia="Times New Roman" w:cs="Times New Roman"/>
                <w:color w:val="000000"/>
                <w:lang w:eastAsia="sk-SK"/>
              </w:rPr>
            </w:pPr>
            <w:r w:rsidRPr="000939E3">
              <w:rPr>
                <w:color w:val="000000"/>
              </w:rPr>
              <w:t>1,7%</w:t>
            </w:r>
          </w:p>
        </w:tc>
        <w:tc>
          <w:tcPr>
            <w:tcW w:w="850" w:type="dxa"/>
            <w:tcBorders>
              <w:left w:val="single" w:sz="4" w:space="0" w:color="auto"/>
              <w:bottom w:val="nil"/>
              <w:right w:val="nil"/>
            </w:tcBorders>
            <w:shd w:val="clear" w:color="auto" w:fill="auto"/>
            <w:noWrap/>
            <w:vAlign w:val="bottom"/>
          </w:tcPr>
          <w:p w14:paraId="1BB63D79"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4 654</w:t>
            </w:r>
          </w:p>
        </w:tc>
        <w:tc>
          <w:tcPr>
            <w:tcW w:w="995" w:type="dxa"/>
            <w:tcBorders>
              <w:left w:val="nil"/>
              <w:bottom w:val="nil"/>
              <w:right w:val="single" w:sz="4" w:space="0" w:color="auto"/>
            </w:tcBorders>
            <w:shd w:val="clear" w:color="auto" w:fill="auto"/>
            <w:noWrap/>
            <w:vAlign w:val="bottom"/>
          </w:tcPr>
          <w:p w14:paraId="39611390"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14 129</w:t>
            </w:r>
          </w:p>
        </w:tc>
        <w:tc>
          <w:tcPr>
            <w:tcW w:w="855" w:type="dxa"/>
            <w:tcBorders>
              <w:left w:val="single" w:sz="4" w:space="0" w:color="auto"/>
              <w:bottom w:val="nil"/>
              <w:right w:val="nil"/>
            </w:tcBorders>
            <w:shd w:val="clear" w:color="auto" w:fill="auto"/>
            <w:noWrap/>
            <w:vAlign w:val="bottom"/>
          </w:tcPr>
          <w:p w14:paraId="5C385586"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9,9</w:t>
            </w:r>
          </w:p>
        </w:tc>
        <w:tc>
          <w:tcPr>
            <w:tcW w:w="985" w:type="dxa"/>
            <w:tcBorders>
              <w:left w:val="nil"/>
              <w:bottom w:val="nil"/>
              <w:right w:val="nil"/>
            </w:tcBorders>
            <w:shd w:val="clear" w:color="auto" w:fill="auto"/>
            <w:noWrap/>
            <w:vAlign w:val="bottom"/>
          </w:tcPr>
          <w:p w14:paraId="7835EA31"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9,7</w:t>
            </w:r>
          </w:p>
        </w:tc>
      </w:tr>
      <w:tr w:rsidR="00283EEF" w:rsidRPr="000939E3" w14:paraId="06908F69" w14:textId="77777777" w:rsidTr="007A5828">
        <w:trPr>
          <w:trHeight w:val="20"/>
        </w:trPr>
        <w:tc>
          <w:tcPr>
            <w:tcW w:w="4395" w:type="dxa"/>
            <w:tcBorders>
              <w:left w:val="nil"/>
              <w:bottom w:val="nil"/>
              <w:right w:val="single" w:sz="4" w:space="0" w:color="auto"/>
            </w:tcBorders>
            <w:shd w:val="clear" w:color="auto" w:fill="auto"/>
            <w:noWrap/>
            <w:vAlign w:val="center"/>
          </w:tcPr>
          <w:p w14:paraId="396FEE87" w14:textId="77777777" w:rsidR="00283EEF" w:rsidRPr="000939E3" w:rsidRDefault="00283EEF" w:rsidP="007A5828">
            <w:pPr>
              <w:spacing w:after="0" w:line="240" w:lineRule="auto"/>
              <w:contextualSpacing/>
              <w:rPr>
                <w:rFonts w:eastAsia="Times New Roman" w:cs="Times New Roman"/>
                <w:color w:val="000000"/>
                <w:lang w:eastAsia="sk-SK"/>
              </w:rPr>
            </w:pPr>
            <w:r w:rsidRPr="000939E3">
              <w:rPr>
                <w:color w:val="000000"/>
              </w:rPr>
              <w:t>Sekretárky</w:t>
            </w:r>
          </w:p>
        </w:tc>
        <w:tc>
          <w:tcPr>
            <w:tcW w:w="992" w:type="dxa"/>
            <w:tcBorders>
              <w:left w:val="single" w:sz="4" w:space="0" w:color="auto"/>
              <w:bottom w:val="nil"/>
              <w:right w:val="single" w:sz="4" w:space="0" w:color="auto"/>
            </w:tcBorders>
            <w:shd w:val="clear" w:color="auto" w:fill="auto"/>
            <w:noWrap/>
            <w:vAlign w:val="bottom"/>
          </w:tcPr>
          <w:p w14:paraId="161E7920" w14:textId="77777777" w:rsidR="00283EEF" w:rsidRPr="000939E3" w:rsidRDefault="00283EEF" w:rsidP="007A5828">
            <w:pPr>
              <w:spacing w:after="0" w:line="240" w:lineRule="auto"/>
              <w:contextualSpacing/>
              <w:jc w:val="center"/>
              <w:rPr>
                <w:rFonts w:eastAsia="Times New Roman" w:cs="Times New Roman"/>
                <w:color w:val="000000"/>
                <w:lang w:eastAsia="sk-SK"/>
              </w:rPr>
            </w:pPr>
            <w:r w:rsidRPr="000939E3">
              <w:rPr>
                <w:color w:val="000000"/>
              </w:rPr>
              <w:t>-2,3%</w:t>
            </w:r>
          </w:p>
        </w:tc>
        <w:tc>
          <w:tcPr>
            <w:tcW w:w="850" w:type="dxa"/>
            <w:tcBorders>
              <w:left w:val="single" w:sz="4" w:space="0" w:color="auto"/>
              <w:bottom w:val="nil"/>
              <w:right w:val="nil"/>
            </w:tcBorders>
            <w:shd w:val="clear" w:color="auto" w:fill="auto"/>
            <w:noWrap/>
            <w:vAlign w:val="bottom"/>
          </w:tcPr>
          <w:p w14:paraId="2A19906D"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2 020</w:t>
            </w:r>
          </w:p>
        </w:tc>
        <w:tc>
          <w:tcPr>
            <w:tcW w:w="995" w:type="dxa"/>
            <w:tcBorders>
              <w:left w:val="nil"/>
              <w:bottom w:val="nil"/>
              <w:right w:val="single" w:sz="4" w:space="0" w:color="auto"/>
            </w:tcBorders>
            <w:shd w:val="clear" w:color="auto" w:fill="auto"/>
            <w:noWrap/>
            <w:vAlign w:val="bottom"/>
          </w:tcPr>
          <w:p w14:paraId="31C66A3C"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3 391</w:t>
            </w:r>
          </w:p>
        </w:tc>
        <w:tc>
          <w:tcPr>
            <w:tcW w:w="855" w:type="dxa"/>
            <w:tcBorders>
              <w:left w:val="single" w:sz="4" w:space="0" w:color="auto"/>
              <w:bottom w:val="nil"/>
              <w:right w:val="nil"/>
            </w:tcBorders>
            <w:shd w:val="clear" w:color="auto" w:fill="auto"/>
            <w:noWrap/>
            <w:vAlign w:val="bottom"/>
          </w:tcPr>
          <w:p w14:paraId="23E641F6"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6,6</w:t>
            </w:r>
          </w:p>
        </w:tc>
        <w:tc>
          <w:tcPr>
            <w:tcW w:w="985" w:type="dxa"/>
            <w:tcBorders>
              <w:left w:val="nil"/>
              <w:bottom w:val="nil"/>
              <w:right w:val="nil"/>
            </w:tcBorders>
            <w:shd w:val="clear" w:color="auto" w:fill="auto"/>
            <w:noWrap/>
            <w:vAlign w:val="bottom"/>
          </w:tcPr>
          <w:p w14:paraId="537D3CC1"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6,7</w:t>
            </w:r>
          </w:p>
        </w:tc>
      </w:tr>
      <w:tr w:rsidR="00283EEF" w:rsidRPr="000939E3" w14:paraId="1D625268" w14:textId="77777777" w:rsidTr="007A5828">
        <w:trPr>
          <w:trHeight w:val="20"/>
        </w:trPr>
        <w:tc>
          <w:tcPr>
            <w:tcW w:w="4395" w:type="dxa"/>
            <w:tcBorders>
              <w:top w:val="nil"/>
              <w:left w:val="nil"/>
              <w:bottom w:val="nil"/>
              <w:right w:val="single" w:sz="4" w:space="0" w:color="auto"/>
            </w:tcBorders>
            <w:shd w:val="clear" w:color="auto" w:fill="auto"/>
            <w:noWrap/>
            <w:vAlign w:val="center"/>
          </w:tcPr>
          <w:p w14:paraId="72DA53B5" w14:textId="77777777" w:rsidR="00283EEF" w:rsidRPr="000939E3" w:rsidRDefault="00283EEF" w:rsidP="007A5828">
            <w:pPr>
              <w:spacing w:after="0" w:line="240" w:lineRule="auto"/>
              <w:contextualSpacing/>
              <w:rPr>
                <w:rFonts w:eastAsia="Times New Roman" w:cs="Times New Roman"/>
                <w:color w:val="000000"/>
                <w:lang w:eastAsia="sk-SK"/>
              </w:rPr>
            </w:pPr>
            <w:r w:rsidRPr="000939E3">
              <w:rPr>
                <w:color w:val="000000"/>
              </w:rPr>
              <w:t>Laboranti v zdrav. laboratóriách a na patológii</w:t>
            </w:r>
          </w:p>
        </w:tc>
        <w:tc>
          <w:tcPr>
            <w:tcW w:w="992" w:type="dxa"/>
            <w:tcBorders>
              <w:top w:val="nil"/>
              <w:left w:val="single" w:sz="4" w:space="0" w:color="auto"/>
              <w:bottom w:val="nil"/>
              <w:right w:val="single" w:sz="4" w:space="0" w:color="auto"/>
            </w:tcBorders>
            <w:shd w:val="clear" w:color="auto" w:fill="auto"/>
            <w:noWrap/>
            <w:vAlign w:val="bottom"/>
          </w:tcPr>
          <w:p w14:paraId="3CCA392C" w14:textId="77777777" w:rsidR="00283EEF" w:rsidRPr="000939E3" w:rsidRDefault="00283EEF" w:rsidP="007A5828">
            <w:pPr>
              <w:spacing w:after="0" w:line="240" w:lineRule="auto"/>
              <w:contextualSpacing/>
              <w:jc w:val="center"/>
              <w:rPr>
                <w:rFonts w:eastAsia="Times New Roman" w:cs="Times New Roman"/>
                <w:color w:val="000000"/>
                <w:lang w:eastAsia="sk-SK"/>
              </w:rPr>
            </w:pPr>
            <w:r w:rsidRPr="000939E3">
              <w:rPr>
                <w:color w:val="000000"/>
              </w:rPr>
              <w:t>-1,2%</w:t>
            </w:r>
          </w:p>
        </w:tc>
        <w:tc>
          <w:tcPr>
            <w:tcW w:w="850" w:type="dxa"/>
            <w:tcBorders>
              <w:top w:val="nil"/>
              <w:left w:val="single" w:sz="4" w:space="0" w:color="auto"/>
              <w:bottom w:val="nil"/>
              <w:right w:val="nil"/>
            </w:tcBorders>
            <w:shd w:val="clear" w:color="auto" w:fill="auto"/>
            <w:noWrap/>
            <w:vAlign w:val="bottom"/>
          </w:tcPr>
          <w:p w14:paraId="35000E8C"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1 936</w:t>
            </w:r>
          </w:p>
        </w:tc>
        <w:tc>
          <w:tcPr>
            <w:tcW w:w="995" w:type="dxa"/>
            <w:tcBorders>
              <w:top w:val="nil"/>
              <w:left w:val="nil"/>
              <w:bottom w:val="nil"/>
              <w:right w:val="single" w:sz="4" w:space="0" w:color="auto"/>
            </w:tcBorders>
            <w:shd w:val="clear" w:color="auto" w:fill="auto"/>
            <w:noWrap/>
            <w:vAlign w:val="bottom"/>
          </w:tcPr>
          <w:p w14:paraId="5E3AE839"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2 339</w:t>
            </w:r>
          </w:p>
        </w:tc>
        <w:tc>
          <w:tcPr>
            <w:tcW w:w="855" w:type="dxa"/>
            <w:tcBorders>
              <w:top w:val="nil"/>
              <w:left w:val="single" w:sz="4" w:space="0" w:color="auto"/>
              <w:bottom w:val="nil"/>
              <w:right w:val="nil"/>
            </w:tcBorders>
            <w:shd w:val="clear" w:color="auto" w:fill="auto"/>
            <w:noWrap/>
            <w:vAlign w:val="bottom"/>
          </w:tcPr>
          <w:p w14:paraId="14EBCAF8"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6,7</w:t>
            </w:r>
          </w:p>
        </w:tc>
        <w:tc>
          <w:tcPr>
            <w:tcW w:w="985" w:type="dxa"/>
            <w:tcBorders>
              <w:top w:val="nil"/>
              <w:left w:val="nil"/>
              <w:bottom w:val="nil"/>
              <w:right w:val="nil"/>
            </w:tcBorders>
            <w:shd w:val="clear" w:color="auto" w:fill="auto"/>
            <w:noWrap/>
            <w:vAlign w:val="bottom"/>
          </w:tcPr>
          <w:p w14:paraId="34D65407" w14:textId="77777777" w:rsidR="00283EEF" w:rsidRPr="000939E3" w:rsidRDefault="00283EEF" w:rsidP="007A5828">
            <w:pPr>
              <w:spacing w:after="0" w:line="240" w:lineRule="auto"/>
              <w:contextualSpacing/>
              <w:jc w:val="right"/>
              <w:rPr>
                <w:rFonts w:eastAsia="Times New Roman" w:cs="Times New Roman"/>
                <w:color w:val="000000"/>
                <w:lang w:eastAsia="sk-SK"/>
              </w:rPr>
            </w:pPr>
            <w:r w:rsidRPr="000939E3">
              <w:rPr>
                <w:color w:val="000000"/>
              </w:rPr>
              <w:t>6,8</w:t>
            </w:r>
          </w:p>
        </w:tc>
      </w:tr>
      <w:tr w:rsidR="00283EEF" w:rsidRPr="000939E3" w14:paraId="0860DEAD" w14:textId="77777777" w:rsidTr="007A5828">
        <w:trPr>
          <w:trHeight w:val="20"/>
        </w:trPr>
        <w:tc>
          <w:tcPr>
            <w:tcW w:w="4395" w:type="dxa"/>
            <w:tcBorders>
              <w:top w:val="single" w:sz="4" w:space="0" w:color="auto"/>
              <w:left w:val="nil"/>
              <w:right w:val="nil"/>
            </w:tcBorders>
            <w:shd w:val="clear" w:color="auto" w:fill="auto"/>
            <w:noWrap/>
            <w:vAlign w:val="bottom"/>
          </w:tcPr>
          <w:p w14:paraId="60002CA8" w14:textId="77777777" w:rsidR="00283EEF" w:rsidRPr="000939E3" w:rsidRDefault="00283EEF" w:rsidP="007A5828">
            <w:pPr>
              <w:spacing w:after="0" w:line="240" w:lineRule="auto"/>
              <w:contextualSpacing/>
              <w:rPr>
                <w:color w:val="000000"/>
              </w:rPr>
            </w:pPr>
          </w:p>
        </w:tc>
        <w:tc>
          <w:tcPr>
            <w:tcW w:w="992" w:type="dxa"/>
            <w:tcBorders>
              <w:top w:val="single" w:sz="4" w:space="0" w:color="auto"/>
              <w:left w:val="nil"/>
              <w:right w:val="nil"/>
            </w:tcBorders>
            <w:shd w:val="clear" w:color="auto" w:fill="auto"/>
            <w:noWrap/>
            <w:vAlign w:val="bottom"/>
          </w:tcPr>
          <w:p w14:paraId="01BE10D0" w14:textId="77777777" w:rsidR="00283EEF" w:rsidRPr="000939E3" w:rsidRDefault="00283EEF" w:rsidP="007A5828">
            <w:pPr>
              <w:spacing w:after="0" w:line="240" w:lineRule="auto"/>
              <w:contextualSpacing/>
              <w:rPr>
                <w:color w:val="000000"/>
              </w:rPr>
            </w:pPr>
          </w:p>
        </w:tc>
        <w:tc>
          <w:tcPr>
            <w:tcW w:w="850" w:type="dxa"/>
            <w:tcBorders>
              <w:top w:val="single" w:sz="4" w:space="0" w:color="auto"/>
              <w:left w:val="nil"/>
              <w:right w:val="nil"/>
            </w:tcBorders>
            <w:shd w:val="clear" w:color="auto" w:fill="auto"/>
            <w:noWrap/>
            <w:vAlign w:val="bottom"/>
          </w:tcPr>
          <w:p w14:paraId="73979EA0" w14:textId="77777777" w:rsidR="00283EEF" w:rsidRPr="000939E3" w:rsidRDefault="00283EEF" w:rsidP="007A5828">
            <w:pPr>
              <w:spacing w:after="0" w:line="240" w:lineRule="auto"/>
              <w:contextualSpacing/>
              <w:jc w:val="right"/>
              <w:rPr>
                <w:color w:val="000000"/>
              </w:rPr>
            </w:pPr>
          </w:p>
        </w:tc>
        <w:tc>
          <w:tcPr>
            <w:tcW w:w="2835" w:type="dxa"/>
            <w:gridSpan w:val="3"/>
            <w:tcBorders>
              <w:top w:val="single" w:sz="4" w:space="0" w:color="auto"/>
              <w:left w:val="nil"/>
              <w:right w:val="nil"/>
            </w:tcBorders>
            <w:shd w:val="clear" w:color="auto" w:fill="auto"/>
            <w:noWrap/>
          </w:tcPr>
          <w:p w14:paraId="1AAD60A2" w14:textId="77777777" w:rsidR="00283EEF" w:rsidRPr="000939E3" w:rsidRDefault="00283EEF" w:rsidP="007A5828">
            <w:pPr>
              <w:spacing w:after="0" w:line="240" w:lineRule="auto"/>
              <w:contextualSpacing/>
              <w:jc w:val="right"/>
              <w:rPr>
                <w:i/>
                <w:color w:val="000000"/>
              </w:rPr>
            </w:pPr>
            <w:r w:rsidRPr="000939E3">
              <w:rPr>
                <w:i/>
                <w:color w:val="000000"/>
                <w:sz w:val="18"/>
              </w:rPr>
              <w:t>Zdroj: ISCP, prepočty ÚHP</w:t>
            </w:r>
          </w:p>
        </w:tc>
      </w:tr>
    </w:tbl>
    <w:p w14:paraId="29D76766" w14:textId="5EED5218" w:rsidR="00283EEF" w:rsidRPr="000939E3" w:rsidRDefault="00AA366A" w:rsidP="00283EEF">
      <w:pPr>
        <w:pStyle w:val="Nadpis2"/>
      </w:pPr>
      <w:bookmarkStart w:id="161" w:name="_Toc34050701"/>
      <w:r w:rsidRPr="000939E3">
        <w:lastRenderedPageBreak/>
        <w:t>Mzdový diferenciál medzi verejným a súkromným sektorom v krajinách EÚ</w:t>
      </w:r>
      <w:bookmarkEnd w:id="161"/>
      <w:r w:rsidR="00283EEF" w:rsidRPr="000939E3">
        <w:t xml:space="preserve"> </w:t>
      </w:r>
    </w:p>
    <w:p w14:paraId="023BEFFB" w14:textId="6779AB30" w:rsidR="00283EEF" w:rsidRPr="000939E3" w:rsidRDefault="00AA366A" w:rsidP="000E0F36">
      <w:r w:rsidRPr="000939E3">
        <w:rPr>
          <w:b/>
        </w:rPr>
        <w:t xml:space="preserve">Priame porovnanie priemernej kompenzácie zamestnancov súkromného a verejného sektora má obmedzenú výpovednú hodnotu. </w:t>
      </w:r>
      <w:r w:rsidRPr="000939E3">
        <w:t>Zamestnanci verejného sektora zarábajú v priemere o 7 % viac ako zamestnanci súkromného sektora (</w:t>
      </w:r>
      <w:r w:rsidRPr="000939E3">
        <w:fldChar w:fldCharType="begin"/>
      </w:r>
      <w:r w:rsidRPr="000939E3">
        <w:instrText xml:space="preserve"> REF _Ref528322693 \h  \* MERGEFORMAT </w:instrText>
      </w:r>
      <w:r w:rsidRPr="000939E3">
        <w:fldChar w:fldCharType="separate"/>
      </w:r>
      <w:r w:rsidR="00BF69CA" w:rsidRPr="00BF69CA">
        <w:t xml:space="preserve">Graf </w:t>
      </w:r>
      <w:r w:rsidR="00BF69CA" w:rsidRPr="00BF69CA">
        <w:rPr>
          <w:noProof/>
        </w:rPr>
        <w:t>5</w:t>
      </w:r>
      <w:r w:rsidRPr="000939E3">
        <w:fldChar w:fldCharType="end"/>
      </w:r>
      <w:r w:rsidRPr="000939E3">
        <w:t>). Takéto porovnanie však nezohľadňuje rozdielnu štruktúru zamestnancov. Verejní zamestnanci sú v priemere starší, majú vyššie vzdelanie a pracujú na pozíciách</w:t>
      </w:r>
      <w:r w:rsidR="005F5E81" w:rsidRPr="000939E3">
        <w:t xml:space="preserve"> vyžadujúcich vyššie zručnosti</w:t>
      </w:r>
      <w:r w:rsidR="00A133B6" w:rsidRPr="000939E3">
        <w:t xml:space="preserve"> (Kapitola </w:t>
      </w:r>
      <w:r w:rsidR="00A133B6" w:rsidRPr="000939E3">
        <w:fldChar w:fldCharType="begin"/>
      </w:r>
      <w:r w:rsidR="00A133B6" w:rsidRPr="000939E3">
        <w:instrText xml:space="preserve"> REF _Ref532831506 \r \h </w:instrText>
      </w:r>
      <w:r w:rsidR="00316261" w:rsidRPr="000939E3">
        <w:instrText xml:space="preserve"> \* MERGEFORMAT </w:instrText>
      </w:r>
      <w:r w:rsidR="00A133B6" w:rsidRPr="000939E3">
        <w:fldChar w:fldCharType="separate"/>
      </w:r>
      <w:r w:rsidR="00BF69CA">
        <w:t>3.1</w:t>
      </w:r>
      <w:r w:rsidR="00A133B6" w:rsidRPr="000939E3">
        <w:fldChar w:fldCharType="end"/>
      </w:r>
      <w:r w:rsidR="00A133B6" w:rsidRPr="000939E3">
        <w:t>)</w:t>
      </w:r>
      <w:r w:rsidR="005F5E81" w:rsidRPr="000939E3">
        <w:t>.</w:t>
      </w:r>
    </w:p>
    <w:p w14:paraId="184F0D19" w14:textId="43786CE4" w:rsidR="005F5E81" w:rsidRPr="000939E3" w:rsidRDefault="00A133B6" w:rsidP="000E0F36">
      <w:r w:rsidRPr="000939E3">
        <w:rPr>
          <w:b/>
        </w:rPr>
        <w:t xml:space="preserve">Komplexnejšie porovnanie, ktoré zohľadňuje pozorovateľné charakteristiky zamestnancov </w:t>
      </w:r>
      <w:r w:rsidR="0055095F" w:rsidRPr="000939E3">
        <w:rPr>
          <w:b/>
        </w:rPr>
        <w:t xml:space="preserve">a pracovných pozícií </w:t>
      </w:r>
      <w:r w:rsidRPr="000939E3">
        <w:rPr>
          <w:b/>
        </w:rPr>
        <w:t>naznačuje, že zamestnanci verejného sektora zarábajú o 3 % menej ako zamestnanci súkromného sektora. Slovensko je jednou zo štyroch krajín EÚ, kde toto porovnanie vychádza v neprospech verejných zamestnancov (</w:t>
      </w:r>
      <w:r w:rsidRPr="000939E3">
        <w:rPr>
          <w:b/>
        </w:rPr>
        <w:fldChar w:fldCharType="begin"/>
      </w:r>
      <w:r w:rsidRPr="000939E3">
        <w:rPr>
          <w:b/>
        </w:rPr>
        <w:instrText xml:space="preserve"> REF _Ref4399771 \h  \* MERGEFORMAT </w:instrText>
      </w:r>
      <w:r w:rsidRPr="000939E3">
        <w:rPr>
          <w:b/>
        </w:rPr>
      </w:r>
      <w:r w:rsidRPr="000939E3">
        <w:rPr>
          <w:b/>
        </w:rPr>
        <w:fldChar w:fldCharType="separate"/>
      </w:r>
      <w:r w:rsidR="00BF69CA" w:rsidRPr="00BF69CA">
        <w:rPr>
          <w:b/>
        </w:rPr>
        <w:t xml:space="preserve">Graf </w:t>
      </w:r>
      <w:r w:rsidR="00BF69CA" w:rsidRPr="00BF69CA">
        <w:rPr>
          <w:b/>
          <w:noProof/>
        </w:rPr>
        <w:t>36</w:t>
      </w:r>
      <w:r w:rsidRPr="000939E3">
        <w:rPr>
          <w:b/>
        </w:rPr>
        <w:fldChar w:fldCharType="end"/>
      </w:r>
      <w:r w:rsidR="007016F5" w:rsidRPr="000939E3">
        <w:rPr>
          <w:b/>
        </w:rPr>
        <w:t>)</w:t>
      </w:r>
      <w:r w:rsidRPr="000939E3">
        <w:rPr>
          <w:b/>
        </w:rPr>
        <w:t>.</w:t>
      </w:r>
      <w:r w:rsidRPr="000939E3">
        <w:t xml:space="preserve"> Porovnanie zohľadňuje pohlavie, vek, vzdelanie, pracovnú pozíciu, druh pracovného pomeru a sektor hospodárstva </w:t>
      </w:r>
      <w:r w:rsidR="0053230C" w:rsidRPr="000939E3">
        <w:t>(</w:t>
      </w:r>
      <w:r w:rsidR="000647E2" w:rsidRPr="000939E3">
        <w:fldChar w:fldCharType="begin"/>
      </w:r>
      <w:r w:rsidR="000647E2" w:rsidRPr="000939E3">
        <w:instrText xml:space="preserve"> REF _Ref7360830 \h </w:instrText>
      </w:r>
      <w:r w:rsidR="000939E3">
        <w:instrText xml:space="preserve"> \* MERGEFORMAT </w:instrText>
      </w:r>
      <w:r w:rsidR="000647E2" w:rsidRPr="000939E3">
        <w:fldChar w:fldCharType="separate"/>
      </w:r>
      <w:r w:rsidR="00BF69CA" w:rsidRPr="000939E3">
        <w:t xml:space="preserve">Príloha </w:t>
      </w:r>
      <w:r w:rsidR="00BF69CA">
        <w:rPr>
          <w:noProof/>
        </w:rPr>
        <w:t>9</w:t>
      </w:r>
      <w:r w:rsidR="000647E2" w:rsidRPr="000939E3">
        <w:fldChar w:fldCharType="end"/>
      </w:r>
      <w:r w:rsidR="0053230C" w:rsidRPr="000939E3">
        <w:t xml:space="preserve">). Z analýzy </w:t>
      </w:r>
      <w:r w:rsidR="00B93445" w:rsidRPr="000939E3">
        <w:t>vyplýva, že výrazne nižší príjem ako náprotivky v súkromnom sektore, aj po zohľadnení pozorovateľných charakteristík, majú ženy (o 7 %), mla</w:t>
      </w:r>
      <w:r w:rsidR="00903470">
        <w:t>dí do </w:t>
      </w:r>
      <w:r w:rsidR="00B93445" w:rsidRPr="000939E3">
        <w:t>29 rokov (o</w:t>
      </w:r>
      <w:r w:rsidR="00CE2938" w:rsidRPr="000939E3">
        <w:t> </w:t>
      </w:r>
      <w:r w:rsidR="00B93445" w:rsidRPr="000939E3">
        <w:t>9</w:t>
      </w:r>
      <w:r w:rsidR="00CE2938" w:rsidRPr="000939E3">
        <w:t> </w:t>
      </w:r>
      <w:r w:rsidR="00B93445" w:rsidRPr="000939E3">
        <w:t>%) a zamestnanci s vysokoškolským vzdelaním (o 11 %).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163"/>
        <w:gridCol w:w="2909"/>
      </w:tblGrid>
      <w:tr w:rsidR="00A133B6" w:rsidRPr="000939E3" w14:paraId="422B9043" w14:textId="77777777" w:rsidTr="00F41BEB">
        <w:trPr>
          <w:trHeight w:val="49"/>
        </w:trPr>
        <w:tc>
          <w:tcPr>
            <w:tcW w:w="9072" w:type="dxa"/>
            <w:gridSpan w:val="2"/>
            <w:tcBorders>
              <w:bottom w:val="single" w:sz="4" w:space="0" w:color="auto"/>
            </w:tcBorders>
            <w:vAlign w:val="bottom"/>
          </w:tcPr>
          <w:p w14:paraId="45ED7844" w14:textId="6CF89F06" w:rsidR="00A133B6" w:rsidRPr="000939E3" w:rsidRDefault="00A133B6" w:rsidP="00244526">
            <w:pPr>
              <w:pStyle w:val="Popis"/>
              <w:rPr>
                <w:noProof/>
              </w:rPr>
            </w:pPr>
            <w:bookmarkStart w:id="162" w:name="_Ref4399771"/>
            <w:bookmarkStart w:id="163" w:name="_Toc34226907"/>
            <w:r w:rsidRPr="000939E3">
              <w:t xml:space="preserve">Graf </w:t>
            </w:r>
            <w:r w:rsidRPr="000939E3">
              <w:rPr>
                <w:noProof/>
              </w:rPr>
              <w:fldChar w:fldCharType="begin"/>
            </w:r>
            <w:r w:rsidRPr="000939E3">
              <w:rPr>
                <w:noProof/>
              </w:rPr>
              <w:instrText xml:space="preserve"> SEQ Graf \* ARABIC </w:instrText>
            </w:r>
            <w:r w:rsidRPr="000939E3">
              <w:rPr>
                <w:noProof/>
              </w:rPr>
              <w:fldChar w:fldCharType="separate"/>
            </w:r>
            <w:r w:rsidR="00BF69CA">
              <w:rPr>
                <w:noProof/>
              </w:rPr>
              <w:t>36</w:t>
            </w:r>
            <w:r w:rsidRPr="000939E3">
              <w:rPr>
                <w:noProof/>
              </w:rPr>
              <w:fldChar w:fldCharType="end"/>
            </w:r>
            <w:bookmarkEnd w:id="162"/>
            <w:r w:rsidR="00244526">
              <w:rPr>
                <w:noProof/>
              </w:rPr>
              <w:t xml:space="preserve">: </w:t>
            </w:r>
            <w:r w:rsidRPr="000939E3">
              <w:rPr>
                <w:rStyle w:val="Bodytext295pt"/>
                <w:szCs w:val="20"/>
              </w:rPr>
              <w:t>Nevysvetlená medzera medzi verejným a súkromným sektorom (2014)</w:t>
            </w:r>
            <w:bookmarkEnd w:id="163"/>
            <w:r w:rsidRPr="000939E3">
              <w:rPr>
                <w:rStyle w:val="Bodytext295pt"/>
                <w:szCs w:val="20"/>
              </w:rPr>
              <w:t xml:space="preserve"> </w:t>
            </w:r>
          </w:p>
        </w:tc>
      </w:tr>
      <w:tr w:rsidR="00A133B6" w:rsidRPr="000939E3" w14:paraId="62AFDDB0" w14:textId="77777777" w:rsidTr="00B62684">
        <w:tblPrEx>
          <w:tblCellMar>
            <w:left w:w="108" w:type="dxa"/>
            <w:right w:w="108" w:type="dxa"/>
          </w:tblCellMar>
        </w:tblPrEx>
        <w:trPr>
          <w:trHeight w:val="1963"/>
        </w:trPr>
        <w:tc>
          <w:tcPr>
            <w:tcW w:w="9072" w:type="dxa"/>
            <w:gridSpan w:val="2"/>
            <w:tcBorders>
              <w:top w:val="single" w:sz="4" w:space="0" w:color="auto"/>
              <w:bottom w:val="single" w:sz="4" w:space="0" w:color="auto"/>
            </w:tcBorders>
          </w:tcPr>
          <w:p w14:paraId="1C4A1FBA" w14:textId="774A840C" w:rsidR="00A133B6" w:rsidRPr="000939E3" w:rsidRDefault="00B62684" w:rsidP="00B62684">
            <w:pPr>
              <w:spacing w:after="0"/>
            </w:pPr>
            <w:r w:rsidRPr="000939E3">
              <w:rPr>
                <w:noProof/>
                <w:lang w:eastAsia="sk-SK"/>
              </w:rPr>
              <w:drawing>
                <wp:inline distT="0" distB="0" distL="0" distR="0" wp14:anchorId="00B8C849" wp14:editId="7DF64E60">
                  <wp:extent cx="5657897" cy="1656080"/>
                  <wp:effectExtent l="0" t="0" r="0" b="127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A133B6" w:rsidRPr="000939E3" w14:paraId="6F21BE84" w14:textId="77777777" w:rsidTr="00903470">
        <w:tblPrEx>
          <w:tblCellMar>
            <w:left w:w="108" w:type="dxa"/>
            <w:right w:w="108" w:type="dxa"/>
          </w:tblCellMar>
        </w:tblPrEx>
        <w:trPr>
          <w:trHeight w:val="138"/>
        </w:trPr>
        <w:tc>
          <w:tcPr>
            <w:tcW w:w="6379" w:type="dxa"/>
            <w:tcBorders>
              <w:top w:val="single" w:sz="4" w:space="0" w:color="auto"/>
            </w:tcBorders>
          </w:tcPr>
          <w:p w14:paraId="0FD88ED8" w14:textId="06528BA2" w:rsidR="00A133B6" w:rsidRPr="000939E3" w:rsidRDefault="00A133B6" w:rsidP="00B62684">
            <w:pPr>
              <w:spacing w:after="0"/>
              <w:rPr>
                <w:rStyle w:val="Jemnodkaz"/>
                <w:rFonts w:eastAsiaTheme="minorHAnsi"/>
              </w:rPr>
            </w:pPr>
            <w:r w:rsidRPr="000939E3">
              <w:rPr>
                <w:rStyle w:val="Jemnodkaz"/>
                <w:rFonts w:eastAsiaTheme="minorHAnsi"/>
              </w:rPr>
              <w:t>Pozn.:</w:t>
            </w:r>
            <w:r w:rsidR="00A3261B" w:rsidRPr="000939E3">
              <w:rPr>
                <w:rStyle w:val="Jemnodkaz"/>
                <w:rFonts w:eastAsiaTheme="minorHAnsi"/>
              </w:rPr>
              <w:t xml:space="preserve"> </w:t>
            </w:r>
            <w:r w:rsidRPr="000939E3">
              <w:rPr>
                <w:rStyle w:val="Jemnodkaz"/>
                <w:rFonts w:eastAsiaTheme="minorHAnsi"/>
              </w:rPr>
              <w:t>Zobrazené iba rozdiely štatisticky význam</w:t>
            </w:r>
            <w:r w:rsidR="004B45B2" w:rsidRPr="000939E3">
              <w:rPr>
                <w:rStyle w:val="Jemnodkaz"/>
                <w:rFonts w:eastAsiaTheme="minorHAnsi"/>
              </w:rPr>
              <w:t xml:space="preserve">né na hladine významnosti 1 %. </w:t>
            </w:r>
          </w:p>
        </w:tc>
        <w:tc>
          <w:tcPr>
            <w:tcW w:w="2693" w:type="dxa"/>
            <w:tcBorders>
              <w:top w:val="single" w:sz="4" w:space="0" w:color="auto"/>
            </w:tcBorders>
          </w:tcPr>
          <w:p w14:paraId="01ECA926" w14:textId="77777777" w:rsidR="00A133B6" w:rsidRPr="000939E3" w:rsidRDefault="00A133B6" w:rsidP="00B62684">
            <w:pPr>
              <w:spacing w:after="0"/>
              <w:jc w:val="right"/>
              <w:rPr>
                <w:rStyle w:val="Jemnodkaz"/>
                <w:rFonts w:eastAsiaTheme="minorHAnsi"/>
              </w:rPr>
            </w:pPr>
            <w:r w:rsidRPr="000939E3">
              <w:rPr>
                <w:rStyle w:val="Jemnodkaz"/>
                <w:rFonts w:eastAsiaTheme="minorHAnsi"/>
              </w:rPr>
              <w:t>Zdroj: Eurostat, prepočty ÚHP</w:t>
            </w:r>
          </w:p>
        </w:tc>
      </w:tr>
    </w:tbl>
    <w:p w14:paraId="327AD664" w14:textId="77777777" w:rsidR="0004409E" w:rsidRPr="000939E3" w:rsidRDefault="0004409E" w:rsidP="0004409E">
      <w:pPr>
        <w:pStyle w:val="Nadpis2"/>
      </w:pPr>
      <w:bookmarkStart w:id="164" w:name="_Toc34050702"/>
      <w:bookmarkStart w:id="165" w:name="_Toc525129029"/>
      <w:r w:rsidRPr="000939E3">
        <w:t>Vplyv regiónu na relatívny príjem</w:t>
      </w:r>
      <w:bookmarkEnd w:id="164"/>
      <w:r w:rsidRPr="000939E3">
        <w:t xml:space="preserve"> </w:t>
      </w:r>
      <w:bookmarkEnd w:id="165"/>
    </w:p>
    <w:p w14:paraId="1D1A97D4" w14:textId="3C670E2B" w:rsidR="005918FD" w:rsidRPr="000939E3" w:rsidRDefault="0004409E" w:rsidP="00AD08A3">
      <w:r w:rsidRPr="000939E3">
        <w:rPr>
          <w:rFonts w:eastAsia="Times New Roman" w:cs="Times New Roman"/>
          <w:b/>
          <w:bCs/>
          <w:lang w:eastAsia="sk-SK"/>
        </w:rPr>
        <w:t xml:space="preserve">Mzda vo verejnom sektore je oveľa menej regionálne </w:t>
      </w:r>
      <w:r w:rsidR="001204E9" w:rsidRPr="000939E3">
        <w:rPr>
          <w:rFonts w:eastAsia="Times New Roman" w:cs="Times New Roman"/>
          <w:b/>
          <w:bCs/>
          <w:lang w:eastAsia="sk-SK"/>
        </w:rPr>
        <w:t xml:space="preserve">diferencovaná </w:t>
      </w:r>
      <w:r w:rsidRPr="000939E3">
        <w:rPr>
          <w:rFonts w:eastAsia="Times New Roman" w:cs="Times New Roman"/>
          <w:b/>
          <w:bCs/>
          <w:lang w:eastAsia="sk-SK"/>
        </w:rPr>
        <w:t xml:space="preserve">ako mzda v súkromnom sektore. </w:t>
      </w:r>
      <w:r w:rsidRPr="000939E3">
        <w:rPr>
          <w:rFonts w:eastAsia="Times New Roman" w:cs="Times New Roman"/>
          <w:bCs/>
          <w:lang w:eastAsia="sk-SK"/>
        </w:rPr>
        <w:t>Predovšetkým tabuľkové platy zabezpečujú, že mzdy za rovnaký druh práce sa v jednotlivých regiónoch líšia iba minimálne</w:t>
      </w:r>
      <w:r w:rsidR="00FC4542" w:rsidRPr="000939E3">
        <w:rPr>
          <w:rFonts w:eastAsia="Times New Roman" w:cs="Times New Roman"/>
          <w:bCs/>
          <w:lang w:eastAsia="sk-SK"/>
        </w:rPr>
        <w:t xml:space="preserve">, kým v súkromnom sektore platy oveľa bližšie kopírujú situáciu na </w:t>
      </w:r>
      <w:r w:rsidR="0048640F" w:rsidRPr="000939E3">
        <w:rPr>
          <w:rFonts w:eastAsia="Times New Roman" w:cs="Times New Roman"/>
          <w:bCs/>
          <w:lang w:eastAsia="sk-SK"/>
        </w:rPr>
        <w:t>lokálnych trhoch</w:t>
      </w:r>
      <w:r w:rsidR="00FC4542" w:rsidRPr="000939E3">
        <w:rPr>
          <w:rFonts w:eastAsia="Times New Roman" w:cs="Times New Roman"/>
          <w:bCs/>
          <w:lang w:eastAsia="sk-SK"/>
        </w:rPr>
        <w:t xml:space="preserve"> práce</w:t>
      </w:r>
      <w:r w:rsidR="00FC4542" w:rsidRPr="000939E3">
        <w:t xml:space="preserve">. </w:t>
      </w:r>
      <w:r w:rsidR="0048640F" w:rsidRPr="000939E3">
        <w:t>Výsledkom je, že p</w:t>
      </w:r>
      <w:r w:rsidRPr="000939E3">
        <w:t xml:space="preserve">odiel verejných zamestnancov, ktorí zarábajú viac ako ich </w:t>
      </w:r>
      <w:r w:rsidR="0048640F" w:rsidRPr="000939E3">
        <w:t xml:space="preserve">lokálne </w:t>
      </w:r>
      <w:r w:rsidRPr="000939E3">
        <w:t>náprotivky v</w:t>
      </w:r>
      <w:r w:rsidR="00390467" w:rsidRPr="000939E3">
        <w:t> rovnakom zamestnaní</w:t>
      </w:r>
      <w:r w:rsidR="00390467" w:rsidRPr="000939E3">
        <w:rPr>
          <w:rStyle w:val="Odkaznapoznmkupodiarou"/>
        </w:rPr>
        <w:footnoteReference w:id="59"/>
      </w:r>
      <w:r w:rsidR="00390467" w:rsidRPr="000939E3">
        <w:t xml:space="preserve"> v </w:t>
      </w:r>
      <w:r w:rsidRPr="000939E3">
        <w:t>súkromnom sektore</w:t>
      </w:r>
      <w:r w:rsidR="005558C2" w:rsidRPr="000939E3">
        <w:t>,</w:t>
      </w:r>
      <w:r w:rsidRPr="000939E3">
        <w:t xml:space="preserve"> je regionálne podmienený</w:t>
      </w:r>
      <w:r w:rsidR="0048640F" w:rsidRPr="000939E3">
        <w:t xml:space="preserve"> (</w:t>
      </w:r>
      <w:r w:rsidR="007016F5" w:rsidRPr="000939E3">
        <w:fldChar w:fldCharType="begin"/>
      </w:r>
      <w:r w:rsidR="007016F5" w:rsidRPr="000939E3">
        <w:instrText xml:space="preserve"> REF _Ref4673928 \h  \* MERGEFORMAT </w:instrText>
      </w:r>
      <w:r w:rsidR="007016F5" w:rsidRPr="000939E3">
        <w:fldChar w:fldCharType="separate"/>
      </w:r>
      <w:r w:rsidR="00BF69CA" w:rsidRPr="00BF69CA">
        <w:t xml:space="preserve">Graf </w:t>
      </w:r>
      <w:r w:rsidR="00BF69CA" w:rsidRPr="00BF69CA">
        <w:rPr>
          <w:noProof/>
        </w:rPr>
        <w:t>37</w:t>
      </w:r>
      <w:r w:rsidR="007016F5" w:rsidRPr="000939E3">
        <w:fldChar w:fldCharType="end"/>
      </w:r>
      <w:r w:rsidR="0048640F" w:rsidRPr="000939E3">
        <w:t>)</w:t>
      </w:r>
      <w:r w:rsidRPr="000939E3">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7040"/>
        <w:gridCol w:w="2032"/>
      </w:tblGrid>
      <w:tr w:rsidR="0004409E" w:rsidRPr="000939E3" w14:paraId="7F73ACA6" w14:textId="77777777" w:rsidTr="0004409E">
        <w:trPr>
          <w:trHeight w:val="20"/>
        </w:trPr>
        <w:tc>
          <w:tcPr>
            <w:tcW w:w="9072" w:type="dxa"/>
            <w:gridSpan w:val="2"/>
            <w:tcBorders>
              <w:bottom w:val="single" w:sz="4" w:space="0" w:color="auto"/>
            </w:tcBorders>
            <w:vAlign w:val="bottom"/>
          </w:tcPr>
          <w:p w14:paraId="22931404" w14:textId="6C38528A" w:rsidR="0004409E" w:rsidRPr="000939E3" w:rsidRDefault="0004409E" w:rsidP="007E0AB1">
            <w:pPr>
              <w:keepNext/>
              <w:spacing w:after="40"/>
              <w:rPr>
                <w:b/>
                <w:noProof/>
                <w:sz w:val="20"/>
                <w:szCs w:val="20"/>
              </w:rPr>
            </w:pPr>
            <w:bookmarkStart w:id="166" w:name="_Ref4673928"/>
            <w:bookmarkStart w:id="167" w:name="_Toc34226908"/>
            <w:r w:rsidRPr="000939E3">
              <w:rPr>
                <w:b/>
                <w:sz w:val="20"/>
                <w:szCs w:val="20"/>
              </w:rPr>
              <w:lastRenderedPageBreak/>
              <w:t xml:space="preserve">Graf </w:t>
            </w:r>
            <w:r w:rsidR="000B0EF7" w:rsidRPr="000939E3">
              <w:rPr>
                <w:b/>
                <w:sz w:val="20"/>
                <w:szCs w:val="20"/>
              </w:rPr>
              <w:fldChar w:fldCharType="begin"/>
            </w:r>
            <w:r w:rsidR="000B0EF7" w:rsidRPr="000939E3">
              <w:rPr>
                <w:b/>
                <w:sz w:val="20"/>
                <w:szCs w:val="20"/>
              </w:rPr>
              <w:instrText xml:space="preserve"> SEQ Graf \* ARABIC </w:instrText>
            </w:r>
            <w:r w:rsidR="000B0EF7" w:rsidRPr="000939E3">
              <w:rPr>
                <w:b/>
                <w:sz w:val="20"/>
                <w:szCs w:val="20"/>
              </w:rPr>
              <w:fldChar w:fldCharType="separate"/>
            </w:r>
            <w:r w:rsidR="00BF69CA">
              <w:rPr>
                <w:b/>
                <w:noProof/>
                <w:sz w:val="20"/>
                <w:szCs w:val="20"/>
              </w:rPr>
              <w:t>37</w:t>
            </w:r>
            <w:r w:rsidR="000B0EF7" w:rsidRPr="000939E3">
              <w:rPr>
                <w:b/>
                <w:sz w:val="20"/>
                <w:szCs w:val="20"/>
              </w:rPr>
              <w:fldChar w:fldCharType="end"/>
            </w:r>
            <w:bookmarkEnd w:id="166"/>
            <w:r w:rsidR="007B4D5C" w:rsidRPr="000939E3">
              <w:rPr>
                <w:b/>
                <w:noProof/>
                <w:sz w:val="20"/>
                <w:szCs w:val="20"/>
              </w:rPr>
              <w:t>:</w:t>
            </w:r>
            <w:r w:rsidRPr="000939E3">
              <w:rPr>
                <w:rStyle w:val="Bodytext295pt"/>
                <w:b/>
                <w:lang w:val="sk-SK"/>
              </w:rPr>
              <w:t xml:space="preserve"> </w:t>
            </w:r>
            <w:r w:rsidRPr="000939E3">
              <w:rPr>
                <w:rStyle w:val="Bodytext295pt"/>
                <w:b/>
                <w:szCs w:val="20"/>
              </w:rPr>
              <w:t xml:space="preserve">Podiel zamestnancov verejného sektora s mzdou nad mediánom porovnateľných zamestnancov súkromného sektora </w:t>
            </w:r>
            <w:r w:rsidR="003945F4" w:rsidRPr="000939E3">
              <w:rPr>
                <w:rStyle w:val="Bodytext295pt"/>
                <w:b/>
                <w:szCs w:val="20"/>
              </w:rPr>
              <w:t xml:space="preserve">v regióne </w:t>
            </w:r>
            <w:r w:rsidRPr="000939E3">
              <w:rPr>
                <w:rStyle w:val="Bodytext295pt"/>
                <w:b/>
                <w:szCs w:val="20"/>
              </w:rPr>
              <w:t>(2017)</w:t>
            </w:r>
            <w:bookmarkEnd w:id="167"/>
          </w:p>
        </w:tc>
      </w:tr>
      <w:tr w:rsidR="0004409E" w:rsidRPr="000939E3" w14:paraId="62E81949" w14:textId="77777777" w:rsidTr="0004409E">
        <w:trPr>
          <w:trHeight w:val="20"/>
        </w:trPr>
        <w:tc>
          <w:tcPr>
            <w:tcW w:w="9072" w:type="dxa"/>
            <w:gridSpan w:val="2"/>
            <w:tcBorders>
              <w:bottom w:val="single" w:sz="4" w:space="0" w:color="auto"/>
            </w:tcBorders>
          </w:tcPr>
          <w:p w14:paraId="13B35C49" w14:textId="77777777" w:rsidR="0004409E" w:rsidRPr="000939E3" w:rsidRDefault="00471D0C" w:rsidP="007E0AB1">
            <w:pPr>
              <w:keepNext/>
              <w:spacing w:before="40" w:after="0"/>
            </w:pPr>
            <w:r w:rsidRPr="000939E3">
              <w:rPr>
                <w:noProof/>
                <w:lang w:eastAsia="sk-SK"/>
              </w:rPr>
              <w:drawing>
                <wp:inline distT="0" distB="0" distL="0" distR="0" wp14:anchorId="13CF9C07" wp14:editId="6A4CCDB7">
                  <wp:extent cx="5760720" cy="2967990"/>
                  <wp:effectExtent l="0" t="0" r="0" b="3810"/>
                  <wp:docPr id="246" name="Obrázo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nadmedianomregion_final.PNG"/>
                          <pic:cNvPicPr/>
                        </pic:nvPicPr>
                        <pic:blipFill>
                          <a:blip r:embed="rId52">
                            <a:extLst>
                              <a:ext uri="{28A0092B-C50C-407E-A947-70E740481C1C}">
                                <a14:useLocalDpi xmlns:a14="http://schemas.microsoft.com/office/drawing/2010/main" val="0"/>
                              </a:ext>
                            </a:extLst>
                          </a:blip>
                          <a:stretch>
                            <a:fillRect/>
                          </a:stretch>
                        </pic:blipFill>
                        <pic:spPr>
                          <a:xfrm>
                            <a:off x="0" y="0"/>
                            <a:ext cx="5760720" cy="2967990"/>
                          </a:xfrm>
                          <a:prstGeom prst="rect">
                            <a:avLst/>
                          </a:prstGeom>
                        </pic:spPr>
                      </pic:pic>
                    </a:graphicData>
                  </a:graphic>
                </wp:inline>
              </w:drawing>
            </w:r>
          </w:p>
        </w:tc>
      </w:tr>
      <w:tr w:rsidR="007946FC" w:rsidRPr="000939E3" w14:paraId="2634A988" w14:textId="77777777" w:rsidTr="001860E7">
        <w:trPr>
          <w:trHeight w:val="20"/>
        </w:trPr>
        <w:tc>
          <w:tcPr>
            <w:tcW w:w="7371" w:type="dxa"/>
            <w:tcBorders>
              <w:top w:val="single" w:sz="4" w:space="0" w:color="auto"/>
            </w:tcBorders>
          </w:tcPr>
          <w:p w14:paraId="2D970277" w14:textId="17883872" w:rsidR="007946FC" w:rsidRPr="000939E3" w:rsidRDefault="007946FC" w:rsidP="007E0AB1">
            <w:pPr>
              <w:spacing w:after="40"/>
              <w:jc w:val="left"/>
              <w:rPr>
                <w:noProof/>
                <w:lang w:eastAsia="sk-SK"/>
              </w:rPr>
            </w:pPr>
            <w:r w:rsidRPr="000939E3">
              <w:rPr>
                <w:rStyle w:val="Jemnodkaz"/>
                <w:rFonts w:eastAsiaTheme="minorHAnsi"/>
                <w:lang w:eastAsia="sk-SK"/>
              </w:rPr>
              <w:t>Bez ozbrojených zložiek, pracovníkov verejného sektora s neznámym povolaním a pracovníkov, pre ktorých nebolo v súkromnom sektore vo vzorke aspoň 10 pozorovaní s rovnakým ISCO v rámci regiónu.</w:t>
            </w:r>
          </w:p>
        </w:tc>
        <w:tc>
          <w:tcPr>
            <w:tcW w:w="1701" w:type="dxa"/>
            <w:tcBorders>
              <w:top w:val="single" w:sz="4" w:space="0" w:color="auto"/>
            </w:tcBorders>
          </w:tcPr>
          <w:p w14:paraId="7D1EEB45" w14:textId="1ECF119D" w:rsidR="007946FC" w:rsidRPr="000939E3" w:rsidRDefault="007946FC" w:rsidP="007E0AB1">
            <w:pPr>
              <w:spacing w:after="40"/>
              <w:jc w:val="right"/>
              <w:rPr>
                <w:noProof/>
                <w:lang w:eastAsia="sk-SK"/>
              </w:rPr>
            </w:pPr>
            <w:r w:rsidRPr="000939E3">
              <w:rPr>
                <w:rStyle w:val="Jemnodkaz"/>
                <w:rFonts w:eastAsiaTheme="minorHAnsi"/>
              </w:rPr>
              <w:t>Zdroj: ISCP, prepočty ÚHP</w:t>
            </w:r>
          </w:p>
        </w:tc>
      </w:tr>
    </w:tbl>
    <w:p w14:paraId="61838EF0" w14:textId="47D313C1" w:rsidR="00C5228C" w:rsidRPr="000939E3" w:rsidRDefault="00C5228C" w:rsidP="00AD08A3">
      <w:pPr>
        <w:tabs>
          <w:tab w:val="left" w:pos="284"/>
        </w:tabs>
        <w:spacing w:before="160"/>
      </w:pPr>
      <w:r w:rsidRPr="000939E3">
        <w:rPr>
          <w:b/>
        </w:rPr>
        <w:t xml:space="preserve">Regionálne rozdiely v relatívnych mzdách existujú aj v iných Európskych krajinách. </w:t>
      </w:r>
      <w:r w:rsidRPr="000939E3">
        <w:t xml:space="preserve">Napríklad kým v Paríži a jeho okolí zarábajú učitelia na ZŠ podľa prieskumu SES iba 63% priemernej mzdy </w:t>
      </w:r>
      <w:r w:rsidR="00584FD3" w:rsidRPr="000939E3">
        <w:t xml:space="preserve">vysokoškolsky </w:t>
      </w:r>
      <w:r w:rsidRPr="000939E3">
        <w:t>vzdelaných miestnych zamestnancov, vo zvyšku krajiny je to okolo 85% (</w:t>
      </w:r>
      <w:r w:rsidR="003F36F5" w:rsidRPr="000939E3">
        <w:fldChar w:fldCharType="begin"/>
      </w:r>
      <w:r w:rsidR="003F36F5" w:rsidRPr="000939E3">
        <w:instrText xml:space="preserve"> REF _Ref4684691 \h  \* MERGEFORMAT </w:instrText>
      </w:r>
      <w:r w:rsidR="003F36F5" w:rsidRPr="000939E3">
        <w:fldChar w:fldCharType="separate"/>
      </w:r>
      <w:r w:rsidR="00BF69CA" w:rsidRPr="00BF69CA">
        <w:t xml:space="preserve">Tabuľka </w:t>
      </w:r>
      <w:r w:rsidR="00BF69CA" w:rsidRPr="00BF69CA">
        <w:rPr>
          <w:noProof/>
        </w:rPr>
        <w:t>8</w:t>
      </w:r>
      <w:r w:rsidR="003F36F5" w:rsidRPr="000939E3">
        <w:fldChar w:fldCharType="end"/>
      </w:r>
      <w:r w:rsidRPr="000939E3">
        <w:t>). Pritom mzdy učiteľov sú, s výnimkou miezd na vzdialených ostrovoch, v celej krajine takmer rovnaké. Podobne v Taliansku, v drahších regiónoch</w:t>
      </w:r>
      <w:r w:rsidR="002E6DD0" w:rsidRPr="000939E3">
        <w:rPr>
          <w:rStyle w:val="Odkaznapoznmkupodiarou"/>
        </w:rPr>
        <w:footnoteReference w:id="60"/>
      </w:r>
      <w:r w:rsidRPr="000939E3">
        <w:t xml:space="preserve"> zarábajú učitelia na ZŠ okolo 68% priemernej lok</w:t>
      </w:r>
      <w:r w:rsidR="004B45B2" w:rsidRPr="000939E3">
        <w:t xml:space="preserve">álnej </w:t>
      </w:r>
      <w:r w:rsidRPr="000939E3">
        <w:t xml:space="preserve">mzdy </w:t>
      </w:r>
      <w:r w:rsidR="00201356" w:rsidRPr="000939E3">
        <w:t xml:space="preserve">vysokoškolsky </w:t>
      </w:r>
      <w:r w:rsidR="0016215C" w:rsidRPr="000939E3">
        <w:t>vzdelaných zamestnancov, kým v </w:t>
      </w:r>
      <w:r w:rsidRPr="000939E3">
        <w:t>lacnejších o 10 p.b. viac. Rovnako ako vo Francúzsku sa priemerné mzdy v jednotlivých regiónoch Talianska líšia iba mierne (1-2 %).</w:t>
      </w:r>
    </w:p>
    <w:tbl>
      <w:tblPr>
        <w:tblW w:w="9072" w:type="dxa"/>
        <w:tblCellMar>
          <w:left w:w="70" w:type="dxa"/>
          <w:right w:w="70" w:type="dxa"/>
        </w:tblCellMar>
        <w:tblLook w:val="04A0" w:firstRow="1" w:lastRow="0" w:firstColumn="1" w:lastColumn="0" w:noHBand="0" w:noVBand="1"/>
      </w:tblPr>
      <w:tblGrid>
        <w:gridCol w:w="1276"/>
        <w:gridCol w:w="1985"/>
        <w:gridCol w:w="1559"/>
        <w:gridCol w:w="2268"/>
        <w:gridCol w:w="1984"/>
      </w:tblGrid>
      <w:tr w:rsidR="00F41BEB" w:rsidRPr="000939E3" w14:paraId="5BEFB71C" w14:textId="77777777" w:rsidTr="00903470">
        <w:trPr>
          <w:trHeight w:val="20"/>
        </w:trPr>
        <w:tc>
          <w:tcPr>
            <w:tcW w:w="4820" w:type="dxa"/>
            <w:gridSpan w:val="3"/>
            <w:tcBorders>
              <w:left w:val="nil"/>
              <w:bottom w:val="single" w:sz="4" w:space="0" w:color="000000"/>
              <w:right w:val="nil"/>
            </w:tcBorders>
            <w:shd w:val="clear" w:color="000000" w:fill="FFFFFF"/>
            <w:vAlign w:val="center"/>
          </w:tcPr>
          <w:p w14:paraId="41C03262" w14:textId="5D634DE1" w:rsidR="00F41BEB" w:rsidRPr="000939E3" w:rsidRDefault="009B47E3" w:rsidP="00F41BEB">
            <w:pPr>
              <w:spacing w:after="0" w:line="240" w:lineRule="auto"/>
              <w:jc w:val="left"/>
              <w:rPr>
                <w:rFonts w:eastAsia="Times New Roman" w:cs="Times New Roman"/>
                <w:b/>
                <w:color w:val="000000"/>
                <w:lang w:eastAsia="sk-SK"/>
              </w:rPr>
            </w:pPr>
            <w:bookmarkStart w:id="168" w:name="_Ref4684691"/>
            <w:bookmarkStart w:id="169" w:name="_Toc34226941"/>
            <w:r w:rsidRPr="000939E3">
              <w:rPr>
                <w:b/>
                <w:sz w:val="20"/>
              </w:rPr>
              <w:t xml:space="preserve">Tabuľka </w:t>
            </w:r>
            <w:r w:rsidRPr="000939E3">
              <w:rPr>
                <w:b/>
                <w:sz w:val="20"/>
              </w:rPr>
              <w:fldChar w:fldCharType="begin"/>
            </w:r>
            <w:r w:rsidRPr="000939E3">
              <w:rPr>
                <w:b/>
                <w:sz w:val="20"/>
              </w:rPr>
              <w:instrText xml:space="preserve"> SEQ Tabuľka \* ARABIC </w:instrText>
            </w:r>
            <w:r w:rsidRPr="000939E3">
              <w:rPr>
                <w:b/>
                <w:sz w:val="20"/>
              </w:rPr>
              <w:fldChar w:fldCharType="separate"/>
            </w:r>
            <w:r w:rsidR="00BF69CA">
              <w:rPr>
                <w:b/>
                <w:noProof/>
                <w:sz w:val="20"/>
              </w:rPr>
              <w:t>8</w:t>
            </w:r>
            <w:r w:rsidRPr="000939E3">
              <w:rPr>
                <w:b/>
                <w:sz w:val="20"/>
              </w:rPr>
              <w:fldChar w:fldCharType="end"/>
            </w:r>
            <w:bookmarkEnd w:id="168"/>
            <w:r w:rsidRPr="000939E3">
              <w:rPr>
                <w:b/>
                <w:sz w:val="20"/>
              </w:rPr>
              <w:t>:</w:t>
            </w:r>
            <w:r w:rsidRPr="000939E3">
              <w:rPr>
                <w:rFonts w:eastAsia="Times New Roman" w:cs="Times New Roman"/>
                <w:b/>
                <w:bCs/>
                <w:sz w:val="20"/>
                <w:lang w:eastAsia="sk-SK"/>
              </w:rPr>
              <w:t xml:space="preserve"> </w:t>
            </w:r>
            <w:r w:rsidRPr="000939E3">
              <w:rPr>
                <w:b/>
                <w:color w:val="000000"/>
                <w:sz w:val="20"/>
                <w:szCs w:val="20"/>
                <w:lang w:eastAsia="sk-SK"/>
              </w:rPr>
              <w:t>Regionálne rozdiely v mzdách učiteľov na ZŠ</w:t>
            </w:r>
            <w:bookmarkEnd w:id="169"/>
          </w:p>
        </w:tc>
        <w:tc>
          <w:tcPr>
            <w:tcW w:w="4252" w:type="dxa"/>
            <w:gridSpan w:val="2"/>
            <w:tcBorders>
              <w:left w:val="nil"/>
              <w:bottom w:val="single" w:sz="4" w:space="0" w:color="000000"/>
              <w:right w:val="nil"/>
            </w:tcBorders>
            <w:shd w:val="clear" w:color="000000" w:fill="FFFFFF"/>
            <w:vAlign w:val="center"/>
          </w:tcPr>
          <w:p w14:paraId="0559AA87" w14:textId="77777777" w:rsidR="00F41BEB" w:rsidRPr="000939E3" w:rsidRDefault="00F41BEB" w:rsidP="00C5228C">
            <w:pPr>
              <w:spacing w:after="0" w:line="240" w:lineRule="auto"/>
              <w:jc w:val="center"/>
              <w:rPr>
                <w:rFonts w:eastAsia="Times New Roman" w:cs="Times New Roman"/>
                <w:b/>
                <w:color w:val="000000"/>
                <w:lang w:eastAsia="sk-SK"/>
              </w:rPr>
            </w:pPr>
          </w:p>
        </w:tc>
      </w:tr>
      <w:tr w:rsidR="00C5228C" w:rsidRPr="000939E3" w14:paraId="51502FFC" w14:textId="77777777" w:rsidTr="00903470">
        <w:trPr>
          <w:trHeight w:val="20"/>
        </w:trPr>
        <w:tc>
          <w:tcPr>
            <w:tcW w:w="1276" w:type="dxa"/>
            <w:tcBorders>
              <w:top w:val="single" w:sz="4" w:space="0" w:color="auto"/>
              <w:left w:val="nil"/>
              <w:bottom w:val="single" w:sz="4" w:space="0" w:color="000000"/>
              <w:right w:val="nil"/>
            </w:tcBorders>
            <w:shd w:val="clear" w:color="000000" w:fill="FFFFFF"/>
            <w:vAlign w:val="center"/>
            <w:hideMark/>
          </w:tcPr>
          <w:p w14:paraId="768D3192" w14:textId="77777777" w:rsidR="00C5228C" w:rsidRPr="000939E3" w:rsidRDefault="00C5228C" w:rsidP="00C5228C">
            <w:pPr>
              <w:spacing w:after="0" w:line="240" w:lineRule="auto"/>
              <w:jc w:val="right"/>
              <w:rPr>
                <w:rFonts w:ascii="Calibri" w:eastAsia="Times New Roman" w:hAnsi="Calibri" w:cs="Times New Roman"/>
                <w:b/>
                <w:color w:val="000000"/>
                <w:lang w:eastAsia="sk-SK"/>
              </w:rPr>
            </w:pPr>
            <w:r w:rsidRPr="000939E3">
              <w:rPr>
                <w:rFonts w:ascii="Calibri" w:eastAsia="Times New Roman" w:hAnsi="Calibri" w:cs="Times New Roman"/>
                <w:b/>
                <w:color w:val="000000"/>
                <w:lang w:eastAsia="sk-SK"/>
              </w:rPr>
              <w:t> </w:t>
            </w:r>
          </w:p>
        </w:tc>
        <w:tc>
          <w:tcPr>
            <w:tcW w:w="3544" w:type="dxa"/>
            <w:gridSpan w:val="2"/>
            <w:tcBorders>
              <w:top w:val="single" w:sz="4" w:space="0" w:color="auto"/>
              <w:left w:val="nil"/>
              <w:bottom w:val="single" w:sz="4" w:space="0" w:color="auto"/>
              <w:right w:val="nil"/>
            </w:tcBorders>
            <w:shd w:val="clear" w:color="000000" w:fill="FFFFFF"/>
            <w:vAlign w:val="center"/>
            <w:hideMark/>
          </w:tcPr>
          <w:p w14:paraId="21B3A9BF" w14:textId="595CA468" w:rsidR="00C5228C" w:rsidRPr="000939E3" w:rsidRDefault="00C5228C" w:rsidP="00C5228C">
            <w:pPr>
              <w:spacing w:after="0" w:line="240" w:lineRule="auto"/>
              <w:jc w:val="center"/>
              <w:rPr>
                <w:rFonts w:eastAsia="Times New Roman" w:cs="Times New Roman"/>
                <w:b/>
                <w:color w:val="000000"/>
                <w:lang w:eastAsia="sk-SK"/>
              </w:rPr>
            </w:pPr>
            <w:r w:rsidRPr="000939E3">
              <w:rPr>
                <w:rFonts w:eastAsia="Times New Roman" w:cs="Times New Roman"/>
                <w:b/>
                <w:color w:val="000000"/>
                <w:lang w:eastAsia="sk-SK"/>
              </w:rPr>
              <w:t>mzda (v lokálnej mene)</w:t>
            </w:r>
          </w:p>
        </w:tc>
        <w:tc>
          <w:tcPr>
            <w:tcW w:w="4252" w:type="dxa"/>
            <w:gridSpan w:val="2"/>
            <w:tcBorders>
              <w:top w:val="single" w:sz="4" w:space="0" w:color="auto"/>
              <w:left w:val="nil"/>
              <w:bottom w:val="single" w:sz="4" w:space="0" w:color="000000"/>
              <w:right w:val="nil"/>
            </w:tcBorders>
            <w:shd w:val="clear" w:color="000000" w:fill="FFFFFF"/>
            <w:vAlign w:val="center"/>
            <w:hideMark/>
          </w:tcPr>
          <w:p w14:paraId="0483DA09" w14:textId="3047C03F" w:rsidR="00C5228C" w:rsidRPr="000939E3" w:rsidRDefault="00C5228C" w:rsidP="00C5228C">
            <w:pPr>
              <w:spacing w:after="0" w:line="240" w:lineRule="auto"/>
              <w:jc w:val="center"/>
              <w:rPr>
                <w:rFonts w:eastAsia="Times New Roman" w:cs="Times New Roman"/>
                <w:b/>
                <w:color w:val="000000"/>
                <w:lang w:eastAsia="sk-SK"/>
              </w:rPr>
            </w:pPr>
            <w:r w:rsidRPr="000939E3">
              <w:rPr>
                <w:rFonts w:eastAsia="Times New Roman" w:cs="Times New Roman"/>
                <w:b/>
                <w:color w:val="000000"/>
                <w:lang w:eastAsia="sk-SK"/>
              </w:rPr>
              <w:t>percento priemernej mzdy VŠ vzdelaných v regióne</w:t>
            </w:r>
          </w:p>
        </w:tc>
      </w:tr>
      <w:tr w:rsidR="00C5228C" w:rsidRPr="000939E3" w14:paraId="6A18FF2E" w14:textId="77777777" w:rsidTr="00903470">
        <w:trPr>
          <w:trHeight w:val="20"/>
        </w:trPr>
        <w:tc>
          <w:tcPr>
            <w:tcW w:w="1276" w:type="dxa"/>
            <w:tcBorders>
              <w:top w:val="nil"/>
              <w:left w:val="nil"/>
              <w:bottom w:val="nil"/>
              <w:right w:val="nil"/>
            </w:tcBorders>
            <w:shd w:val="clear" w:color="000000" w:fill="FFFFFF"/>
            <w:vAlign w:val="center"/>
            <w:hideMark/>
          </w:tcPr>
          <w:p w14:paraId="00DAD344" w14:textId="77777777" w:rsidR="00C5228C" w:rsidRPr="000939E3" w:rsidRDefault="00C5228C" w:rsidP="00C5228C">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krajina</w:t>
            </w:r>
          </w:p>
        </w:tc>
        <w:tc>
          <w:tcPr>
            <w:tcW w:w="1985" w:type="dxa"/>
            <w:tcBorders>
              <w:top w:val="single" w:sz="4" w:space="0" w:color="auto"/>
              <w:left w:val="nil"/>
              <w:bottom w:val="nil"/>
              <w:right w:val="nil"/>
            </w:tcBorders>
            <w:shd w:val="clear" w:color="000000" w:fill="FFFFFF"/>
            <w:vAlign w:val="center"/>
            <w:hideMark/>
          </w:tcPr>
          <w:p w14:paraId="65E77A78"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hlavné mesto a okolie</w:t>
            </w:r>
          </w:p>
        </w:tc>
        <w:tc>
          <w:tcPr>
            <w:tcW w:w="1559" w:type="dxa"/>
            <w:tcBorders>
              <w:top w:val="single" w:sz="4" w:space="0" w:color="auto"/>
              <w:left w:val="nil"/>
              <w:bottom w:val="nil"/>
              <w:right w:val="nil"/>
            </w:tcBorders>
            <w:shd w:val="clear" w:color="000000" w:fill="FFFFFF"/>
            <w:vAlign w:val="center"/>
            <w:hideMark/>
          </w:tcPr>
          <w:p w14:paraId="7C523238"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zvyšok krajiny</w:t>
            </w:r>
          </w:p>
        </w:tc>
        <w:tc>
          <w:tcPr>
            <w:tcW w:w="2268" w:type="dxa"/>
            <w:tcBorders>
              <w:top w:val="nil"/>
              <w:left w:val="nil"/>
              <w:bottom w:val="nil"/>
              <w:right w:val="nil"/>
            </w:tcBorders>
            <w:shd w:val="clear" w:color="000000" w:fill="FFFFFF"/>
            <w:vAlign w:val="center"/>
            <w:hideMark/>
          </w:tcPr>
          <w:p w14:paraId="785D97D6"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hlavné mesto a okolie</w:t>
            </w:r>
          </w:p>
        </w:tc>
        <w:tc>
          <w:tcPr>
            <w:tcW w:w="1984" w:type="dxa"/>
            <w:tcBorders>
              <w:top w:val="nil"/>
              <w:left w:val="nil"/>
              <w:bottom w:val="nil"/>
              <w:right w:val="nil"/>
            </w:tcBorders>
            <w:shd w:val="clear" w:color="000000" w:fill="FFFFFF"/>
            <w:vAlign w:val="center"/>
            <w:hideMark/>
          </w:tcPr>
          <w:p w14:paraId="3996D292"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zvyšok krajiny</w:t>
            </w:r>
          </w:p>
        </w:tc>
      </w:tr>
      <w:tr w:rsidR="00C5228C" w:rsidRPr="000939E3" w14:paraId="26F746A2" w14:textId="77777777" w:rsidTr="00903470">
        <w:trPr>
          <w:trHeight w:val="20"/>
        </w:trPr>
        <w:tc>
          <w:tcPr>
            <w:tcW w:w="1276" w:type="dxa"/>
            <w:tcBorders>
              <w:top w:val="nil"/>
              <w:left w:val="nil"/>
              <w:bottom w:val="nil"/>
              <w:right w:val="nil"/>
            </w:tcBorders>
            <w:shd w:val="clear" w:color="000000" w:fill="FFFFFF"/>
            <w:vAlign w:val="center"/>
            <w:hideMark/>
          </w:tcPr>
          <w:p w14:paraId="5C02873D" w14:textId="77777777" w:rsidR="00C5228C" w:rsidRPr="000939E3" w:rsidRDefault="00C5228C" w:rsidP="00C5228C">
            <w:pPr>
              <w:spacing w:after="0" w:line="240" w:lineRule="auto"/>
              <w:rPr>
                <w:rFonts w:eastAsia="Times New Roman" w:cs="Times New Roman"/>
                <w:color w:val="000000"/>
                <w:lang w:eastAsia="sk-SK"/>
              </w:rPr>
            </w:pPr>
            <w:r w:rsidRPr="000939E3">
              <w:rPr>
                <w:rFonts w:eastAsia="Times New Roman" w:cs="Times New Roman"/>
                <w:color w:val="000000"/>
                <w:lang w:eastAsia="sk-SK"/>
              </w:rPr>
              <w:t>Francúzsko</w:t>
            </w:r>
          </w:p>
        </w:tc>
        <w:tc>
          <w:tcPr>
            <w:tcW w:w="1985" w:type="dxa"/>
            <w:tcBorders>
              <w:top w:val="nil"/>
              <w:left w:val="nil"/>
              <w:bottom w:val="nil"/>
              <w:right w:val="nil"/>
            </w:tcBorders>
            <w:shd w:val="clear" w:color="000000" w:fill="FFFFFF"/>
            <w:vAlign w:val="center"/>
            <w:hideMark/>
          </w:tcPr>
          <w:p w14:paraId="680B0ED7"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2 640</w:t>
            </w:r>
          </w:p>
        </w:tc>
        <w:tc>
          <w:tcPr>
            <w:tcW w:w="1559" w:type="dxa"/>
            <w:tcBorders>
              <w:top w:val="nil"/>
              <w:left w:val="nil"/>
              <w:bottom w:val="nil"/>
              <w:right w:val="nil"/>
            </w:tcBorders>
            <w:shd w:val="clear" w:color="000000" w:fill="FFFFFF"/>
            <w:vAlign w:val="center"/>
            <w:hideMark/>
          </w:tcPr>
          <w:p w14:paraId="0B454C97"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2 637</w:t>
            </w:r>
          </w:p>
        </w:tc>
        <w:tc>
          <w:tcPr>
            <w:tcW w:w="2268" w:type="dxa"/>
            <w:tcBorders>
              <w:top w:val="nil"/>
              <w:left w:val="nil"/>
              <w:bottom w:val="nil"/>
              <w:right w:val="nil"/>
            </w:tcBorders>
            <w:shd w:val="clear" w:color="000000" w:fill="FFFFFF"/>
            <w:vAlign w:val="center"/>
            <w:hideMark/>
          </w:tcPr>
          <w:p w14:paraId="7C97E158"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63%</w:t>
            </w:r>
          </w:p>
        </w:tc>
        <w:tc>
          <w:tcPr>
            <w:tcW w:w="1984" w:type="dxa"/>
            <w:tcBorders>
              <w:top w:val="nil"/>
              <w:left w:val="nil"/>
              <w:bottom w:val="nil"/>
              <w:right w:val="nil"/>
            </w:tcBorders>
            <w:shd w:val="clear" w:color="000000" w:fill="FFFFFF"/>
            <w:vAlign w:val="center"/>
            <w:hideMark/>
          </w:tcPr>
          <w:p w14:paraId="69ACD86A"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86%</w:t>
            </w:r>
          </w:p>
        </w:tc>
      </w:tr>
      <w:tr w:rsidR="00C5228C" w:rsidRPr="000939E3" w14:paraId="45CFEAD4" w14:textId="77777777" w:rsidTr="00903470">
        <w:trPr>
          <w:trHeight w:val="20"/>
        </w:trPr>
        <w:tc>
          <w:tcPr>
            <w:tcW w:w="1276" w:type="dxa"/>
            <w:tcBorders>
              <w:top w:val="nil"/>
              <w:left w:val="nil"/>
              <w:bottom w:val="nil"/>
              <w:right w:val="nil"/>
            </w:tcBorders>
            <w:shd w:val="clear" w:color="000000" w:fill="FFFFFF"/>
            <w:vAlign w:val="center"/>
            <w:hideMark/>
          </w:tcPr>
          <w:p w14:paraId="775D6C72" w14:textId="77777777" w:rsidR="00C5228C" w:rsidRPr="000939E3" w:rsidRDefault="00C5228C" w:rsidP="00C5228C">
            <w:pPr>
              <w:spacing w:after="0" w:line="240" w:lineRule="auto"/>
              <w:rPr>
                <w:rFonts w:eastAsia="Times New Roman" w:cs="Times New Roman"/>
                <w:color w:val="000000"/>
                <w:lang w:eastAsia="sk-SK"/>
              </w:rPr>
            </w:pPr>
            <w:r w:rsidRPr="000939E3">
              <w:rPr>
                <w:rFonts w:eastAsia="Times New Roman" w:cs="Times New Roman"/>
                <w:color w:val="000000"/>
                <w:lang w:eastAsia="sk-SK"/>
              </w:rPr>
              <w:t>Taliansko</w:t>
            </w:r>
          </w:p>
        </w:tc>
        <w:tc>
          <w:tcPr>
            <w:tcW w:w="1985" w:type="dxa"/>
            <w:tcBorders>
              <w:top w:val="nil"/>
              <w:left w:val="nil"/>
              <w:bottom w:val="nil"/>
              <w:right w:val="nil"/>
            </w:tcBorders>
            <w:shd w:val="clear" w:color="000000" w:fill="FFFFFF"/>
            <w:vAlign w:val="center"/>
            <w:hideMark/>
          </w:tcPr>
          <w:p w14:paraId="56164913"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2 213</w:t>
            </w:r>
          </w:p>
        </w:tc>
        <w:tc>
          <w:tcPr>
            <w:tcW w:w="1559" w:type="dxa"/>
            <w:tcBorders>
              <w:top w:val="nil"/>
              <w:left w:val="nil"/>
              <w:bottom w:val="nil"/>
              <w:right w:val="nil"/>
            </w:tcBorders>
            <w:shd w:val="clear" w:color="000000" w:fill="FFFFFF"/>
            <w:vAlign w:val="center"/>
            <w:hideMark/>
          </w:tcPr>
          <w:p w14:paraId="2FFE3AE4"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2 186</w:t>
            </w:r>
          </w:p>
        </w:tc>
        <w:tc>
          <w:tcPr>
            <w:tcW w:w="2268" w:type="dxa"/>
            <w:tcBorders>
              <w:top w:val="nil"/>
              <w:left w:val="nil"/>
              <w:bottom w:val="nil"/>
              <w:right w:val="nil"/>
            </w:tcBorders>
            <w:shd w:val="clear" w:color="000000" w:fill="FFFFFF"/>
            <w:vAlign w:val="center"/>
            <w:hideMark/>
          </w:tcPr>
          <w:p w14:paraId="47260043"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65%</w:t>
            </w:r>
          </w:p>
        </w:tc>
        <w:tc>
          <w:tcPr>
            <w:tcW w:w="1984" w:type="dxa"/>
            <w:tcBorders>
              <w:top w:val="nil"/>
              <w:left w:val="nil"/>
              <w:bottom w:val="nil"/>
              <w:right w:val="nil"/>
            </w:tcBorders>
            <w:shd w:val="clear" w:color="000000" w:fill="FFFFFF"/>
            <w:vAlign w:val="center"/>
            <w:hideMark/>
          </w:tcPr>
          <w:p w14:paraId="17E4F677"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71%</w:t>
            </w:r>
          </w:p>
        </w:tc>
      </w:tr>
      <w:tr w:rsidR="00C5228C" w:rsidRPr="000939E3" w14:paraId="605B322D" w14:textId="77777777" w:rsidTr="00903470">
        <w:trPr>
          <w:trHeight w:val="20"/>
        </w:trPr>
        <w:tc>
          <w:tcPr>
            <w:tcW w:w="1276" w:type="dxa"/>
            <w:tcBorders>
              <w:top w:val="nil"/>
              <w:left w:val="nil"/>
              <w:bottom w:val="nil"/>
              <w:right w:val="nil"/>
            </w:tcBorders>
            <w:shd w:val="clear" w:color="000000" w:fill="FFFFFF"/>
            <w:vAlign w:val="center"/>
            <w:hideMark/>
          </w:tcPr>
          <w:p w14:paraId="54709850" w14:textId="77777777" w:rsidR="00C5228C" w:rsidRPr="000939E3" w:rsidRDefault="00C5228C" w:rsidP="00C5228C">
            <w:pPr>
              <w:spacing w:after="0" w:line="240" w:lineRule="auto"/>
              <w:rPr>
                <w:rFonts w:eastAsia="Times New Roman" w:cs="Times New Roman"/>
                <w:color w:val="000000"/>
                <w:lang w:eastAsia="sk-SK"/>
              </w:rPr>
            </w:pPr>
            <w:r w:rsidRPr="000939E3">
              <w:rPr>
                <w:rFonts w:eastAsia="Times New Roman" w:cs="Times New Roman"/>
                <w:color w:val="000000"/>
                <w:lang w:eastAsia="sk-SK"/>
              </w:rPr>
              <w:t>Poľsko</w:t>
            </w:r>
          </w:p>
        </w:tc>
        <w:tc>
          <w:tcPr>
            <w:tcW w:w="1985" w:type="dxa"/>
            <w:tcBorders>
              <w:top w:val="nil"/>
              <w:left w:val="nil"/>
              <w:bottom w:val="nil"/>
              <w:right w:val="nil"/>
            </w:tcBorders>
            <w:shd w:val="clear" w:color="000000" w:fill="FFFFFF"/>
            <w:vAlign w:val="center"/>
            <w:hideMark/>
          </w:tcPr>
          <w:p w14:paraId="7E9011F8"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4 304</w:t>
            </w:r>
          </w:p>
        </w:tc>
        <w:tc>
          <w:tcPr>
            <w:tcW w:w="1559" w:type="dxa"/>
            <w:tcBorders>
              <w:top w:val="nil"/>
              <w:left w:val="nil"/>
              <w:bottom w:val="nil"/>
              <w:right w:val="nil"/>
            </w:tcBorders>
            <w:shd w:val="clear" w:color="000000" w:fill="FFFFFF"/>
            <w:vAlign w:val="center"/>
            <w:hideMark/>
          </w:tcPr>
          <w:p w14:paraId="780E6049"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4 250</w:t>
            </w:r>
          </w:p>
        </w:tc>
        <w:tc>
          <w:tcPr>
            <w:tcW w:w="2268" w:type="dxa"/>
            <w:tcBorders>
              <w:top w:val="nil"/>
              <w:left w:val="nil"/>
              <w:bottom w:val="nil"/>
              <w:right w:val="nil"/>
            </w:tcBorders>
            <w:shd w:val="clear" w:color="000000" w:fill="FFFFFF"/>
            <w:vAlign w:val="center"/>
            <w:hideMark/>
          </w:tcPr>
          <w:p w14:paraId="5A90C0D6"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65%</w:t>
            </w:r>
          </w:p>
        </w:tc>
        <w:tc>
          <w:tcPr>
            <w:tcW w:w="1984" w:type="dxa"/>
            <w:tcBorders>
              <w:top w:val="nil"/>
              <w:left w:val="nil"/>
              <w:bottom w:val="nil"/>
              <w:right w:val="nil"/>
            </w:tcBorders>
            <w:shd w:val="clear" w:color="000000" w:fill="FFFFFF"/>
            <w:vAlign w:val="center"/>
            <w:hideMark/>
          </w:tcPr>
          <w:p w14:paraId="7E42B65E"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83%</w:t>
            </w:r>
          </w:p>
        </w:tc>
      </w:tr>
      <w:tr w:rsidR="00C5228C" w:rsidRPr="000939E3" w14:paraId="39790672" w14:textId="77777777" w:rsidTr="00903470">
        <w:trPr>
          <w:trHeight w:val="20"/>
        </w:trPr>
        <w:tc>
          <w:tcPr>
            <w:tcW w:w="1276" w:type="dxa"/>
            <w:tcBorders>
              <w:top w:val="nil"/>
              <w:left w:val="nil"/>
              <w:bottom w:val="nil"/>
              <w:right w:val="nil"/>
            </w:tcBorders>
            <w:shd w:val="clear" w:color="000000" w:fill="FFFFFF"/>
            <w:vAlign w:val="center"/>
            <w:hideMark/>
          </w:tcPr>
          <w:p w14:paraId="25A0D645" w14:textId="77777777" w:rsidR="00C5228C" w:rsidRPr="000939E3" w:rsidRDefault="00C5228C" w:rsidP="00C5228C">
            <w:pPr>
              <w:spacing w:after="0" w:line="240" w:lineRule="auto"/>
              <w:rPr>
                <w:rFonts w:eastAsia="Times New Roman" w:cs="Times New Roman"/>
                <w:color w:val="000000"/>
                <w:lang w:eastAsia="sk-SK"/>
              </w:rPr>
            </w:pPr>
            <w:r w:rsidRPr="000939E3">
              <w:rPr>
                <w:rFonts w:eastAsia="Times New Roman" w:cs="Times New Roman"/>
                <w:color w:val="000000"/>
                <w:lang w:eastAsia="sk-SK"/>
              </w:rPr>
              <w:t>UK</w:t>
            </w:r>
          </w:p>
        </w:tc>
        <w:tc>
          <w:tcPr>
            <w:tcW w:w="1985" w:type="dxa"/>
            <w:tcBorders>
              <w:top w:val="nil"/>
              <w:left w:val="nil"/>
              <w:bottom w:val="nil"/>
              <w:right w:val="nil"/>
            </w:tcBorders>
            <w:shd w:val="clear" w:color="000000" w:fill="FFFFFF"/>
            <w:vAlign w:val="center"/>
            <w:hideMark/>
          </w:tcPr>
          <w:p w14:paraId="2648DA74"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3 326</w:t>
            </w:r>
          </w:p>
        </w:tc>
        <w:tc>
          <w:tcPr>
            <w:tcW w:w="1559" w:type="dxa"/>
            <w:tcBorders>
              <w:top w:val="nil"/>
              <w:left w:val="nil"/>
              <w:bottom w:val="nil"/>
              <w:right w:val="nil"/>
            </w:tcBorders>
            <w:shd w:val="clear" w:color="000000" w:fill="FFFFFF"/>
            <w:vAlign w:val="center"/>
            <w:hideMark/>
          </w:tcPr>
          <w:p w14:paraId="53F14F42"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3 011</w:t>
            </w:r>
          </w:p>
        </w:tc>
        <w:tc>
          <w:tcPr>
            <w:tcW w:w="2268" w:type="dxa"/>
            <w:tcBorders>
              <w:top w:val="nil"/>
              <w:left w:val="nil"/>
              <w:bottom w:val="nil"/>
              <w:right w:val="nil"/>
            </w:tcBorders>
            <w:shd w:val="clear" w:color="000000" w:fill="FFFFFF"/>
            <w:vAlign w:val="center"/>
            <w:hideMark/>
          </w:tcPr>
          <w:p w14:paraId="6B7A7CE0"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89%</w:t>
            </w:r>
          </w:p>
        </w:tc>
        <w:tc>
          <w:tcPr>
            <w:tcW w:w="1984" w:type="dxa"/>
            <w:tcBorders>
              <w:top w:val="nil"/>
              <w:left w:val="nil"/>
              <w:bottom w:val="nil"/>
              <w:right w:val="nil"/>
            </w:tcBorders>
            <w:shd w:val="clear" w:color="000000" w:fill="FFFFFF"/>
            <w:vAlign w:val="center"/>
            <w:hideMark/>
          </w:tcPr>
          <w:p w14:paraId="55159EC6"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108%</w:t>
            </w:r>
          </w:p>
        </w:tc>
      </w:tr>
      <w:tr w:rsidR="00C5228C" w:rsidRPr="000939E3" w14:paraId="2DB2A5AD" w14:textId="77777777" w:rsidTr="00903470">
        <w:trPr>
          <w:trHeight w:val="20"/>
        </w:trPr>
        <w:tc>
          <w:tcPr>
            <w:tcW w:w="1276" w:type="dxa"/>
            <w:tcBorders>
              <w:top w:val="nil"/>
              <w:left w:val="nil"/>
              <w:bottom w:val="single" w:sz="4" w:space="0" w:color="auto"/>
              <w:right w:val="nil"/>
            </w:tcBorders>
            <w:shd w:val="clear" w:color="000000" w:fill="FFFFFF"/>
            <w:vAlign w:val="center"/>
            <w:hideMark/>
          </w:tcPr>
          <w:p w14:paraId="72F90832" w14:textId="77777777" w:rsidR="00C5228C" w:rsidRPr="000939E3" w:rsidRDefault="00C5228C" w:rsidP="00C5228C">
            <w:pPr>
              <w:spacing w:after="0" w:line="240" w:lineRule="auto"/>
              <w:rPr>
                <w:rFonts w:eastAsia="Times New Roman" w:cs="Times New Roman"/>
                <w:color w:val="000000"/>
                <w:lang w:eastAsia="sk-SK"/>
              </w:rPr>
            </w:pPr>
            <w:r w:rsidRPr="000939E3">
              <w:rPr>
                <w:rFonts w:eastAsia="Times New Roman" w:cs="Times New Roman"/>
                <w:color w:val="000000"/>
                <w:lang w:eastAsia="sk-SK"/>
              </w:rPr>
              <w:t>Slovensko</w:t>
            </w:r>
          </w:p>
        </w:tc>
        <w:tc>
          <w:tcPr>
            <w:tcW w:w="1985" w:type="dxa"/>
            <w:tcBorders>
              <w:top w:val="nil"/>
              <w:left w:val="nil"/>
              <w:bottom w:val="single" w:sz="4" w:space="0" w:color="auto"/>
              <w:right w:val="nil"/>
            </w:tcBorders>
            <w:shd w:val="clear" w:color="000000" w:fill="FFFFFF"/>
            <w:vAlign w:val="center"/>
            <w:hideMark/>
          </w:tcPr>
          <w:p w14:paraId="56BC5CA0"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1 077</w:t>
            </w:r>
          </w:p>
        </w:tc>
        <w:tc>
          <w:tcPr>
            <w:tcW w:w="1559" w:type="dxa"/>
            <w:tcBorders>
              <w:top w:val="nil"/>
              <w:left w:val="nil"/>
              <w:bottom w:val="single" w:sz="4" w:space="0" w:color="auto"/>
              <w:right w:val="nil"/>
            </w:tcBorders>
            <w:shd w:val="clear" w:color="000000" w:fill="FFFFFF"/>
            <w:vAlign w:val="center"/>
            <w:hideMark/>
          </w:tcPr>
          <w:p w14:paraId="133A46B6"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1 079</w:t>
            </w:r>
          </w:p>
        </w:tc>
        <w:tc>
          <w:tcPr>
            <w:tcW w:w="2268" w:type="dxa"/>
            <w:tcBorders>
              <w:top w:val="nil"/>
              <w:left w:val="nil"/>
              <w:bottom w:val="single" w:sz="4" w:space="0" w:color="auto"/>
              <w:right w:val="nil"/>
            </w:tcBorders>
            <w:shd w:val="clear" w:color="000000" w:fill="FFFFFF"/>
            <w:vAlign w:val="center"/>
            <w:hideMark/>
          </w:tcPr>
          <w:p w14:paraId="3DB76CC3"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55%</w:t>
            </w:r>
          </w:p>
        </w:tc>
        <w:tc>
          <w:tcPr>
            <w:tcW w:w="1984" w:type="dxa"/>
            <w:tcBorders>
              <w:top w:val="nil"/>
              <w:left w:val="nil"/>
              <w:bottom w:val="single" w:sz="4" w:space="0" w:color="auto"/>
              <w:right w:val="nil"/>
            </w:tcBorders>
            <w:shd w:val="clear" w:color="000000" w:fill="FFFFFF"/>
            <w:vAlign w:val="center"/>
            <w:hideMark/>
          </w:tcPr>
          <w:p w14:paraId="40D45AF8" w14:textId="77777777" w:rsidR="00C5228C" w:rsidRPr="000939E3" w:rsidRDefault="00C5228C" w:rsidP="00C5228C">
            <w:pPr>
              <w:spacing w:after="0" w:line="240" w:lineRule="auto"/>
              <w:jc w:val="center"/>
              <w:rPr>
                <w:rFonts w:eastAsia="Times New Roman" w:cs="Times New Roman"/>
                <w:color w:val="000000"/>
                <w:lang w:eastAsia="sk-SK"/>
              </w:rPr>
            </w:pPr>
            <w:r w:rsidRPr="000939E3">
              <w:rPr>
                <w:rFonts w:eastAsia="Times New Roman" w:cs="Times New Roman"/>
                <w:color w:val="000000"/>
                <w:lang w:eastAsia="sk-SK"/>
              </w:rPr>
              <w:t>78%</w:t>
            </w:r>
          </w:p>
        </w:tc>
      </w:tr>
      <w:tr w:rsidR="001860E7" w:rsidRPr="000939E3" w14:paraId="583B3BDB" w14:textId="77777777" w:rsidTr="00903470">
        <w:trPr>
          <w:trHeight w:val="286"/>
        </w:trPr>
        <w:tc>
          <w:tcPr>
            <w:tcW w:w="1276" w:type="dxa"/>
            <w:tcBorders>
              <w:top w:val="single" w:sz="4" w:space="0" w:color="auto"/>
              <w:left w:val="nil"/>
              <w:right w:val="nil"/>
            </w:tcBorders>
            <w:shd w:val="clear" w:color="000000" w:fill="FFFFFF"/>
            <w:vAlign w:val="center"/>
          </w:tcPr>
          <w:p w14:paraId="5FBC4157" w14:textId="77777777" w:rsidR="001860E7" w:rsidRPr="000939E3" w:rsidRDefault="001860E7" w:rsidP="00C5228C">
            <w:pPr>
              <w:spacing w:after="0" w:line="240" w:lineRule="auto"/>
              <w:rPr>
                <w:rFonts w:eastAsia="Times New Roman" w:cs="Times New Roman"/>
                <w:color w:val="000000"/>
                <w:lang w:eastAsia="sk-SK"/>
              </w:rPr>
            </w:pPr>
          </w:p>
        </w:tc>
        <w:tc>
          <w:tcPr>
            <w:tcW w:w="1985" w:type="dxa"/>
            <w:tcBorders>
              <w:top w:val="single" w:sz="4" w:space="0" w:color="auto"/>
              <w:left w:val="nil"/>
              <w:right w:val="nil"/>
            </w:tcBorders>
            <w:shd w:val="clear" w:color="000000" w:fill="FFFFFF"/>
            <w:vAlign w:val="center"/>
          </w:tcPr>
          <w:p w14:paraId="542399D8" w14:textId="77777777" w:rsidR="001860E7" w:rsidRPr="000939E3" w:rsidRDefault="001860E7" w:rsidP="00C5228C">
            <w:pPr>
              <w:spacing w:after="0" w:line="240" w:lineRule="auto"/>
              <w:jc w:val="center"/>
              <w:rPr>
                <w:rFonts w:eastAsia="Times New Roman" w:cs="Times New Roman"/>
                <w:color w:val="000000"/>
                <w:lang w:eastAsia="sk-SK"/>
              </w:rPr>
            </w:pPr>
          </w:p>
        </w:tc>
        <w:tc>
          <w:tcPr>
            <w:tcW w:w="1559" w:type="dxa"/>
            <w:tcBorders>
              <w:top w:val="single" w:sz="4" w:space="0" w:color="auto"/>
              <w:left w:val="nil"/>
              <w:right w:val="nil"/>
            </w:tcBorders>
            <w:shd w:val="clear" w:color="000000" w:fill="FFFFFF"/>
            <w:vAlign w:val="center"/>
          </w:tcPr>
          <w:p w14:paraId="74D1DB3E" w14:textId="77777777" w:rsidR="001860E7" w:rsidRPr="000939E3" w:rsidRDefault="001860E7" w:rsidP="00C5228C">
            <w:pPr>
              <w:spacing w:after="0" w:line="240" w:lineRule="auto"/>
              <w:jc w:val="center"/>
              <w:rPr>
                <w:rFonts w:eastAsia="Times New Roman" w:cs="Times New Roman"/>
                <w:color w:val="000000"/>
                <w:lang w:eastAsia="sk-SK"/>
              </w:rPr>
            </w:pPr>
          </w:p>
        </w:tc>
        <w:tc>
          <w:tcPr>
            <w:tcW w:w="4252" w:type="dxa"/>
            <w:gridSpan w:val="2"/>
            <w:tcBorders>
              <w:top w:val="single" w:sz="4" w:space="0" w:color="auto"/>
              <w:left w:val="nil"/>
              <w:right w:val="nil"/>
            </w:tcBorders>
            <w:shd w:val="clear" w:color="000000" w:fill="FFFFFF"/>
            <w:vAlign w:val="center"/>
          </w:tcPr>
          <w:p w14:paraId="4B3C0290" w14:textId="1588B6A2" w:rsidR="001860E7" w:rsidRPr="000939E3" w:rsidRDefault="001860E7" w:rsidP="001860E7">
            <w:pPr>
              <w:tabs>
                <w:tab w:val="left" w:pos="284"/>
              </w:tabs>
              <w:spacing w:after="0"/>
              <w:jc w:val="right"/>
              <w:rPr>
                <w:b/>
                <w:sz w:val="18"/>
                <w:szCs w:val="18"/>
              </w:rPr>
            </w:pPr>
            <w:r w:rsidRPr="000939E3">
              <w:rPr>
                <w:i/>
                <w:color w:val="000000"/>
                <w:sz w:val="18"/>
                <w:szCs w:val="18"/>
                <w:lang w:eastAsia="sk-SK"/>
              </w:rPr>
              <w:t xml:space="preserve">Zdroj: </w:t>
            </w:r>
            <w:r w:rsidRPr="000939E3">
              <w:rPr>
                <w:rFonts w:cs="Calibri"/>
                <w:i/>
                <w:color w:val="000000"/>
                <w:sz w:val="18"/>
                <w:szCs w:val="18"/>
              </w:rPr>
              <w:t>prepočty ÚHP z dát Eurostatu</w:t>
            </w:r>
            <w:r w:rsidR="009B47E3" w:rsidRPr="000939E3">
              <w:rPr>
                <w:rFonts w:cs="Calibri"/>
                <w:i/>
                <w:color w:val="000000"/>
                <w:sz w:val="18"/>
                <w:szCs w:val="18"/>
              </w:rPr>
              <w:t xml:space="preserve"> (2014)</w:t>
            </w:r>
          </w:p>
        </w:tc>
      </w:tr>
    </w:tbl>
    <w:p w14:paraId="683B5D01" w14:textId="7CF2A408" w:rsidR="00AD08A3" w:rsidRPr="000939E3" w:rsidRDefault="00AD08A3" w:rsidP="00AD08A3">
      <w:pPr>
        <w:tabs>
          <w:tab w:val="left" w:pos="284"/>
        </w:tabs>
        <w:spacing w:before="160"/>
      </w:pPr>
      <w:r w:rsidRPr="000939E3">
        <w:rPr>
          <w:b/>
        </w:rPr>
        <w:t>Nižšia diferenciácia miezd vo verejnom sektore spôsobuje, že mzdová pr</w:t>
      </w:r>
      <w:r w:rsidR="0016215C" w:rsidRPr="000939E3">
        <w:rPr>
          <w:b/>
        </w:rPr>
        <w:t>émia (môže byť aj negatívna) za </w:t>
      </w:r>
      <w:r w:rsidRPr="000939E3">
        <w:rPr>
          <w:b/>
        </w:rPr>
        <w:t>prácu vo verejnom sektore v rámci profesií je regionálne podmienená.</w:t>
      </w:r>
      <w:r w:rsidRPr="000939E3">
        <w:t xml:space="preserve"> Napríkl</w:t>
      </w:r>
      <w:r w:rsidR="0016215C" w:rsidRPr="000939E3">
        <w:t>ad, kým učitelia verejných ZŠ v </w:t>
      </w:r>
      <w:r w:rsidRPr="000939E3">
        <w:t>Bratislave zarobia na hodinu o 14 % menej ako v súkromných a cirkevných Z</w:t>
      </w:r>
      <w:r w:rsidR="0016215C" w:rsidRPr="000939E3">
        <w:t>Š, mimo Bratislavy zarobia až o </w:t>
      </w:r>
      <w:r w:rsidRPr="000939E3">
        <w:t>21 % viac. Podobné regionálne nerovnováhy je možné pozorovať vo viacerých profesiách (</w:t>
      </w:r>
      <w:r w:rsidRPr="000939E3">
        <w:fldChar w:fldCharType="begin"/>
      </w:r>
      <w:r w:rsidRPr="000939E3">
        <w:instrText xml:space="preserve"> REF _Ref4085350 \h  \* MERGEFORMAT </w:instrText>
      </w:r>
      <w:r w:rsidRPr="000939E3">
        <w:fldChar w:fldCharType="separate"/>
      </w:r>
      <w:r w:rsidR="00BF69CA" w:rsidRPr="00BF69CA">
        <w:t xml:space="preserve">Tabuľka </w:t>
      </w:r>
      <w:r w:rsidR="00BF69CA" w:rsidRPr="00BF69CA">
        <w:rPr>
          <w:noProof/>
        </w:rPr>
        <w:t>9</w:t>
      </w:r>
      <w:r w:rsidRPr="000939E3">
        <w:fldChar w:fldCharType="end"/>
      </w:r>
      <w:r w:rsidRPr="000939E3">
        <w:t>). Rovnostársky systém odmeňovania vo verejnom sektore a veľké regionálne rozdiely vedú k rozdielnej konkurencieschopnosti verejného sektora v rôznych regiónoch.</w:t>
      </w:r>
    </w:p>
    <w:tbl>
      <w:tblPr>
        <w:tblW w:w="5000" w:type="pct"/>
        <w:tblCellMar>
          <w:left w:w="30" w:type="dxa"/>
          <w:right w:w="30" w:type="dxa"/>
        </w:tblCellMar>
        <w:tblLook w:val="0000" w:firstRow="0" w:lastRow="0" w:firstColumn="0" w:lastColumn="0" w:noHBand="0" w:noVBand="0"/>
      </w:tblPr>
      <w:tblGrid>
        <w:gridCol w:w="6096"/>
        <w:gridCol w:w="1276"/>
        <w:gridCol w:w="1700"/>
      </w:tblGrid>
      <w:tr w:rsidR="009B47E3" w:rsidRPr="000939E3" w14:paraId="407B2824" w14:textId="77777777" w:rsidTr="003A772A">
        <w:trPr>
          <w:trHeight w:val="290"/>
        </w:trPr>
        <w:tc>
          <w:tcPr>
            <w:tcW w:w="5000" w:type="pct"/>
            <w:gridSpan w:val="3"/>
            <w:tcBorders>
              <w:top w:val="nil"/>
              <w:left w:val="nil"/>
              <w:bottom w:val="single" w:sz="4" w:space="0" w:color="auto"/>
              <w:right w:val="nil"/>
            </w:tcBorders>
            <w:vAlign w:val="center"/>
          </w:tcPr>
          <w:p w14:paraId="7D6C580F" w14:textId="77777777" w:rsidR="009B47E3" w:rsidRPr="000939E3" w:rsidRDefault="009B47E3" w:rsidP="003A772A">
            <w:pPr>
              <w:spacing w:after="0"/>
              <w:rPr>
                <w:rFonts w:eastAsia="Times New Roman" w:cs="Times New Roman"/>
                <w:b/>
                <w:color w:val="000000"/>
                <w:sz w:val="20"/>
                <w:szCs w:val="20"/>
                <w:lang w:eastAsia="sk-SK"/>
              </w:rPr>
            </w:pPr>
            <w:bookmarkStart w:id="170" w:name="_Ref4085350"/>
            <w:bookmarkStart w:id="171" w:name="_Toc34226942"/>
            <w:r w:rsidRPr="000939E3">
              <w:rPr>
                <w:b/>
                <w:sz w:val="20"/>
                <w:szCs w:val="20"/>
              </w:rPr>
              <w:lastRenderedPageBreak/>
              <w:t xml:space="preserve">Tabuľka </w:t>
            </w:r>
            <w:r w:rsidRPr="000939E3">
              <w:rPr>
                <w:b/>
                <w:sz w:val="20"/>
                <w:szCs w:val="20"/>
              </w:rPr>
              <w:fldChar w:fldCharType="begin"/>
            </w:r>
            <w:r w:rsidRPr="000939E3">
              <w:rPr>
                <w:b/>
                <w:sz w:val="20"/>
                <w:szCs w:val="20"/>
              </w:rPr>
              <w:instrText xml:space="preserve"> SEQ Tabuľka \* ARABIC </w:instrText>
            </w:r>
            <w:r w:rsidRPr="000939E3">
              <w:rPr>
                <w:b/>
                <w:sz w:val="20"/>
                <w:szCs w:val="20"/>
              </w:rPr>
              <w:fldChar w:fldCharType="separate"/>
            </w:r>
            <w:r w:rsidR="00BF69CA">
              <w:rPr>
                <w:b/>
                <w:noProof/>
                <w:sz w:val="20"/>
                <w:szCs w:val="20"/>
              </w:rPr>
              <w:t>9</w:t>
            </w:r>
            <w:r w:rsidRPr="000939E3">
              <w:rPr>
                <w:b/>
                <w:sz w:val="20"/>
                <w:szCs w:val="20"/>
              </w:rPr>
              <w:fldChar w:fldCharType="end"/>
            </w:r>
            <w:bookmarkEnd w:id="170"/>
            <w:r w:rsidRPr="000939E3">
              <w:rPr>
                <w:b/>
                <w:sz w:val="20"/>
                <w:szCs w:val="20"/>
              </w:rPr>
              <w:t>:</w:t>
            </w:r>
            <w:r w:rsidRPr="000939E3">
              <w:rPr>
                <w:rFonts w:eastAsia="Times New Roman" w:cs="Times New Roman"/>
                <w:color w:val="000000"/>
                <w:sz w:val="20"/>
                <w:szCs w:val="20"/>
                <w:lang w:eastAsia="sk-SK"/>
              </w:rPr>
              <w:t> </w:t>
            </w:r>
            <w:r w:rsidRPr="000939E3">
              <w:rPr>
                <w:rFonts w:eastAsia="Times New Roman" w:cs="Times New Roman"/>
                <w:b/>
                <w:color w:val="000000"/>
                <w:sz w:val="20"/>
                <w:szCs w:val="20"/>
                <w:lang w:eastAsia="sk-SK"/>
              </w:rPr>
              <w:t>Vybrané povolania s veľkými regionálnymi rozdielmi v mzde verejných a súkromných zamestnancov (2017)</w:t>
            </w:r>
            <w:bookmarkEnd w:id="171"/>
          </w:p>
        </w:tc>
      </w:tr>
      <w:tr w:rsidR="009B47E3" w:rsidRPr="000939E3" w14:paraId="6CA2C9A7" w14:textId="77777777" w:rsidTr="003A772A">
        <w:trPr>
          <w:trHeight w:val="290"/>
        </w:trPr>
        <w:tc>
          <w:tcPr>
            <w:tcW w:w="3360" w:type="pct"/>
            <w:tcBorders>
              <w:top w:val="nil"/>
              <w:left w:val="nil"/>
              <w:bottom w:val="single" w:sz="4" w:space="0" w:color="auto"/>
              <w:right w:val="nil"/>
            </w:tcBorders>
            <w:vAlign w:val="center"/>
          </w:tcPr>
          <w:p w14:paraId="4FBFCE1C" w14:textId="77777777" w:rsidR="009B47E3" w:rsidRPr="000939E3" w:rsidRDefault="009B47E3" w:rsidP="003A772A">
            <w:pPr>
              <w:autoSpaceDE w:val="0"/>
              <w:autoSpaceDN w:val="0"/>
              <w:adjustRightInd w:val="0"/>
              <w:spacing w:after="0" w:line="240" w:lineRule="auto"/>
              <w:jc w:val="left"/>
              <w:rPr>
                <w:rFonts w:cs="Calibri"/>
                <w:color w:val="000000"/>
              </w:rPr>
            </w:pPr>
            <w:r w:rsidRPr="000939E3">
              <w:rPr>
                <w:b/>
                <w:bCs/>
                <w:color w:val="000000"/>
              </w:rPr>
              <w:t>Povolanie</w:t>
            </w:r>
          </w:p>
        </w:tc>
        <w:tc>
          <w:tcPr>
            <w:tcW w:w="703" w:type="pct"/>
            <w:tcBorders>
              <w:top w:val="nil"/>
              <w:left w:val="nil"/>
              <w:bottom w:val="single" w:sz="4" w:space="0" w:color="auto"/>
              <w:right w:val="nil"/>
            </w:tcBorders>
            <w:vAlign w:val="center"/>
          </w:tcPr>
          <w:p w14:paraId="0C52EAA2" w14:textId="77777777" w:rsidR="009B47E3" w:rsidRPr="000939E3" w:rsidRDefault="009B47E3" w:rsidP="003A772A">
            <w:pPr>
              <w:autoSpaceDE w:val="0"/>
              <w:autoSpaceDN w:val="0"/>
              <w:adjustRightInd w:val="0"/>
              <w:spacing w:after="0" w:line="240" w:lineRule="auto"/>
              <w:jc w:val="center"/>
              <w:rPr>
                <w:rFonts w:cs="Calibri"/>
                <w:color w:val="000000"/>
              </w:rPr>
            </w:pPr>
            <w:r w:rsidRPr="000939E3">
              <w:rPr>
                <w:b/>
                <w:bCs/>
                <w:color w:val="000000"/>
              </w:rPr>
              <w:t>Prémia v BA</w:t>
            </w:r>
          </w:p>
        </w:tc>
        <w:tc>
          <w:tcPr>
            <w:tcW w:w="937" w:type="pct"/>
            <w:tcBorders>
              <w:top w:val="nil"/>
              <w:left w:val="nil"/>
              <w:bottom w:val="single" w:sz="4" w:space="0" w:color="auto"/>
              <w:right w:val="nil"/>
            </w:tcBorders>
            <w:vAlign w:val="center"/>
          </w:tcPr>
          <w:p w14:paraId="63FFEFE3" w14:textId="77777777" w:rsidR="009B47E3" w:rsidRPr="000939E3" w:rsidRDefault="009B47E3" w:rsidP="003A772A">
            <w:pPr>
              <w:autoSpaceDE w:val="0"/>
              <w:autoSpaceDN w:val="0"/>
              <w:adjustRightInd w:val="0"/>
              <w:spacing w:after="0" w:line="240" w:lineRule="auto"/>
              <w:jc w:val="center"/>
              <w:rPr>
                <w:rFonts w:cs="Calibri"/>
                <w:color w:val="000000"/>
              </w:rPr>
            </w:pPr>
            <w:r w:rsidRPr="000939E3">
              <w:rPr>
                <w:b/>
                <w:bCs/>
                <w:color w:val="000000"/>
              </w:rPr>
              <w:t>Prémia mimo BA</w:t>
            </w:r>
          </w:p>
        </w:tc>
      </w:tr>
      <w:tr w:rsidR="009B47E3" w:rsidRPr="000939E3" w14:paraId="3FB54631" w14:textId="77777777" w:rsidTr="003A772A">
        <w:trPr>
          <w:trHeight w:val="290"/>
        </w:trPr>
        <w:tc>
          <w:tcPr>
            <w:tcW w:w="3360" w:type="pct"/>
            <w:tcBorders>
              <w:top w:val="single" w:sz="4" w:space="0" w:color="auto"/>
              <w:left w:val="nil"/>
              <w:bottom w:val="nil"/>
              <w:right w:val="nil"/>
            </w:tcBorders>
            <w:vAlign w:val="center"/>
          </w:tcPr>
          <w:p w14:paraId="3C1F04FA" w14:textId="77777777" w:rsidR="009B47E3" w:rsidRPr="000939E3" w:rsidRDefault="009B47E3" w:rsidP="003A772A">
            <w:pPr>
              <w:autoSpaceDE w:val="0"/>
              <w:autoSpaceDN w:val="0"/>
              <w:adjustRightInd w:val="0"/>
              <w:spacing w:after="0" w:line="240" w:lineRule="auto"/>
              <w:jc w:val="left"/>
              <w:rPr>
                <w:rFonts w:cs="Calibri"/>
                <w:color w:val="000000"/>
              </w:rPr>
            </w:pPr>
            <w:r w:rsidRPr="000939E3">
              <w:rPr>
                <w:color w:val="000000"/>
              </w:rPr>
              <w:t>Operátori stacionárnych zariadení a strojov inde neuvedení</w:t>
            </w:r>
          </w:p>
        </w:tc>
        <w:tc>
          <w:tcPr>
            <w:tcW w:w="703" w:type="pct"/>
            <w:tcBorders>
              <w:top w:val="single" w:sz="4" w:space="0" w:color="auto"/>
              <w:left w:val="nil"/>
              <w:bottom w:val="nil"/>
              <w:right w:val="nil"/>
            </w:tcBorders>
            <w:shd w:val="clear" w:color="auto" w:fill="DB4229"/>
            <w:vAlign w:val="center"/>
          </w:tcPr>
          <w:p w14:paraId="0D0EC7A9"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-52%</w:t>
            </w:r>
          </w:p>
        </w:tc>
        <w:tc>
          <w:tcPr>
            <w:tcW w:w="937" w:type="pct"/>
            <w:tcBorders>
              <w:top w:val="single" w:sz="4" w:space="0" w:color="auto"/>
              <w:left w:val="nil"/>
              <w:bottom w:val="nil"/>
              <w:right w:val="nil"/>
            </w:tcBorders>
            <w:shd w:val="solid" w:color="FFFF99" w:fill="auto"/>
            <w:vAlign w:val="center"/>
          </w:tcPr>
          <w:p w14:paraId="0B0E53E6"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-3%</w:t>
            </w:r>
          </w:p>
        </w:tc>
      </w:tr>
      <w:tr w:rsidR="009B47E3" w:rsidRPr="000939E3" w14:paraId="051892EF" w14:textId="77777777" w:rsidTr="003A772A">
        <w:trPr>
          <w:trHeight w:val="290"/>
        </w:trPr>
        <w:tc>
          <w:tcPr>
            <w:tcW w:w="3360" w:type="pct"/>
            <w:tcBorders>
              <w:top w:val="nil"/>
              <w:left w:val="nil"/>
              <w:bottom w:val="nil"/>
              <w:right w:val="nil"/>
            </w:tcBorders>
            <w:vAlign w:val="center"/>
          </w:tcPr>
          <w:p w14:paraId="2852A303" w14:textId="77777777" w:rsidR="009B47E3" w:rsidRPr="000939E3" w:rsidRDefault="009B47E3" w:rsidP="003A772A">
            <w:pPr>
              <w:autoSpaceDE w:val="0"/>
              <w:autoSpaceDN w:val="0"/>
              <w:adjustRightInd w:val="0"/>
              <w:spacing w:after="0" w:line="240" w:lineRule="auto"/>
              <w:jc w:val="left"/>
              <w:rPr>
                <w:rFonts w:cs="Calibri"/>
                <w:b/>
                <w:color w:val="000000"/>
              </w:rPr>
            </w:pPr>
            <w:r w:rsidRPr="000939E3">
              <w:rPr>
                <w:b/>
                <w:bCs/>
                <w:color w:val="000000"/>
              </w:rPr>
              <w:t>Vysokoškolskí učitelia</w:t>
            </w:r>
          </w:p>
        </w:tc>
        <w:tc>
          <w:tcPr>
            <w:tcW w:w="703" w:type="pct"/>
            <w:tcBorders>
              <w:top w:val="nil"/>
              <w:left w:val="nil"/>
              <w:bottom w:val="nil"/>
              <w:right w:val="nil"/>
            </w:tcBorders>
            <w:shd w:val="solid" w:color="FFFF99" w:fill="auto"/>
            <w:vAlign w:val="center"/>
          </w:tcPr>
          <w:p w14:paraId="0544826F"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4%</w:t>
            </w:r>
          </w:p>
        </w:tc>
        <w:tc>
          <w:tcPr>
            <w:tcW w:w="937" w:type="pct"/>
            <w:tcBorders>
              <w:top w:val="nil"/>
              <w:left w:val="nil"/>
              <w:bottom w:val="nil"/>
              <w:right w:val="nil"/>
            </w:tcBorders>
            <w:shd w:val="solid" w:color="339966" w:fill="auto"/>
            <w:vAlign w:val="center"/>
          </w:tcPr>
          <w:p w14:paraId="304C95B8"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51%</w:t>
            </w:r>
          </w:p>
        </w:tc>
      </w:tr>
      <w:tr w:rsidR="009B47E3" w:rsidRPr="000939E3" w14:paraId="6FBC4765" w14:textId="77777777" w:rsidTr="003A772A">
        <w:trPr>
          <w:trHeight w:val="290"/>
        </w:trPr>
        <w:tc>
          <w:tcPr>
            <w:tcW w:w="3360" w:type="pct"/>
            <w:tcBorders>
              <w:top w:val="nil"/>
              <w:left w:val="nil"/>
              <w:bottom w:val="nil"/>
              <w:right w:val="nil"/>
            </w:tcBorders>
            <w:vAlign w:val="center"/>
          </w:tcPr>
          <w:p w14:paraId="1AC97B32" w14:textId="77777777" w:rsidR="009B47E3" w:rsidRPr="000939E3" w:rsidRDefault="009B47E3" w:rsidP="003A772A">
            <w:pPr>
              <w:autoSpaceDE w:val="0"/>
              <w:autoSpaceDN w:val="0"/>
              <w:adjustRightInd w:val="0"/>
              <w:spacing w:after="0" w:line="240" w:lineRule="auto"/>
              <w:jc w:val="left"/>
              <w:rPr>
                <w:rFonts w:cs="Calibri"/>
                <w:color w:val="000000"/>
              </w:rPr>
            </w:pPr>
            <w:r w:rsidRPr="000939E3">
              <w:rPr>
                <w:color w:val="000000"/>
              </w:rPr>
              <w:t>Admin. prac. v oblasti štatistiky, finančníctva a poisťovníctva</w:t>
            </w:r>
          </w:p>
        </w:tc>
        <w:tc>
          <w:tcPr>
            <w:tcW w:w="703" w:type="pct"/>
            <w:tcBorders>
              <w:top w:val="nil"/>
              <w:left w:val="nil"/>
              <w:bottom w:val="nil"/>
              <w:right w:val="nil"/>
            </w:tcBorders>
            <w:shd w:val="solid" w:color="FFFF99" w:fill="auto"/>
            <w:vAlign w:val="center"/>
          </w:tcPr>
          <w:p w14:paraId="3E87F29F"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0%</w:t>
            </w:r>
          </w:p>
        </w:tc>
        <w:tc>
          <w:tcPr>
            <w:tcW w:w="937" w:type="pct"/>
            <w:tcBorders>
              <w:top w:val="nil"/>
              <w:left w:val="nil"/>
              <w:bottom w:val="nil"/>
              <w:right w:val="nil"/>
            </w:tcBorders>
            <w:shd w:val="solid" w:color="339966" w:fill="auto"/>
            <w:vAlign w:val="center"/>
          </w:tcPr>
          <w:p w14:paraId="0073A637"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36%</w:t>
            </w:r>
          </w:p>
        </w:tc>
      </w:tr>
      <w:tr w:rsidR="009B47E3" w:rsidRPr="000939E3" w14:paraId="4CA1107E" w14:textId="77777777" w:rsidTr="003A772A">
        <w:trPr>
          <w:trHeight w:val="290"/>
        </w:trPr>
        <w:tc>
          <w:tcPr>
            <w:tcW w:w="3360" w:type="pct"/>
            <w:tcBorders>
              <w:top w:val="nil"/>
              <w:left w:val="nil"/>
              <w:bottom w:val="nil"/>
              <w:right w:val="nil"/>
            </w:tcBorders>
            <w:vAlign w:val="center"/>
          </w:tcPr>
          <w:p w14:paraId="250BEF78" w14:textId="77777777" w:rsidR="009B47E3" w:rsidRPr="000939E3" w:rsidRDefault="009B47E3" w:rsidP="003A772A">
            <w:pPr>
              <w:autoSpaceDE w:val="0"/>
              <w:autoSpaceDN w:val="0"/>
              <w:adjustRightInd w:val="0"/>
              <w:spacing w:after="0" w:line="240" w:lineRule="auto"/>
              <w:jc w:val="left"/>
              <w:rPr>
                <w:rFonts w:cs="Calibri"/>
                <w:b/>
                <w:color w:val="000000"/>
              </w:rPr>
            </w:pPr>
            <w:r w:rsidRPr="000939E3">
              <w:rPr>
                <w:b/>
                <w:bCs/>
                <w:color w:val="000000"/>
              </w:rPr>
              <w:t>Lekári špecialisti</w:t>
            </w:r>
          </w:p>
        </w:tc>
        <w:tc>
          <w:tcPr>
            <w:tcW w:w="703" w:type="pct"/>
            <w:tcBorders>
              <w:top w:val="nil"/>
              <w:left w:val="nil"/>
              <w:bottom w:val="nil"/>
              <w:right w:val="nil"/>
            </w:tcBorders>
            <w:shd w:val="solid" w:color="FFFF99" w:fill="auto"/>
            <w:vAlign w:val="center"/>
          </w:tcPr>
          <w:p w14:paraId="55EEA4AF"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4%</w:t>
            </w:r>
          </w:p>
        </w:tc>
        <w:tc>
          <w:tcPr>
            <w:tcW w:w="937" w:type="pct"/>
            <w:tcBorders>
              <w:top w:val="nil"/>
              <w:left w:val="nil"/>
              <w:bottom w:val="nil"/>
              <w:right w:val="nil"/>
            </w:tcBorders>
            <w:shd w:val="solid" w:color="339966" w:fill="auto"/>
            <w:vAlign w:val="center"/>
          </w:tcPr>
          <w:p w14:paraId="3F30C276"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41%</w:t>
            </w:r>
          </w:p>
        </w:tc>
      </w:tr>
      <w:tr w:rsidR="009B47E3" w:rsidRPr="000939E3" w14:paraId="6499235C" w14:textId="77777777" w:rsidTr="003A772A">
        <w:trPr>
          <w:trHeight w:val="290"/>
        </w:trPr>
        <w:tc>
          <w:tcPr>
            <w:tcW w:w="3360" w:type="pct"/>
            <w:tcBorders>
              <w:top w:val="nil"/>
              <w:left w:val="nil"/>
              <w:bottom w:val="nil"/>
              <w:right w:val="nil"/>
            </w:tcBorders>
            <w:vAlign w:val="center"/>
          </w:tcPr>
          <w:p w14:paraId="5A0293A1" w14:textId="77777777" w:rsidR="009B47E3" w:rsidRPr="000939E3" w:rsidRDefault="009B47E3" w:rsidP="003A772A">
            <w:pPr>
              <w:autoSpaceDE w:val="0"/>
              <w:autoSpaceDN w:val="0"/>
              <w:adjustRightInd w:val="0"/>
              <w:spacing w:after="0" w:line="240" w:lineRule="auto"/>
              <w:jc w:val="left"/>
              <w:rPr>
                <w:rFonts w:cs="Calibri"/>
                <w:b/>
                <w:color w:val="000000"/>
              </w:rPr>
            </w:pPr>
            <w:r w:rsidRPr="000939E3">
              <w:rPr>
                <w:b/>
                <w:bCs/>
                <w:color w:val="000000"/>
              </w:rPr>
              <w:t>Učitelia v základných školách</w:t>
            </w:r>
          </w:p>
        </w:tc>
        <w:tc>
          <w:tcPr>
            <w:tcW w:w="703" w:type="pct"/>
            <w:tcBorders>
              <w:top w:val="nil"/>
              <w:left w:val="nil"/>
              <w:bottom w:val="nil"/>
              <w:right w:val="nil"/>
            </w:tcBorders>
            <w:shd w:val="solid" w:color="FFCC99" w:fill="auto"/>
            <w:vAlign w:val="center"/>
          </w:tcPr>
          <w:p w14:paraId="2FE669DF"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-14%</w:t>
            </w:r>
          </w:p>
        </w:tc>
        <w:tc>
          <w:tcPr>
            <w:tcW w:w="937" w:type="pct"/>
            <w:tcBorders>
              <w:top w:val="nil"/>
              <w:left w:val="nil"/>
              <w:bottom w:val="nil"/>
              <w:right w:val="nil"/>
            </w:tcBorders>
            <w:shd w:val="solid" w:color="FFFF99" w:fill="auto"/>
            <w:vAlign w:val="center"/>
          </w:tcPr>
          <w:p w14:paraId="35785672"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21%</w:t>
            </w:r>
          </w:p>
        </w:tc>
      </w:tr>
      <w:tr w:rsidR="009B47E3" w:rsidRPr="000939E3" w14:paraId="58485B0E" w14:textId="77777777" w:rsidTr="003A772A">
        <w:trPr>
          <w:trHeight w:val="290"/>
        </w:trPr>
        <w:tc>
          <w:tcPr>
            <w:tcW w:w="3360" w:type="pct"/>
            <w:tcBorders>
              <w:top w:val="nil"/>
              <w:left w:val="nil"/>
              <w:bottom w:val="nil"/>
              <w:right w:val="nil"/>
            </w:tcBorders>
            <w:vAlign w:val="center"/>
          </w:tcPr>
          <w:p w14:paraId="61EE795B" w14:textId="77777777" w:rsidR="009B47E3" w:rsidRPr="000939E3" w:rsidRDefault="009B47E3" w:rsidP="003A772A">
            <w:pPr>
              <w:autoSpaceDE w:val="0"/>
              <w:autoSpaceDN w:val="0"/>
              <w:adjustRightInd w:val="0"/>
              <w:spacing w:after="0" w:line="240" w:lineRule="auto"/>
              <w:jc w:val="left"/>
              <w:rPr>
                <w:rFonts w:cs="Calibri"/>
                <w:color w:val="000000"/>
              </w:rPr>
            </w:pPr>
            <w:r w:rsidRPr="000939E3">
              <w:rPr>
                <w:color w:val="000000"/>
              </w:rPr>
              <w:t>Zdravotnícki asistenti</w:t>
            </w:r>
          </w:p>
        </w:tc>
        <w:tc>
          <w:tcPr>
            <w:tcW w:w="703" w:type="pct"/>
            <w:tcBorders>
              <w:top w:val="nil"/>
              <w:left w:val="nil"/>
              <w:bottom w:val="nil"/>
              <w:right w:val="nil"/>
            </w:tcBorders>
            <w:shd w:val="solid" w:color="FFCC99" w:fill="auto"/>
            <w:vAlign w:val="center"/>
          </w:tcPr>
          <w:p w14:paraId="14B27858"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-19%</w:t>
            </w:r>
          </w:p>
        </w:tc>
        <w:tc>
          <w:tcPr>
            <w:tcW w:w="937" w:type="pct"/>
            <w:tcBorders>
              <w:top w:val="nil"/>
              <w:left w:val="nil"/>
              <w:bottom w:val="nil"/>
              <w:right w:val="nil"/>
            </w:tcBorders>
            <w:shd w:val="solid" w:color="FFFF99" w:fill="auto"/>
            <w:vAlign w:val="center"/>
          </w:tcPr>
          <w:p w14:paraId="1DBF8B1B"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16%</w:t>
            </w:r>
          </w:p>
        </w:tc>
      </w:tr>
      <w:tr w:rsidR="009B47E3" w:rsidRPr="000939E3" w14:paraId="7B4474DB" w14:textId="77777777" w:rsidTr="003A772A">
        <w:trPr>
          <w:trHeight w:val="290"/>
        </w:trPr>
        <w:tc>
          <w:tcPr>
            <w:tcW w:w="3360" w:type="pct"/>
            <w:tcBorders>
              <w:top w:val="nil"/>
              <w:left w:val="nil"/>
              <w:bottom w:val="nil"/>
              <w:right w:val="nil"/>
            </w:tcBorders>
            <w:vAlign w:val="center"/>
          </w:tcPr>
          <w:p w14:paraId="6ADA1687" w14:textId="77777777" w:rsidR="009B47E3" w:rsidRPr="000939E3" w:rsidRDefault="009B47E3" w:rsidP="003A772A">
            <w:pPr>
              <w:autoSpaceDE w:val="0"/>
              <w:autoSpaceDN w:val="0"/>
              <w:adjustRightInd w:val="0"/>
              <w:spacing w:after="0" w:line="240" w:lineRule="auto"/>
              <w:jc w:val="left"/>
              <w:rPr>
                <w:rFonts w:cs="Calibri"/>
                <w:color w:val="000000"/>
              </w:rPr>
            </w:pPr>
            <w:r w:rsidRPr="000939E3">
              <w:rPr>
                <w:color w:val="000000"/>
              </w:rPr>
              <w:t>Pomocní administratívni pracovníci inde neuvedení</w:t>
            </w:r>
          </w:p>
        </w:tc>
        <w:tc>
          <w:tcPr>
            <w:tcW w:w="703" w:type="pct"/>
            <w:tcBorders>
              <w:top w:val="nil"/>
              <w:left w:val="nil"/>
              <w:bottom w:val="nil"/>
              <w:right w:val="nil"/>
            </w:tcBorders>
            <w:shd w:val="solid" w:color="FFCC99" w:fill="auto"/>
            <w:vAlign w:val="center"/>
          </w:tcPr>
          <w:p w14:paraId="4B9F2F34"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-32%</w:t>
            </w:r>
          </w:p>
        </w:tc>
        <w:tc>
          <w:tcPr>
            <w:tcW w:w="937" w:type="pct"/>
            <w:tcBorders>
              <w:top w:val="nil"/>
              <w:left w:val="nil"/>
              <w:bottom w:val="nil"/>
              <w:right w:val="nil"/>
            </w:tcBorders>
            <w:shd w:val="solid" w:color="FFFF99" w:fill="auto"/>
            <w:vAlign w:val="center"/>
          </w:tcPr>
          <w:p w14:paraId="34E2C8F7"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-4%</w:t>
            </w:r>
          </w:p>
        </w:tc>
      </w:tr>
      <w:tr w:rsidR="009B47E3" w:rsidRPr="000939E3" w14:paraId="286DE780" w14:textId="77777777" w:rsidTr="003A772A">
        <w:trPr>
          <w:trHeight w:val="290"/>
        </w:trPr>
        <w:tc>
          <w:tcPr>
            <w:tcW w:w="3360" w:type="pct"/>
            <w:tcBorders>
              <w:top w:val="nil"/>
              <w:left w:val="nil"/>
              <w:bottom w:val="nil"/>
              <w:right w:val="nil"/>
            </w:tcBorders>
            <w:vAlign w:val="center"/>
          </w:tcPr>
          <w:p w14:paraId="0C44008E" w14:textId="77777777" w:rsidR="009B47E3" w:rsidRPr="000939E3" w:rsidRDefault="009B47E3" w:rsidP="003A772A">
            <w:pPr>
              <w:autoSpaceDE w:val="0"/>
              <w:autoSpaceDN w:val="0"/>
              <w:adjustRightInd w:val="0"/>
              <w:spacing w:after="0" w:line="240" w:lineRule="auto"/>
              <w:jc w:val="left"/>
              <w:rPr>
                <w:rFonts w:cs="Calibri"/>
                <w:color w:val="000000"/>
              </w:rPr>
            </w:pPr>
            <w:r w:rsidRPr="000939E3">
              <w:rPr>
                <w:color w:val="000000"/>
              </w:rPr>
              <w:t>Pedagogickí a odborní pracovníci vo výchove a vzdelávaní inde neuvedení</w:t>
            </w:r>
          </w:p>
        </w:tc>
        <w:tc>
          <w:tcPr>
            <w:tcW w:w="703" w:type="pct"/>
            <w:tcBorders>
              <w:top w:val="nil"/>
              <w:left w:val="nil"/>
              <w:bottom w:val="nil"/>
              <w:right w:val="nil"/>
            </w:tcBorders>
            <w:shd w:val="solid" w:color="FFFF99" w:fill="auto"/>
            <w:vAlign w:val="center"/>
          </w:tcPr>
          <w:p w14:paraId="27D5F8F7"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-16%</w:t>
            </w:r>
          </w:p>
        </w:tc>
        <w:tc>
          <w:tcPr>
            <w:tcW w:w="937" w:type="pct"/>
            <w:tcBorders>
              <w:top w:val="nil"/>
              <w:left w:val="nil"/>
              <w:bottom w:val="nil"/>
              <w:right w:val="nil"/>
            </w:tcBorders>
            <w:shd w:val="solid" w:color="339966" w:fill="auto"/>
            <w:vAlign w:val="center"/>
          </w:tcPr>
          <w:p w14:paraId="56BCEA1B"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9%</w:t>
            </w:r>
          </w:p>
        </w:tc>
      </w:tr>
      <w:tr w:rsidR="009B47E3" w:rsidRPr="000939E3" w14:paraId="24C088A3" w14:textId="77777777" w:rsidTr="003A772A">
        <w:trPr>
          <w:trHeight w:val="290"/>
        </w:trPr>
        <w:tc>
          <w:tcPr>
            <w:tcW w:w="3360" w:type="pct"/>
            <w:tcBorders>
              <w:top w:val="nil"/>
              <w:left w:val="nil"/>
              <w:bottom w:val="nil"/>
              <w:right w:val="nil"/>
            </w:tcBorders>
            <w:vAlign w:val="center"/>
          </w:tcPr>
          <w:p w14:paraId="1B56DD3D" w14:textId="77777777" w:rsidR="009B47E3" w:rsidRPr="000939E3" w:rsidRDefault="009B47E3" w:rsidP="003A772A">
            <w:pPr>
              <w:autoSpaceDE w:val="0"/>
              <w:autoSpaceDN w:val="0"/>
              <w:adjustRightInd w:val="0"/>
              <w:spacing w:after="0" w:line="240" w:lineRule="auto"/>
              <w:jc w:val="left"/>
              <w:rPr>
                <w:rFonts w:cs="Calibri"/>
                <w:color w:val="000000"/>
              </w:rPr>
            </w:pPr>
            <w:r w:rsidRPr="000939E3">
              <w:rPr>
                <w:color w:val="000000"/>
              </w:rPr>
              <w:t>Odborní pracovníci v oblasti účtovníctva</w:t>
            </w:r>
          </w:p>
        </w:tc>
        <w:tc>
          <w:tcPr>
            <w:tcW w:w="703" w:type="pct"/>
            <w:tcBorders>
              <w:top w:val="nil"/>
              <w:left w:val="nil"/>
              <w:bottom w:val="nil"/>
              <w:right w:val="nil"/>
            </w:tcBorders>
            <w:shd w:val="solid" w:color="FFCC99" w:fill="auto"/>
            <w:vAlign w:val="center"/>
          </w:tcPr>
          <w:p w14:paraId="6E72286D"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-18%</w:t>
            </w:r>
          </w:p>
        </w:tc>
        <w:tc>
          <w:tcPr>
            <w:tcW w:w="937" w:type="pct"/>
            <w:tcBorders>
              <w:top w:val="nil"/>
              <w:left w:val="nil"/>
              <w:bottom w:val="nil"/>
              <w:right w:val="nil"/>
            </w:tcBorders>
            <w:shd w:val="solid" w:color="FFFF99" w:fill="auto"/>
            <w:vAlign w:val="center"/>
          </w:tcPr>
          <w:p w14:paraId="2C85D170"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5%</w:t>
            </w:r>
          </w:p>
        </w:tc>
      </w:tr>
      <w:tr w:rsidR="009B47E3" w:rsidRPr="000939E3" w14:paraId="15DB66F8" w14:textId="77777777" w:rsidTr="003A772A">
        <w:trPr>
          <w:trHeight w:val="290"/>
        </w:trPr>
        <w:tc>
          <w:tcPr>
            <w:tcW w:w="3360" w:type="pct"/>
            <w:tcBorders>
              <w:top w:val="nil"/>
              <w:left w:val="nil"/>
              <w:bottom w:val="nil"/>
              <w:right w:val="nil"/>
            </w:tcBorders>
            <w:vAlign w:val="center"/>
          </w:tcPr>
          <w:p w14:paraId="09468B9E" w14:textId="77777777" w:rsidR="009B47E3" w:rsidRPr="000939E3" w:rsidRDefault="009B47E3" w:rsidP="003A772A">
            <w:pPr>
              <w:autoSpaceDE w:val="0"/>
              <w:autoSpaceDN w:val="0"/>
              <w:adjustRightInd w:val="0"/>
              <w:spacing w:after="0" w:line="240" w:lineRule="auto"/>
              <w:jc w:val="left"/>
              <w:rPr>
                <w:rFonts w:cs="Calibri"/>
                <w:color w:val="000000"/>
              </w:rPr>
            </w:pPr>
            <w:r w:rsidRPr="000939E3">
              <w:rPr>
                <w:color w:val="000000"/>
              </w:rPr>
              <w:t>Administratívni pracovníci v oblasti registratúry a reprografie</w:t>
            </w:r>
          </w:p>
        </w:tc>
        <w:tc>
          <w:tcPr>
            <w:tcW w:w="703" w:type="pct"/>
            <w:tcBorders>
              <w:top w:val="nil"/>
              <w:left w:val="nil"/>
              <w:bottom w:val="nil"/>
              <w:right w:val="nil"/>
            </w:tcBorders>
            <w:shd w:val="solid" w:color="FFCC99" w:fill="auto"/>
            <w:vAlign w:val="center"/>
          </w:tcPr>
          <w:p w14:paraId="7266DAED"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4%</w:t>
            </w:r>
          </w:p>
        </w:tc>
        <w:tc>
          <w:tcPr>
            <w:tcW w:w="937" w:type="pct"/>
            <w:tcBorders>
              <w:top w:val="nil"/>
              <w:left w:val="nil"/>
              <w:bottom w:val="nil"/>
              <w:right w:val="nil"/>
            </w:tcBorders>
            <w:shd w:val="solid" w:color="FFFF99" w:fill="auto"/>
            <w:vAlign w:val="center"/>
          </w:tcPr>
          <w:p w14:paraId="6EE9AE94"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28%</w:t>
            </w:r>
          </w:p>
        </w:tc>
      </w:tr>
      <w:tr w:rsidR="009B47E3" w:rsidRPr="000939E3" w14:paraId="0517AB22" w14:textId="77777777" w:rsidTr="003A772A">
        <w:trPr>
          <w:trHeight w:val="290"/>
        </w:trPr>
        <w:tc>
          <w:tcPr>
            <w:tcW w:w="3360" w:type="pct"/>
            <w:tcBorders>
              <w:top w:val="nil"/>
              <w:left w:val="nil"/>
              <w:bottom w:val="nil"/>
              <w:right w:val="nil"/>
            </w:tcBorders>
            <w:vAlign w:val="center"/>
          </w:tcPr>
          <w:p w14:paraId="1D09EDAC" w14:textId="77777777" w:rsidR="009B47E3" w:rsidRPr="000939E3" w:rsidRDefault="009B47E3" w:rsidP="003A772A">
            <w:pPr>
              <w:autoSpaceDE w:val="0"/>
              <w:autoSpaceDN w:val="0"/>
              <w:adjustRightInd w:val="0"/>
              <w:spacing w:after="0" w:line="240" w:lineRule="auto"/>
              <w:jc w:val="left"/>
              <w:rPr>
                <w:rFonts w:cs="Calibri"/>
                <w:color w:val="000000"/>
              </w:rPr>
            </w:pPr>
            <w:r w:rsidRPr="000939E3">
              <w:rPr>
                <w:color w:val="000000"/>
              </w:rPr>
              <w:t>Elektrotechnici a energetici</w:t>
            </w:r>
          </w:p>
        </w:tc>
        <w:tc>
          <w:tcPr>
            <w:tcW w:w="703" w:type="pct"/>
            <w:tcBorders>
              <w:top w:val="nil"/>
              <w:left w:val="nil"/>
              <w:bottom w:val="nil"/>
              <w:right w:val="nil"/>
            </w:tcBorders>
            <w:shd w:val="solid" w:color="FFCC99" w:fill="auto"/>
            <w:vAlign w:val="center"/>
          </w:tcPr>
          <w:p w14:paraId="20EF8E18"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-19%</w:t>
            </w:r>
          </w:p>
        </w:tc>
        <w:tc>
          <w:tcPr>
            <w:tcW w:w="937" w:type="pct"/>
            <w:tcBorders>
              <w:top w:val="nil"/>
              <w:left w:val="nil"/>
              <w:bottom w:val="nil"/>
              <w:right w:val="nil"/>
            </w:tcBorders>
            <w:shd w:val="solid" w:color="FFFF99" w:fill="auto"/>
            <w:vAlign w:val="center"/>
          </w:tcPr>
          <w:p w14:paraId="212AE173"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2%</w:t>
            </w:r>
          </w:p>
        </w:tc>
      </w:tr>
      <w:tr w:rsidR="009B47E3" w:rsidRPr="000939E3" w14:paraId="2C2F37F9" w14:textId="77777777" w:rsidTr="003A772A">
        <w:trPr>
          <w:trHeight w:val="290"/>
        </w:trPr>
        <w:tc>
          <w:tcPr>
            <w:tcW w:w="3360" w:type="pct"/>
            <w:tcBorders>
              <w:top w:val="nil"/>
              <w:left w:val="nil"/>
              <w:bottom w:val="nil"/>
              <w:right w:val="nil"/>
            </w:tcBorders>
            <w:vAlign w:val="center"/>
          </w:tcPr>
          <w:p w14:paraId="780CED39" w14:textId="77777777" w:rsidR="009B47E3" w:rsidRPr="000939E3" w:rsidRDefault="009B47E3" w:rsidP="003A772A">
            <w:pPr>
              <w:autoSpaceDE w:val="0"/>
              <w:autoSpaceDN w:val="0"/>
              <w:adjustRightInd w:val="0"/>
              <w:spacing w:after="0" w:line="240" w:lineRule="auto"/>
              <w:jc w:val="left"/>
              <w:rPr>
                <w:rFonts w:cs="Calibri"/>
                <w:color w:val="000000"/>
              </w:rPr>
            </w:pPr>
            <w:r w:rsidRPr="000939E3">
              <w:rPr>
                <w:color w:val="000000"/>
              </w:rPr>
              <w:t>Technici prevádzky informačných a komunikačných technológií</w:t>
            </w:r>
          </w:p>
        </w:tc>
        <w:tc>
          <w:tcPr>
            <w:tcW w:w="703" w:type="pct"/>
            <w:tcBorders>
              <w:top w:val="nil"/>
              <w:left w:val="nil"/>
              <w:bottom w:val="nil"/>
              <w:right w:val="nil"/>
            </w:tcBorders>
            <w:shd w:val="solid" w:color="FFFF99" w:fill="auto"/>
            <w:vAlign w:val="center"/>
          </w:tcPr>
          <w:p w14:paraId="22F5948D"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-29%</w:t>
            </w:r>
          </w:p>
        </w:tc>
        <w:tc>
          <w:tcPr>
            <w:tcW w:w="937" w:type="pct"/>
            <w:tcBorders>
              <w:top w:val="nil"/>
              <w:left w:val="nil"/>
              <w:bottom w:val="nil"/>
              <w:right w:val="nil"/>
            </w:tcBorders>
            <w:shd w:val="solid" w:color="FFFF99" w:fill="auto"/>
            <w:vAlign w:val="center"/>
          </w:tcPr>
          <w:p w14:paraId="4250ADFA" w14:textId="77777777" w:rsidR="009B47E3" w:rsidRPr="000939E3" w:rsidRDefault="009B47E3" w:rsidP="003A772A">
            <w:pPr>
              <w:autoSpaceDE w:val="0"/>
              <w:autoSpaceDN w:val="0"/>
              <w:adjustRightInd w:val="0"/>
              <w:spacing w:after="0" w:line="240" w:lineRule="auto"/>
              <w:jc w:val="right"/>
              <w:rPr>
                <w:rFonts w:cs="Calibri"/>
                <w:color w:val="000000"/>
              </w:rPr>
            </w:pPr>
            <w:r w:rsidRPr="000939E3">
              <w:rPr>
                <w:color w:val="000000"/>
              </w:rPr>
              <w:t>-8%</w:t>
            </w:r>
          </w:p>
        </w:tc>
      </w:tr>
      <w:tr w:rsidR="009B47E3" w:rsidRPr="000939E3" w14:paraId="013E08B0" w14:textId="77777777" w:rsidTr="003A772A">
        <w:trPr>
          <w:trHeight w:val="290"/>
        </w:trPr>
        <w:tc>
          <w:tcPr>
            <w:tcW w:w="5000" w:type="pct"/>
            <w:gridSpan w:val="3"/>
            <w:tcBorders>
              <w:top w:val="single" w:sz="4" w:space="0" w:color="auto"/>
              <w:left w:val="nil"/>
              <w:right w:val="nil"/>
            </w:tcBorders>
          </w:tcPr>
          <w:p w14:paraId="2A83115E" w14:textId="77777777" w:rsidR="009B47E3" w:rsidRPr="000939E3" w:rsidRDefault="009B47E3" w:rsidP="003A772A">
            <w:pPr>
              <w:autoSpaceDE w:val="0"/>
              <w:autoSpaceDN w:val="0"/>
              <w:adjustRightInd w:val="0"/>
              <w:spacing w:after="0" w:line="240" w:lineRule="auto"/>
              <w:jc w:val="right"/>
              <w:rPr>
                <w:rFonts w:cs="Calibri"/>
                <w:color w:val="000000"/>
                <w:sz w:val="18"/>
              </w:rPr>
            </w:pPr>
            <w:r w:rsidRPr="000939E3">
              <w:rPr>
                <w:rStyle w:val="Jemnodkaz"/>
                <w:rFonts w:eastAsiaTheme="minorHAnsi"/>
                <w:szCs w:val="20"/>
              </w:rPr>
              <w:t>Zdroj: ISCP, prepočty ÚHP</w:t>
            </w:r>
          </w:p>
        </w:tc>
      </w:tr>
    </w:tbl>
    <w:p w14:paraId="66621988" w14:textId="35ED2F8F" w:rsidR="00C17F8E" w:rsidRPr="000939E3" w:rsidRDefault="00AD08A3" w:rsidP="00AD08A3">
      <w:pPr>
        <w:spacing w:before="120"/>
      </w:pPr>
      <w:r w:rsidRPr="000939E3">
        <w:rPr>
          <w:b/>
        </w:rPr>
        <w:t xml:space="preserve">Vysoký rozdiel v platoch sa môže premietnuť do horšej kvality služieb. </w:t>
      </w:r>
      <w:r w:rsidRPr="000939E3">
        <w:t>Štúdie z Británie ukázali, že existuje vzťah medzi výškou mzdovej prémie vo verejnom sektore oproti súkromnému na miestnom trhu práce a kvalitou poskytovaných služieb (Hall, Propper a Van Reenan</w:t>
      </w:r>
      <w:r w:rsidR="00D6059C" w:rsidRPr="000939E3">
        <w:t xml:space="preserve">, </w:t>
      </w:r>
      <w:r w:rsidRPr="000939E3">
        <w:t>2008, Burgess, Gossage a</w:t>
      </w:r>
      <w:r w:rsidR="00D6059C" w:rsidRPr="000939E3">
        <w:t> </w:t>
      </w:r>
      <w:r w:rsidRPr="000939E3">
        <w:t>Propper</w:t>
      </w:r>
      <w:r w:rsidR="00D6059C" w:rsidRPr="000939E3">
        <w:t xml:space="preserve">, </w:t>
      </w:r>
      <w:r w:rsidRPr="000939E3">
        <w:t>2003 v oblasti zdravotníctva a Propper a</w:t>
      </w:r>
      <w:r w:rsidR="00D6059C" w:rsidRPr="000939E3">
        <w:t> </w:t>
      </w:r>
      <w:r w:rsidRPr="000939E3">
        <w:t>Britton</w:t>
      </w:r>
      <w:r w:rsidR="00D6059C" w:rsidRPr="000939E3">
        <w:t xml:space="preserve">, </w:t>
      </w:r>
      <w:r w:rsidRPr="000939E3">
        <w:t>2012</w:t>
      </w:r>
      <w:r w:rsidR="004B45B2" w:rsidRPr="000939E3">
        <w:t xml:space="preserve"> v </w:t>
      </w:r>
      <w:r w:rsidRPr="000939E3">
        <w:t>školstv</w:t>
      </w:r>
      <w:r w:rsidR="00DE60B9" w:rsidRPr="000939E3">
        <w:t>e</w:t>
      </w:r>
      <w:r w:rsidRPr="000939E3">
        <w:t>). Oblasti so silným trhom práce a tým pádom vyššími mzdami doktorov sestier a učiteľov v súkromnom sektore mali horšie výsledky v štátnych školách a nemocniciach ako miesta so slabším trhom práce, kde existuje vyššia mzdová prémia v pros</w:t>
      </w:r>
      <w:r w:rsidR="0016215C" w:rsidRPr="000939E3">
        <w:t>pech verejných zamestnancov. Na </w:t>
      </w:r>
      <w:r w:rsidRPr="000939E3">
        <w:t xml:space="preserve">Slovensku zatiaľ podobná analýza </w:t>
      </w:r>
      <w:r w:rsidR="000E3972" w:rsidRPr="000939E3">
        <w:t>nie je</w:t>
      </w:r>
      <w:r w:rsidRPr="000939E3">
        <w:t>.</w:t>
      </w:r>
      <w:r w:rsidR="000E3972" w:rsidRPr="000939E3">
        <w:t xml:space="preserve"> </w:t>
      </w:r>
    </w:p>
    <w:p w14:paraId="71DE38A2" w14:textId="7577DBA8" w:rsidR="00377398" w:rsidRPr="000939E3" w:rsidRDefault="00B94B92" w:rsidP="00AD08A3">
      <w:pPr>
        <w:spacing w:before="120"/>
        <w:rPr>
          <w:bCs/>
        </w:rPr>
      </w:pPr>
      <w:r w:rsidRPr="000939E3">
        <w:rPr>
          <w:b/>
          <w:bCs/>
        </w:rPr>
        <w:t>V praxi nie je realistické cieliť úplné odstránenie rozdielov v prémiách za prácu pre štát naprieč regiónmi</w:t>
      </w:r>
      <w:r w:rsidRPr="000939E3">
        <w:rPr>
          <w:bCs/>
        </w:rPr>
        <w:t>. R</w:t>
      </w:r>
      <w:r w:rsidRPr="000939E3">
        <w:t xml:space="preserve">egionálne rovnostárstvo vo verejnom sektore je do značnej miery dôsledkom veľkosti zamestnávateľa nie právnej formy ako naznačujú štúdie regionálnych platových rozdielov </w:t>
      </w:r>
      <w:r w:rsidRPr="000939E3">
        <w:rPr>
          <w:bCs/>
        </w:rPr>
        <w:t>medzi veľkými zamestnávateľmi v súkromnom sektore v Británii.</w:t>
      </w:r>
      <w:r w:rsidRPr="000939E3">
        <w:rPr>
          <w:rStyle w:val="Odkaznapoznmkupodiarou"/>
          <w:bCs/>
        </w:rPr>
        <w:footnoteReference w:id="61"/>
      </w:r>
      <w:r w:rsidRPr="000939E3">
        <w:rPr>
          <w:bCs/>
        </w:rPr>
        <w:t xml:space="preserve"> </w:t>
      </w:r>
    </w:p>
    <w:p w14:paraId="1E1E90BE" w14:textId="77777777" w:rsidR="00AD08A3" w:rsidRPr="000939E3" w:rsidRDefault="00AD08A3" w:rsidP="0016215C">
      <w:r w:rsidRPr="000939E3">
        <w:rPr>
          <w:b/>
        </w:rPr>
        <w:t>Zahraničná prax ukazuje viacero možností ako v mzdách verejných zamestnancov čiastočne zohľadniť rozdielnu mzdovú úroveň v regiónoch</w:t>
      </w:r>
      <w:r w:rsidRPr="000939E3">
        <w:t xml:space="preserve">. Jedným z riešení môžu byť osobitné platové tabuľky pre vopred určené geografické platové zóny. Druhým riešením sú regionálne príspevky k základnému tabuľkovému platu, prípadne nefinančné benefity ako napríklad služobný byt, bezplatná MHD atď. pre určité skupiny zamestnancov. Treťou možnosťou sú finančné stimuly pre zamestnávateľov (napríklad jednotlivé školy alebo nemocnice), ktorí majú problémy s náborom a udržaním niektorých skupín zamestnancov/profesií v dôsledku slabej konkurencieschopnosti na miestnom pracovnom trhu. Tento nástroj je v Británii často kombinovaný s osobitnými tabuľkami alebo s príspevkami a umožňuje adresnejšie reagovať na problémy jednotlivých inštitúcií (napr. škôl alebo nemocníc). </w:t>
      </w:r>
    </w:p>
    <w:p w14:paraId="0A669805" w14:textId="7D17AD45" w:rsidR="00DC3C41" w:rsidRPr="000939E3" w:rsidRDefault="00C255A0" w:rsidP="00AD08A3">
      <w:pPr>
        <w:pStyle w:val="Odsekzoznamu"/>
        <w:tabs>
          <w:tab w:val="center" w:pos="284"/>
        </w:tabs>
        <w:spacing w:before="160" w:after="240"/>
        <w:ind w:left="0"/>
        <w:contextualSpacing w:val="0"/>
        <w:jc w:val="both"/>
      </w:pPr>
      <w:r w:rsidRPr="000939E3">
        <w:rPr>
          <w:b/>
        </w:rPr>
        <w:t>Výdavky na príspevky pre verejných zamestnancov v</w:t>
      </w:r>
      <w:r w:rsidR="005A36A6" w:rsidRPr="000939E3">
        <w:rPr>
          <w:b/>
        </w:rPr>
        <w:t> drahých regiónoch</w:t>
      </w:r>
      <w:r w:rsidRPr="000939E3">
        <w:rPr>
          <w:b/>
        </w:rPr>
        <w:t xml:space="preserve"> by bolo možné </w:t>
      </w:r>
      <w:r w:rsidR="00EE685E" w:rsidRPr="000939E3">
        <w:rPr>
          <w:b/>
        </w:rPr>
        <w:t xml:space="preserve">obmedziť </w:t>
      </w:r>
      <w:r w:rsidR="00174EA3" w:rsidRPr="000939E3">
        <w:rPr>
          <w:b/>
        </w:rPr>
        <w:t>presunom niektorých</w:t>
      </w:r>
      <w:r w:rsidR="00DC3C41" w:rsidRPr="000939E3">
        <w:rPr>
          <w:b/>
        </w:rPr>
        <w:t xml:space="preserve"> </w:t>
      </w:r>
      <w:r w:rsidR="00EE685E" w:rsidRPr="000939E3">
        <w:rPr>
          <w:b/>
        </w:rPr>
        <w:t xml:space="preserve">verejných </w:t>
      </w:r>
      <w:r w:rsidR="00DC3C41" w:rsidRPr="000939E3">
        <w:rPr>
          <w:b/>
        </w:rPr>
        <w:t xml:space="preserve">inštitúcií </w:t>
      </w:r>
      <w:r w:rsidR="005A36A6" w:rsidRPr="000939E3">
        <w:rPr>
          <w:b/>
        </w:rPr>
        <w:t>mimo Bratislavy</w:t>
      </w:r>
      <w:r w:rsidR="00DC3C41" w:rsidRPr="000939E3">
        <w:rPr>
          <w:b/>
        </w:rPr>
        <w:t>.</w:t>
      </w:r>
      <w:r w:rsidR="00DC3C41" w:rsidRPr="000939E3">
        <w:t xml:space="preserve"> </w:t>
      </w:r>
      <w:r w:rsidR="00C17F8E" w:rsidRPr="000939E3">
        <w:t>Okrem úspor by p</w:t>
      </w:r>
      <w:r w:rsidR="00DC3C41" w:rsidRPr="000939E3">
        <w:t>resun zvýšil zamestnanosť v regióne nového sídla úrad</w:t>
      </w:r>
      <w:r w:rsidR="00174EA3" w:rsidRPr="000939E3">
        <w:t>u</w:t>
      </w:r>
      <w:r w:rsidR="00DC3C41" w:rsidRPr="000939E3">
        <w:t xml:space="preserve">. </w:t>
      </w:r>
      <w:r w:rsidR="00324611" w:rsidRPr="000939E3">
        <w:t xml:space="preserve">Na </w:t>
      </w:r>
      <w:r w:rsidR="00DC3C41" w:rsidRPr="000939E3">
        <w:t xml:space="preserve">ilustráciu potenciálnych úspor na cene práce bol vytvorený zoznam úradov podľa </w:t>
      </w:r>
      <w:r w:rsidR="00DC3C41" w:rsidRPr="000939E3">
        <w:lastRenderedPageBreak/>
        <w:t>kritérií, ktoré vyjadrujú vhodnosť presídlenia mimo Bratislavy. Medzi posudzované kritériá boli zahrnuté nasledovné:</w:t>
      </w:r>
    </w:p>
    <w:p w14:paraId="1CE2ACCB" w14:textId="77777777" w:rsidR="00DC3C41" w:rsidRPr="000939E3" w:rsidRDefault="00DC3C41" w:rsidP="00B41924">
      <w:pPr>
        <w:pStyle w:val="Odsekzoznamu"/>
        <w:numPr>
          <w:ilvl w:val="0"/>
          <w:numId w:val="16"/>
        </w:numPr>
        <w:spacing w:before="160" w:after="240" w:line="259" w:lineRule="auto"/>
        <w:ind w:left="714" w:hanging="357"/>
        <w:jc w:val="both"/>
      </w:pPr>
      <w:r w:rsidRPr="000939E3">
        <w:t xml:space="preserve">podiel nákladov na cenu práce na celkových bežných výdavkoch, </w:t>
      </w:r>
    </w:p>
    <w:p w14:paraId="3F0BAB55" w14:textId="77777777" w:rsidR="00DC3C41" w:rsidRPr="000939E3" w:rsidRDefault="00DC3C41" w:rsidP="00B41924">
      <w:pPr>
        <w:pStyle w:val="Odsekzoznamu"/>
        <w:numPr>
          <w:ilvl w:val="0"/>
          <w:numId w:val="16"/>
        </w:numPr>
        <w:spacing w:before="160" w:after="240" w:line="259" w:lineRule="auto"/>
        <w:ind w:left="714" w:hanging="357"/>
        <w:jc w:val="both"/>
      </w:pPr>
      <w:r w:rsidRPr="000939E3">
        <w:t xml:space="preserve">podiel externých zamestnancov, </w:t>
      </w:r>
    </w:p>
    <w:p w14:paraId="3DB8AF93" w14:textId="77777777" w:rsidR="00DC3C41" w:rsidRPr="000939E3" w:rsidRDefault="00DC3C41" w:rsidP="00B41924">
      <w:pPr>
        <w:pStyle w:val="Odsekzoznamu"/>
        <w:numPr>
          <w:ilvl w:val="0"/>
          <w:numId w:val="16"/>
        </w:numPr>
        <w:spacing w:before="160" w:after="240" w:line="259" w:lineRule="auto"/>
        <w:ind w:left="714" w:hanging="357"/>
        <w:jc w:val="both"/>
      </w:pPr>
      <w:r w:rsidRPr="000939E3">
        <w:t xml:space="preserve">výdavky na nájomné, </w:t>
      </w:r>
    </w:p>
    <w:p w14:paraId="7134701E" w14:textId="77777777" w:rsidR="00DC3C41" w:rsidRPr="000939E3" w:rsidRDefault="00DC3C41" w:rsidP="00B41924">
      <w:pPr>
        <w:pStyle w:val="Odsekzoznamu"/>
        <w:numPr>
          <w:ilvl w:val="0"/>
          <w:numId w:val="16"/>
        </w:numPr>
        <w:spacing w:before="160" w:after="240" w:line="259" w:lineRule="auto"/>
        <w:ind w:left="714" w:hanging="357"/>
        <w:jc w:val="both"/>
      </w:pPr>
      <w:r w:rsidRPr="000939E3">
        <w:t>podiel zamestnancov, ktorých plat je stanovený zákonom</w:t>
      </w:r>
    </w:p>
    <w:p w14:paraId="03BE2750" w14:textId="77777777" w:rsidR="00DC3C41" w:rsidRPr="000939E3" w:rsidRDefault="00DC3C41" w:rsidP="00B41924">
      <w:pPr>
        <w:pStyle w:val="Odsekzoznamu"/>
        <w:numPr>
          <w:ilvl w:val="0"/>
          <w:numId w:val="16"/>
        </w:numPr>
        <w:spacing w:before="160" w:after="240" w:line="259" w:lineRule="auto"/>
        <w:ind w:left="714" w:hanging="357"/>
        <w:jc w:val="both"/>
      </w:pPr>
      <w:r w:rsidRPr="000939E3">
        <w:t xml:space="preserve">podiel cestovných náhrad na celkových personálnych výdavkoch. </w:t>
      </w:r>
    </w:p>
    <w:p w14:paraId="30F6D7A5" w14:textId="038BB9A0" w:rsidR="00DC3C41" w:rsidRPr="000939E3" w:rsidRDefault="00DC3C41" w:rsidP="00AD08A3">
      <w:pPr>
        <w:spacing w:before="160"/>
      </w:pPr>
      <w:r w:rsidRPr="000939E3">
        <w:t>Medzi vybraté úrady neboli zahrnuté školy a výskumné inštitúcie, regionálne pobočky centrálne inštitúcie, úrady, ktorých agenda úzko súvisí s politickými rozhodnutiami vlády a úrady, ktoré musia spolupracovať na pravidelnej báze so zahraničnými či medzinárodnými inštitúciami.</w:t>
      </w:r>
    </w:p>
    <w:p w14:paraId="1F644BEA" w14:textId="2E430258" w:rsidR="00DC3C41" w:rsidRPr="000939E3" w:rsidRDefault="00722FBC" w:rsidP="00AD08A3">
      <w:pPr>
        <w:spacing w:before="160"/>
      </w:pPr>
      <w:r w:rsidRPr="000939E3">
        <w:t>Potenciál ú</w:t>
      </w:r>
      <w:r w:rsidR="00DC3C41" w:rsidRPr="000939E3">
        <w:t xml:space="preserve">spory </w:t>
      </w:r>
      <w:r w:rsidRPr="000939E3">
        <w:t xml:space="preserve">vyčísluje rozdiel medzi </w:t>
      </w:r>
      <w:r w:rsidR="009C6133" w:rsidRPr="000939E3">
        <w:t xml:space="preserve">súčasnou </w:t>
      </w:r>
      <w:r w:rsidR="009D38FE" w:rsidRPr="000939E3">
        <w:t>priemern</w:t>
      </w:r>
      <w:r w:rsidRPr="000939E3">
        <w:t>ou</w:t>
      </w:r>
      <w:r w:rsidR="009D38FE" w:rsidRPr="000939E3">
        <w:t xml:space="preserve"> </w:t>
      </w:r>
      <w:r w:rsidR="009C6133" w:rsidRPr="000939E3">
        <w:t>mzdou vybraných verejných zamestnancov</w:t>
      </w:r>
      <w:r w:rsidR="009C6133" w:rsidRPr="000939E3">
        <w:rPr>
          <w:rStyle w:val="Odkaznapoznmkupodiarou"/>
        </w:rPr>
        <w:footnoteReference w:id="62"/>
      </w:r>
      <w:r w:rsidR="009C6133" w:rsidRPr="000939E3">
        <w:t xml:space="preserve"> </w:t>
      </w:r>
      <w:r w:rsidR="009D38FE" w:rsidRPr="000939E3">
        <w:t>v Bratislave</w:t>
      </w:r>
      <w:r w:rsidR="009C6133" w:rsidRPr="000939E3">
        <w:t xml:space="preserve"> </w:t>
      </w:r>
      <w:r w:rsidRPr="000939E3">
        <w:t>a</w:t>
      </w:r>
      <w:r w:rsidR="009C6133" w:rsidRPr="000939E3">
        <w:t xml:space="preserve"> ich alternatívnym príjmom </w:t>
      </w:r>
      <w:r w:rsidR="00757AC0" w:rsidRPr="000939E3">
        <w:t xml:space="preserve">v rovnakej profesii </w:t>
      </w:r>
      <w:r w:rsidR="009C6133" w:rsidRPr="000939E3">
        <w:t xml:space="preserve">na úrovni </w:t>
      </w:r>
      <w:r w:rsidR="009D38FE" w:rsidRPr="000939E3">
        <w:t>90</w:t>
      </w:r>
      <w:r w:rsidR="003D3EFA" w:rsidRPr="000939E3">
        <w:t xml:space="preserve"> </w:t>
      </w:r>
      <w:r w:rsidR="009D38FE" w:rsidRPr="000939E3">
        <w:t>%</w:t>
      </w:r>
      <w:r w:rsidR="00DC3C41" w:rsidRPr="000939E3">
        <w:t xml:space="preserve"> </w:t>
      </w:r>
      <w:r w:rsidR="009D38FE" w:rsidRPr="000939E3">
        <w:t xml:space="preserve">priemernej mzdy </w:t>
      </w:r>
      <w:r w:rsidRPr="000939E3">
        <w:t>súkromného sektora</w:t>
      </w:r>
      <w:r w:rsidR="009C6133" w:rsidRPr="000939E3">
        <w:t xml:space="preserve"> v inom krajskom meste.</w:t>
      </w:r>
      <w:r w:rsidR="00757AC0" w:rsidRPr="000939E3">
        <w:t xml:space="preserve"> </w:t>
      </w:r>
      <w:r w:rsidR="00BB6278" w:rsidRPr="000939E3">
        <w:t xml:space="preserve">Relatívny </w:t>
      </w:r>
      <w:r w:rsidR="00C050DB" w:rsidRPr="000939E3">
        <w:t xml:space="preserve">príjem tak neklesá. </w:t>
      </w:r>
      <w:r w:rsidR="00C22972" w:rsidRPr="000939E3">
        <w:t>Desať úradov s najvyšším potenciálom úspor na cene práce spolu s hodnotou úspor za obdobie 2020 až 2023 v prípade presídlenia do jednotlivých krajských miest ukazuje</w:t>
      </w:r>
      <w:r w:rsidR="00C909C9" w:rsidRPr="000939E3">
        <w:t xml:space="preserve"> </w:t>
      </w:r>
      <w:r w:rsidR="009D38FE" w:rsidRPr="000939E3">
        <w:fldChar w:fldCharType="begin"/>
      </w:r>
      <w:r w:rsidR="009D38FE" w:rsidRPr="000939E3">
        <w:instrText xml:space="preserve"> REF _Ref3302845 \h  \* MERGEFORMAT </w:instrText>
      </w:r>
      <w:r w:rsidR="009D38FE" w:rsidRPr="000939E3">
        <w:fldChar w:fldCharType="separate"/>
      </w:r>
      <w:r w:rsidR="00BF69CA" w:rsidRPr="00BF69CA">
        <w:t xml:space="preserve">Tabuľka </w:t>
      </w:r>
      <w:r w:rsidR="00BF69CA" w:rsidRPr="00BF69CA">
        <w:rPr>
          <w:noProof/>
        </w:rPr>
        <w:t>10</w:t>
      </w:r>
      <w:r w:rsidR="009D38FE" w:rsidRPr="000939E3">
        <w:fldChar w:fldCharType="end"/>
      </w:r>
      <w:r w:rsidR="00C22972" w:rsidRPr="000939E3">
        <w:t>.</w:t>
      </w:r>
      <w:r w:rsidR="00DC3C41" w:rsidRPr="000939E3">
        <w:t xml:space="preserve"> </w:t>
      </w:r>
    </w:p>
    <w:tbl>
      <w:tblPr>
        <w:tblW w:w="5000" w:type="pct"/>
        <w:tblCellMar>
          <w:left w:w="70" w:type="dxa"/>
          <w:right w:w="70" w:type="dxa"/>
        </w:tblCellMar>
        <w:tblLook w:val="04A0" w:firstRow="1" w:lastRow="0" w:firstColumn="1" w:lastColumn="0" w:noHBand="0" w:noVBand="1"/>
      </w:tblPr>
      <w:tblGrid>
        <w:gridCol w:w="4775"/>
        <w:gridCol w:w="613"/>
        <w:gridCol w:w="613"/>
        <w:gridCol w:w="613"/>
        <w:gridCol w:w="613"/>
        <w:gridCol w:w="613"/>
        <w:gridCol w:w="613"/>
        <w:gridCol w:w="619"/>
      </w:tblGrid>
      <w:tr w:rsidR="00DC3C41" w:rsidRPr="000939E3" w14:paraId="39C6512D" w14:textId="77777777" w:rsidTr="009D38FE">
        <w:trPr>
          <w:trHeight w:val="261"/>
        </w:trPr>
        <w:tc>
          <w:tcPr>
            <w:tcW w:w="5000" w:type="pct"/>
            <w:gridSpan w:val="8"/>
            <w:tcBorders>
              <w:left w:val="nil"/>
              <w:bottom w:val="single" w:sz="4" w:space="0" w:color="auto"/>
              <w:right w:val="nil"/>
            </w:tcBorders>
            <w:shd w:val="clear" w:color="000000" w:fill="FFFFFF"/>
            <w:noWrap/>
            <w:vAlign w:val="bottom"/>
          </w:tcPr>
          <w:p w14:paraId="65C10AC0" w14:textId="3E11A1EB" w:rsidR="00DC3C41" w:rsidRPr="000939E3" w:rsidRDefault="00DC3C41" w:rsidP="00ED3CE6">
            <w:pPr>
              <w:pStyle w:val="Bezriadkovania"/>
              <w:rPr>
                <w:rFonts w:eastAsia="Times New Roman" w:cs="Times New Roman"/>
                <w:b/>
                <w:color w:val="000000"/>
                <w:sz w:val="20"/>
                <w:szCs w:val="20"/>
                <w:lang w:eastAsia="sk-SK"/>
              </w:rPr>
            </w:pPr>
            <w:bookmarkStart w:id="172" w:name="_Ref3302845"/>
            <w:bookmarkStart w:id="173" w:name="_Ref3302841"/>
            <w:bookmarkStart w:id="174" w:name="_Toc34226943"/>
            <w:r w:rsidRPr="000939E3">
              <w:rPr>
                <w:b/>
                <w:sz w:val="20"/>
                <w:szCs w:val="20"/>
              </w:rPr>
              <w:t xml:space="preserve">Tabuľka </w:t>
            </w:r>
            <w:r w:rsidRPr="000939E3">
              <w:rPr>
                <w:b/>
                <w:sz w:val="20"/>
                <w:szCs w:val="20"/>
              </w:rPr>
              <w:fldChar w:fldCharType="begin"/>
            </w:r>
            <w:r w:rsidRPr="000939E3">
              <w:rPr>
                <w:b/>
                <w:sz w:val="20"/>
                <w:szCs w:val="20"/>
              </w:rPr>
              <w:instrText xml:space="preserve"> SEQ Tabuľka \* ARABIC </w:instrText>
            </w:r>
            <w:r w:rsidRPr="000939E3">
              <w:rPr>
                <w:b/>
                <w:sz w:val="20"/>
                <w:szCs w:val="20"/>
              </w:rPr>
              <w:fldChar w:fldCharType="separate"/>
            </w:r>
            <w:r w:rsidR="00BF69CA">
              <w:rPr>
                <w:b/>
                <w:noProof/>
                <w:sz w:val="20"/>
                <w:szCs w:val="20"/>
              </w:rPr>
              <w:t>10</w:t>
            </w:r>
            <w:r w:rsidRPr="000939E3">
              <w:rPr>
                <w:b/>
                <w:sz w:val="20"/>
                <w:szCs w:val="20"/>
              </w:rPr>
              <w:fldChar w:fldCharType="end"/>
            </w:r>
            <w:bookmarkEnd w:id="172"/>
            <w:r w:rsidRPr="000939E3">
              <w:rPr>
                <w:b/>
                <w:sz w:val="20"/>
                <w:szCs w:val="20"/>
              </w:rPr>
              <w:t>: Potenciálne úspory na cene práce podľa mesta presídlenia (mil. eur</w:t>
            </w:r>
            <w:r w:rsidR="00693EAA" w:rsidRPr="000939E3">
              <w:rPr>
                <w:b/>
                <w:sz w:val="20"/>
                <w:szCs w:val="20"/>
              </w:rPr>
              <w:t>, 2020-2023</w:t>
            </w:r>
            <w:r w:rsidRPr="000939E3">
              <w:rPr>
                <w:b/>
                <w:sz w:val="20"/>
                <w:szCs w:val="20"/>
              </w:rPr>
              <w:t>)</w:t>
            </w:r>
            <w:bookmarkEnd w:id="173"/>
            <w:bookmarkEnd w:id="174"/>
          </w:p>
        </w:tc>
      </w:tr>
      <w:tr w:rsidR="009D38FE" w:rsidRPr="000939E3" w14:paraId="5F31264A" w14:textId="77777777" w:rsidTr="00F41BEB">
        <w:trPr>
          <w:trHeight w:val="261"/>
        </w:trPr>
        <w:tc>
          <w:tcPr>
            <w:tcW w:w="2631" w:type="pct"/>
            <w:tcBorders>
              <w:top w:val="single" w:sz="4" w:space="0" w:color="auto"/>
              <w:left w:val="nil"/>
              <w:bottom w:val="single" w:sz="4" w:space="0" w:color="auto"/>
              <w:right w:val="nil"/>
            </w:tcBorders>
            <w:shd w:val="clear" w:color="000000" w:fill="FFFFFF"/>
            <w:noWrap/>
            <w:vAlign w:val="center"/>
            <w:hideMark/>
          </w:tcPr>
          <w:p w14:paraId="0824F4A2" w14:textId="5A986120" w:rsidR="009D38FE" w:rsidRPr="000939E3" w:rsidRDefault="009D38FE" w:rsidP="009D38FE">
            <w:pPr>
              <w:pStyle w:val="Bezriadkovania"/>
              <w:rPr>
                <w:rFonts w:eastAsia="Times New Roman" w:cs="Times New Roman"/>
                <w:color w:val="000000"/>
                <w:sz w:val="20"/>
                <w:szCs w:val="20"/>
                <w:lang w:eastAsia="sk-SK"/>
              </w:rPr>
            </w:pPr>
            <w:r w:rsidRPr="000939E3">
              <w:rPr>
                <w:b/>
                <w:bCs/>
                <w:color w:val="FFFFFF"/>
                <w:sz w:val="20"/>
                <w:szCs w:val="20"/>
              </w:rPr>
              <w:t>1,77</w:t>
            </w:r>
          </w:p>
        </w:tc>
        <w:tc>
          <w:tcPr>
            <w:tcW w:w="338" w:type="pct"/>
            <w:tcBorders>
              <w:top w:val="single" w:sz="4" w:space="0" w:color="auto"/>
              <w:left w:val="nil"/>
              <w:bottom w:val="single" w:sz="4" w:space="0" w:color="auto"/>
              <w:right w:val="nil"/>
            </w:tcBorders>
            <w:shd w:val="clear" w:color="000000" w:fill="FFFFFF"/>
            <w:noWrap/>
            <w:vAlign w:val="center"/>
            <w:hideMark/>
          </w:tcPr>
          <w:p w14:paraId="0CC990B2" w14:textId="1040D5A7" w:rsidR="009D38FE" w:rsidRPr="000939E3" w:rsidRDefault="009D38FE" w:rsidP="00757AC0">
            <w:pPr>
              <w:pStyle w:val="Bezriadkovania"/>
              <w:jc w:val="center"/>
              <w:rPr>
                <w:rFonts w:eastAsia="Times New Roman" w:cs="Times New Roman"/>
                <w:color w:val="000000"/>
                <w:sz w:val="20"/>
                <w:szCs w:val="20"/>
                <w:lang w:eastAsia="sk-SK"/>
              </w:rPr>
            </w:pPr>
            <w:r w:rsidRPr="000939E3">
              <w:rPr>
                <w:b/>
                <w:bCs/>
                <w:sz w:val="20"/>
                <w:szCs w:val="20"/>
              </w:rPr>
              <w:t>TT</w:t>
            </w:r>
          </w:p>
        </w:tc>
        <w:tc>
          <w:tcPr>
            <w:tcW w:w="338" w:type="pct"/>
            <w:tcBorders>
              <w:top w:val="single" w:sz="4" w:space="0" w:color="auto"/>
              <w:left w:val="nil"/>
              <w:bottom w:val="single" w:sz="4" w:space="0" w:color="auto"/>
              <w:right w:val="nil"/>
            </w:tcBorders>
            <w:shd w:val="clear" w:color="000000" w:fill="FFFFFF"/>
            <w:noWrap/>
            <w:vAlign w:val="center"/>
            <w:hideMark/>
          </w:tcPr>
          <w:p w14:paraId="2BC0A5BA" w14:textId="203CE191" w:rsidR="009D38FE" w:rsidRPr="000939E3" w:rsidRDefault="009D38FE" w:rsidP="00757AC0">
            <w:pPr>
              <w:pStyle w:val="Bezriadkovania"/>
              <w:jc w:val="center"/>
              <w:rPr>
                <w:rFonts w:eastAsia="Times New Roman" w:cs="Times New Roman"/>
                <w:color w:val="000000"/>
                <w:sz w:val="20"/>
                <w:szCs w:val="20"/>
                <w:lang w:eastAsia="sk-SK"/>
              </w:rPr>
            </w:pPr>
            <w:r w:rsidRPr="000939E3">
              <w:rPr>
                <w:b/>
                <w:bCs/>
                <w:sz w:val="20"/>
                <w:szCs w:val="20"/>
              </w:rPr>
              <w:t>TN</w:t>
            </w:r>
          </w:p>
        </w:tc>
        <w:tc>
          <w:tcPr>
            <w:tcW w:w="338" w:type="pct"/>
            <w:tcBorders>
              <w:top w:val="single" w:sz="4" w:space="0" w:color="auto"/>
              <w:left w:val="nil"/>
              <w:bottom w:val="single" w:sz="4" w:space="0" w:color="auto"/>
              <w:right w:val="nil"/>
            </w:tcBorders>
            <w:shd w:val="clear" w:color="000000" w:fill="FFFFFF"/>
            <w:noWrap/>
            <w:vAlign w:val="center"/>
            <w:hideMark/>
          </w:tcPr>
          <w:p w14:paraId="18A298BB" w14:textId="3789BE09" w:rsidR="009D38FE" w:rsidRPr="000939E3" w:rsidRDefault="009D38FE" w:rsidP="00757AC0">
            <w:pPr>
              <w:pStyle w:val="Bezriadkovania"/>
              <w:jc w:val="center"/>
              <w:rPr>
                <w:rFonts w:eastAsia="Times New Roman" w:cs="Times New Roman"/>
                <w:color w:val="000000"/>
                <w:sz w:val="20"/>
                <w:szCs w:val="20"/>
                <w:lang w:eastAsia="sk-SK"/>
              </w:rPr>
            </w:pPr>
            <w:r w:rsidRPr="000939E3">
              <w:rPr>
                <w:b/>
                <w:bCs/>
                <w:sz w:val="20"/>
                <w:szCs w:val="20"/>
              </w:rPr>
              <w:t>NR</w:t>
            </w:r>
          </w:p>
        </w:tc>
        <w:tc>
          <w:tcPr>
            <w:tcW w:w="338" w:type="pct"/>
            <w:tcBorders>
              <w:top w:val="single" w:sz="4" w:space="0" w:color="auto"/>
              <w:left w:val="nil"/>
              <w:bottom w:val="single" w:sz="4" w:space="0" w:color="auto"/>
              <w:right w:val="nil"/>
            </w:tcBorders>
            <w:shd w:val="clear" w:color="000000" w:fill="FFFFFF"/>
            <w:noWrap/>
            <w:vAlign w:val="center"/>
            <w:hideMark/>
          </w:tcPr>
          <w:p w14:paraId="30C9EE57" w14:textId="15F33E7B" w:rsidR="009D38FE" w:rsidRPr="000939E3" w:rsidRDefault="009D38FE" w:rsidP="00757AC0">
            <w:pPr>
              <w:pStyle w:val="Bezriadkovania"/>
              <w:jc w:val="center"/>
              <w:rPr>
                <w:rFonts w:eastAsia="Times New Roman" w:cs="Times New Roman"/>
                <w:color w:val="000000"/>
                <w:sz w:val="20"/>
                <w:szCs w:val="20"/>
                <w:lang w:eastAsia="sk-SK"/>
              </w:rPr>
            </w:pPr>
            <w:r w:rsidRPr="000939E3">
              <w:rPr>
                <w:b/>
                <w:bCs/>
                <w:sz w:val="20"/>
                <w:szCs w:val="20"/>
              </w:rPr>
              <w:t>ZA</w:t>
            </w:r>
          </w:p>
        </w:tc>
        <w:tc>
          <w:tcPr>
            <w:tcW w:w="338" w:type="pct"/>
            <w:tcBorders>
              <w:top w:val="single" w:sz="4" w:space="0" w:color="auto"/>
              <w:left w:val="nil"/>
              <w:bottom w:val="single" w:sz="4" w:space="0" w:color="auto"/>
              <w:right w:val="nil"/>
            </w:tcBorders>
            <w:shd w:val="clear" w:color="000000" w:fill="FFFFFF"/>
            <w:noWrap/>
            <w:vAlign w:val="center"/>
            <w:hideMark/>
          </w:tcPr>
          <w:p w14:paraId="4DC9401E" w14:textId="289D0E25" w:rsidR="009D38FE" w:rsidRPr="000939E3" w:rsidRDefault="009D38FE" w:rsidP="00757AC0">
            <w:pPr>
              <w:pStyle w:val="Bezriadkovania"/>
              <w:jc w:val="center"/>
              <w:rPr>
                <w:rFonts w:eastAsia="Times New Roman" w:cs="Times New Roman"/>
                <w:color w:val="000000"/>
                <w:sz w:val="20"/>
                <w:szCs w:val="20"/>
                <w:lang w:eastAsia="sk-SK"/>
              </w:rPr>
            </w:pPr>
            <w:r w:rsidRPr="000939E3">
              <w:rPr>
                <w:b/>
                <w:bCs/>
                <w:sz w:val="20"/>
                <w:szCs w:val="20"/>
              </w:rPr>
              <w:t>BB</w:t>
            </w:r>
          </w:p>
        </w:tc>
        <w:tc>
          <w:tcPr>
            <w:tcW w:w="338" w:type="pct"/>
            <w:tcBorders>
              <w:top w:val="single" w:sz="4" w:space="0" w:color="auto"/>
              <w:left w:val="nil"/>
              <w:bottom w:val="single" w:sz="4" w:space="0" w:color="auto"/>
              <w:right w:val="nil"/>
            </w:tcBorders>
            <w:shd w:val="clear" w:color="000000" w:fill="FFFFFF"/>
            <w:noWrap/>
            <w:vAlign w:val="center"/>
            <w:hideMark/>
          </w:tcPr>
          <w:p w14:paraId="3CADA7CC" w14:textId="70A75626" w:rsidR="009D38FE" w:rsidRPr="000939E3" w:rsidRDefault="009D38FE" w:rsidP="00757AC0">
            <w:pPr>
              <w:pStyle w:val="Bezriadkovania"/>
              <w:jc w:val="center"/>
              <w:rPr>
                <w:rFonts w:eastAsia="Times New Roman" w:cs="Times New Roman"/>
                <w:color w:val="000000"/>
                <w:sz w:val="20"/>
                <w:szCs w:val="20"/>
                <w:lang w:eastAsia="sk-SK"/>
              </w:rPr>
            </w:pPr>
            <w:r w:rsidRPr="000939E3">
              <w:rPr>
                <w:b/>
                <w:bCs/>
                <w:sz w:val="20"/>
                <w:szCs w:val="20"/>
              </w:rPr>
              <w:t>PO</w:t>
            </w:r>
          </w:p>
        </w:tc>
        <w:tc>
          <w:tcPr>
            <w:tcW w:w="342" w:type="pct"/>
            <w:tcBorders>
              <w:top w:val="single" w:sz="4" w:space="0" w:color="auto"/>
              <w:left w:val="nil"/>
              <w:bottom w:val="single" w:sz="4" w:space="0" w:color="auto"/>
              <w:right w:val="nil"/>
            </w:tcBorders>
            <w:shd w:val="clear" w:color="000000" w:fill="FFFFFF"/>
            <w:noWrap/>
            <w:vAlign w:val="center"/>
            <w:hideMark/>
          </w:tcPr>
          <w:p w14:paraId="6D0B2256" w14:textId="5EFEF03A" w:rsidR="009D38FE" w:rsidRPr="000939E3" w:rsidRDefault="009D38FE" w:rsidP="00757AC0">
            <w:pPr>
              <w:pStyle w:val="Bezriadkovania"/>
              <w:jc w:val="center"/>
              <w:rPr>
                <w:rFonts w:eastAsia="Times New Roman" w:cs="Times New Roman"/>
                <w:color w:val="000000"/>
                <w:sz w:val="20"/>
                <w:szCs w:val="20"/>
                <w:lang w:eastAsia="sk-SK"/>
              </w:rPr>
            </w:pPr>
            <w:r w:rsidRPr="000939E3">
              <w:rPr>
                <w:b/>
                <w:bCs/>
                <w:sz w:val="20"/>
                <w:szCs w:val="20"/>
              </w:rPr>
              <w:t>KE</w:t>
            </w:r>
          </w:p>
        </w:tc>
      </w:tr>
      <w:tr w:rsidR="009D38FE" w:rsidRPr="000939E3" w14:paraId="5FA08257" w14:textId="77777777" w:rsidTr="00F41BEB">
        <w:trPr>
          <w:trHeight w:val="261"/>
        </w:trPr>
        <w:tc>
          <w:tcPr>
            <w:tcW w:w="2631" w:type="pct"/>
            <w:tcBorders>
              <w:top w:val="nil"/>
              <w:left w:val="nil"/>
              <w:bottom w:val="nil"/>
              <w:right w:val="nil"/>
            </w:tcBorders>
            <w:shd w:val="clear" w:color="000000" w:fill="FFFFFF"/>
            <w:vAlign w:val="bottom"/>
            <w:hideMark/>
          </w:tcPr>
          <w:p w14:paraId="7B96D832" w14:textId="16086FA2" w:rsidR="009D38FE" w:rsidRPr="000939E3" w:rsidRDefault="009D38FE" w:rsidP="009D38FE">
            <w:pPr>
              <w:pStyle w:val="Bezriadkovania"/>
              <w:rPr>
                <w:rFonts w:eastAsia="Times New Roman" w:cs="Times New Roman"/>
                <w:color w:val="000000"/>
                <w:sz w:val="20"/>
                <w:szCs w:val="20"/>
                <w:lang w:eastAsia="sk-SK"/>
              </w:rPr>
            </w:pPr>
            <w:r w:rsidRPr="000939E3">
              <w:rPr>
                <w:sz w:val="20"/>
                <w:szCs w:val="20"/>
              </w:rPr>
              <w:t xml:space="preserve">Ústredný kontrolný a skúšobný ústav poľnohospodársky </w:t>
            </w:r>
          </w:p>
        </w:tc>
        <w:tc>
          <w:tcPr>
            <w:tcW w:w="338" w:type="pct"/>
            <w:tcBorders>
              <w:top w:val="nil"/>
              <w:left w:val="nil"/>
              <w:bottom w:val="nil"/>
              <w:right w:val="nil"/>
            </w:tcBorders>
            <w:shd w:val="clear" w:color="000000" w:fill="FFFFFF"/>
            <w:noWrap/>
            <w:vAlign w:val="center"/>
            <w:hideMark/>
          </w:tcPr>
          <w:p w14:paraId="64F0E4E8" w14:textId="2C0AC7AF"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14,9</w:t>
            </w:r>
          </w:p>
        </w:tc>
        <w:tc>
          <w:tcPr>
            <w:tcW w:w="338" w:type="pct"/>
            <w:tcBorders>
              <w:top w:val="nil"/>
              <w:left w:val="nil"/>
              <w:bottom w:val="nil"/>
              <w:right w:val="nil"/>
            </w:tcBorders>
            <w:shd w:val="clear" w:color="000000" w:fill="FFFFFF"/>
            <w:noWrap/>
            <w:vAlign w:val="center"/>
            <w:hideMark/>
          </w:tcPr>
          <w:p w14:paraId="088A841B" w14:textId="43DE8415"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17,1</w:t>
            </w:r>
          </w:p>
        </w:tc>
        <w:tc>
          <w:tcPr>
            <w:tcW w:w="338" w:type="pct"/>
            <w:tcBorders>
              <w:top w:val="nil"/>
              <w:left w:val="nil"/>
              <w:bottom w:val="nil"/>
              <w:right w:val="nil"/>
            </w:tcBorders>
            <w:shd w:val="clear" w:color="000000" w:fill="FFFFFF"/>
            <w:noWrap/>
            <w:vAlign w:val="center"/>
            <w:hideMark/>
          </w:tcPr>
          <w:p w14:paraId="44FAC1E5" w14:textId="5BC161F9"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17,1</w:t>
            </w:r>
          </w:p>
        </w:tc>
        <w:tc>
          <w:tcPr>
            <w:tcW w:w="338" w:type="pct"/>
            <w:tcBorders>
              <w:top w:val="nil"/>
              <w:left w:val="nil"/>
              <w:bottom w:val="nil"/>
              <w:right w:val="nil"/>
            </w:tcBorders>
            <w:shd w:val="clear" w:color="000000" w:fill="FFFFFF"/>
            <w:noWrap/>
            <w:vAlign w:val="center"/>
            <w:hideMark/>
          </w:tcPr>
          <w:p w14:paraId="62ED4FF9" w14:textId="1F278774"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15,6</w:t>
            </w:r>
          </w:p>
        </w:tc>
        <w:tc>
          <w:tcPr>
            <w:tcW w:w="338" w:type="pct"/>
            <w:tcBorders>
              <w:top w:val="nil"/>
              <w:left w:val="nil"/>
              <w:bottom w:val="nil"/>
              <w:right w:val="nil"/>
            </w:tcBorders>
            <w:shd w:val="clear" w:color="000000" w:fill="FFFFFF"/>
            <w:noWrap/>
            <w:vAlign w:val="center"/>
            <w:hideMark/>
          </w:tcPr>
          <w:p w14:paraId="4521DEDF" w14:textId="4BFAC704"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16,3</w:t>
            </w:r>
          </w:p>
        </w:tc>
        <w:tc>
          <w:tcPr>
            <w:tcW w:w="338" w:type="pct"/>
            <w:tcBorders>
              <w:top w:val="nil"/>
              <w:left w:val="nil"/>
              <w:bottom w:val="nil"/>
              <w:right w:val="nil"/>
            </w:tcBorders>
            <w:shd w:val="clear" w:color="000000" w:fill="FFFFFF"/>
            <w:noWrap/>
            <w:vAlign w:val="center"/>
            <w:hideMark/>
          </w:tcPr>
          <w:p w14:paraId="3F6FDB91" w14:textId="33E99467"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19,1</w:t>
            </w:r>
          </w:p>
        </w:tc>
        <w:tc>
          <w:tcPr>
            <w:tcW w:w="342" w:type="pct"/>
            <w:tcBorders>
              <w:top w:val="nil"/>
              <w:left w:val="nil"/>
              <w:bottom w:val="nil"/>
              <w:right w:val="nil"/>
            </w:tcBorders>
            <w:shd w:val="clear" w:color="000000" w:fill="FFFFFF"/>
            <w:noWrap/>
            <w:vAlign w:val="center"/>
            <w:hideMark/>
          </w:tcPr>
          <w:p w14:paraId="41471940" w14:textId="45588B9E"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15,0</w:t>
            </w:r>
          </w:p>
        </w:tc>
      </w:tr>
      <w:tr w:rsidR="009D38FE" w:rsidRPr="000939E3" w14:paraId="1202D084" w14:textId="77777777" w:rsidTr="00F41BEB">
        <w:trPr>
          <w:trHeight w:val="261"/>
        </w:trPr>
        <w:tc>
          <w:tcPr>
            <w:tcW w:w="2631" w:type="pct"/>
            <w:tcBorders>
              <w:top w:val="nil"/>
              <w:left w:val="nil"/>
              <w:bottom w:val="nil"/>
              <w:right w:val="nil"/>
            </w:tcBorders>
            <w:shd w:val="clear" w:color="000000" w:fill="FFFFFF"/>
            <w:vAlign w:val="bottom"/>
            <w:hideMark/>
          </w:tcPr>
          <w:p w14:paraId="5B62BCF6" w14:textId="69D3E078" w:rsidR="009D38FE" w:rsidRPr="000939E3" w:rsidRDefault="009D38FE" w:rsidP="009D38FE">
            <w:pPr>
              <w:pStyle w:val="Bezriadkovania"/>
              <w:rPr>
                <w:rFonts w:eastAsia="Times New Roman" w:cs="Times New Roman"/>
                <w:color w:val="000000"/>
                <w:sz w:val="20"/>
                <w:szCs w:val="20"/>
                <w:lang w:eastAsia="sk-SK"/>
              </w:rPr>
            </w:pPr>
            <w:r w:rsidRPr="000939E3">
              <w:rPr>
                <w:sz w:val="20"/>
                <w:szCs w:val="20"/>
              </w:rPr>
              <w:t>Úrad pre verejné obstarávanie</w:t>
            </w:r>
          </w:p>
        </w:tc>
        <w:tc>
          <w:tcPr>
            <w:tcW w:w="338" w:type="pct"/>
            <w:tcBorders>
              <w:top w:val="nil"/>
              <w:left w:val="nil"/>
              <w:bottom w:val="nil"/>
              <w:right w:val="nil"/>
            </w:tcBorders>
            <w:shd w:val="clear" w:color="000000" w:fill="FFFFFF"/>
            <w:noWrap/>
            <w:vAlign w:val="center"/>
            <w:hideMark/>
          </w:tcPr>
          <w:p w14:paraId="75F817CF" w14:textId="2DC92811"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9,2</w:t>
            </w:r>
          </w:p>
        </w:tc>
        <w:tc>
          <w:tcPr>
            <w:tcW w:w="338" w:type="pct"/>
            <w:tcBorders>
              <w:top w:val="nil"/>
              <w:left w:val="nil"/>
              <w:bottom w:val="nil"/>
              <w:right w:val="nil"/>
            </w:tcBorders>
            <w:shd w:val="clear" w:color="000000" w:fill="FFFFFF"/>
            <w:noWrap/>
            <w:vAlign w:val="center"/>
            <w:hideMark/>
          </w:tcPr>
          <w:p w14:paraId="49B6565C" w14:textId="01EC616F"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10,6</w:t>
            </w:r>
          </w:p>
        </w:tc>
        <w:tc>
          <w:tcPr>
            <w:tcW w:w="338" w:type="pct"/>
            <w:tcBorders>
              <w:top w:val="nil"/>
              <w:left w:val="nil"/>
              <w:bottom w:val="nil"/>
              <w:right w:val="nil"/>
            </w:tcBorders>
            <w:shd w:val="clear" w:color="000000" w:fill="FFFFFF"/>
            <w:noWrap/>
            <w:vAlign w:val="center"/>
            <w:hideMark/>
          </w:tcPr>
          <w:p w14:paraId="731BF27E" w14:textId="36897E6C"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10,6</w:t>
            </w:r>
          </w:p>
        </w:tc>
        <w:tc>
          <w:tcPr>
            <w:tcW w:w="338" w:type="pct"/>
            <w:tcBorders>
              <w:top w:val="nil"/>
              <w:left w:val="nil"/>
              <w:bottom w:val="nil"/>
              <w:right w:val="nil"/>
            </w:tcBorders>
            <w:shd w:val="clear" w:color="000000" w:fill="FFFFFF"/>
            <w:noWrap/>
            <w:vAlign w:val="center"/>
            <w:hideMark/>
          </w:tcPr>
          <w:p w14:paraId="1232BB45" w14:textId="17485BF8"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9,6</w:t>
            </w:r>
          </w:p>
        </w:tc>
        <w:tc>
          <w:tcPr>
            <w:tcW w:w="338" w:type="pct"/>
            <w:tcBorders>
              <w:top w:val="nil"/>
              <w:left w:val="nil"/>
              <w:bottom w:val="nil"/>
              <w:right w:val="nil"/>
            </w:tcBorders>
            <w:shd w:val="clear" w:color="000000" w:fill="FFFFFF"/>
            <w:noWrap/>
            <w:vAlign w:val="center"/>
            <w:hideMark/>
          </w:tcPr>
          <w:p w14:paraId="3F470455" w14:textId="7C627F51"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10,1</w:t>
            </w:r>
          </w:p>
        </w:tc>
        <w:tc>
          <w:tcPr>
            <w:tcW w:w="338" w:type="pct"/>
            <w:tcBorders>
              <w:top w:val="nil"/>
              <w:left w:val="nil"/>
              <w:bottom w:val="nil"/>
              <w:right w:val="nil"/>
            </w:tcBorders>
            <w:shd w:val="clear" w:color="000000" w:fill="FFFFFF"/>
            <w:noWrap/>
            <w:vAlign w:val="center"/>
            <w:hideMark/>
          </w:tcPr>
          <w:p w14:paraId="227E088C" w14:textId="51BF3295"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11,8</w:t>
            </w:r>
          </w:p>
        </w:tc>
        <w:tc>
          <w:tcPr>
            <w:tcW w:w="342" w:type="pct"/>
            <w:tcBorders>
              <w:top w:val="nil"/>
              <w:left w:val="nil"/>
              <w:bottom w:val="nil"/>
              <w:right w:val="nil"/>
            </w:tcBorders>
            <w:shd w:val="clear" w:color="000000" w:fill="FFFFFF"/>
            <w:noWrap/>
            <w:vAlign w:val="center"/>
            <w:hideMark/>
          </w:tcPr>
          <w:p w14:paraId="581AAA44" w14:textId="53034A09"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9,3</w:t>
            </w:r>
          </w:p>
        </w:tc>
      </w:tr>
      <w:tr w:rsidR="009D38FE" w:rsidRPr="000939E3" w14:paraId="34A911BF" w14:textId="77777777" w:rsidTr="00F41BEB">
        <w:trPr>
          <w:trHeight w:val="261"/>
        </w:trPr>
        <w:tc>
          <w:tcPr>
            <w:tcW w:w="2631" w:type="pct"/>
            <w:tcBorders>
              <w:top w:val="nil"/>
              <w:left w:val="nil"/>
              <w:bottom w:val="nil"/>
              <w:right w:val="nil"/>
            </w:tcBorders>
            <w:shd w:val="clear" w:color="000000" w:fill="FFFFFF"/>
            <w:vAlign w:val="bottom"/>
            <w:hideMark/>
          </w:tcPr>
          <w:p w14:paraId="11061B51" w14:textId="5BFA053B" w:rsidR="009D38FE" w:rsidRPr="000939E3" w:rsidRDefault="009D38FE" w:rsidP="009D38FE">
            <w:pPr>
              <w:pStyle w:val="Bezriadkovania"/>
              <w:rPr>
                <w:rFonts w:eastAsia="Times New Roman" w:cs="Times New Roman"/>
                <w:color w:val="000000"/>
                <w:sz w:val="20"/>
                <w:szCs w:val="20"/>
                <w:lang w:eastAsia="sk-SK"/>
              </w:rPr>
            </w:pPr>
            <w:r w:rsidRPr="000939E3">
              <w:rPr>
                <w:sz w:val="20"/>
                <w:szCs w:val="20"/>
              </w:rPr>
              <w:t>Centrum vedecko technických informácií SR</w:t>
            </w:r>
          </w:p>
        </w:tc>
        <w:tc>
          <w:tcPr>
            <w:tcW w:w="338" w:type="pct"/>
            <w:tcBorders>
              <w:top w:val="nil"/>
              <w:left w:val="nil"/>
              <w:bottom w:val="nil"/>
              <w:right w:val="nil"/>
            </w:tcBorders>
            <w:shd w:val="clear" w:color="000000" w:fill="FFFFFF"/>
            <w:noWrap/>
            <w:vAlign w:val="center"/>
            <w:hideMark/>
          </w:tcPr>
          <w:p w14:paraId="3252B138" w14:textId="3406948A"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8,9</w:t>
            </w:r>
          </w:p>
        </w:tc>
        <w:tc>
          <w:tcPr>
            <w:tcW w:w="338" w:type="pct"/>
            <w:tcBorders>
              <w:top w:val="nil"/>
              <w:left w:val="nil"/>
              <w:bottom w:val="nil"/>
              <w:right w:val="nil"/>
            </w:tcBorders>
            <w:shd w:val="clear" w:color="000000" w:fill="FFFFFF"/>
            <w:noWrap/>
            <w:vAlign w:val="center"/>
            <w:hideMark/>
          </w:tcPr>
          <w:p w14:paraId="29656D10" w14:textId="10514736"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10,3</w:t>
            </w:r>
          </w:p>
        </w:tc>
        <w:tc>
          <w:tcPr>
            <w:tcW w:w="338" w:type="pct"/>
            <w:tcBorders>
              <w:top w:val="nil"/>
              <w:left w:val="nil"/>
              <w:bottom w:val="nil"/>
              <w:right w:val="nil"/>
            </w:tcBorders>
            <w:shd w:val="clear" w:color="000000" w:fill="FFFFFF"/>
            <w:noWrap/>
            <w:vAlign w:val="center"/>
            <w:hideMark/>
          </w:tcPr>
          <w:p w14:paraId="3315CFBC" w14:textId="523565CE"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10,3</w:t>
            </w:r>
          </w:p>
        </w:tc>
        <w:tc>
          <w:tcPr>
            <w:tcW w:w="338" w:type="pct"/>
            <w:tcBorders>
              <w:top w:val="nil"/>
              <w:left w:val="nil"/>
              <w:bottom w:val="nil"/>
              <w:right w:val="nil"/>
            </w:tcBorders>
            <w:shd w:val="clear" w:color="000000" w:fill="FFFFFF"/>
            <w:noWrap/>
            <w:vAlign w:val="center"/>
            <w:hideMark/>
          </w:tcPr>
          <w:p w14:paraId="66CF3FBA" w14:textId="48EA2E20"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9,4</w:t>
            </w:r>
          </w:p>
        </w:tc>
        <w:tc>
          <w:tcPr>
            <w:tcW w:w="338" w:type="pct"/>
            <w:tcBorders>
              <w:top w:val="nil"/>
              <w:left w:val="nil"/>
              <w:bottom w:val="nil"/>
              <w:right w:val="nil"/>
            </w:tcBorders>
            <w:shd w:val="clear" w:color="000000" w:fill="FFFFFF"/>
            <w:noWrap/>
            <w:vAlign w:val="center"/>
            <w:hideMark/>
          </w:tcPr>
          <w:p w14:paraId="37CCBA02" w14:textId="03AEC35B"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9,8</w:t>
            </w:r>
          </w:p>
        </w:tc>
        <w:tc>
          <w:tcPr>
            <w:tcW w:w="338" w:type="pct"/>
            <w:tcBorders>
              <w:top w:val="nil"/>
              <w:left w:val="nil"/>
              <w:bottom w:val="nil"/>
              <w:right w:val="nil"/>
            </w:tcBorders>
            <w:shd w:val="clear" w:color="000000" w:fill="FFFFFF"/>
            <w:noWrap/>
            <w:vAlign w:val="center"/>
            <w:hideMark/>
          </w:tcPr>
          <w:p w14:paraId="4408A6BC" w14:textId="449067D6"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11,5</w:t>
            </w:r>
          </w:p>
        </w:tc>
        <w:tc>
          <w:tcPr>
            <w:tcW w:w="342" w:type="pct"/>
            <w:tcBorders>
              <w:top w:val="nil"/>
              <w:left w:val="nil"/>
              <w:bottom w:val="nil"/>
              <w:right w:val="nil"/>
            </w:tcBorders>
            <w:shd w:val="clear" w:color="000000" w:fill="FFFFFF"/>
            <w:noWrap/>
            <w:vAlign w:val="center"/>
            <w:hideMark/>
          </w:tcPr>
          <w:p w14:paraId="1AF14321" w14:textId="70CAD7E6"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9,0</w:t>
            </w:r>
          </w:p>
        </w:tc>
      </w:tr>
      <w:tr w:rsidR="009D38FE" w:rsidRPr="000939E3" w14:paraId="33BC19CD" w14:textId="77777777" w:rsidTr="00F41BEB">
        <w:trPr>
          <w:trHeight w:val="261"/>
        </w:trPr>
        <w:tc>
          <w:tcPr>
            <w:tcW w:w="2631" w:type="pct"/>
            <w:tcBorders>
              <w:top w:val="nil"/>
              <w:left w:val="nil"/>
              <w:bottom w:val="nil"/>
              <w:right w:val="nil"/>
            </w:tcBorders>
            <w:shd w:val="clear" w:color="000000" w:fill="FFFFFF"/>
            <w:vAlign w:val="bottom"/>
            <w:hideMark/>
          </w:tcPr>
          <w:p w14:paraId="551A8E2C" w14:textId="0976AA42" w:rsidR="009D38FE" w:rsidRPr="000939E3" w:rsidRDefault="004B45B2" w:rsidP="009D38FE">
            <w:pPr>
              <w:pStyle w:val="Bezriadkovania"/>
              <w:rPr>
                <w:rFonts w:eastAsia="Times New Roman" w:cs="Times New Roman"/>
                <w:color w:val="000000"/>
                <w:sz w:val="20"/>
                <w:szCs w:val="20"/>
                <w:lang w:eastAsia="sk-SK"/>
              </w:rPr>
            </w:pPr>
            <w:r w:rsidRPr="000939E3">
              <w:rPr>
                <w:sz w:val="20"/>
                <w:szCs w:val="20"/>
              </w:rPr>
              <w:t xml:space="preserve">Slovenská obchodná inšpekcia </w:t>
            </w:r>
            <w:r w:rsidR="009D38FE" w:rsidRPr="000939E3">
              <w:rPr>
                <w:sz w:val="20"/>
                <w:szCs w:val="20"/>
              </w:rPr>
              <w:t>ústredný inšpektorát</w:t>
            </w:r>
          </w:p>
        </w:tc>
        <w:tc>
          <w:tcPr>
            <w:tcW w:w="338" w:type="pct"/>
            <w:tcBorders>
              <w:top w:val="nil"/>
              <w:left w:val="nil"/>
              <w:bottom w:val="nil"/>
              <w:right w:val="nil"/>
            </w:tcBorders>
            <w:shd w:val="clear" w:color="000000" w:fill="FFFFFF"/>
            <w:noWrap/>
            <w:vAlign w:val="center"/>
            <w:hideMark/>
          </w:tcPr>
          <w:p w14:paraId="76CD1A41" w14:textId="79A29EA2"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8,7</w:t>
            </w:r>
          </w:p>
        </w:tc>
        <w:tc>
          <w:tcPr>
            <w:tcW w:w="338" w:type="pct"/>
            <w:tcBorders>
              <w:top w:val="nil"/>
              <w:left w:val="nil"/>
              <w:bottom w:val="nil"/>
              <w:right w:val="nil"/>
            </w:tcBorders>
            <w:shd w:val="clear" w:color="000000" w:fill="FFFFFF"/>
            <w:noWrap/>
            <w:vAlign w:val="center"/>
            <w:hideMark/>
          </w:tcPr>
          <w:p w14:paraId="35751B83" w14:textId="6E9AC4BC"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10,0</w:t>
            </w:r>
          </w:p>
        </w:tc>
        <w:tc>
          <w:tcPr>
            <w:tcW w:w="338" w:type="pct"/>
            <w:tcBorders>
              <w:top w:val="nil"/>
              <w:left w:val="nil"/>
              <w:bottom w:val="nil"/>
              <w:right w:val="nil"/>
            </w:tcBorders>
            <w:shd w:val="clear" w:color="000000" w:fill="FFFFFF"/>
            <w:noWrap/>
            <w:vAlign w:val="center"/>
            <w:hideMark/>
          </w:tcPr>
          <w:p w14:paraId="68AD39A5" w14:textId="6848891D"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9,9</w:t>
            </w:r>
          </w:p>
        </w:tc>
        <w:tc>
          <w:tcPr>
            <w:tcW w:w="338" w:type="pct"/>
            <w:tcBorders>
              <w:top w:val="nil"/>
              <w:left w:val="nil"/>
              <w:bottom w:val="nil"/>
              <w:right w:val="nil"/>
            </w:tcBorders>
            <w:shd w:val="clear" w:color="000000" w:fill="FFFFFF"/>
            <w:noWrap/>
            <w:vAlign w:val="center"/>
            <w:hideMark/>
          </w:tcPr>
          <w:p w14:paraId="58894C9A" w14:textId="238887EB"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9,1</w:t>
            </w:r>
          </w:p>
        </w:tc>
        <w:tc>
          <w:tcPr>
            <w:tcW w:w="338" w:type="pct"/>
            <w:tcBorders>
              <w:top w:val="nil"/>
              <w:left w:val="nil"/>
              <w:bottom w:val="nil"/>
              <w:right w:val="nil"/>
            </w:tcBorders>
            <w:shd w:val="clear" w:color="000000" w:fill="FFFFFF"/>
            <w:noWrap/>
            <w:vAlign w:val="center"/>
            <w:hideMark/>
          </w:tcPr>
          <w:p w14:paraId="264C8BBC" w14:textId="06EB8C71"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9,5</w:t>
            </w:r>
          </w:p>
        </w:tc>
        <w:tc>
          <w:tcPr>
            <w:tcW w:w="338" w:type="pct"/>
            <w:tcBorders>
              <w:top w:val="nil"/>
              <w:left w:val="nil"/>
              <w:bottom w:val="nil"/>
              <w:right w:val="nil"/>
            </w:tcBorders>
            <w:shd w:val="clear" w:color="000000" w:fill="FFFFFF"/>
            <w:noWrap/>
            <w:vAlign w:val="center"/>
            <w:hideMark/>
          </w:tcPr>
          <w:p w14:paraId="61997254" w14:textId="257CE45D"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11,1</w:t>
            </w:r>
          </w:p>
        </w:tc>
        <w:tc>
          <w:tcPr>
            <w:tcW w:w="342" w:type="pct"/>
            <w:tcBorders>
              <w:top w:val="nil"/>
              <w:left w:val="nil"/>
              <w:bottom w:val="nil"/>
              <w:right w:val="nil"/>
            </w:tcBorders>
            <w:shd w:val="clear" w:color="000000" w:fill="FFFFFF"/>
            <w:noWrap/>
            <w:vAlign w:val="center"/>
            <w:hideMark/>
          </w:tcPr>
          <w:p w14:paraId="56C3E1D9" w14:textId="27B7F2BF"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8,8</w:t>
            </w:r>
          </w:p>
        </w:tc>
      </w:tr>
      <w:tr w:rsidR="009D38FE" w:rsidRPr="000939E3" w14:paraId="5E55DFA5" w14:textId="77777777" w:rsidTr="00F41BEB">
        <w:trPr>
          <w:trHeight w:val="261"/>
        </w:trPr>
        <w:tc>
          <w:tcPr>
            <w:tcW w:w="2631" w:type="pct"/>
            <w:tcBorders>
              <w:top w:val="nil"/>
              <w:left w:val="nil"/>
              <w:bottom w:val="nil"/>
              <w:right w:val="nil"/>
            </w:tcBorders>
            <w:shd w:val="clear" w:color="000000" w:fill="FFFFFF"/>
            <w:vAlign w:val="bottom"/>
            <w:hideMark/>
          </w:tcPr>
          <w:p w14:paraId="52368A63" w14:textId="72B4EBAE" w:rsidR="009D38FE" w:rsidRPr="000939E3" w:rsidRDefault="009D38FE" w:rsidP="0016215C">
            <w:pPr>
              <w:pStyle w:val="Bezriadkovania"/>
              <w:rPr>
                <w:rFonts w:eastAsia="Times New Roman" w:cs="Times New Roman"/>
                <w:color w:val="000000"/>
                <w:sz w:val="20"/>
                <w:szCs w:val="20"/>
                <w:lang w:eastAsia="sk-SK"/>
              </w:rPr>
            </w:pPr>
            <w:r w:rsidRPr="000939E3">
              <w:rPr>
                <w:sz w:val="20"/>
                <w:szCs w:val="20"/>
              </w:rPr>
              <w:t>Metodicko</w:t>
            </w:r>
            <w:r w:rsidR="0016215C" w:rsidRPr="000939E3">
              <w:rPr>
                <w:sz w:val="20"/>
                <w:szCs w:val="20"/>
              </w:rPr>
              <w:t>-</w:t>
            </w:r>
            <w:r w:rsidRPr="000939E3">
              <w:rPr>
                <w:sz w:val="20"/>
                <w:szCs w:val="20"/>
              </w:rPr>
              <w:t>pedagogické centrum</w:t>
            </w:r>
          </w:p>
        </w:tc>
        <w:tc>
          <w:tcPr>
            <w:tcW w:w="338" w:type="pct"/>
            <w:tcBorders>
              <w:top w:val="nil"/>
              <w:left w:val="nil"/>
              <w:bottom w:val="nil"/>
              <w:right w:val="nil"/>
            </w:tcBorders>
            <w:shd w:val="clear" w:color="000000" w:fill="FFFFFF"/>
            <w:noWrap/>
            <w:vAlign w:val="center"/>
            <w:hideMark/>
          </w:tcPr>
          <w:p w14:paraId="1167EBA8" w14:textId="6B1531F1"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7,7</w:t>
            </w:r>
          </w:p>
        </w:tc>
        <w:tc>
          <w:tcPr>
            <w:tcW w:w="338" w:type="pct"/>
            <w:tcBorders>
              <w:top w:val="nil"/>
              <w:left w:val="nil"/>
              <w:bottom w:val="nil"/>
              <w:right w:val="nil"/>
            </w:tcBorders>
            <w:shd w:val="clear" w:color="000000" w:fill="FFFFFF"/>
            <w:noWrap/>
            <w:vAlign w:val="center"/>
            <w:hideMark/>
          </w:tcPr>
          <w:p w14:paraId="5AC850E4" w14:textId="0CF1ED85"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8,9</w:t>
            </w:r>
          </w:p>
        </w:tc>
        <w:tc>
          <w:tcPr>
            <w:tcW w:w="338" w:type="pct"/>
            <w:tcBorders>
              <w:top w:val="nil"/>
              <w:left w:val="nil"/>
              <w:bottom w:val="nil"/>
              <w:right w:val="nil"/>
            </w:tcBorders>
            <w:shd w:val="clear" w:color="000000" w:fill="FFFFFF"/>
            <w:noWrap/>
            <w:vAlign w:val="center"/>
            <w:hideMark/>
          </w:tcPr>
          <w:p w14:paraId="51D411E5" w14:textId="64B887DC"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8,8</w:t>
            </w:r>
          </w:p>
        </w:tc>
        <w:tc>
          <w:tcPr>
            <w:tcW w:w="338" w:type="pct"/>
            <w:tcBorders>
              <w:top w:val="nil"/>
              <w:left w:val="nil"/>
              <w:bottom w:val="nil"/>
              <w:right w:val="nil"/>
            </w:tcBorders>
            <w:shd w:val="clear" w:color="000000" w:fill="FFFFFF"/>
            <w:noWrap/>
            <w:vAlign w:val="center"/>
            <w:hideMark/>
          </w:tcPr>
          <w:p w14:paraId="4FBF5A94" w14:textId="530E433E"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8,1</w:t>
            </w:r>
          </w:p>
        </w:tc>
        <w:tc>
          <w:tcPr>
            <w:tcW w:w="338" w:type="pct"/>
            <w:tcBorders>
              <w:top w:val="nil"/>
              <w:left w:val="nil"/>
              <w:bottom w:val="nil"/>
              <w:right w:val="nil"/>
            </w:tcBorders>
            <w:shd w:val="clear" w:color="000000" w:fill="FFFFFF"/>
            <w:noWrap/>
            <w:vAlign w:val="center"/>
            <w:hideMark/>
          </w:tcPr>
          <w:p w14:paraId="7B02B82D" w14:textId="760D919E"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8,4</w:t>
            </w:r>
          </w:p>
        </w:tc>
        <w:tc>
          <w:tcPr>
            <w:tcW w:w="338" w:type="pct"/>
            <w:tcBorders>
              <w:top w:val="nil"/>
              <w:left w:val="nil"/>
              <w:bottom w:val="nil"/>
              <w:right w:val="nil"/>
            </w:tcBorders>
            <w:shd w:val="clear" w:color="000000" w:fill="FFFFFF"/>
            <w:noWrap/>
            <w:vAlign w:val="center"/>
            <w:hideMark/>
          </w:tcPr>
          <w:p w14:paraId="3260A370" w14:textId="4C967A97"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9,9</w:t>
            </w:r>
          </w:p>
        </w:tc>
        <w:tc>
          <w:tcPr>
            <w:tcW w:w="342" w:type="pct"/>
            <w:tcBorders>
              <w:top w:val="nil"/>
              <w:left w:val="nil"/>
              <w:bottom w:val="nil"/>
              <w:right w:val="nil"/>
            </w:tcBorders>
            <w:shd w:val="clear" w:color="000000" w:fill="FFFFFF"/>
            <w:noWrap/>
            <w:vAlign w:val="center"/>
            <w:hideMark/>
          </w:tcPr>
          <w:p w14:paraId="406ADABA" w14:textId="7E022768"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7,8</w:t>
            </w:r>
          </w:p>
        </w:tc>
      </w:tr>
      <w:tr w:rsidR="009D38FE" w:rsidRPr="000939E3" w14:paraId="514F384E" w14:textId="77777777" w:rsidTr="00F41BEB">
        <w:trPr>
          <w:trHeight w:val="261"/>
        </w:trPr>
        <w:tc>
          <w:tcPr>
            <w:tcW w:w="2631" w:type="pct"/>
            <w:tcBorders>
              <w:top w:val="nil"/>
              <w:left w:val="nil"/>
              <w:bottom w:val="nil"/>
              <w:right w:val="nil"/>
            </w:tcBorders>
            <w:shd w:val="clear" w:color="000000" w:fill="FFFFFF"/>
            <w:vAlign w:val="bottom"/>
            <w:hideMark/>
          </w:tcPr>
          <w:p w14:paraId="1F71A11F" w14:textId="4F823413" w:rsidR="009D38FE" w:rsidRPr="000939E3" w:rsidRDefault="009D38FE" w:rsidP="009D38FE">
            <w:pPr>
              <w:pStyle w:val="Bezriadkovania"/>
              <w:rPr>
                <w:rFonts w:eastAsia="Times New Roman" w:cs="Times New Roman"/>
                <w:color w:val="000000"/>
                <w:sz w:val="20"/>
                <w:szCs w:val="20"/>
                <w:lang w:eastAsia="sk-SK"/>
              </w:rPr>
            </w:pPr>
            <w:r w:rsidRPr="000939E3">
              <w:rPr>
                <w:sz w:val="20"/>
                <w:szCs w:val="20"/>
              </w:rPr>
              <w:t>Úrad jadrového dozoru SR</w:t>
            </w:r>
          </w:p>
        </w:tc>
        <w:tc>
          <w:tcPr>
            <w:tcW w:w="338" w:type="pct"/>
            <w:tcBorders>
              <w:top w:val="nil"/>
              <w:left w:val="nil"/>
              <w:bottom w:val="nil"/>
              <w:right w:val="nil"/>
            </w:tcBorders>
            <w:shd w:val="clear" w:color="000000" w:fill="FFFFFF"/>
            <w:noWrap/>
            <w:vAlign w:val="center"/>
            <w:hideMark/>
          </w:tcPr>
          <w:p w14:paraId="653EF67B" w14:textId="1C63BA28"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7,4</w:t>
            </w:r>
          </w:p>
        </w:tc>
        <w:tc>
          <w:tcPr>
            <w:tcW w:w="338" w:type="pct"/>
            <w:tcBorders>
              <w:top w:val="nil"/>
              <w:left w:val="nil"/>
              <w:bottom w:val="nil"/>
              <w:right w:val="nil"/>
            </w:tcBorders>
            <w:shd w:val="clear" w:color="000000" w:fill="FFFFFF"/>
            <w:noWrap/>
            <w:vAlign w:val="center"/>
            <w:hideMark/>
          </w:tcPr>
          <w:p w14:paraId="3B82ACD1" w14:textId="6AB451EF"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8,5</w:t>
            </w:r>
          </w:p>
        </w:tc>
        <w:tc>
          <w:tcPr>
            <w:tcW w:w="338" w:type="pct"/>
            <w:tcBorders>
              <w:top w:val="nil"/>
              <w:left w:val="nil"/>
              <w:bottom w:val="nil"/>
              <w:right w:val="nil"/>
            </w:tcBorders>
            <w:shd w:val="clear" w:color="000000" w:fill="FFFFFF"/>
            <w:noWrap/>
            <w:vAlign w:val="center"/>
            <w:hideMark/>
          </w:tcPr>
          <w:p w14:paraId="1F2CA97E" w14:textId="1155C289"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8,5</w:t>
            </w:r>
          </w:p>
        </w:tc>
        <w:tc>
          <w:tcPr>
            <w:tcW w:w="338" w:type="pct"/>
            <w:tcBorders>
              <w:top w:val="nil"/>
              <w:left w:val="nil"/>
              <w:bottom w:val="nil"/>
              <w:right w:val="nil"/>
            </w:tcBorders>
            <w:shd w:val="clear" w:color="000000" w:fill="FFFFFF"/>
            <w:noWrap/>
            <w:vAlign w:val="center"/>
            <w:hideMark/>
          </w:tcPr>
          <w:p w14:paraId="0F6EF8E7" w14:textId="12E0FC60"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7,7</w:t>
            </w:r>
          </w:p>
        </w:tc>
        <w:tc>
          <w:tcPr>
            <w:tcW w:w="338" w:type="pct"/>
            <w:tcBorders>
              <w:top w:val="nil"/>
              <w:left w:val="nil"/>
              <w:bottom w:val="nil"/>
              <w:right w:val="nil"/>
            </w:tcBorders>
            <w:shd w:val="clear" w:color="000000" w:fill="FFFFFF"/>
            <w:noWrap/>
            <w:vAlign w:val="center"/>
            <w:hideMark/>
          </w:tcPr>
          <w:p w14:paraId="2F4F7D40" w14:textId="6C6DEB44"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8,1</w:t>
            </w:r>
          </w:p>
        </w:tc>
        <w:tc>
          <w:tcPr>
            <w:tcW w:w="338" w:type="pct"/>
            <w:tcBorders>
              <w:top w:val="nil"/>
              <w:left w:val="nil"/>
              <w:bottom w:val="nil"/>
              <w:right w:val="nil"/>
            </w:tcBorders>
            <w:shd w:val="clear" w:color="000000" w:fill="FFFFFF"/>
            <w:noWrap/>
            <w:vAlign w:val="center"/>
            <w:hideMark/>
          </w:tcPr>
          <w:p w14:paraId="1784D718" w14:textId="007D3522"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9,5</w:t>
            </w:r>
          </w:p>
        </w:tc>
        <w:tc>
          <w:tcPr>
            <w:tcW w:w="342" w:type="pct"/>
            <w:tcBorders>
              <w:top w:val="nil"/>
              <w:left w:val="nil"/>
              <w:bottom w:val="nil"/>
              <w:right w:val="nil"/>
            </w:tcBorders>
            <w:shd w:val="clear" w:color="000000" w:fill="FFFFFF"/>
            <w:noWrap/>
            <w:vAlign w:val="center"/>
            <w:hideMark/>
          </w:tcPr>
          <w:p w14:paraId="5E3C7B33" w14:textId="742BFC0E"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7,4</w:t>
            </w:r>
          </w:p>
        </w:tc>
      </w:tr>
      <w:tr w:rsidR="009D38FE" w:rsidRPr="000939E3" w14:paraId="463CC081" w14:textId="77777777" w:rsidTr="00F41BEB">
        <w:trPr>
          <w:trHeight w:val="261"/>
        </w:trPr>
        <w:tc>
          <w:tcPr>
            <w:tcW w:w="2631" w:type="pct"/>
            <w:tcBorders>
              <w:top w:val="nil"/>
              <w:left w:val="nil"/>
              <w:bottom w:val="nil"/>
              <w:right w:val="nil"/>
            </w:tcBorders>
            <w:shd w:val="clear" w:color="000000" w:fill="FFFFFF"/>
            <w:vAlign w:val="bottom"/>
            <w:hideMark/>
          </w:tcPr>
          <w:p w14:paraId="672FEDF0" w14:textId="5DEDBB83" w:rsidR="009D38FE" w:rsidRPr="000939E3" w:rsidRDefault="009D38FE" w:rsidP="009D38FE">
            <w:pPr>
              <w:pStyle w:val="Bezriadkovania"/>
              <w:rPr>
                <w:rFonts w:eastAsia="Times New Roman" w:cs="Times New Roman"/>
                <w:color w:val="000000"/>
                <w:sz w:val="20"/>
                <w:szCs w:val="20"/>
                <w:lang w:eastAsia="sk-SK"/>
              </w:rPr>
            </w:pPr>
            <w:r w:rsidRPr="000939E3">
              <w:rPr>
                <w:sz w:val="20"/>
                <w:szCs w:val="20"/>
              </w:rPr>
              <w:t>Štátna školská inšpekcia</w:t>
            </w:r>
          </w:p>
        </w:tc>
        <w:tc>
          <w:tcPr>
            <w:tcW w:w="338" w:type="pct"/>
            <w:tcBorders>
              <w:top w:val="nil"/>
              <w:left w:val="nil"/>
              <w:bottom w:val="nil"/>
              <w:right w:val="nil"/>
            </w:tcBorders>
            <w:shd w:val="clear" w:color="000000" w:fill="FFFFFF"/>
            <w:noWrap/>
            <w:vAlign w:val="center"/>
            <w:hideMark/>
          </w:tcPr>
          <w:p w14:paraId="34C7F5B7" w14:textId="11B19AD1"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7,1</w:t>
            </w:r>
          </w:p>
        </w:tc>
        <w:tc>
          <w:tcPr>
            <w:tcW w:w="338" w:type="pct"/>
            <w:tcBorders>
              <w:top w:val="nil"/>
              <w:left w:val="nil"/>
              <w:bottom w:val="nil"/>
              <w:right w:val="nil"/>
            </w:tcBorders>
            <w:shd w:val="clear" w:color="000000" w:fill="FFFFFF"/>
            <w:noWrap/>
            <w:vAlign w:val="center"/>
            <w:hideMark/>
          </w:tcPr>
          <w:p w14:paraId="762A4C09" w14:textId="6A38B064"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8,1</w:t>
            </w:r>
          </w:p>
        </w:tc>
        <w:tc>
          <w:tcPr>
            <w:tcW w:w="338" w:type="pct"/>
            <w:tcBorders>
              <w:top w:val="nil"/>
              <w:left w:val="nil"/>
              <w:bottom w:val="nil"/>
              <w:right w:val="nil"/>
            </w:tcBorders>
            <w:shd w:val="clear" w:color="000000" w:fill="FFFFFF"/>
            <w:noWrap/>
            <w:vAlign w:val="center"/>
            <w:hideMark/>
          </w:tcPr>
          <w:p w14:paraId="4FB3FE50" w14:textId="2B4E58C7"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8,1</w:t>
            </w:r>
          </w:p>
        </w:tc>
        <w:tc>
          <w:tcPr>
            <w:tcW w:w="338" w:type="pct"/>
            <w:tcBorders>
              <w:top w:val="nil"/>
              <w:left w:val="nil"/>
              <w:bottom w:val="nil"/>
              <w:right w:val="nil"/>
            </w:tcBorders>
            <w:shd w:val="clear" w:color="000000" w:fill="FFFFFF"/>
            <w:noWrap/>
            <w:vAlign w:val="center"/>
            <w:hideMark/>
          </w:tcPr>
          <w:p w14:paraId="47302571" w14:textId="4ED79B0C"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7,4</w:t>
            </w:r>
          </w:p>
        </w:tc>
        <w:tc>
          <w:tcPr>
            <w:tcW w:w="338" w:type="pct"/>
            <w:tcBorders>
              <w:top w:val="nil"/>
              <w:left w:val="nil"/>
              <w:bottom w:val="nil"/>
              <w:right w:val="nil"/>
            </w:tcBorders>
            <w:shd w:val="clear" w:color="000000" w:fill="FFFFFF"/>
            <w:noWrap/>
            <w:vAlign w:val="center"/>
            <w:hideMark/>
          </w:tcPr>
          <w:p w14:paraId="1D194CD9" w14:textId="58BF14CC"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7,7</w:t>
            </w:r>
          </w:p>
        </w:tc>
        <w:tc>
          <w:tcPr>
            <w:tcW w:w="338" w:type="pct"/>
            <w:tcBorders>
              <w:top w:val="nil"/>
              <w:left w:val="nil"/>
              <w:bottom w:val="nil"/>
              <w:right w:val="nil"/>
            </w:tcBorders>
            <w:shd w:val="clear" w:color="000000" w:fill="FFFFFF"/>
            <w:noWrap/>
            <w:vAlign w:val="center"/>
            <w:hideMark/>
          </w:tcPr>
          <w:p w14:paraId="6EA5F0C7" w14:textId="1A053389"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9,1</w:t>
            </w:r>
          </w:p>
        </w:tc>
        <w:tc>
          <w:tcPr>
            <w:tcW w:w="342" w:type="pct"/>
            <w:tcBorders>
              <w:top w:val="nil"/>
              <w:left w:val="nil"/>
              <w:bottom w:val="nil"/>
              <w:right w:val="nil"/>
            </w:tcBorders>
            <w:shd w:val="clear" w:color="000000" w:fill="FFFFFF"/>
            <w:noWrap/>
            <w:vAlign w:val="center"/>
            <w:hideMark/>
          </w:tcPr>
          <w:p w14:paraId="6F12FB3A" w14:textId="37E2EE55"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7,1</w:t>
            </w:r>
          </w:p>
        </w:tc>
      </w:tr>
      <w:tr w:rsidR="009D38FE" w:rsidRPr="000939E3" w14:paraId="77825006" w14:textId="77777777" w:rsidTr="00F41BEB">
        <w:trPr>
          <w:trHeight w:val="261"/>
        </w:trPr>
        <w:tc>
          <w:tcPr>
            <w:tcW w:w="2631" w:type="pct"/>
            <w:tcBorders>
              <w:top w:val="nil"/>
              <w:left w:val="nil"/>
              <w:bottom w:val="nil"/>
              <w:right w:val="nil"/>
            </w:tcBorders>
            <w:shd w:val="clear" w:color="000000" w:fill="FFFFFF"/>
            <w:vAlign w:val="bottom"/>
            <w:hideMark/>
          </w:tcPr>
          <w:p w14:paraId="23B1E603" w14:textId="3D97B523" w:rsidR="009D38FE" w:rsidRPr="000939E3" w:rsidRDefault="009D38FE" w:rsidP="009D38FE">
            <w:pPr>
              <w:pStyle w:val="Bezriadkovania"/>
              <w:rPr>
                <w:rFonts w:eastAsia="Times New Roman" w:cs="Times New Roman"/>
                <w:color w:val="000000"/>
                <w:sz w:val="20"/>
                <w:szCs w:val="20"/>
                <w:lang w:eastAsia="sk-SK"/>
              </w:rPr>
            </w:pPr>
            <w:r w:rsidRPr="000939E3">
              <w:rPr>
                <w:sz w:val="20"/>
                <w:szCs w:val="20"/>
              </w:rPr>
              <w:t>Dopravný úrad</w:t>
            </w:r>
          </w:p>
        </w:tc>
        <w:tc>
          <w:tcPr>
            <w:tcW w:w="338" w:type="pct"/>
            <w:tcBorders>
              <w:top w:val="nil"/>
              <w:left w:val="nil"/>
              <w:bottom w:val="nil"/>
              <w:right w:val="nil"/>
            </w:tcBorders>
            <w:shd w:val="clear" w:color="000000" w:fill="FFFFFF"/>
            <w:noWrap/>
            <w:vAlign w:val="center"/>
            <w:hideMark/>
          </w:tcPr>
          <w:p w14:paraId="7AD1D010" w14:textId="0556CD0B"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6,9</w:t>
            </w:r>
          </w:p>
        </w:tc>
        <w:tc>
          <w:tcPr>
            <w:tcW w:w="338" w:type="pct"/>
            <w:tcBorders>
              <w:top w:val="nil"/>
              <w:left w:val="nil"/>
              <w:bottom w:val="nil"/>
              <w:right w:val="nil"/>
            </w:tcBorders>
            <w:shd w:val="clear" w:color="000000" w:fill="FFFFFF"/>
            <w:noWrap/>
            <w:vAlign w:val="center"/>
            <w:hideMark/>
          </w:tcPr>
          <w:p w14:paraId="5E27E0E2" w14:textId="477BE8C5"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7,9</w:t>
            </w:r>
          </w:p>
        </w:tc>
        <w:tc>
          <w:tcPr>
            <w:tcW w:w="338" w:type="pct"/>
            <w:tcBorders>
              <w:top w:val="nil"/>
              <w:left w:val="nil"/>
              <w:bottom w:val="nil"/>
              <w:right w:val="nil"/>
            </w:tcBorders>
            <w:shd w:val="clear" w:color="000000" w:fill="FFFFFF"/>
            <w:noWrap/>
            <w:vAlign w:val="center"/>
            <w:hideMark/>
          </w:tcPr>
          <w:p w14:paraId="3AEB2DAC" w14:textId="781A7C35"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7,9</w:t>
            </w:r>
          </w:p>
        </w:tc>
        <w:tc>
          <w:tcPr>
            <w:tcW w:w="338" w:type="pct"/>
            <w:tcBorders>
              <w:top w:val="nil"/>
              <w:left w:val="nil"/>
              <w:bottom w:val="nil"/>
              <w:right w:val="nil"/>
            </w:tcBorders>
            <w:shd w:val="clear" w:color="000000" w:fill="FFFFFF"/>
            <w:noWrap/>
            <w:vAlign w:val="center"/>
            <w:hideMark/>
          </w:tcPr>
          <w:p w14:paraId="6B43E4B7" w14:textId="690E6352"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7,2</w:t>
            </w:r>
          </w:p>
        </w:tc>
        <w:tc>
          <w:tcPr>
            <w:tcW w:w="338" w:type="pct"/>
            <w:tcBorders>
              <w:top w:val="nil"/>
              <w:left w:val="nil"/>
              <w:bottom w:val="nil"/>
              <w:right w:val="nil"/>
            </w:tcBorders>
            <w:shd w:val="clear" w:color="000000" w:fill="FFFFFF"/>
            <w:noWrap/>
            <w:vAlign w:val="center"/>
            <w:hideMark/>
          </w:tcPr>
          <w:p w14:paraId="26AA3A64" w14:textId="2B844E7E"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7,5</w:t>
            </w:r>
          </w:p>
        </w:tc>
        <w:tc>
          <w:tcPr>
            <w:tcW w:w="338" w:type="pct"/>
            <w:tcBorders>
              <w:top w:val="nil"/>
              <w:left w:val="nil"/>
              <w:bottom w:val="nil"/>
              <w:right w:val="nil"/>
            </w:tcBorders>
            <w:shd w:val="clear" w:color="000000" w:fill="FFFFFF"/>
            <w:noWrap/>
            <w:vAlign w:val="center"/>
            <w:hideMark/>
          </w:tcPr>
          <w:p w14:paraId="6B8ED62F" w14:textId="327D8CE5"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8,8</w:t>
            </w:r>
          </w:p>
        </w:tc>
        <w:tc>
          <w:tcPr>
            <w:tcW w:w="342" w:type="pct"/>
            <w:tcBorders>
              <w:top w:val="nil"/>
              <w:left w:val="nil"/>
              <w:bottom w:val="nil"/>
              <w:right w:val="nil"/>
            </w:tcBorders>
            <w:shd w:val="clear" w:color="000000" w:fill="FFFFFF"/>
            <w:noWrap/>
            <w:vAlign w:val="center"/>
            <w:hideMark/>
          </w:tcPr>
          <w:p w14:paraId="61BBAA54" w14:textId="41D84E3B"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7,0</w:t>
            </w:r>
          </w:p>
        </w:tc>
      </w:tr>
      <w:tr w:rsidR="009D38FE" w:rsidRPr="000939E3" w14:paraId="0426031D" w14:textId="77777777" w:rsidTr="00F41BEB">
        <w:trPr>
          <w:trHeight w:val="261"/>
        </w:trPr>
        <w:tc>
          <w:tcPr>
            <w:tcW w:w="2631" w:type="pct"/>
            <w:tcBorders>
              <w:top w:val="nil"/>
              <w:left w:val="nil"/>
              <w:bottom w:val="nil"/>
              <w:right w:val="nil"/>
            </w:tcBorders>
            <w:shd w:val="clear" w:color="000000" w:fill="FFFFFF"/>
            <w:vAlign w:val="bottom"/>
            <w:hideMark/>
          </w:tcPr>
          <w:p w14:paraId="5D44EB84" w14:textId="3D7C5EB4" w:rsidR="009D38FE" w:rsidRPr="000939E3" w:rsidRDefault="009D38FE" w:rsidP="009D38FE">
            <w:pPr>
              <w:pStyle w:val="Bezriadkovania"/>
              <w:rPr>
                <w:rFonts w:eastAsia="Times New Roman" w:cs="Times New Roman"/>
                <w:color w:val="000000"/>
                <w:sz w:val="20"/>
                <w:szCs w:val="20"/>
                <w:lang w:eastAsia="sk-SK"/>
              </w:rPr>
            </w:pPr>
            <w:r w:rsidRPr="000939E3">
              <w:rPr>
                <w:sz w:val="20"/>
                <w:szCs w:val="20"/>
              </w:rPr>
              <w:t>Štátny geologický ústav Dionýza Štúra</w:t>
            </w:r>
          </w:p>
        </w:tc>
        <w:tc>
          <w:tcPr>
            <w:tcW w:w="338" w:type="pct"/>
            <w:tcBorders>
              <w:top w:val="nil"/>
              <w:left w:val="nil"/>
              <w:bottom w:val="nil"/>
              <w:right w:val="nil"/>
            </w:tcBorders>
            <w:shd w:val="clear" w:color="000000" w:fill="FFFFFF"/>
            <w:noWrap/>
            <w:vAlign w:val="center"/>
            <w:hideMark/>
          </w:tcPr>
          <w:p w14:paraId="380C122D" w14:textId="18676696"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6,7</w:t>
            </w:r>
          </w:p>
        </w:tc>
        <w:tc>
          <w:tcPr>
            <w:tcW w:w="338" w:type="pct"/>
            <w:tcBorders>
              <w:top w:val="nil"/>
              <w:left w:val="nil"/>
              <w:bottom w:val="nil"/>
              <w:right w:val="nil"/>
            </w:tcBorders>
            <w:shd w:val="clear" w:color="000000" w:fill="FFFFFF"/>
            <w:noWrap/>
            <w:vAlign w:val="center"/>
            <w:hideMark/>
          </w:tcPr>
          <w:p w14:paraId="42221F6A" w14:textId="4CA82249"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7,8</w:t>
            </w:r>
          </w:p>
        </w:tc>
        <w:tc>
          <w:tcPr>
            <w:tcW w:w="338" w:type="pct"/>
            <w:tcBorders>
              <w:top w:val="nil"/>
              <w:left w:val="nil"/>
              <w:bottom w:val="nil"/>
              <w:right w:val="nil"/>
            </w:tcBorders>
            <w:shd w:val="clear" w:color="000000" w:fill="FFFFFF"/>
            <w:noWrap/>
            <w:vAlign w:val="center"/>
            <w:hideMark/>
          </w:tcPr>
          <w:p w14:paraId="321C01E5" w14:textId="2BF136E9"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7,7</w:t>
            </w:r>
          </w:p>
        </w:tc>
        <w:tc>
          <w:tcPr>
            <w:tcW w:w="338" w:type="pct"/>
            <w:tcBorders>
              <w:top w:val="nil"/>
              <w:left w:val="nil"/>
              <w:bottom w:val="nil"/>
              <w:right w:val="nil"/>
            </w:tcBorders>
            <w:shd w:val="clear" w:color="000000" w:fill="FFFFFF"/>
            <w:noWrap/>
            <w:vAlign w:val="center"/>
            <w:hideMark/>
          </w:tcPr>
          <w:p w14:paraId="7781869B" w14:textId="71406750"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7,1</w:t>
            </w:r>
          </w:p>
        </w:tc>
        <w:tc>
          <w:tcPr>
            <w:tcW w:w="338" w:type="pct"/>
            <w:tcBorders>
              <w:top w:val="nil"/>
              <w:left w:val="nil"/>
              <w:bottom w:val="nil"/>
              <w:right w:val="nil"/>
            </w:tcBorders>
            <w:shd w:val="clear" w:color="000000" w:fill="FFFFFF"/>
            <w:noWrap/>
            <w:vAlign w:val="center"/>
            <w:hideMark/>
          </w:tcPr>
          <w:p w14:paraId="3F15CF09" w14:textId="76440DD4"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7,4</w:t>
            </w:r>
          </w:p>
        </w:tc>
        <w:tc>
          <w:tcPr>
            <w:tcW w:w="338" w:type="pct"/>
            <w:tcBorders>
              <w:top w:val="nil"/>
              <w:left w:val="nil"/>
              <w:bottom w:val="nil"/>
              <w:right w:val="nil"/>
            </w:tcBorders>
            <w:shd w:val="clear" w:color="000000" w:fill="FFFFFF"/>
            <w:noWrap/>
            <w:vAlign w:val="center"/>
            <w:hideMark/>
          </w:tcPr>
          <w:p w14:paraId="42B4674F" w14:textId="69C3B181"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8,6</w:t>
            </w:r>
          </w:p>
        </w:tc>
        <w:tc>
          <w:tcPr>
            <w:tcW w:w="342" w:type="pct"/>
            <w:tcBorders>
              <w:top w:val="nil"/>
              <w:left w:val="nil"/>
              <w:bottom w:val="nil"/>
              <w:right w:val="nil"/>
            </w:tcBorders>
            <w:shd w:val="clear" w:color="000000" w:fill="FFFFFF"/>
            <w:noWrap/>
            <w:vAlign w:val="center"/>
            <w:hideMark/>
          </w:tcPr>
          <w:p w14:paraId="1DEC0FC7" w14:textId="506F9505"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6,8</w:t>
            </w:r>
          </w:p>
        </w:tc>
      </w:tr>
      <w:tr w:rsidR="009D38FE" w:rsidRPr="000939E3" w14:paraId="361109F0" w14:textId="77777777" w:rsidTr="00F41BEB">
        <w:trPr>
          <w:trHeight w:val="261"/>
        </w:trPr>
        <w:tc>
          <w:tcPr>
            <w:tcW w:w="2631" w:type="pct"/>
            <w:tcBorders>
              <w:top w:val="nil"/>
              <w:left w:val="nil"/>
              <w:bottom w:val="single" w:sz="4" w:space="0" w:color="auto"/>
              <w:right w:val="nil"/>
            </w:tcBorders>
            <w:shd w:val="clear" w:color="000000" w:fill="FFFFFF"/>
            <w:vAlign w:val="bottom"/>
            <w:hideMark/>
          </w:tcPr>
          <w:p w14:paraId="41521D64" w14:textId="26417E07" w:rsidR="009D38FE" w:rsidRPr="000939E3" w:rsidRDefault="009D38FE" w:rsidP="009D38FE">
            <w:pPr>
              <w:pStyle w:val="Bezriadkovania"/>
              <w:rPr>
                <w:rFonts w:eastAsia="Times New Roman" w:cs="Times New Roman"/>
                <w:color w:val="000000"/>
                <w:sz w:val="20"/>
                <w:szCs w:val="20"/>
                <w:lang w:eastAsia="sk-SK"/>
              </w:rPr>
            </w:pPr>
            <w:r w:rsidRPr="000939E3">
              <w:rPr>
                <w:sz w:val="20"/>
                <w:szCs w:val="20"/>
              </w:rPr>
              <w:t>Výskumná agentúra</w:t>
            </w:r>
          </w:p>
        </w:tc>
        <w:tc>
          <w:tcPr>
            <w:tcW w:w="338" w:type="pct"/>
            <w:tcBorders>
              <w:top w:val="nil"/>
              <w:left w:val="nil"/>
              <w:bottom w:val="single" w:sz="4" w:space="0" w:color="auto"/>
              <w:right w:val="nil"/>
            </w:tcBorders>
            <w:shd w:val="clear" w:color="000000" w:fill="FFFFFF"/>
            <w:noWrap/>
            <w:vAlign w:val="center"/>
            <w:hideMark/>
          </w:tcPr>
          <w:p w14:paraId="063E6577" w14:textId="5F4BDBFF"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6,4</w:t>
            </w:r>
          </w:p>
        </w:tc>
        <w:tc>
          <w:tcPr>
            <w:tcW w:w="338" w:type="pct"/>
            <w:tcBorders>
              <w:top w:val="nil"/>
              <w:left w:val="nil"/>
              <w:bottom w:val="single" w:sz="4" w:space="0" w:color="auto"/>
              <w:right w:val="nil"/>
            </w:tcBorders>
            <w:shd w:val="clear" w:color="000000" w:fill="FFFFFF"/>
            <w:noWrap/>
            <w:vAlign w:val="center"/>
            <w:hideMark/>
          </w:tcPr>
          <w:p w14:paraId="22C73B6F" w14:textId="49CB372C"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7,3</w:t>
            </w:r>
          </w:p>
        </w:tc>
        <w:tc>
          <w:tcPr>
            <w:tcW w:w="338" w:type="pct"/>
            <w:tcBorders>
              <w:top w:val="nil"/>
              <w:left w:val="nil"/>
              <w:bottom w:val="single" w:sz="4" w:space="0" w:color="auto"/>
              <w:right w:val="nil"/>
            </w:tcBorders>
            <w:shd w:val="clear" w:color="000000" w:fill="FFFFFF"/>
            <w:noWrap/>
            <w:vAlign w:val="center"/>
            <w:hideMark/>
          </w:tcPr>
          <w:p w14:paraId="503FC373" w14:textId="5611A1FA"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7,3</w:t>
            </w:r>
          </w:p>
        </w:tc>
        <w:tc>
          <w:tcPr>
            <w:tcW w:w="338" w:type="pct"/>
            <w:tcBorders>
              <w:top w:val="nil"/>
              <w:left w:val="nil"/>
              <w:bottom w:val="single" w:sz="4" w:space="0" w:color="auto"/>
              <w:right w:val="nil"/>
            </w:tcBorders>
            <w:shd w:val="clear" w:color="000000" w:fill="FFFFFF"/>
            <w:noWrap/>
            <w:vAlign w:val="center"/>
            <w:hideMark/>
          </w:tcPr>
          <w:p w14:paraId="393A0079" w14:textId="2D4643F2"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6,7</w:t>
            </w:r>
          </w:p>
        </w:tc>
        <w:tc>
          <w:tcPr>
            <w:tcW w:w="338" w:type="pct"/>
            <w:tcBorders>
              <w:top w:val="nil"/>
              <w:left w:val="nil"/>
              <w:bottom w:val="single" w:sz="4" w:space="0" w:color="auto"/>
              <w:right w:val="nil"/>
            </w:tcBorders>
            <w:shd w:val="clear" w:color="000000" w:fill="FFFFFF"/>
            <w:noWrap/>
            <w:vAlign w:val="center"/>
            <w:hideMark/>
          </w:tcPr>
          <w:p w14:paraId="0130F8CE" w14:textId="2ADA90DD"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7,0</w:t>
            </w:r>
          </w:p>
        </w:tc>
        <w:tc>
          <w:tcPr>
            <w:tcW w:w="338" w:type="pct"/>
            <w:tcBorders>
              <w:top w:val="nil"/>
              <w:left w:val="nil"/>
              <w:bottom w:val="single" w:sz="4" w:space="0" w:color="auto"/>
              <w:right w:val="nil"/>
            </w:tcBorders>
            <w:shd w:val="clear" w:color="000000" w:fill="FFFFFF"/>
            <w:noWrap/>
            <w:vAlign w:val="center"/>
            <w:hideMark/>
          </w:tcPr>
          <w:p w14:paraId="4EC597F4" w14:textId="3A4A014E"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8,2</w:t>
            </w:r>
          </w:p>
        </w:tc>
        <w:tc>
          <w:tcPr>
            <w:tcW w:w="342" w:type="pct"/>
            <w:tcBorders>
              <w:top w:val="nil"/>
              <w:left w:val="nil"/>
              <w:bottom w:val="single" w:sz="4" w:space="0" w:color="auto"/>
              <w:right w:val="nil"/>
            </w:tcBorders>
            <w:shd w:val="clear" w:color="000000" w:fill="FFFFFF"/>
            <w:noWrap/>
            <w:vAlign w:val="center"/>
            <w:hideMark/>
          </w:tcPr>
          <w:p w14:paraId="0D63506C" w14:textId="3C5A4624" w:rsidR="009D38FE" w:rsidRPr="000939E3" w:rsidRDefault="009D38FE" w:rsidP="009D38FE">
            <w:pPr>
              <w:pStyle w:val="Bezriadkovania"/>
              <w:jc w:val="center"/>
              <w:rPr>
                <w:rFonts w:eastAsia="Times New Roman" w:cs="Times New Roman"/>
                <w:color w:val="000000"/>
                <w:sz w:val="20"/>
                <w:szCs w:val="20"/>
                <w:lang w:eastAsia="sk-SK"/>
              </w:rPr>
            </w:pPr>
            <w:r w:rsidRPr="000939E3">
              <w:rPr>
                <w:sz w:val="20"/>
                <w:szCs w:val="20"/>
              </w:rPr>
              <w:t>6,4</w:t>
            </w:r>
          </w:p>
        </w:tc>
      </w:tr>
      <w:tr w:rsidR="00F41BEB" w:rsidRPr="000939E3" w14:paraId="2BE3EC9D" w14:textId="77777777" w:rsidTr="00F41BEB">
        <w:trPr>
          <w:trHeight w:val="261"/>
        </w:trPr>
        <w:tc>
          <w:tcPr>
            <w:tcW w:w="2631" w:type="pct"/>
            <w:tcBorders>
              <w:top w:val="single" w:sz="4" w:space="0" w:color="auto"/>
              <w:left w:val="nil"/>
              <w:right w:val="nil"/>
            </w:tcBorders>
            <w:shd w:val="clear" w:color="000000" w:fill="FFFFFF"/>
            <w:vAlign w:val="bottom"/>
          </w:tcPr>
          <w:p w14:paraId="07E3A8B5" w14:textId="77777777" w:rsidR="00F41BEB" w:rsidRPr="000939E3" w:rsidRDefault="00F41BEB" w:rsidP="009D38FE">
            <w:pPr>
              <w:pStyle w:val="Bezriadkovania"/>
              <w:rPr>
                <w:sz w:val="20"/>
                <w:szCs w:val="20"/>
              </w:rPr>
            </w:pPr>
          </w:p>
        </w:tc>
        <w:tc>
          <w:tcPr>
            <w:tcW w:w="338" w:type="pct"/>
            <w:tcBorders>
              <w:top w:val="single" w:sz="4" w:space="0" w:color="auto"/>
              <w:left w:val="nil"/>
              <w:right w:val="nil"/>
            </w:tcBorders>
            <w:shd w:val="clear" w:color="000000" w:fill="FFFFFF"/>
            <w:noWrap/>
            <w:vAlign w:val="center"/>
          </w:tcPr>
          <w:p w14:paraId="43CBCF8A" w14:textId="77777777" w:rsidR="00F41BEB" w:rsidRPr="000939E3" w:rsidRDefault="00F41BEB" w:rsidP="009D38FE">
            <w:pPr>
              <w:pStyle w:val="Bezriadkovania"/>
              <w:jc w:val="center"/>
              <w:rPr>
                <w:sz w:val="20"/>
                <w:szCs w:val="20"/>
              </w:rPr>
            </w:pPr>
          </w:p>
        </w:tc>
        <w:tc>
          <w:tcPr>
            <w:tcW w:w="2032" w:type="pct"/>
            <w:gridSpan w:val="6"/>
            <w:tcBorders>
              <w:top w:val="single" w:sz="4" w:space="0" w:color="auto"/>
              <w:left w:val="nil"/>
              <w:right w:val="nil"/>
            </w:tcBorders>
            <w:shd w:val="clear" w:color="000000" w:fill="FFFFFF"/>
            <w:noWrap/>
          </w:tcPr>
          <w:p w14:paraId="5929991E" w14:textId="718E13A3" w:rsidR="00F41BEB" w:rsidRPr="000939E3" w:rsidRDefault="00F41BEB" w:rsidP="00F41BEB">
            <w:pPr>
              <w:pStyle w:val="Bezriadkovania"/>
              <w:jc w:val="right"/>
              <w:rPr>
                <w:i/>
                <w:sz w:val="20"/>
                <w:szCs w:val="20"/>
              </w:rPr>
            </w:pPr>
            <w:r w:rsidRPr="000939E3">
              <w:rPr>
                <w:i/>
                <w:sz w:val="18"/>
                <w:szCs w:val="20"/>
              </w:rPr>
              <w:t>Zdroj: prepočty ÚHP</w:t>
            </w:r>
          </w:p>
        </w:tc>
      </w:tr>
    </w:tbl>
    <w:p w14:paraId="19A53819" w14:textId="1B74494D" w:rsidR="002D4AF8" w:rsidRPr="000939E3" w:rsidRDefault="00C22972" w:rsidP="00C1597F">
      <w:pPr>
        <w:spacing w:before="160"/>
      </w:pPr>
      <w:r w:rsidRPr="000939E3">
        <w:t xml:space="preserve">Jednorazové náklady z dôvodu zrušenia pracovných miest a sťahovania úradu neboli v ilustračnom výpočte zohľadnené. Rovnako neboli zohľadnené úspory na nájomnom a príjmy z predaja vyprázdnených nehnuteľností. Reálna úspora by sa od uvedenej mohla </w:t>
      </w:r>
      <w:r w:rsidR="004B45B2" w:rsidRPr="000939E3">
        <w:t>líšiť, ak by mzdové rozdiely v </w:t>
      </w:r>
      <w:r w:rsidRPr="000939E3">
        <w:t>konkrétnych kategór</w:t>
      </w:r>
      <w:r w:rsidR="00BB2763" w:rsidRPr="000939E3">
        <w:t>iách</w:t>
      </w:r>
      <w:r w:rsidRPr="000939E3">
        <w:t xml:space="preserve"> zamestnancov boli výrazne odlišné od rozdielov v priemerných mzdách vybratej vzorky profesií</w:t>
      </w:r>
      <w:r w:rsidR="0081646A" w:rsidRPr="000939E3">
        <w:t xml:space="preserve"> a tiež v prípade, ak by nebolo možné dosiahnuť predpokladaný pokles miezd v rámci platných platových predpisov pre verejných zamestnancov</w:t>
      </w:r>
      <w:r w:rsidRPr="000939E3">
        <w:t xml:space="preserve">. </w:t>
      </w:r>
      <w:r w:rsidR="00571D1E" w:rsidRPr="000939E3">
        <w:t xml:space="preserve">V prípade niektorých verejných inštitúcii by navyše mohol byť mimo Bratislavy problém s nedostatkom disponibilných zamestnancov s potrebnou kvalifikáciou a skúsenosťami. </w:t>
      </w:r>
      <w:r w:rsidRPr="000939E3">
        <w:t xml:space="preserve">Skúmanie vhodnosti presídlenia jednotlivých inštitúcií by si vyžadovalo oveľa podrobnejšiu analýzu zohľadňujúci špecifiká daného úradu. </w:t>
      </w:r>
    </w:p>
    <w:p w14:paraId="16C84903" w14:textId="77777777" w:rsidR="0004409E" w:rsidRPr="000939E3" w:rsidRDefault="0004409E" w:rsidP="0004409E">
      <w:pPr>
        <w:pStyle w:val="Nadpis2"/>
      </w:pPr>
      <w:bookmarkStart w:id="175" w:name="_Toc525830506"/>
      <w:bookmarkStart w:id="176" w:name="_Ref526698659"/>
      <w:bookmarkStart w:id="177" w:name="_Ref526698667"/>
      <w:bookmarkStart w:id="178" w:name="_Ref526698679"/>
      <w:bookmarkStart w:id="179" w:name="_Ref526698683"/>
      <w:bookmarkStart w:id="180" w:name="_Toc34050703"/>
      <w:r w:rsidRPr="000939E3">
        <w:t>Zmeny mzdy zamestnancov pri prechodoch medzi sektormi</w:t>
      </w:r>
      <w:bookmarkEnd w:id="175"/>
      <w:bookmarkEnd w:id="176"/>
      <w:bookmarkEnd w:id="177"/>
      <w:bookmarkEnd w:id="178"/>
      <w:bookmarkEnd w:id="179"/>
      <w:bookmarkEnd w:id="180"/>
    </w:p>
    <w:p w14:paraId="3BF693B7" w14:textId="5F6CB659" w:rsidR="003C5CCF" w:rsidRPr="000939E3" w:rsidRDefault="00D55A90" w:rsidP="003C5CCF">
      <w:pPr>
        <w:spacing w:before="240"/>
      </w:pPr>
      <w:r w:rsidRPr="000939E3">
        <w:rPr>
          <w:b/>
        </w:rPr>
        <w:t xml:space="preserve">Ďalším spôsobom ako zohľadniť charakteristiky jednotlivcov pri porovnávaní verejného a súkromného sektora je sledovať </w:t>
      </w:r>
      <w:r w:rsidR="003C5CCF" w:rsidRPr="000939E3">
        <w:rPr>
          <w:b/>
        </w:rPr>
        <w:t>mzdy konkrétneho zamestnanca pri zmene pracovného miesta</w:t>
      </w:r>
      <w:r w:rsidR="003C5CCF" w:rsidRPr="000939E3">
        <w:t>, keďže jeho individuálne charakteristiky sú relatívne stabilné v čase. Nevýhodou je, že nie je možné zohľadniť charakteristiky konkrétnej pracovnej pozície kvôli nedostatku dát</w:t>
      </w:r>
      <w:r w:rsidR="002F4C8F" w:rsidRPr="000939E3">
        <w:t xml:space="preserve"> (</w:t>
      </w:r>
      <w:r w:rsidR="002F4C8F" w:rsidRPr="000939E3">
        <w:fldChar w:fldCharType="begin"/>
      </w:r>
      <w:r w:rsidR="002F4C8F" w:rsidRPr="000939E3">
        <w:instrText xml:space="preserve"> REF _Ref529453851 \h  \* MERGEFORMAT </w:instrText>
      </w:r>
      <w:r w:rsidR="002F4C8F" w:rsidRPr="000939E3">
        <w:fldChar w:fldCharType="separate"/>
      </w:r>
      <w:r w:rsidR="00BF69CA" w:rsidRPr="00BF69CA">
        <w:t xml:space="preserve">Box </w:t>
      </w:r>
      <w:r w:rsidR="00BF69CA" w:rsidRPr="00BF69CA">
        <w:rPr>
          <w:noProof/>
        </w:rPr>
        <w:t>8</w:t>
      </w:r>
      <w:r w:rsidR="002F4C8F" w:rsidRPr="000939E3">
        <w:fldChar w:fldCharType="end"/>
      </w:r>
      <w:r w:rsidR="0049668E" w:rsidRPr="000939E3">
        <w:t>)</w:t>
      </w:r>
      <w:r w:rsidR="003C5CCF" w:rsidRPr="000939E3">
        <w:t xml:space="preserve">. </w:t>
      </w:r>
      <w:r w:rsidR="0049668E" w:rsidRPr="000939E3">
        <w:t xml:space="preserve">Navyše zmeny zamestnania sa nedejú náhodne. Okrem ľudí, ktorí </w:t>
      </w:r>
      <w:r w:rsidR="0049668E" w:rsidRPr="000939E3">
        <w:lastRenderedPageBreak/>
        <w:t xml:space="preserve">boli nútený zmeniť zamestnávateľa kvôli strate zamestnania, dobrovoľné zmeny sú zväčša robené s očakávaním lepších pracovných podmienok. </w:t>
      </w:r>
    </w:p>
    <w:p w14:paraId="1CA5BA8E" w14:textId="5A69F8FB" w:rsidR="00FD152D" w:rsidRPr="000939E3" w:rsidRDefault="00FD152D" w:rsidP="006E30CC">
      <w:r w:rsidRPr="000939E3">
        <w:rPr>
          <w:b/>
        </w:rPr>
        <w:t>Zamestnanci, ktorí prešli z verejného do súkromného sektora</w:t>
      </w:r>
      <w:r w:rsidR="005558C2" w:rsidRPr="000939E3">
        <w:rPr>
          <w:b/>
        </w:rPr>
        <w:t>,</w:t>
      </w:r>
      <w:r w:rsidRPr="000939E3">
        <w:rPr>
          <w:b/>
        </w:rPr>
        <w:t xml:space="preserve"> si polepšia viac ako pri prestupe opačným smerom. Na prestupe z verejného do súkromného sektora najviac benefit</w:t>
      </w:r>
      <w:r w:rsidR="000C42B7" w:rsidRPr="000939E3">
        <w:rPr>
          <w:b/>
        </w:rPr>
        <w:t>ujú muži, mladí pracovníci (bez </w:t>
      </w:r>
      <w:r w:rsidRPr="000939E3">
        <w:rPr>
          <w:b/>
        </w:rPr>
        <w:t xml:space="preserve">ohľadu na pohlavie) a stredoškolsky vzdelaní. Vysoký </w:t>
      </w:r>
      <w:r w:rsidR="00DE3D1D" w:rsidRPr="000939E3">
        <w:rPr>
          <w:b/>
        </w:rPr>
        <w:t xml:space="preserve">nárast mzdy </w:t>
      </w:r>
      <w:r w:rsidR="00CF399C">
        <w:rPr>
          <w:b/>
        </w:rPr>
        <w:t>pri zmene sektora indikuje, že </w:t>
      </w:r>
      <w:r w:rsidRPr="000939E3">
        <w:rPr>
          <w:b/>
        </w:rPr>
        <w:t>verejný sektor nie je z pohľadu ohodnotenia pre tieto kategórie atraktívny zamestnávateľ.</w:t>
      </w:r>
    </w:p>
    <w:p w14:paraId="1CF2917C" w14:textId="7464C3A1" w:rsidR="00FD152D" w:rsidRPr="000939E3" w:rsidRDefault="00FD152D" w:rsidP="00FD152D">
      <w:pPr>
        <w:spacing w:before="120"/>
      </w:pPr>
      <w:r w:rsidRPr="000939E3">
        <w:rPr>
          <w:b/>
        </w:rPr>
        <w:t xml:space="preserve">Priemerný nárast mzdy pri prestupe z verejného do súkromného sektora (+14 </w:t>
      </w:r>
      <w:r w:rsidR="000C42B7" w:rsidRPr="000939E3">
        <w:rPr>
          <w:b/>
        </w:rPr>
        <w:t>%) je vyšší ako nárast pri </w:t>
      </w:r>
      <w:r w:rsidRPr="000939E3">
        <w:rPr>
          <w:b/>
        </w:rPr>
        <w:t>prestupe opačným smerom (+11 %)</w:t>
      </w:r>
      <w:r w:rsidR="00C3726C" w:rsidRPr="000939E3">
        <w:rPr>
          <w:b/>
        </w:rPr>
        <w:t xml:space="preserve"> (</w:t>
      </w:r>
      <w:r w:rsidR="00C3726C" w:rsidRPr="000939E3">
        <w:rPr>
          <w:b/>
        </w:rPr>
        <w:fldChar w:fldCharType="begin"/>
      </w:r>
      <w:r w:rsidR="00C3726C" w:rsidRPr="000939E3">
        <w:rPr>
          <w:b/>
        </w:rPr>
        <w:instrText xml:space="preserve"> REF _Ref4085829 \h  \* MERGEFORMAT </w:instrText>
      </w:r>
      <w:r w:rsidR="00C3726C" w:rsidRPr="000939E3">
        <w:rPr>
          <w:b/>
        </w:rPr>
      </w:r>
      <w:r w:rsidR="00C3726C" w:rsidRPr="000939E3">
        <w:rPr>
          <w:b/>
        </w:rPr>
        <w:fldChar w:fldCharType="separate"/>
      </w:r>
      <w:r w:rsidR="00BF69CA" w:rsidRPr="00BF69CA">
        <w:rPr>
          <w:b/>
        </w:rPr>
        <w:t xml:space="preserve">Tabuľka </w:t>
      </w:r>
      <w:r w:rsidR="00BF69CA" w:rsidRPr="00BF69CA">
        <w:rPr>
          <w:b/>
          <w:noProof/>
        </w:rPr>
        <w:t>11</w:t>
      </w:r>
      <w:r w:rsidR="00C3726C" w:rsidRPr="000939E3">
        <w:rPr>
          <w:b/>
        </w:rPr>
        <w:fldChar w:fldCharType="end"/>
      </w:r>
      <w:r w:rsidR="00C3726C" w:rsidRPr="000939E3">
        <w:rPr>
          <w:b/>
        </w:rPr>
        <w:t>)</w:t>
      </w:r>
      <w:r w:rsidRPr="000939E3">
        <w:rPr>
          <w:b/>
        </w:rPr>
        <w:t xml:space="preserve">. </w:t>
      </w:r>
      <w:r w:rsidRPr="000939E3">
        <w:t>Jedná sa o rozdiel v celkových mzdách vyplatených zamestnancovi</w:t>
      </w:r>
      <w:r w:rsidRPr="000939E3">
        <w:rPr>
          <w:rStyle w:val="Odkaznapoznmkupodiarou"/>
        </w:rPr>
        <w:footnoteReference w:id="63"/>
      </w:r>
      <w:r w:rsidRPr="000939E3">
        <w:t xml:space="preserve"> tri mesiace pred a po zmene zamestnania</w:t>
      </w:r>
      <w:r w:rsidRPr="000939E3">
        <w:rPr>
          <w:rStyle w:val="Odkaznapoznmkupodiarou"/>
        </w:rPr>
        <w:footnoteReference w:id="64"/>
      </w:r>
      <w:r w:rsidRPr="000939E3">
        <w:t xml:space="preserve"> podľa analýzy zmien zamestnaní v rokoch 2015-2017 (</w:t>
      </w:r>
      <w:r w:rsidR="006E30CC" w:rsidRPr="000939E3">
        <w:fldChar w:fldCharType="begin"/>
      </w:r>
      <w:r w:rsidR="006E30CC" w:rsidRPr="000939E3">
        <w:instrText xml:space="preserve"> REF _Ref529453851 \h  \* MERGEFORMAT </w:instrText>
      </w:r>
      <w:r w:rsidR="006E30CC" w:rsidRPr="000939E3">
        <w:fldChar w:fldCharType="separate"/>
      </w:r>
      <w:r w:rsidR="00BF69CA" w:rsidRPr="00BF69CA">
        <w:t xml:space="preserve">Box </w:t>
      </w:r>
      <w:r w:rsidR="00BF69CA" w:rsidRPr="00BF69CA">
        <w:rPr>
          <w:noProof/>
        </w:rPr>
        <w:t>8</w:t>
      </w:r>
      <w:r w:rsidR="006E30CC" w:rsidRPr="000939E3">
        <w:fldChar w:fldCharType="end"/>
      </w:r>
      <w:r w:rsidRPr="000939E3">
        <w:t>)</w:t>
      </w:r>
      <w:r w:rsidR="006E30CC" w:rsidRPr="000939E3">
        <w:t>.</w:t>
      </w:r>
    </w:p>
    <w:p w14:paraId="6CF36593" w14:textId="1CC76C4E" w:rsidR="00D055AF" w:rsidRPr="000939E3" w:rsidRDefault="00D055AF" w:rsidP="00FD152D">
      <w:pPr>
        <w:spacing w:before="120"/>
      </w:pPr>
      <w:r w:rsidRPr="000939E3">
        <w:rPr>
          <w:b/>
        </w:rPr>
        <w:t xml:space="preserve">Muži, prestupujúci do súkromného sektora, získali v priemere o 22,8 % vyšší plat, v porovnaní so ženami si polepšili v priemere viac ako dvojnásobne. </w:t>
      </w:r>
      <w:r w:rsidRPr="000939E3">
        <w:t>Prémia pri prechode opačným smerom je pritom pre obe pohlavia takmer rovnaká. Možných hypotéz</w:t>
      </w:r>
      <w:r w:rsidR="005558C2" w:rsidRPr="000939E3">
        <w:t>,</w:t>
      </w:r>
      <w:r w:rsidRPr="000939E3">
        <w:t xml:space="preserve"> prečo sa t</w:t>
      </w:r>
      <w:r w:rsidR="005558C2" w:rsidRPr="000939E3">
        <w:t>o</w:t>
      </w:r>
      <w:r w:rsidRPr="000939E3">
        <w:t xml:space="preserve"> deje</w:t>
      </w:r>
      <w:r w:rsidR="005558C2" w:rsidRPr="000939E3">
        <w:t>,</w:t>
      </w:r>
      <w:r w:rsidRPr="000939E3">
        <w:t xml:space="preserve"> je niekoľko. Jednou z možností je, že muži odchádzajúci z verejného sektora do súkromného sa významne líšia</w:t>
      </w:r>
      <w:r w:rsidRPr="000939E3">
        <w:rPr>
          <w:rStyle w:val="Odkaznapoznmkupodiarou"/>
        </w:rPr>
        <w:footnoteReference w:id="65"/>
      </w:r>
      <w:r w:rsidRPr="000939E3">
        <w:t xml:space="preserve"> od žien, ktoré robia rovnaký presun. Druhou hypotézou je, že výsledky potvrdzujú zistenia o nižšej miere mzdovej diskriminácie žien vo verejnom sektore (Weichselbaumer, Winter-Ebmer, 2005; Gonzales et al., 2015), kde tabuľkové platy obmedzujú možnosť platiť odlišnú mzdu za podobnú prácu na základe pohlavia.</w:t>
      </w:r>
    </w:p>
    <w:tbl>
      <w:tblPr>
        <w:tblStyle w:val="Mriekatabuky"/>
        <w:tblpPr w:leftFromText="141" w:rightFromText="141" w:vertAnchor="text" w:horzAnchor="margin" w:tblpY="-35"/>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1646"/>
        <w:gridCol w:w="1808"/>
        <w:gridCol w:w="2037"/>
        <w:gridCol w:w="1593"/>
      </w:tblGrid>
      <w:tr w:rsidR="005918FD" w:rsidRPr="000939E3" w14:paraId="7DDE2FDD" w14:textId="77777777" w:rsidTr="00525B21">
        <w:trPr>
          <w:trHeight w:val="28"/>
        </w:trPr>
        <w:tc>
          <w:tcPr>
            <w:tcW w:w="9056" w:type="dxa"/>
            <w:gridSpan w:val="5"/>
            <w:tcBorders>
              <w:bottom w:val="single" w:sz="4" w:space="0" w:color="auto"/>
            </w:tcBorders>
          </w:tcPr>
          <w:p w14:paraId="7C4BAAA3" w14:textId="77777777" w:rsidR="005918FD" w:rsidRPr="000939E3" w:rsidRDefault="005918FD" w:rsidP="005918FD">
            <w:pPr>
              <w:spacing w:after="0"/>
              <w:contextualSpacing/>
              <w:rPr>
                <w:sz w:val="20"/>
                <w:szCs w:val="20"/>
              </w:rPr>
            </w:pPr>
            <w:bookmarkStart w:id="181" w:name="_Ref4085829"/>
            <w:bookmarkStart w:id="182" w:name="_Toc34226944"/>
            <w:r w:rsidRPr="000939E3">
              <w:rPr>
                <w:b/>
                <w:sz w:val="20"/>
                <w:szCs w:val="20"/>
              </w:rPr>
              <w:t xml:space="preserve">Tabuľka </w:t>
            </w:r>
            <w:r w:rsidRPr="000939E3">
              <w:rPr>
                <w:b/>
                <w:sz w:val="20"/>
                <w:szCs w:val="20"/>
              </w:rPr>
              <w:fldChar w:fldCharType="begin"/>
            </w:r>
            <w:r w:rsidRPr="000939E3">
              <w:rPr>
                <w:b/>
                <w:sz w:val="20"/>
                <w:szCs w:val="20"/>
              </w:rPr>
              <w:instrText xml:space="preserve"> SEQ Tabuľka \* ARABIC </w:instrText>
            </w:r>
            <w:r w:rsidRPr="000939E3">
              <w:rPr>
                <w:b/>
                <w:sz w:val="20"/>
                <w:szCs w:val="20"/>
              </w:rPr>
              <w:fldChar w:fldCharType="separate"/>
            </w:r>
            <w:r w:rsidR="00BF69CA">
              <w:rPr>
                <w:b/>
                <w:noProof/>
                <w:sz w:val="20"/>
                <w:szCs w:val="20"/>
              </w:rPr>
              <w:t>11</w:t>
            </w:r>
            <w:r w:rsidRPr="000939E3">
              <w:rPr>
                <w:b/>
                <w:sz w:val="20"/>
                <w:szCs w:val="20"/>
              </w:rPr>
              <w:fldChar w:fldCharType="end"/>
            </w:r>
            <w:bookmarkEnd w:id="181"/>
            <w:r w:rsidRPr="000939E3">
              <w:rPr>
                <w:b/>
                <w:sz w:val="20"/>
                <w:szCs w:val="20"/>
              </w:rPr>
              <w:t>:</w:t>
            </w:r>
            <w:r w:rsidRPr="000939E3">
              <w:rPr>
                <w:rFonts w:eastAsia="Times New Roman" w:cs="Times New Roman"/>
                <w:b/>
                <w:bCs/>
                <w:sz w:val="20"/>
                <w:szCs w:val="20"/>
                <w:lang w:eastAsia="sk-SK"/>
              </w:rPr>
              <w:t xml:space="preserve"> Percentuálna zmena dennej mzdy pri zmene zamestnania</w:t>
            </w:r>
            <w:bookmarkEnd w:id="182"/>
            <w:r w:rsidRPr="000939E3">
              <w:rPr>
                <w:rFonts w:eastAsia="Times New Roman" w:cs="Times New Roman"/>
                <w:b/>
                <w:bCs/>
                <w:sz w:val="20"/>
                <w:szCs w:val="20"/>
                <w:lang w:eastAsia="sk-SK"/>
              </w:rPr>
              <w:t xml:space="preserve"> </w:t>
            </w:r>
          </w:p>
        </w:tc>
      </w:tr>
      <w:tr w:rsidR="005918FD" w:rsidRPr="000939E3" w14:paraId="7BD3EBAA" w14:textId="77777777" w:rsidTr="00525B21">
        <w:trPr>
          <w:trHeight w:val="28"/>
        </w:trPr>
        <w:tc>
          <w:tcPr>
            <w:tcW w:w="1972" w:type="dxa"/>
            <w:tcBorders>
              <w:top w:val="single" w:sz="4" w:space="0" w:color="auto"/>
            </w:tcBorders>
            <w:noWrap/>
            <w:hideMark/>
          </w:tcPr>
          <w:p w14:paraId="4FDF2CD7"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7083" w:type="dxa"/>
            <w:gridSpan w:val="4"/>
            <w:tcBorders>
              <w:top w:val="single" w:sz="4" w:space="0" w:color="auto"/>
            </w:tcBorders>
            <w:hideMark/>
          </w:tcPr>
          <w:p w14:paraId="3FC8222D" w14:textId="77777777" w:rsidR="005918FD" w:rsidRPr="000939E3" w:rsidRDefault="005918FD" w:rsidP="005918FD">
            <w:pPr>
              <w:spacing w:after="0"/>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Percentuálna zmena</w:t>
            </w:r>
          </w:p>
        </w:tc>
      </w:tr>
      <w:tr w:rsidR="005918FD" w:rsidRPr="000939E3" w14:paraId="3DD038DD" w14:textId="77777777" w:rsidTr="00525B21">
        <w:trPr>
          <w:trHeight w:val="28"/>
        </w:trPr>
        <w:tc>
          <w:tcPr>
            <w:tcW w:w="1972" w:type="dxa"/>
            <w:tcBorders>
              <w:bottom w:val="single" w:sz="4" w:space="0" w:color="auto"/>
            </w:tcBorders>
            <w:noWrap/>
            <w:hideMark/>
          </w:tcPr>
          <w:p w14:paraId="0C04D85D"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1646" w:type="dxa"/>
            <w:tcBorders>
              <w:bottom w:val="single" w:sz="4" w:space="0" w:color="auto"/>
            </w:tcBorders>
            <w:noWrap/>
            <w:vAlign w:val="center"/>
            <w:hideMark/>
          </w:tcPr>
          <w:p w14:paraId="30ED2826" w14:textId="77777777" w:rsidR="005918FD" w:rsidRPr="000939E3" w:rsidRDefault="005918FD" w:rsidP="005918FD">
            <w:pPr>
              <w:spacing w:after="0"/>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Súkromný → Verejný</w:t>
            </w:r>
          </w:p>
        </w:tc>
        <w:tc>
          <w:tcPr>
            <w:tcW w:w="1808" w:type="dxa"/>
            <w:tcBorders>
              <w:bottom w:val="single" w:sz="4" w:space="0" w:color="auto"/>
            </w:tcBorders>
            <w:noWrap/>
            <w:vAlign w:val="center"/>
            <w:hideMark/>
          </w:tcPr>
          <w:p w14:paraId="152A14C5" w14:textId="77777777" w:rsidR="005918FD" w:rsidRPr="000939E3" w:rsidRDefault="005918FD" w:rsidP="005918FD">
            <w:pPr>
              <w:spacing w:after="0"/>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Verejný → Súkromný</w:t>
            </w:r>
          </w:p>
        </w:tc>
        <w:tc>
          <w:tcPr>
            <w:tcW w:w="2037" w:type="dxa"/>
            <w:tcBorders>
              <w:bottom w:val="single" w:sz="4" w:space="0" w:color="auto"/>
            </w:tcBorders>
            <w:vAlign w:val="center"/>
          </w:tcPr>
          <w:p w14:paraId="0A6B90AD" w14:textId="77777777" w:rsidR="005918FD" w:rsidRPr="000939E3" w:rsidRDefault="005918FD" w:rsidP="005918FD">
            <w:pPr>
              <w:spacing w:after="0"/>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Súkromný → Súkromný</w:t>
            </w:r>
          </w:p>
        </w:tc>
        <w:tc>
          <w:tcPr>
            <w:tcW w:w="1590" w:type="dxa"/>
            <w:tcBorders>
              <w:bottom w:val="single" w:sz="4" w:space="0" w:color="auto"/>
            </w:tcBorders>
            <w:vAlign w:val="center"/>
          </w:tcPr>
          <w:p w14:paraId="5B99FEC8" w14:textId="77777777" w:rsidR="005918FD" w:rsidRPr="000939E3" w:rsidRDefault="005918FD" w:rsidP="005918FD">
            <w:pPr>
              <w:spacing w:after="0"/>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Verejný → Verejný</w:t>
            </w:r>
          </w:p>
        </w:tc>
      </w:tr>
      <w:tr w:rsidR="005918FD" w:rsidRPr="000939E3" w14:paraId="6D582F93" w14:textId="77777777" w:rsidTr="00525B21">
        <w:trPr>
          <w:trHeight w:val="28"/>
        </w:trPr>
        <w:tc>
          <w:tcPr>
            <w:tcW w:w="1972" w:type="dxa"/>
            <w:tcBorders>
              <w:bottom w:val="single" w:sz="4" w:space="0" w:color="auto"/>
            </w:tcBorders>
            <w:noWrap/>
          </w:tcPr>
          <w:p w14:paraId="782259F0" w14:textId="77777777" w:rsidR="005918FD" w:rsidRPr="000939E3" w:rsidRDefault="005918FD" w:rsidP="005918FD">
            <w:pPr>
              <w:spacing w:after="0"/>
              <w:contextualSpacing/>
              <w:rPr>
                <w:rFonts w:eastAsia="Times New Roman" w:cs="Times New Roman"/>
                <w:b/>
                <w:color w:val="000000"/>
                <w:sz w:val="20"/>
                <w:szCs w:val="20"/>
                <w:lang w:eastAsia="sk-SK"/>
              </w:rPr>
            </w:pPr>
            <w:r w:rsidRPr="000939E3">
              <w:rPr>
                <w:rFonts w:eastAsia="Times New Roman" w:cs="Times New Roman"/>
                <w:b/>
                <w:color w:val="000000"/>
                <w:sz w:val="20"/>
                <w:szCs w:val="20"/>
                <w:lang w:eastAsia="sk-SK"/>
              </w:rPr>
              <w:t>Počet a podiel</w:t>
            </w:r>
          </w:p>
        </w:tc>
        <w:tc>
          <w:tcPr>
            <w:tcW w:w="1646" w:type="dxa"/>
            <w:tcBorders>
              <w:bottom w:val="single" w:sz="4" w:space="0" w:color="auto"/>
            </w:tcBorders>
            <w:noWrap/>
            <w:vAlign w:val="center"/>
          </w:tcPr>
          <w:p w14:paraId="58E13C5B" w14:textId="77777777" w:rsidR="005918FD" w:rsidRPr="000939E3" w:rsidRDefault="005918FD" w:rsidP="005918FD">
            <w:pPr>
              <w:spacing w:after="0"/>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3 437 / 4,7%</w:t>
            </w:r>
          </w:p>
        </w:tc>
        <w:tc>
          <w:tcPr>
            <w:tcW w:w="1808" w:type="dxa"/>
            <w:tcBorders>
              <w:bottom w:val="single" w:sz="4" w:space="0" w:color="auto"/>
            </w:tcBorders>
            <w:noWrap/>
            <w:vAlign w:val="center"/>
          </w:tcPr>
          <w:p w14:paraId="53D545C0" w14:textId="77777777" w:rsidR="005918FD" w:rsidRPr="000939E3" w:rsidRDefault="005918FD" w:rsidP="005918FD">
            <w:pPr>
              <w:spacing w:after="0"/>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2 620 / 3,6%</w:t>
            </w:r>
          </w:p>
        </w:tc>
        <w:tc>
          <w:tcPr>
            <w:tcW w:w="2037" w:type="dxa"/>
            <w:tcBorders>
              <w:bottom w:val="single" w:sz="4" w:space="0" w:color="auto"/>
            </w:tcBorders>
            <w:vAlign w:val="center"/>
          </w:tcPr>
          <w:p w14:paraId="37E1B6A9" w14:textId="77777777" w:rsidR="005918FD" w:rsidRPr="000939E3" w:rsidRDefault="005918FD" w:rsidP="005918FD">
            <w:pPr>
              <w:spacing w:after="0"/>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62 615 / 85,5%</w:t>
            </w:r>
          </w:p>
        </w:tc>
        <w:tc>
          <w:tcPr>
            <w:tcW w:w="1590" w:type="dxa"/>
            <w:tcBorders>
              <w:bottom w:val="single" w:sz="4" w:space="0" w:color="auto"/>
            </w:tcBorders>
            <w:vAlign w:val="center"/>
          </w:tcPr>
          <w:p w14:paraId="6929380D" w14:textId="77777777" w:rsidR="005918FD" w:rsidRPr="000939E3" w:rsidRDefault="005918FD" w:rsidP="005918FD">
            <w:pPr>
              <w:spacing w:after="0"/>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4 569 / 6,2%</w:t>
            </w:r>
          </w:p>
        </w:tc>
      </w:tr>
      <w:tr w:rsidR="005918FD" w:rsidRPr="000939E3" w14:paraId="6CCB18A8" w14:textId="77777777" w:rsidTr="00525B21">
        <w:trPr>
          <w:trHeight w:val="28"/>
        </w:trPr>
        <w:tc>
          <w:tcPr>
            <w:tcW w:w="1972" w:type="dxa"/>
            <w:tcBorders>
              <w:top w:val="single" w:sz="4" w:space="0" w:color="auto"/>
              <w:bottom w:val="dashed" w:sz="2" w:space="0" w:color="auto"/>
            </w:tcBorders>
            <w:noWrap/>
            <w:hideMark/>
          </w:tcPr>
          <w:p w14:paraId="6B2606F9" w14:textId="77777777" w:rsidR="005918FD" w:rsidRPr="000939E3" w:rsidRDefault="005918FD" w:rsidP="005918FD">
            <w:pPr>
              <w:spacing w:after="0"/>
              <w:contextualSpacing/>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Celkovo</w:t>
            </w:r>
          </w:p>
        </w:tc>
        <w:tc>
          <w:tcPr>
            <w:tcW w:w="1646" w:type="dxa"/>
            <w:tcBorders>
              <w:top w:val="single" w:sz="4" w:space="0" w:color="auto"/>
              <w:bottom w:val="dashed" w:sz="2" w:space="0" w:color="auto"/>
            </w:tcBorders>
            <w:noWrap/>
            <w:vAlign w:val="bottom"/>
            <w:hideMark/>
          </w:tcPr>
          <w:p w14:paraId="2CE65FF1"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11,2</w:t>
            </w:r>
          </w:p>
        </w:tc>
        <w:tc>
          <w:tcPr>
            <w:tcW w:w="1808" w:type="dxa"/>
            <w:tcBorders>
              <w:top w:val="single" w:sz="4" w:space="0" w:color="auto"/>
              <w:bottom w:val="dashed" w:sz="2" w:space="0" w:color="auto"/>
            </w:tcBorders>
            <w:noWrap/>
            <w:vAlign w:val="bottom"/>
            <w:hideMark/>
          </w:tcPr>
          <w:p w14:paraId="1CFB602B"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14,0</w:t>
            </w:r>
          </w:p>
        </w:tc>
        <w:tc>
          <w:tcPr>
            <w:tcW w:w="2037" w:type="dxa"/>
            <w:tcBorders>
              <w:top w:val="single" w:sz="4" w:space="0" w:color="auto"/>
              <w:bottom w:val="dashed" w:sz="2" w:space="0" w:color="auto"/>
            </w:tcBorders>
            <w:noWrap/>
            <w:vAlign w:val="bottom"/>
          </w:tcPr>
          <w:p w14:paraId="72A50D43"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13,4</w:t>
            </w:r>
          </w:p>
        </w:tc>
        <w:tc>
          <w:tcPr>
            <w:tcW w:w="1590" w:type="dxa"/>
            <w:tcBorders>
              <w:top w:val="single" w:sz="4" w:space="0" w:color="auto"/>
              <w:bottom w:val="dashed" w:sz="2" w:space="0" w:color="auto"/>
            </w:tcBorders>
            <w:noWrap/>
            <w:vAlign w:val="bottom"/>
          </w:tcPr>
          <w:p w14:paraId="40FAB3A8"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10,3</w:t>
            </w:r>
          </w:p>
        </w:tc>
      </w:tr>
      <w:tr w:rsidR="005918FD" w:rsidRPr="000939E3" w14:paraId="78B55800" w14:textId="77777777" w:rsidTr="00525B21">
        <w:trPr>
          <w:trHeight w:val="28"/>
        </w:trPr>
        <w:tc>
          <w:tcPr>
            <w:tcW w:w="1972" w:type="dxa"/>
            <w:tcBorders>
              <w:top w:val="dashed" w:sz="2" w:space="0" w:color="auto"/>
            </w:tcBorders>
            <w:noWrap/>
            <w:hideMark/>
          </w:tcPr>
          <w:p w14:paraId="467DE310" w14:textId="77777777" w:rsidR="005918FD" w:rsidRPr="000939E3" w:rsidRDefault="005918FD" w:rsidP="005918FD">
            <w:pPr>
              <w:spacing w:after="0"/>
              <w:contextualSpacing/>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Pohlavie</w:t>
            </w:r>
          </w:p>
        </w:tc>
        <w:tc>
          <w:tcPr>
            <w:tcW w:w="1646" w:type="dxa"/>
            <w:tcBorders>
              <w:top w:val="dashed" w:sz="2" w:space="0" w:color="auto"/>
            </w:tcBorders>
            <w:noWrap/>
            <w:vAlign w:val="bottom"/>
            <w:hideMark/>
          </w:tcPr>
          <w:p w14:paraId="667CA45E" w14:textId="72944A60" w:rsidR="005918FD" w:rsidRPr="000939E3" w:rsidRDefault="005918FD" w:rsidP="00F41BEB">
            <w:pPr>
              <w:spacing w:after="0"/>
              <w:contextualSpacing/>
              <w:jc w:val="center"/>
              <w:rPr>
                <w:rFonts w:eastAsia="Times New Roman" w:cs="Times New Roman"/>
                <w:color w:val="000000"/>
                <w:sz w:val="20"/>
                <w:szCs w:val="20"/>
                <w:lang w:eastAsia="sk-SK"/>
              </w:rPr>
            </w:pPr>
          </w:p>
        </w:tc>
        <w:tc>
          <w:tcPr>
            <w:tcW w:w="1808" w:type="dxa"/>
            <w:tcBorders>
              <w:top w:val="dashed" w:sz="2" w:space="0" w:color="auto"/>
            </w:tcBorders>
            <w:noWrap/>
            <w:vAlign w:val="bottom"/>
            <w:hideMark/>
          </w:tcPr>
          <w:p w14:paraId="56BA95E5" w14:textId="3DF62FF3" w:rsidR="005918FD" w:rsidRPr="000939E3" w:rsidRDefault="005918FD" w:rsidP="00F41BEB">
            <w:pPr>
              <w:spacing w:after="0"/>
              <w:contextualSpacing/>
              <w:jc w:val="center"/>
              <w:rPr>
                <w:rFonts w:eastAsia="Times New Roman" w:cs="Times New Roman"/>
                <w:color w:val="000000"/>
                <w:sz w:val="20"/>
                <w:szCs w:val="20"/>
                <w:lang w:eastAsia="sk-SK"/>
              </w:rPr>
            </w:pPr>
          </w:p>
        </w:tc>
        <w:tc>
          <w:tcPr>
            <w:tcW w:w="2037" w:type="dxa"/>
            <w:tcBorders>
              <w:top w:val="dashed" w:sz="2" w:space="0" w:color="auto"/>
            </w:tcBorders>
            <w:noWrap/>
            <w:vAlign w:val="bottom"/>
          </w:tcPr>
          <w:p w14:paraId="4F1553AC" w14:textId="77777777" w:rsidR="005918FD" w:rsidRPr="000939E3" w:rsidRDefault="005918FD" w:rsidP="00F41BEB">
            <w:pPr>
              <w:spacing w:after="0"/>
              <w:contextualSpacing/>
              <w:jc w:val="center"/>
              <w:rPr>
                <w:rFonts w:eastAsia="Times New Roman" w:cs="Times New Roman"/>
                <w:color w:val="000000"/>
                <w:sz w:val="20"/>
                <w:szCs w:val="20"/>
                <w:lang w:eastAsia="sk-SK"/>
              </w:rPr>
            </w:pPr>
          </w:p>
        </w:tc>
        <w:tc>
          <w:tcPr>
            <w:tcW w:w="1590" w:type="dxa"/>
            <w:tcBorders>
              <w:top w:val="dashed" w:sz="2" w:space="0" w:color="auto"/>
            </w:tcBorders>
            <w:noWrap/>
            <w:vAlign w:val="bottom"/>
          </w:tcPr>
          <w:p w14:paraId="0037D364" w14:textId="77777777" w:rsidR="005918FD" w:rsidRPr="000939E3" w:rsidRDefault="005918FD" w:rsidP="00F41BEB">
            <w:pPr>
              <w:spacing w:after="0"/>
              <w:contextualSpacing/>
              <w:jc w:val="center"/>
              <w:rPr>
                <w:rFonts w:eastAsia="Times New Roman" w:cs="Times New Roman"/>
                <w:color w:val="000000"/>
                <w:sz w:val="20"/>
                <w:szCs w:val="20"/>
                <w:lang w:eastAsia="sk-SK"/>
              </w:rPr>
            </w:pPr>
          </w:p>
        </w:tc>
      </w:tr>
      <w:tr w:rsidR="005918FD" w:rsidRPr="000939E3" w14:paraId="37036BAF" w14:textId="77777777" w:rsidTr="00525B21">
        <w:trPr>
          <w:trHeight w:val="28"/>
        </w:trPr>
        <w:tc>
          <w:tcPr>
            <w:tcW w:w="1972" w:type="dxa"/>
            <w:noWrap/>
            <w:hideMark/>
          </w:tcPr>
          <w:p w14:paraId="5FFDEC70"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Ženy</w:t>
            </w:r>
          </w:p>
        </w:tc>
        <w:tc>
          <w:tcPr>
            <w:tcW w:w="1646" w:type="dxa"/>
            <w:noWrap/>
            <w:vAlign w:val="bottom"/>
            <w:hideMark/>
          </w:tcPr>
          <w:p w14:paraId="2B647741"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10,0</w:t>
            </w:r>
          </w:p>
        </w:tc>
        <w:tc>
          <w:tcPr>
            <w:tcW w:w="1808" w:type="dxa"/>
            <w:noWrap/>
            <w:vAlign w:val="bottom"/>
            <w:hideMark/>
          </w:tcPr>
          <w:p w14:paraId="483FC809"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8,9</w:t>
            </w:r>
          </w:p>
        </w:tc>
        <w:tc>
          <w:tcPr>
            <w:tcW w:w="2037" w:type="dxa"/>
            <w:noWrap/>
            <w:vAlign w:val="bottom"/>
          </w:tcPr>
          <w:p w14:paraId="51E9EFCA"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12,0</w:t>
            </w:r>
          </w:p>
        </w:tc>
        <w:tc>
          <w:tcPr>
            <w:tcW w:w="1590" w:type="dxa"/>
            <w:noWrap/>
            <w:vAlign w:val="bottom"/>
          </w:tcPr>
          <w:p w14:paraId="16A0EF27"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9,9</w:t>
            </w:r>
          </w:p>
        </w:tc>
      </w:tr>
      <w:tr w:rsidR="005918FD" w:rsidRPr="000939E3" w14:paraId="17E0F13D" w14:textId="77777777" w:rsidTr="00525B21">
        <w:trPr>
          <w:trHeight w:val="28"/>
        </w:trPr>
        <w:tc>
          <w:tcPr>
            <w:tcW w:w="1972" w:type="dxa"/>
            <w:tcBorders>
              <w:bottom w:val="dashed" w:sz="2" w:space="0" w:color="auto"/>
            </w:tcBorders>
            <w:noWrap/>
            <w:hideMark/>
          </w:tcPr>
          <w:p w14:paraId="1946DB1D"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Muži</w:t>
            </w:r>
          </w:p>
        </w:tc>
        <w:tc>
          <w:tcPr>
            <w:tcW w:w="1646" w:type="dxa"/>
            <w:tcBorders>
              <w:bottom w:val="dashed" w:sz="2" w:space="0" w:color="auto"/>
            </w:tcBorders>
            <w:noWrap/>
            <w:vAlign w:val="bottom"/>
            <w:hideMark/>
          </w:tcPr>
          <w:p w14:paraId="4E50A666"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13,3</w:t>
            </w:r>
          </w:p>
        </w:tc>
        <w:tc>
          <w:tcPr>
            <w:tcW w:w="1808" w:type="dxa"/>
            <w:tcBorders>
              <w:bottom w:val="dashed" w:sz="2" w:space="0" w:color="auto"/>
            </w:tcBorders>
            <w:noWrap/>
            <w:vAlign w:val="bottom"/>
            <w:hideMark/>
          </w:tcPr>
          <w:p w14:paraId="070C801C"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22,8</w:t>
            </w:r>
          </w:p>
        </w:tc>
        <w:tc>
          <w:tcPr>
            <w:tcW w:w="2037" w:type="dxa"/>
            <w:tcBorders>
              <w:bottom w:val="dashed" w:sz="2" w:space="0" w:color="auto"/>
            </w:tcBorders>
            <w:noWrap/>
            <w:vAlign w:val="bottom"/>
          </w:tcPr>
          <w:p w14:paraId="059B589D"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14,3</w:t>
            </w:r>
          </w:p>
        </w:tc>
        <w:tc>
          <w:tcPr>
            <w:tcW w:w="1590" w:type="dxa"/>
            <w:tcBorders>
              <w:bottom w:val="dashed" w:sz="2" w:space="0" w:color="auto"/>
            </w:tcBorders>
            <w:noWrap/>
            <w:vAlign w:val="bottom"/>
          </w:tcPr>
          <w:p w14:paraId="33A3397B"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11,3</w:t>
            </w:r>
          </w:p>
        </w:tc>
      </w:tr>
      <w:tr w:rsidR="005918FD" w:rsidRPr="000939E3" w14:paraId="741B90FF" w14:textId="77777777" w:rsidTr="00525B21">
        <w:trPr>
          <w:trHeight w:val="28"/>
        </w:trPr>
        <w:tc>
          <w:tcPr>
            <w:tcW w:w="1972" w:type="dxa"/>
            <w:tcBorders>
              <w:top w:val="dashed" w:sz="2" w:space="0" w:color="auto"/>
            </w:tcBorders>
            <w:noWrap/>
            <w:hideMark/>
          </w:tcPr>
          <w:p w14:paraId="2B936490" w14:textId="77777777" w:rsidR="005918FD" w:rsidRPr="000939E3" w:rsidRDefault="005918FD" w:rsidP="005918FD">
            <w:pPr>
              <w:spacing w:after="0"/>
              <w:contextualSpacing/>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Vek</w:t>
            </w:r>
          </w:p>
        </w:tc>
        <w:tc>
          <w:tcPr>
            <w:tcW w:w="1646" w:type="dxa"/>
            <w:tcBorders>
              <w:top w:val="dashed" w:sz="2" w:space="0" w:color="auto"/>
            </w:tcBorders>
            <w:noWrap/>
            <w:vAlign w:val="bottom"/>
            <w:hideMark/>
          </w:tcPr>
          <w:p w14:paraId="5085B304" w14:textId="289A467C" w:rsidR="005918FD" w:rsidRPr="000939E3" w:rsidRDefault="005918FD" w:rsidP="00F41BEB">
            <w:pPr>
              <w:spacing w:after="0"/>
              <w:contextualSpacing/>
              <w:jc w:val="center"/>
              <w:rPr>
                <w:rFonts w:eastAsia="Times New Roman" w:cs="Times New Roman"/>
                <w:color w:val="000000"/>
                <w:sz w:val="20"/>
                <w:szCs w:val="20"/>
                <w:lang w:eastAsia="sk-SK"/>
              </w:rPr>
            </w:pPr>
          </w:p>
        </w:tc>
        <w:tc>
          <w:tcPr>
            <w:tcW w:w="1808" w:type="dxa"/>
            <w:tcBorders>
              <w:top w:val="dashed" w:sz="2" w:space="0" w:color="auto"/>
            </w:tcBorders>
            <w:noWrap/>
            <w:vAlign w:val="bottom"/>
            <w:hideMark/>
          </w:tcPr>
          <w:p w14:paraId="34317DF7" w14:textId="418EC848" w:rsidR="005918FD" w:rsidRPr="000939E3" w:rsidRDefault="005918FD" w:rsidP="00F41BEB">
            <w:pPr>
              <w:spacing w:after="0"/>
              <w:contextualSpacing/>
              <w:jc w:val="center"/>
              <w:rPr>
                <w:rFonts w:eastAsia="Times New Roman" w:cs="Times New Roman"/>
                <w:color w:val="000000"/>
                <w:sz w:val="20"/>
                <w:szCs w:val="20"/>
                <w:lang w:eastAsia="sk-SK"/>
              </w:rPr>
            </w:pPr>
          </w:p>
        </w:tc>
        <w:tc>
          <w:tcPr>
            <w:tcW w:w="2037" w:type="dxa"/>
            <w:tcBorders>
              <w:top w:val="dashed" w:sz="2" w:space="0" w:color="auto"/>
            </w:tcBorders>
            <w:noWrap/>
            <w:vAlign w:val="bottom"/>
          </w:tcPr>
          <w:p w14:paraId="69BA3A94" w14:textId="77777777" w:rsidR="005918FD" w:rsidRPr="000939E3" w:rsidRDefault="005918FD" w:rsidP="00F41BEB">
            <w:pPr>
              <w:spacing w:after="0"/>
              <w:contextualSpacing/>
              <w:jc w:val="center"/>
              <w:rPr>
                <w:rFonts w:eastAsia="Times New Roman" w:cs="Times New Roman"/>
                <w:color w:val="000000"/>
                <w:sz w:val="20"/>
                <w:szCs w:val="20"/>
                <w:lang w:eastAsia="sk-SK"/>
              </w:rPr>
            </w:pPr>
          </w:p>
        </w:tc>
        <w:tc>
          <w:tcPr>
            <w:tcW w:w="1590" w:type="dxa"/>
            <w:tcBorders>
              <w:top w:val="dashed" w:sz="2" w:space="0" w:color="auto"/>
            </w:tcBorders>
            <w:noWrap/>
            <w:vAlign w:val="bottom"/>
          </w:tcPr>
          <w:p w14:paraId="28663568" w14:textId="77777777" w:rsidR="005918FD" w:rsidRPr="000939E3" w:rsidRDefault="005918FD" w:rsidP="00F41BEB">
            <w:pPr>
              <w:spacing w:after="0"/>
              <w:contextualSpacing/>
              <w:jc w:val="center"/>
              <w:rPr>
                <w:rFonts w:eastAsia="Times New Roman" w:cs="Times New Roman"/>
                <w:color w:val="000000"/>
                <w:sz w:val="20"/>
                <w:szCs w:val="20"/>
                <w:lang w:eastAsia="sk-SK"/>
              </w:rPr>
            </w:pPr>
          </w:p>
        </w:tc>
      </w:tr>
      <w:tr w:rsidR="005918FD" w:rsidRPr="000939E3" w14:paraId="146EB698" w14:textId="77777777" w:rsidTr="00525B21">
        <w:trPr>
          <w:trHeight w:val="28"/>
        </w:trPr>
        <w:tc>
          <w:tcPr>
            <w:tcW w:w="1972" w:type="dxa"/>
            <w:noWrap/>
            <w:hideMark/>
          </w:tcPr>
          <w:p w14:paraId="60968C02"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18 - 24</w:t>
            </w:r>
          </w:p>
        </w:tc>
        <w:tc>
          <w:tcPr>
            <w:tcW w:w="1646" w:type="dxa"/>
            <w:noWrap/>
            <w:vAlign w:val="bottom"/>
            <w:hideMark/>
          </w:tcPr>
          <w:p w14:paraId="0A860EDB"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11,2</w:t>
            </w:r>
          </w:p>
        </w:tc>
        <w:tc>
          <w:tcPr>
            <w:tcW w:w="1808" w:type="dxa"/>
            <w:noWrap/>
            <w:vAlign w:val="bottom"/>
            <w:hideMark/>
          </w:tcPr>
          <w:p w14:paraId="53F4B123"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23,4</w:t>
            </w:r>
          </w:p>
        </w:tc>
        <w:tc>
          <w:tcPr>
            <w:tcW w:w="2037" w:type="dxa"/>
            <w:noWrap/>
            <w:vAlign w:val="bottom"/>
          </w:tcPr>
          <w:p w14:paraId="6D3C73CA"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14,8</w:t>
            </w:r>
          </w:p>
        </w:tc>
        <w:tc>
          <w:tcPr>
            <w:tcW w:w="1590" w:type="dxa"/>
            <w:noWrap/>
            <w:vAlign w:val="bottom"/>
          </w:tcPr>
          <w:p w14:paraId="4332F1B0"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13,4</w:t>
            </w:r>
          </w:p>
        </w:tc>
      </w:tr>
      <w:tr w:rsidR="005918FD" w:rsidRPr="000939E3" w14:paraId="2F535085" w14:textId="77777777" w:rsidTr="00525B21">
        <w:trPr>
          <w:trHeight w:val="28"/>
        </w:trPr>
        <w:tc>
          <w:tcPr>
            <w:tcW w:w="1972" w:type="dxa"/>
            <w:noWrap/>
            <w:hideMark/>
          </w:tcPr>
          <w:p w14:paraId="765FADE5"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25 - 29</w:t>
            </w:r>
          </w:p>
        </w:tc>
        <w:tc>
          <w:tcPr>
            <w:tcW w:w="1646" w:type="dxa"/>
            <w:noWrap/>
            <w:vAlign w:val="bottom"/>
            <w:hideMark/>
          </w:tcPr>
          <w:p w14:paraId="4F9F31BC"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15,5</w:t>
            </w:r>
          </w:p>
        </w:tc>
        <w:tc>
          <w:tcPr>
            <w:tcW w:w="1808" w:type="dxa"/>
            <w:noWrap/>
            <w:vAlign w:val="bottom"/>
            <w:hideMark/>
          </w:tcPr>
          <w:p w14:paraId="2943E9C4"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15,1</w:t>
            </w:r>
          </w:p>
        </w:tc>
        <w:tc>
          <w:tcPr>
            <w:tcW w:w="2037" w:type="dxa"/>
            <w:noWrap/>
            <w:vAlign w:val="bottom"/>
          </w:tcPr>
          <w:p w14:paraId="2D6BD055"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16,8</w:t>
            </w:r>
          </w:p>
        </w:tc>
        <w:tc>
          <w:tcPr>
            <w:tcW w:w="1590" w:type="dxa"/>
            <w:noWrap/>
            <w:vAlign w:val="bottom"/>
          </w:tcPr>
          <w:p w14:paraId="1C241556"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10,6</w:t>
            </w:r>
          </w:p>
        </w:tc>
      </w:tr>
      <w:tr w:rsidR="005918FD" w:rsidRPr="000939E3" w14:paraId="1EA56C58" w14:textId="77777777" w:rsidTr="00525B21">
        <w:trPr>
          <w:trHeight w:val="28"/>
        </w:trPr>
        <w:tc>
          <w:tcPr>
            <w:tcW w:w="1972" w:type="dxa"/>
            <w:noWrap/>
            <w:hideMark/>
          </w:tcPr>
          <w:p w14:paraId="2A44D4B6"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30 - 34</w:t>
            </w:r>
          </w:p>
        </w:tc>
        <w:tc>
          <w:tcPr>
            <w:tcW w:w="1646" w:type="dxa"/>
            <w:noWrap/>
            <w:vAlign w:val="bottom"/>
            <w:hideMark/>
          </w:tcPr>
          <w:p w14:paraId="2DA10E27"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9,8</w:t>
            </w:r>
          </w:p>
        </w:tc>
        <w:tc>
          <w:tcPr>
            <w:tcW w:w="1808" w:type="dxa"/>
            <w:noWrap/>
            <w:vAlign w:val="bottom"/>
            <w:hideMark/>
          </w:tcPr>
          <w:p w14:paraId="16A8C550"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17,9</w:t>
            </w:r>
          </w:p>
        </w:tc>
        <w:tc>
          <w:tcPr>
            <w:tcW w:w="2037" w:type="dxa"/>
            <w:noWrap/>
            <w:vAlign w:val="bottom"/>
          </w:tcPr>
          <w:p w14:paraId="63A64B0D"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15,2</w:t>
            </w:r>
          </w:p>
        </w:tc>
        <w:tc>
          <w:tcPr>
            <w:tcW w:w="1590" w:type="dxa"/>
            <w:noWrap/>
            <w:vAlign w:val="bottom"/>
          </w:tcPr>
          <w:p w14:paraId="7D9A2C60"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16,4</w:t>
            </w:r>
          </w:p>
        </w:tc>
      </w:tr>
      <w:tr w:rsidR="005918FD" w:rsidRPr="000939E3" w14:paraId="75F66C89" w14:textId="77777777" w:rsidTr="00525B21">
        <w:trPr>
          <w:trHeight w:val="28"/>
        </w:trPr>
        <w:tc>
          <w:tcPr>
            <w:tcW w:w="1972" w:type="dxa"/>
            <w:noWrap/>
            <w:hideMark/>
          </w:tcPr>
          <w:p w14:paraId="4B3A1D0C"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35 - 44</w:t>
            </w:r>
          </w:p>
        </w:tc>
        <w:tc>
          <w:tcPr>
            <w:tcW w:w="1646" w:type="dxa"/>
            <w:noWrap/>
            <w:vAlign w:val="bottom"/>
            <w:hideMark/>
          </w:tcPr>
          <w:p w14:paraId="0F792E3A"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9,9</w:t>
            </w:r>
          </w:p>
        </w:tc>
        <w:tc>
          <w:tcPr>
            <w:tcW w:w="1808" w:type="dxa"/>
            <w:noWrap/>
            <w:vAlign w:val="bottom"/>
            <w:hideMark/>
          </w:tcPr>
          <w:p w14:paraId="36EF2AE2"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13,0</w:t>
            </w:r>
          </w:p>
        </w:tc>
        <w:tc>
          <w:tcPr>
            <w:tcW w:w="2037" w:type="dxa"/>
            <w:noWrap/>
            <w:vAlign w:val="bottom"/>
          </w:tcPr>
          <w:p w14:paraId="104CE257"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12,5</w:t>
            </w:r>
          </w:p>
        </w:tc>
        <w:tc>
          <w:tcPr>
            <w:tcW w:w="1590" w:type="dxa"/>
            <w:noWrap/>
            <w:vAlign w:val="bottom"/>
          </w:tcPr>
          <w:p w14:paraId="7093ECF5"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10,7</w:t>
            </w:r>
          </w:p>
        </w:tc>
      </w:tr>
      <w:tr w:rsidR="005918FD" w:rsidRPr="000939E3" w14:paraId="523EE7DB" w14:textId="77777777" w:rsidTr="00525B21">
        <w:trPr>
          <w:trHeight w:val="28"/>
        </w:trPr>
        <w:tc>
          <w:tcPr>
            <w:tcW w:w="1972" w:type="dxa"/>
            <w:noWrap/>
            <w:hideMark/>
          </w:tcPr>
          <w:p w14:paraId="09AEB597"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45 - 54</w:t>
            </w:r>
          </w:p>
        </w:tc>
        <w:tc>
          <w:tcPr>
            <w:tcW w:w="1646" w:type="dxa"/>
            <w:noWrap/>
            <w:vAlign w:val="bottom"/>
            <w:hideMark/>
          </w:tcPr>
          <w:p w14:paraId="0E79120A"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10,6</w:t>
            </w:r>
          </w:p>
        </w:tc>
        <w:tc>
          <w:tcPr>
            <w:tcW w:w="1808" w:type="dxa"/>
            <w:noWrap/>
            <w:vAlign w:val="bottom"/>
            <w:hideMark/>
          </w:tcPr>
          <w:p w14:paraId="55B5B53D"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10,2</w:t>
            </w:r>
          </w:p>
        </w:tc>
        <w:tc>
          <w:tcPr>
            <w:tcW w:w="2037" w:type="dxa"/>
            <w:noWrap/>
            <w:vAlign w:val="bottom"/>
          </w:tcPr>
          <w:p w14:paraId="36F6DA6C"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10,7</w:t>
            </w:r>
          </w:p>
        </w:tc>
        <w:tc>
          <w:tcPr>
            <w:tcW w:w="1590" w:type="dxa"/>
            <w:noWrap/>
            <w:vAlign w:val="bottom"/>
          </w:tcPr>
          <w:p w14:paraId="37264557"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7,6</w:t>
            </w:r>
          </w:p>
        </w:tc>
      </w:tr>
      <w:tr w:rsidR="005918FD" w:rsidRPr="000939E3" w14:paraId="6C316D6D" w14:textId="77777777" w:rsidTr="00525B21">
        <w:trPr>
          <w:trHeight w:val="28"/>
        </w:trPr>
        <w:tc>
          <w:tcPr>
            <w:tcW w:w="1972" w:type="dxa"/>
            <w:tcBorders>
              <w:bottom w:val="dashed" w:sz="2" w:space="0" w:color="auto"/>
            </w:tcBorders>
            <w:noWrap/>
            <w:hideMark/>
          </w:tcPr>
          <w:p w14:paraId="5251A0D0"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55 +</w:t>
            </w:r>
          </w:p>
        </w:tc>
        <w:tc>
          <w:tcPr>
            <w:tcW w:w="1646" w:type="dxa"/>
            <w:tcBorders>
              <w:bottom w:val="dashed" w:sz="2" w:space="0" w:color="auto"/>
            </w:tcBorders>
            <w:noWrap/>
            <w:vAlign w:val="bottom"/>
            <w:hideMark/>
          </w:tcPr>
          <w:p w14:paraId="209326C1"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9,3</w:t>
            </w:r>
          </w:p>
        </w:tc>
        <w:tc>
          <w:tcPr>
            <w:tcW w:w="1808" w:type="dxa"/>
            <w:tcBorders>
              <w:bottom w:val="dashed" w:sz="2" w:space="0" w:color="auto"/>
            </w:tcBorders>
            <w:noWrap/>
            <w:vAlign w:val="bottom"/>
            <w:hideMark/>
          </w:tcPr>
          <w:p w14:paraId="48426FC3"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6,7</w:t>
            </w:r>
          </w:p>
        </w:tc>
        <w:tc>
          <w:tcPr>
            <w:tcW w:w="2037" w:type="dxa"/>
            <w:tcBorders>
              <w:bottom w:val="dashed" w:sz="2" w:space="0" w:color="auto"/>
            </w:tcBorders>
            <w:noWrap/>
            <w:vAlign w:val="bottom"/>
          </w:tcPr>
          <w:p w14:paraId="37C667C7"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7,6</w:t>
            </w:r>
          </w:p>
        </w:tc>
        <w:tc>
          <w:tcPr>
            <w:tcW w:w="1590" w:type="dxa"/>
            <w:tcBorders>
              <w:bottom w:val="dashed" w:sz="2" w:space="0" w:color="auto"/>
            </w:tcBorders>
            <w:noWrap/>
            <w:vAlign w:val="bottom"/>
          </w:tcPr>
          <w:p w14:paraId="51881243"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6,1</w:t>
            </w:r>
          </w:p>
        </w:tc>
      </w:tr>
      <w:tr w:rsidR="005918FD" w:rsidRPr="000939E3" w14:paraId="7D42A931" w14:textId="77777777" w:rsidTr="00525B21">
        <w:trPr>
          <w:trHeight w:val="28"/>
        </w:trPr>
        <w:tc>
          <w:tcPr>
            <w:tcW w:w="1972" w:type="dxa"/>
            <w:tcBorders>
              <w:top w:val="dashed" w:sz="2" w:space="0" w:color="auto"/>
            </w:tcBorders>
            <w:noWrap/>
            <w:hideMark/>
          </w:tcPr>
          <w:p w14:paraId="3F3FEDAD" w14:textId="77777777" w:rsidR="005918FD" w:rsidRPr="000939E3" w:rsidRDefault="005918FD" w:rsidP="005918FD">
            <w:pPr>
              <w:spacing w:after="0"/>
              <w:contextualSpacing/>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Vzdelanie</w:t>
            </w:r>
          </w:p>
        </w:tc>
        <w:tc>
          <w:tcPr>
            <w:tcW w:w="1646" w:type="dxa"/>
            <w:tcBorders>
              <w:top w:val="dashed" w:sz="2" w:space="0" w:color="auto"/>
            </w:tcBorders>
            <w:noWrap/>
            <w:vAlign w:val="bottom"/>
            <w:hideMark/>
          </w:tcPr>
          <w:p w14:paraId="128DE216" w14:textId="1DA645B4" w:rsidR="005918FD" w:rsidRPr="000939E3" w:rsidRDefault="005918FD" w:rsidP="00F41BEB">
            <w:pPr>
              <w:spacing w:after="0"/>
              <w:contextualSpacing/>
              <w:jc w:val="center"/>
              <w:rPr>
                <w:rFonts w:eastAsia="Times New Roman" w:cs="Times New Roman"/>
                <w:color w:val="000000"/>
                <w:sz w:val="20"/>
                <w:szCs w:val="20"/>
                <w:lang w:eastAsia="sk-SK"/>
              </w:rPr>
            </w:pPr>
          </w:p>
        </w:tc>
        <w:tc>
          <w:tcPr>
            <w:tcW w:w="1808" w:type="dxa"/>
            <w:tcBorders>
              <w:top w:val="dashed" w:sz="2" w:space="0" w:color="auto"/>
            </w:tcBorders>
            <w:noWrap/>
            <w:vAlign w:val="bottom"/>
            <w:hideMark/>
          </w:tcPr>
          <w:p w14:paraId="68273078" w14:textId="0ECCD22D" w:rsidR="005918FD" w:rsidRPr="000939E3" w:rsidRDefault="005918FD" w:rsidP="00F41BEB">
            <w:pPr>
              <w:spacing w:after="0"/>
              <w:contextualSpacing/>
              <w:jc w:val="center"/>
              <w:rPr>
                <w:rFonts w:eastAsia="Times New Roman" w:cs="Times New Roman"/>
                <w:color w:val="000000"/>
                <w:sz w:val="20"/>
                <w:szCs w:val="20"/>
                <w:lang w:eastAsia="sk-SK"/>
              </w:rPr>
            </w:pPr>
          </w:p>
        </w:tc>
        <w:tc>
          <w:tcPr>
            <w:tcW w:w="2037" w:type="dxa"/>
            <w:tcBorders>
              <w:top w:val="dashed" w:sz="2" w:space="0" w:color="auto"/>
            </w:tcBorders>
            <w:noWrap/>
            <w:vAlign w:val="bottom"/>
          </w:tcPr>
          <w:p w14:paraId="427B5A90" w14:textId="77777777" w:rsidR="005918FD" w:rsidRPr="000939E3" w:rsidRDefault="005918FD" w:rsidP="00F41BEB">
            <w:pPr>
              <w:spacing w:after="0"/>
              <w:contextualSpacing/>
              <w:jc w:val="center"/>
              <w:rPr>
                <w:rFonts w:eastAsia="Times New Roman" w:cs="Times New Roman"/>
                <w:color w:val="000000"/>
                <w:sz w:val="20"/>
                <w:szCs w:val="20"/>
                <w:lang w:eastAsia="sk-SK"/>
              </w:rPr>
            </w:pPr>
          </w:p>
        </w:tc>
        <w:tc>
          <w:tcPr>
            <w:tcW w:w="1590" w:type="dxa"/>
            <w:tcBorders>
              <w:top w:val="dashed" w:sz="2" w:space="0" w:color="auto"/>
            </w:tcBorders>
            <w:noWrap/>
            <w:vAlign w:val="bottom"/>
          </w:tcPr>
          <w:p w14:paraId="114E2088" w14:textId="77777777" w:rsidR="005918FD" w:rsidRPr="000939E3" w:rsidRDefault="005918FD" w:rsidP="00F41BEB">
            <w:pPr>
              <w:spacing w:after="0"/>
              <w:contextualSpacing/>
              <w:jc w:val="center"/>
              <w:rPr>
                <w:rFonts w:eastAsia="Times New Roman" w:cs="Times New Roman"/>
                <w:color w:val="000000"/>
                <w:sz w:val="20"/>
                <w:szCs w:val="20"/>
                <w:lang w:eastAsia="sk-SK"/>
              </w:rPr>
            </w:pPr>
          </w:p>
        </w:tc>
      </w:tr>
      <w:tr w:rsidR="005918FD" w:rsidRPr="000939E3" w14:paraId="578D6723" w14:textId="77777777" w:rsidTr="00525B21">
        <w:trPr>
          <w:trHeight w:val="28"/>
        </w:trPr>
        <w:tc>
          <w:tcPr>
            <w:tcW w:w="1972" w:type="dxa"/>
            <w:noWrap/>
            <w:hideMark/>
          </w:tcPr>
          <w:p w14:paraId="0161A7F4"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Stredné</w:t>
            </w:r>
          </w:p>
        </w:tc>
        <w:tc>
          <w:tcPr>
            <w:tcW w:w="1646" w:type="dxa"/>
            <w:noWrap/>
            <w:vAlign w:val="bottom"/>
            <w:hideMark/>
          </w:tcPr>
          <w:p w14:paraId="1A74E587"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6,6</w:t>
            </w:r>
          </w:p>
        </w:tc>
        <w:tc>
          <w:tcPr>
            <w:tcW w:w="1808" w:type="dxa"/>
            <w:noWrap/>
            <w:vAlign w:val="bottom"/>
            <w:hideMark/>
          </w:tcPr>
          <w:p w14:paraId="11963421"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15,0</w:t>
            </w:r>
          </w:p>
        </w:tc>
        <w:tc>
          <w:tcPr>
            <w:tcW w:w="2037" w:type="dxa"/>
            <w:noWrap/>
            <w:vAlign w:val="bottom"/>
          </w:tcPr>
          <w:p w14:paraId="4A5A8AED"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12,1</w:t>
            </w:r>
          </w:p>
        </w:tc>
        <w:tc>
          <w:tcPr>
            <w:tcW w:w="1590" w:type="dxa"/>
            <w:noWrap/>
            <w:vAlign w:val="bottom"/>
          </w:tcPr>
          <w:p w14:paraId="0E907962"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7,8</w:t>
            </w:r>
          </w:p>
        </w:tc>
      </w:tr>
      <w:tr w:rsidR="005918FD" w:rsidRPr="000939E3" w14:paraId="65DFC13E" w14:textId="77777777" w:rsidTr="00525B21">
        <w:trPr>
          <w:trHeight w:val="28"/>
        </w:trPr>
        <w:tc>
          <w:tcPr>
            <w:tcW w:w="1972" w:type="dxa"/>
            <w:noWrap/>
            <w:hideMark/>
          </w:tcPr>
          <w:p w14:paraId="66BA8EF1"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Vysokoškolské</w:t>
            </w:r>
          </w:p>
        </w:tc>
        <w:tc>
          <w:tcPr>
            <w:tcW w:w="1646" w:type="dxa"/>
            <w:noWrap/>
            <w:vAlign w:val="bottom"/>
            <w:hideMark/>
          </w:tcPr>
          <w:p w14:paraId="1E0A9C9A"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16,0</w:t>
            </w:r>
          </w:p>
        </w:tc>
        <w:tc>
          <w:tcPr>
            <w:tcW w:w="1808" w:type="dxa"/>
            <w:noWrap/>
            <w:vAlign w:val="bottom"/>
            <w:hideMark/>
          </w:tcPr>
          <w:p w14:paraId="18268CC0"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12,4</w:t>
            </w:r>
          </w:p>
        </w:tc>
        <w:tc>
          <w:tcPr>
            <w:tcW w:w="2037" w:type="dxa"/>
            <w:noWrap/>
            <w:vAlign w:val="bottom"/>
          </w:tcPr>
          <w:p w14:paraId="19F25C32"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16,8</w:t>
            </w:r>
          </w:p>
        </w:tc>
        <w:tc>
          <w:tcPr>
            <w:tcW w:w="1590" w:type="dxa"/>
            <w:noWrap/>
            <w:vAlign w:val="bottom"/>
          </w:tcPr>
          <w:p w14:paraId="01C7B7B8"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11,5</w:t>
            </w:r>
          </w:p>
        </w:tc>
      </w:tr>
      <w:tr w:rsidR="005918FD" w:rsidRPr="000939E3" w14:paraId="07B3E32A" w14:textId="77777777" w:rsidTr="00525B21">
        <w:trPr>
          <w:trHeight w:val="28"/>
        </w:trPr>
        <w:tc>
          <w:tcPr>
            <w:tcW w:w="1972" w:type="dxa"/>
            <w:tcBorders>
              <w:top w:val="dashed" w:sz="2" w:space="0" w:color="auto"/>
            </w:tcBorders>
            <w:noWrap/>
            <w:hideMark/>
          </w:tcPr>
          <w:p w14:paraId="54055897" w14:textId="77777777" w:rsidR="005918FD" w:rsidRPr="000939E3" w:rsidRDefault="005918FD" w:rsidP="005918FD">
            <w:pPr>
              <w:spacing w:after="0"/>
              <w:contextualSpacing/>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Plat pred zmenou</w:t>
            </w:r>
          </w:p>
        </w:tc>
        <w:tc>
          <w:tcPr>
            <w:tcW w:w="1646" w:type="dxa"/>
            <w:tcBorders>
              <w:top w:val="dashed" w:sz="2" w:space="0" w:color="auto"/>
            </w:tcBorders>
            <w:noWrap/>
            <w:vAlign w:val="bottom"/>
            <w:hideMark/>
          </w:tcPr>
          <w:p w14:paraId="6C248D5E" w14:textId="62A7BC45" w:rsidR="005918FD" w:rsidRPr="000939E3" w:rsidRDefault="005918FD" w:rsidP="00F41BEB">
            <w:pPr>
              <w:spacing w:after="0"/>
              <w:contextualSpacing/>
              <w:jc w:val="center"/>
              <w:rPr>
                <w:rFonts w:eastAsia="Times New Roman" w:cs="Times New Roman"/>
                <w:color w:val="000000"/>
                <w:sz w:val="20"/>
                <w:szCs w:val="20"/>
                <w:lang w:eastAsia="sk-SK"/>
              </w:rPr>
            </w:pPr>
          </w:p>
        </w:tc>
        <w:tc>
          <w:tcPr>
            <w:tcW w:w="1808" w:type="dxa"/>
            <w:tcBorders>
              <w:top w:val="dashed" w:sz="2" w:space="0" w:color="auto"/>
            </w:tcBorders>
            <w:noWrap/>
            <w:vAlign w:val="bottom"/>
            <w:hideMark/>
          </w:tcPr>
          <w:p w14:paraId="51503A4C" w14:textId="57EE9E8C" w:rsidR="005918FD" w:rsidRPr="000939E3" w:rsidRDefault="005918FD" w:rsidP="00F41BEB">
            <w:pPr>
              <w:spacing w:after="0"/>
              <w:contextualSpacing/>
              <w:jc w:val="center"/>
              <w:rPr>
                <w:rFonts w:eastAsia="Times New Roman" w:cs="Times New Roman"/>
                <w:color w:val="000000"/>
                <w:sz w:val="20"/>
                <w:szCs w:val="20"/>
                <w:lang w:eastAsia="sk-SK"/>
              </w:rPr>
            </w:pPr>
          </w:p>
        </w:tc>
        <w:tc>
          <w:tcPr>
            <w:tcW w:w="2037" w:type="dxa"/>
            <w:tcBorders>
              <w:top w:val="dashed" w:sz="2" w:space="0" w:color="auto"/>
            </w:tcBorders>
            <w:noWrap/>
            <w:vAlign w:val="bottom"/>
          </w:tcPr>
          <w:p w14:paraId="0DD945DC" w14:textId="77777777" w:rsidR="005918FD" w:rsidRPr="000939E3" w:rsidRDefault="005918FD" w:rsidP="00F41BEB">
            <w:pPr>
              <w:spacing w:after="0"/>
              <w:contextualSpacing/>
              <w:jc w:val="center"/>
              <w:rPr>
                <w:rFonts w:eastAsia="Times New Roman" w:cs="Times New Roman"/>
                <w:color w:val="000000"/>
                <w:sz w:val="20"/>
                <w:szCs w:val="20"/>
                <w:lang w:eastAsia="sk-SK"/>
              </w:rPr>
            </w:pPr>
          </w:p>
        </w:tc>
        <w:tc>
          <w:tcPr>
            <w:tcW w:w="1590" w:type="dxa"/>
            <w:tcBorders>
              <w:top w:val="dashed" w:sz="2" w:space="0" w:color="auto"/>
            </w:tcBorders>
            <w:noWrap/>
            <w:vAlign w:val="bottom"/>
          </w:tcPr>
          <w:p w14:paraId="6359D100" w14:textId="77777777" w:rsidR="005918FD" w:rsidRPr="000939E3" w:rsidRDefault="005918FD" w:rsidP="00F41BEB">
            <w:pPr>
              <w:spacing w:after="0"/>
              <w:contextualSpacing/>
              <w:jc w:val="center"/>
              <w:rPr>
                <w:rFonts w:eastAsia="Times New Roman" w:cs="Times New Roman"/>
                <w:color w:val="000000"/>
                <w:sz w:val="20"/>
                <w:szCs w:val="20"/>
                <w:lang w:eastAsia="sk-SK"/>
              </w:rPr>
            </w:pPr>
          </w:p>
        </w:tc>
      </w:tr>
      <w:tr w:rsidR="005918FD" w:rsidRPr="000939E3" w14:paraId="38D3B18F" w14:textId="77777777" w:rsidTr="00525B21">
        <w:trPr>
          <w:trHeight w:val="28"/>
        </w:trPr>
        <w:tc>
          <w:tcPr>
            <w:tcW w:w="1972" w:type="dxa"/>
            <w:noWrap/>
            <w:hideMark/>
          </w:tcPr>
          <w:p w14:paraId="1B1E86E5"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1. kvantil</w:t>
            </w:r>
          </w:p>
        </w:tc>
        <w:tc>
          <w:tcPr>
            <w:tcW w:w="1646" w:type="dxa"/>
            <w:noWrap/>
            <w:vAlign w:val="bottom"/>
            <w:hideMark/>
          </w:tcPr>
          <w:p w14:paraId="7D29C15A"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38,9</w:t>
            </w:r>
          </w:p>
        </w:tc>
        <w:tc>
          <w:tcPr>
            <w:tcW w:w="1808" w:type="dxa"/>
            <w:noWrap/>
            <w:vAlign w:val="bottom"/>
            <w:hideMark/>
          </w:tcPr>
          <w:p w14:paraId="45EB8272"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36,5</w:t>
            </w:r>
          </w:p>
        </w:tc>
        <w:tc>
          <w:tcPr>
            <w:tcW w:w="2037" w:type="dxa"/>
            <w:noWrap/>
            <w:vAlign w:val="bottom"/>
          </w:tcPr>
          <w:p w14:paraId="76F826DA"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34,6</w:t>
            </w:r>
          </w:p>
        </w:tc>
        <w:tc>
          <w:tcPr>
            <w:tcW w:w="1590" w:type="dxa"/>
            <w:noWrap/>
            <w:vAlign w:val="bottom"/>
          </w:tcPr>
          <w:p w14:paraId="28F7786D"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25,1</w:t>
            </w:r>
          </w:p>
        </w:tc>
      </w:tr>
      <w:tr w:rsidR="005918FD" w:rsidRPr="000939E3" w14:paraId="4783CD61" w14:textId="77777777" w:rsidTr="00525B21">
        <w:trPr>
          <w:trHeight w:val="28"/>
        </w:trPr>
        <w:tc>
          <w:tcPr>
            <w:tcW w:w="1972" w:type="dxa"/>
            <w:noWrap/>
            <w:hideMark/>
          </w:tcPr>
          <w:p w14:paraId="2C4F8B20"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2. kvantil</w:t>
            </w:r>
          </w:p>
        </w:tc>
        <w:tc>
          <w:tcPr>
            <w:tcW w:w="1646" w:type="dxa"/>
            <w:noWrap/>
            <w:vAlign w:val="bottom"/>
            <w:hideMark/>
          </w:tcPr>
          <w:p w14:paraId="02990BBE"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11,2</w:t>
            </w:r>
          </w:p>
        </w:tc>
        <w:tc>
          <w:tcPr>
            <w:tcW w:w="1808" w:type="dxa"/>
            <w:noWrap/>
            <w:vAlign w:val="bottom"/>
            <w:hideMark/>
          </w:tcPr>
          <w:p w14:paraId="44642594"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18,3</w:t>
            </w:r>
          </w:p>
        </w:tc>
        <w:tc>
          <w:tcPr>
            <w:tcW w:w="2037" w:type="dxa"/>
            <w:noWrap/>
            <w:vAlign w:val="bottom"/>
          </w:tcPr>
          <w:p w14:paraId="51028964"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14,2</w:t>
            </w:r>
          </w:p>
        </w:tc>
        <w:tc>
          <w:tcPr>
            <w:tcW w:w="1590" w:type="dxa"/>
            <w:noWrap/>
            <w:vAlign w:val="bottom"/>
          </w:tcPr>
          <w:p w14:paraId="695D9E03"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14,6</w:t>
            </w:r>
          </w:p>
        </w:tc>
      </w:tr>
      <w:tr w:rsidR="005918FD" w:rsidRPr="000939E3" w14:paraId="6C9A41E6" w14:textId="77777777" w:rsidTr="00525B21">
        <w:trPr>
          <w:trHeight w:val="28"/>
        </w:trPr>
        <w:tc>
          <w:tcPr>
            <w:tcW w:w="1972" w:type="dxa"/>
            <w:noWrap/>
            <w:hideMark/>
          </w:tcPr>
          <w:p w14:paraId="266AD87C"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3. kvantil</w:t>
            </w:r>
          </w:p>
        </w:tc>
        <w:tc>
          <w:tcPr>
            <w:tcW w:w="1646" w:type="dxa"/>
            <w:noWrap/>
            <w:vAlign w:val="bottom"/>
            <w:hideMark/>
          </w:tcPr>
          <w:p w14:paraId="6BFFC325"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-0,1</w:t>
            </w:r>
          </w:p>
        </w:tc>
        <w:tc>
          <w:tcPr>
            <w:tcW w:w="1808" w:type="dxa"/>
            <w:noWrap/>
            <w:vAlign w:val="bottom"/>
            <w:hideMark/>
          </w:tcPr>
          <w:p w14:paraId="4DEE41D3"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10,0</w:t>
            </w:r>
          </w:p>
        </w:tc>
        <w:tc>
          <w:tcPr>
            <w:tcW w:w="2037" w:type="dxa"/>
            <w:noWrap/>
            <w:vAlign w:val="bottom"/>
          </w:tcPr>
          <w:p w14:paraId="48601E55"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7,8</w:t>
            </w:r>
          </w:p>
        </w:tc>
        <w:tc>
          <w:tcPr>
            <w:tcW w:w="1590" w:type="dxa"/>
            <w:noWrap/>
            <w:vAlign w:val="bottom"/>
          </w:tcPr>
          <w:p w14:paraId="2A788530"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10,9</w:t>
            </w:r>
          </w:p>
        </w:tc>
      </w:tr>
      <w:tr w:rsidR="005918FD" w:rsidRPr="000939E3" w14:paraId="0AC883D4" w14:textId="77777777" w:rsidTr="00525B21">
        <w:trPr>
          <w:trHeight w:val="28"/>
        </w:trPr>
        <w:tc>
          <w:tcPr>
            <w:tcW w:w="1972" w:type="dxa"/>
            <w:noWrap/>
            <w:hideMark/>
          </w:tcPr>
          <w:p w14:paraId="74DF0EFC"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4. kvantil</w:t>
            </w:r>
          </w:p>
        </w:tc>
        <w:tc>
          <w:tcPr>
            <w:tcW w:w="1646" w:type="dxa"/>
            <w:noWrap/>
            <w:vAlign w:val="bottom"/>
            <w:hideMark/>
          </w:tcPr>
          <w:p w14:paraId="2C4ED242"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-6,1</w:t>
            </w:r>
          </w:p>
        </w:tc>
        <w:tc>
          <w:tcPr>
            <w:tcW w:w="1808" w:type="dxa"/>
            <w:noWrap/>
            <w:vAlign w:val="bottom"/>
            <w:hideMark/>
          </w:tcPr>
          <w:p w14:paraId="66E4F96D"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1,3</w:t>
            </w:r>
          </w:p>
        </w:tc>
        <w:tc>
          <w:tcPr>
            <w:tcW w:w="2037" w:type="dxa"/>
            <w:noWrap/>
            <w:vAlign w:val="bottom"/>
          </w:tcPr>
          <w:p w14:paraId="7941C76D"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5,3</w:t>
            </w:r>
          </w:p>
        </w:tc>
        <w:tc>
          <w:tcPr>
            <w:tcW w:w="1590" w:type="dxa"/>
            <w:noWrap/>
            <w:vAlign w:val="bottom"/>
          </w:tcPr>
          <w:p w14:paraId="6B8C91F6"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7,7</w:t>
            </w:r>
          </w:p>
        </w:tc>
      </w:tr>
      <w:tr w:rsidR="005918FD" w:rsidRPr="000939E3" w14:paraId="02F3E583" w14:textId="77777777" w:rsidTr="00525B21">
        <w:trPr>
          <w:trHeight w:val="28"/>
        </w:trPr>
        <w:tc>
          <w:tcPr>
            <w:tcW w:w="1972" w:type="dxa"/>
            <w:tcBorders>
              <w:bottom w:val="single" w:sz="4" w:space="0" w:color="auto"/>
            </w:tcBorders>
            <w:noWrap/>
            <w:hideMark/>
          </w:tcPr>
          <w:p w14:paraId="4976206D" w14:textId="77777777" w:rsidR="005918FD" w:rsidRPr="000939E3" w:rsidRDefault="005918FD" w:rsidP="005918FD">
            <w:pPr>
              <w:spacing w:after="0"/>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5. kvantil</w:t>
            </w:r>
          </w:p>
        </w:tc>
        <w:tc>
          <w:tcPr>
            <w:tcW w:w="1646" w:type="dxa"/>
            <w:tcBorders>
              <w:bottom w:val="single" w:sz="4" w:space="0" w:color="auto"/>
            </w:tcBorders>
            <w:noWrap/>
            <w:vAlign w:val="bottom"/>
            <w:hideMark/>
          </w:tcPr>
          <w:p w14:paraId="53C6C937"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-10,3</w:t>
            </w:r>
          </w:p>
        </w:tc>
        <w:tc>
          <w:tcPr>
            <w:tcW w:w="1808" w:type="dxa"/>
            <w:tcBorders>
              <w:bottom w:val="single" w:sz="4" w:space="0" w:color="auto"/>
            </w:tcBorders>
            <w:noWrap/>
            <w:vAlign w:val="bottom"/>
            <w:hideMark/>
          </w:tcPr>
          <w:p w14:paraId="0C223819"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-2,1</w:t>
            </w:r>
          </w:p>
        </w:tc>
        <w:tc>
          <w:tcPr>
            <w:tcW w:w="2037" w:type="dxa"/>
            <w:tcBorders>
              <w:bottom w:val="single" w:sz="4" w:space="0" w:color="auto"/>
            </w:tcBorders>
            <w:noWrap/>
            <w:vAlign w:val="bottom"/>
          </w:tcPr>
          <w:p w14:paraId="17CEC6E4"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5,2</w:t>
            </w:r>
          </w:p>
        </w:tc>
        <w:tc>
          <w:tcPr>
            <w:tcW w:w="1590" w:type="dxa"/>
            <w:tcBorders>
              <w:bottom w:val="single" w:sz="4" w:space="0" w:color="auto"/>
            </w:tcBorders>
            <w:noWrap/>
            <w:vAlign w:val="bottom"/>
          </w:tcPr>
          <w:p w14:paraId="72B0C7F5" w14:textId="77777777" w:rsidR="005918FD" w:rsidRPr="000939E3" w:rsidRDefault="005918FD" w:rsidP="00F41BEB">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0,7</w:t>
            </w:r>
          </w:p>
        </w:tc>
      </w:tr>
      <w:tr w:rsidR="005918FD" w:rsidRPr="000939E3" w14:paraId="2D59DDBA" w14:textId="77777777" w:rsidTr="00525B21">
        <w:trPr>
          <w:trHeight w:val="28"/>
        </w:trPr>
        <w:tc>
          <w:tcPr>
            <w:tcW w:w="1972" w:type="dxa"/>
          </w:tcPr>
          <w:p w14:paraId="61B88E75" w14:textId="77777777" w:rsidR="005918FD" w:rsidRPr="000939E3" w:rsidRDefault="005918FD" w:rsidP="005918FD">
            <w:pPr>
              <w:spacing w:after="0"/>
              <w:contextualSpacing/>
              <w:rPr>
                <w:sz w:val="20"/>
                <w:szCs w:val="20"/>
              </w:rPr>
            </w:pPr>
          </w:p>
        </w:tc>
        <w:tc>
          <w:tcPr>
            <w:tcW w:w="1646" w:type="dxa"/>
          </w:tcPr>
          <w:p w14:paraId="003DFD5F" w14:textId="77777777" w:rsidR="005918FD" w:rsidRPr="000939E3" w:rsidRDefault="005918FD" w:rsidP="005918FD">
            <w:pPr>
              <w:spacing w:after="0"/>
              <w:contextualSpacing/>
              <w:rPr>
                <w:sz w:val="20"/>
                <w:szCs w:val="20"/>
              </w:rPr>
            </w:pPr>
          </w:p>
        </w:tc>
        <w:tc>
          <w:tcPr>
            <w:tcW w:w="1808" w:type="dxa"/>
          </w:tcPr>
          <w:p w14:paraId="652DC7FA" w14:textId="77777777" w:rsidR="005918FD" w:rsidRPr="000939E3" w:rsidRDefault="005918FD" w:rsidP="005918FD">
            <w:pPr>
              <w:spacing w:after="0"/>
              <w:contextualSpacing/>
              <w:rPr>
                <w:sz w:val="20"/>
                <w:szCs w:val="20"/>
              </w:rPr>
            </w:pPr>
          </w:p>
        </w:tc>
        <w:tc>
          <w:tcPr>
            <w:tcW w:w="3628" w:type="dxa"/>
            <w:gridSpan w:val="2"/>
          </w:tcPr>
          <w:p w14:paraId="285DB0F1" w14:textId="77777777" w:rsidR="005918FD" w:rsidRPr="000939E3" w:rsidRDefault="005918FD" w:rsidP="005918FD">
            <w:pPr>
              <w:spacing w:after="0"/>
              <w:contextualSpacing/>
              <w:jc w:val="right"/>
              <w:rPr>
                <w:i/>
                <w:sz w:val="18"/>
                <w:szCs w:val="20"/>
              </w:rPr>
            </w:pPr>
            <w:r w:rsidRPr="000939E3">
              <w:rPr>
                <w:i/>
                <w:sz w:val="18"/>
                <w:szCs w:val="20"/>
              </w:rPr>
              <w:t>Zdroj: prepočty ÚHP</w:t>
            </w:r>
          </w:p>
        </w:tc>
      </w:tr>
    </w:tbl>
    <w:p w14:paraId="10F00919" w14:textId="77777777" w:rsidR="005918FD" w:rsidRPr="000939E3" w:rsidRDefault="005918FD" w:rsidP="00525B21">
      <w:pPr>
        <w:spacing w:before="240"/>
      </w:pPr>
      <w:r w:rsidRPr="000939E3">
        <w:rPr>
          <w:b/>
        </w:rPr>
        <w:lastRenderedPageBreak/>
        <w:t xml:space="preserve">Prestup do súkromného sektora bol tiež výhodnejší pre mladých zamestnancov, vo vekovej skupine 18 až 24 ročných bol nárast pri prestupe do súkromného sektora skoro štvrtinový (23 % vs. 11 %). </w:t>
      </w:r>
      <w:r w:rsidRPr="000939E3">
        <w:t xml:space="preserve">Príčinou môžu byť opäť tabuľkové platy vo verejnom sektore, kde na rozdiel od súkromného sektora mzda rastie s praxou síce pomaly, ale stabilne. </w:t>
      </w:r>
    </w:p>
    <w:p w14:paraId="6399C5CB" w14:textId="77777777" w:rsidR="005918FD" w:rsidRPr="000939E3" w:rsidRDefault="005918FD" w:rsidP="005918FD">
      <w:pPr>
        <w:rPr>
          <w:b/>
        </w:rPr>
      </w:pPr>
      <w:r w:rsidRPr="000939E3">
        <w:rPr>
          <w:b/>
        </w:rPr>
        <w:t>Stredoškolsky vzdelaným zamestnancom sa mzda zvýšila pri prestupe do súkromného sektora výrazne viac (o 15 %) ako pri prestupe opačným smerom (6,6 %).</w:t>
      </w:r>
      <w:r w:rsidRPr="000939E3">
        <w:t xml:space="preserve"> Prestup do súkromného sektora bol oproti prestupu opačným smerom výhodnejší pre všetkých okrem 20 % najlepšie zarábajúcich</w:t>
      </w:r>
      <w:r w:rsidRPr="000939E3">
        <w:rPr>
          <w:rStyle w:val="Odkaznapoznmkupodiarou"/>
        </w:rPr>
        <w:footnoteReference w:id="66"/>
      </w:r>
      <w:r w:rsidRPr="000939E3">
        <w:t xml:space="preserve">. </w:t>
      </w:r>
    </w:p>
    <w:p w14:paraId="1D45E20D" w14:textId="77777777" w:rsidR="005918FD" w:rsidRPr="000939E3" w:rsidRDefault="005918FD" w:rsidP="005918FD">
      <w:pPr>
        <w:spacing w:before="240"/>
        <w:rPr>
          <w:b/>
          <w:szCs w:val="20"/>
        </w:rPr>
      </w:pPr>
      <w:r w:rsidRPr="000939E3">
        <w:rPr>
          <w:b/>
        </w:rPr>
        <w:t>Spomedzi zamestnancov, ktorí zmenili sektor, smerom zo súkromného do verejného sektora prestupovali zväčša ženy a starší ľudia, zatiaľ čo muži a mladší ľudia prestupovali vo väčšej miere opačným smerom</w:t>
      </w:r>
      <w:r w:rsidRPr="000939E3">
        <w:rPr>
          <w:rStyle w:val="Odkaznapoznmkupodiarou"/>
          <w:b/>
        </w:rPr>
        <w:footnoteReference w:id="67"/>
      </w:r>
      <w:r w:rsidRPr="000939E3">
        <w:rPr>
          <w:b/>
        </w:rPr>
        <w:t>.</w:t>
      </w:r>
      <w:r w:rsidRPr="000939E3" w:rsidDel="00A7719F">
        <w:rPr>
          <w:b/>
        </w:rPr>
        <w:t xml:space="preserve"> </w:t>
      </w:r>
      <w:r w:rsidRPr="000939E3">
        <w:t>Výška mzdy v predošlej práci nemala na smer zmeny žiaden vplyv. Po zohľadnení pohlavia, veku, a mzdy pred zmenou mali vysokoškolsky vzdelaní ľudia v porovnaní s ľuďmi so stredoškolským vzdelaním väčšiu pravdepodobnosť prestupu z verejného do súkromného sektora ako opačne.</w:t>
      </w:r>
      <w:r w:rsidRPr="000939E3">
        <w:rPr>
          <w:b/>
          <w:szCs w:val="20"/>
        </w:rPr>
        <w:t xml:space="preserve"> </w:t>
      </w:r>
    </w:p>
    <w:p w14:paraId="69F1B84B" w14:textId="1CFDD661" w:rsidR="0004409E" w:rsidRPr="000939E3" w:rsidRDefault="005918FD" w:rsidP="005918FD">
      <w:pPr>
        <w:rPr>
          <w:szCs w:val="20"/>
        </w:rPr>
      </w:pPr>
      <w:r w:rsidRPr="000939E3">
        <w:rPr>
          <w:b/>
          <w:szCs w:val="20"/>
        </w:rPr>
        <w:t>Nefinančné benefity môžu pomôcť vysvetliť, prečo ženy vo väčšej miere uprednostňujú prácu vo verejnom sektore, zatiaľ čo finančná výhoda prestupu z verejného do súkromného sektora môže pomôcť vysvetliť, prečo muži zväčša pôsobia v súkromnom sektore.</w:t>
      </w:r>
      <w:r w:rsidRPr="000939E3">
        <w:rPr>
          <w:szCs w:val="20"/>
        </w:rPr>
        <w:t xml:space="preserve"> Pri súčasnej deľbe rodových úloh na Slovensku predstavujú nefinančné benefity práce vo verejnom sektore (flexibilný pracovný čas, stabilita pracovného miesta, viac dovolenky, menší tlak na prácu cez víkendy či v noci a iné) väčší benefit pre ženy ako pre mužov. Ženy tiež vo väčšej miere pracujú v odvetviach, kde mzdu aj v súkromnom sektore reguluje či vo veľkej miere ovplyvňuje štát (školstvo, zdravotníctvo).</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062"/>
      </w:tblGrid>
      <w:tr w:rsidR="005918FD" w:rsidRPr="000939E3" w14:paraId="40574272" w14:textId="77777777" w:rsidTr="0040330D">
        <w:tc>
          <w:tcPr>
            <w:tcW w:w="9062" w:type="dxa"/>
            <w:shd w:val="clear" w:color="auto" w:fill="BDD6EE" w:themeFill="accent1" w:themeFillTint="66"/>
          </w:tcPr>
          <w:p w14:paraId="37D0D146" w14:textId="3E99701E" w:rsidR="005918FD" w:rsidRPr="000939E3" w:rsidRDefault="00C6221A" w:rsidP="005918FD">
            <w:pPr>
              <w:rPr>
                <w:szCs w:val="20"/>
              </w:rPr>
            </w:pPr>
            <w:bookmarkStart w:id="183" w:name="_Ref529453851"/>
            <w:r w:rsidRPr="000939E3">
              <w:rPr>
                <w:b/>
              </w:rPr>
              <w:t xml:space="preserve">Box </w:t>
            </w:r>
            <w:r w:rsidRPr="000939E3">
              <w:rPr>
                <w:b/>
              </w:rPr>
              <w:fldChar w:fldCharType="begin"/>
            </w:r>
            <w:r w:rsidRPr="000939E3">
              <w:rPr>
                <w:b/>
              </w:rPr>
              <w:instrText xml:space="preserve"> SEQ Box \* ARABIC </w:instrText>
            </w:r>
            <w:r w:rsidRPr="000939E3">
              <w:rPr>
                <w:b/>
              </w:rPr>
              <w:fldChar w:fldCharType="separate"/>
            </w:r>
            <w:r w:rsidR="00BF69CA">
              <w:rPr>
                <w:b/>
                <w:noProof/>
              </w:rPr>
              <w:t>8</w:t>
            </w:r>
            <w:r w:rsidRPr="000939E3">
              <w:rPr>
                <w:b/>
              </w:rPr>
              <w:fldChar w:fldCharType="end"/>
            </w:r>
            <w:bookmarkEnd w:id="183"/>
            <w:r w:rsidRPr="000939E3">
              <w:rPr>
                <w:b/>
              </w:rPr>
              <w:t>: Dáta a metóda</w:t>
            </w:r>
          </w:p>
          <w:p w14:paraId="01862F38" w14:textId="35CDC6E0" w:rsidR="00C6221A" w:rsidRPr="000939E3" w:rsidRDefault="00C6221A" w:rsidP="00563E5A">
            <w:pPr>
              <w:contextualSpacing/>
            </w:pPr>
            <w:r w:rsidRPr="000939E3">
              <w:t>Analýzu atraktivity povolania vo verejnom sektore pre rozličné socio-demografické skupiny umožňuje sledovanie odchodov a príchodov zamestnancov do verejného sektora. Pozorovanie na úrovni jednotlivca umožňuje porovnať mzdový diferenciál sektorov pri rovnak</w:t>
            </w:r>
            <w:r w:rsidR="00C42FDA" w:rsidRPr="000939E3">
              <w:t xml:space="preserve">om súbore </w:t>
            </w:r>
            <w:r w:rsidRPr="000939E3">
              <w:t>zručností, skúseností, vzdelania atď</w:t>
            </w:r>
            <w:r w:rsidR="0016215C" w:rsidRPr="000939E3">
              <w:t>.</w:t>
            </w:r>
            <w:r w:rsidRPr="000939E3">
              <w:t>, ktoré sa náhle nemenia. Administratívne dáta však nezachytávajú, či zamestnanec naďalej pracuje na podobnej pracovnej pozícii alebo v</w:t>
            </w:r>
            <w:r w:rsidR="0016215C" w:rsidRPr="000939E3">
              <w:t> </w:t>
            </w:r>
            <w:r w:rsidRPr="000939E3">
              <w:t>rovnakom regióne. Rovnako sa nedajú kontrolovať iné možné zmeny, počet odpracovaných hodín, lepšie pracovné podmienky, či subjektívne zaujímavejšia práca.</w:t>
            </w:r>
          </w:p>
          <w:p w14:paraId="13CE1698" w14:textId="77777777" w:rsidR="00C6221A" w:rsidRPr="000939E3" w:rsidRDefault="00C6221A" w:rsidP="00563E5A">
            <w:pPr>
              <w:contextualSpacing/>
            </w:pPr>
          </w:p>
          <w:p w14:paraId="64456EE1" w14:textId="77777777" w:rsidR="00C6221A" w:rsidRPr="000939E3" w:rsidRDefault="00C6221A" w:rsidP="00563E5A">
            <w:pPr>
              <w:contextualSpacing/>
            </w:pPr>
            <w:r w:rsidRPr="000939E3">
              <w:t>Podrobnejšie informácie:</w:t>
            </w:r>
          </w:p>
          <w:p w14:paraId="655B329E" w14:textId="20E042B5" w:rsidR="00C6221A" w:rsidRPr="000939E3" w:rsidRDefault="00C6221A" w:rsidP="00B41924">
            <w:pPr>
              <w:pStyle w:val="Odsekzoznamu"/>
              <w:numPr>
                <w:ilvl w:val="0"/>
                <w:numId w:val="21"/>
              </w:numPr>
              <w:jc w:val="both"/>
            </w:pPr>
            <w:r w:rsidRPr="000939E3">
              <w:t>Dáta pochádzajú z</w:t>
            </w:r>
            <w:r w:rsidR="0016215C" w:rsidRPr="000939E3">
              <w:t> </w:t>
            </w:r>
            <w:r w:rsidRPr="000939E3">
              <w:t>rôznych administratívnych zdrojov (Sociálna poisťovňa, Register fyzických osôb, Register organizácií a</w:t>
            </w:r>
            <w:r w:rsidR="0016215C" w:rsidRPr="000939E3">
              <w:t> </w:t>
            </w:r>
            <w:r w:rsidRPr="000939E3">
              <w:t>iných);</w:t>
            </w:r>
          </w:p>
          <w:p w14:paraId="117CDEFF" w14:textId="3EF33575" w:rsidR="00C6221A" w:rsidRPr="000939E3" w:rsidRDefault="00C6221A" w:rsidP="00B41924">
            <w:pPr>
              <w:pStyle w:val="Odsekzoznamu"/>
              <w:numPr>
                <w:ilvl w:val="0"/>
                <w:numId w:val="21"/>
              </w:numPr>
              <w:jc w:val="both"/>
            </w:pPr>
            <w:r w:rsidRPr="000939E3">
              <w:t>Vzorka zahŕňa údaje o</w:t>
            </w:r>
            <w:r w:rsidR="0016215C" w:rsidRPr="000939E3">
              <w:t> </w:t>
            </w:r>
            <w:r w:rsidRPr="000939E3">
              <w:t>tých zamestnancoch, ktorí v</w:t>
            </w:r>
            <w:r w:rsidR="0016215C" w:rsidRPr="000939E3">
              <w:t> </w:t>
            </w:r>
            <w:r w:rsidRPr="000939E3">
              <w:t>roku 2015-2017 zmenili zamestnávateľa;</w:t>
            </w:r>
          </w:p>
          <w:p w14:paraId="7650B403" w14:textId="34A1F300" w:rsidR="00C6221A" w:rsidRPr="000939E3" w:rsidRDefault="00C6221A" w:rsidP="00B41924">
            <w:pPr>
              <w:pStyle w:val="Odsekzoznamu"/>
              <w:numPr>
                <w:ilvl w:val="0"/>
                <w:numId w:val="21"/>
              </w:numPr>
              <w:jc w:val="both"/>
            </w:pPr>
            <w:r w:rsidRPr="000939E3">
              <w:t>Príslušnosť ku verejnému a</w:t>
            </w:r>
            <w:r w:rsidR="0016215C" w:rsidRPr="000939E3">
              <w:t> </w:t>
            </w:r>
            <w:r w:rsidRPr="000939E3">
              <w:t>súkromnému sektoru je určená na základe údajov o</w:t>
            </w:r>
            <w:r w:rsidR="0016215C" w:rsidRPr="000939E3">
              <w:t> </w:t>
            </w:r>
            <w:r w:rsidRPr="000939E3">
              <w:t>vlastníctve v</w:t>
            </w:r>
            <w:r w:rsidR="0016215C" w:rsidRPr="000939E3">
              <w:t> </w:t>
            </w:r>
            <w:r w:rsidRPr="000939E3">
              <w:t>Registri organizácií</w:t>
            </w:r>
            <w:r w:rsidRPr="000939E3">
              <w:rPr>
                <w:sz w:val="24"/>
              </w:rPr>
              <w:t xml:space="preserve"> </w:t>
            </w:r>
            <w:r w:rsidRPr="000939E3">
              <w:t>– štátne a</w:t>
            </w:r>
            <w:r w:rsidR="0016215C" w:rsidRPr="000939E3">
              <w:t> </w:t>
            </w:r>
            <w:r w:rsidRPr="000939E3">
              <w:t>samosprávne vlastníctvo ako verejný sektor, iné vlastníctvo ako súkromný sektor;</w:t>
            </w:r>
          </w:p>
          <w:p w14:paraId="3B3B349B" w14:textId="0EFB524E" w:rsidR="00C6221A" w:rsidRPr="000939E3" w:rsidRDefault="00C6221A" w:rsidP="00B41924">
            <w:pPr>
              <w:pStyle w:val="Odsekzoznamu"/>
              <w:numPr>
                <w:ilvl w:val="0"/>
                <w:numId w:val="21"/>
              </w:numPr>
              <w:jc w:val="both"/>
            </w:pPr>
            <w:r w:rsidRPr="000939E3">
              <w:t>Z</w:t>
            </w:r>
            <w:r w:rsidR="0016215C" w:rsidRPr="000939E3">
              <w:t> </w:t>
            </w:r>
            <w:r w:rsidRPr="000939E3">
              <w:t>porovnávania boli vyňatí ľudia, ktorí mali iný pracovný pomer ako „zamestnanec“, ľudia, ktorí mali viac ako dva súbežné pracovné pomery, a</w:t>
            </w:r>
            <w:r w:rsidR="0016215C" w:rsidRPr="000939E3">
              <w:t> </w:t>
            </w:r>
            <w:r w:rsidRPr="000939E3">
              <w:t>ľudia, ktorých maximálny denný vymeriavací základ zodpovedal nižšej mzde ako bola minimálna mzda v</w:t>
            </w:r>
            <w:r w:rsidR="0016215C" w:rsidRPr="000939E3">
              <w:t> </w:t>
            </w:r>
            <w:r w:rsidRPr="000939E3">
              <w:t>danom mesiaci;</w:t>
            </w:r>
          </w:p>
          <w:p w14:paraId="6BEB145F" w14:textId="2042A9B0" w:rsidR="00C6221A" w:rsidRPr="000939E3" w:rsidRDefault="00C6221A" w:rsidP="00B41924">
            <w:pPr>
              <w:pStyle w:val="Odsekzoznamu"/>
              <w:numPr>
                <w:ilvl w:val="0"/>
                <w:numId w:val="21"/>
              </w:numPr>
              <w:jc w:val="both"/>
            </w:pPr>
            <w:r w:rsidRPr="000939E3">
              <w:lastRenderedPageBreak/>
              <w:t>Pre porovnanie boli použité iba tie zmeny zamestnávateľa, kde boli dostupné mzdové dáta za celé sledované obdobie (teda 3 mesiace resp. rok pred posledným mesiacom v</w:t>
            </w:r>
            <w:r w:rsidR="0016215C" w:rsidRPr="000939E3">
              <w:t> </w:t>
            </w:r>
            <w:r w:rsidRPr="000939E3">
              <w:t>starej práci a</w:t>
            </w:r>
            <w:r w:rsidR="0016215C" w:rsidRPr="000939E3">
              <w:t> </w:t>
            </w:r>
            <w:r w:rsidRPr="000939E3">
              <w:t>3 mesiace resp. rok po prvom mesiaci v</w:t>
            </w:r>
            <w:r w:rsidR="0016215C" w:rsidRPr="000939E3">
              <w:t> </w:t>
            </w:r>
            <w:r w:rsidRPr="000939E3">
              <w:t>novej práci);</w:t>
            </w:r>
          </w:p>
          <w:p w14:paraId="6D02D85A" w14:textId="2518F51A" w:rsidR="00C6221A" w:rsidRPr="000939E3" w:rsidRDefault="00C6221A" w:rsidP="00B41924">
            <w:pPr>
              <w:pStyle w:val="Odsekzoznamu"/>
              <w:numPr>
                <w:ilvl w:val="0"/>
                <w:numId w:val="21"/>
              </w:numPr>
              <w:jc w:val="both"/>
            </w:pPr>
            <w:r w:rsidRPr="000939E3">
              <w:t>Vylúčení boli tí, u</w:t>
            </w:r>
            <w:r w:rsidR="0016215C" w:rsidRPr="000939E3">
              <w:t> </w:t>
            </w:r>
            <w:r w:rsidRPr="000939E3">
              <w:t>ktorých medzera medzi ukončením jedného pomeru a</w:t>
            </w:r>
            <w:r w:rsidR="0016215C" w:rsidRPr="000939E3">
              <w:t> </w:t>
            </w:r>
            <w:r w:rsidRPr="000939E3">
              <w:t>začatím druhého trvala viac ako tri mesiace;</w:t>
            </w:r>
          </w:p>
          <w:p w14:paraId="6F0C0488" w14:textId="359474D9" w:rsidR="00C6221A" w:rsidRPr="000939E3" w:rsidRDefault="00C6221A" w:rsidP="00B41924">
            <w:pPr>
              <w:pStyle w:val="Odsekzoznamu"/>
              <w:numPr>
                <w:ilvl w:val="0"/>
                <w:numId w:val="21"/>
              </w:numPr>
              <w:jc w:val="both"/>
            </w:pPr>
            <w:r w:rsidRPr="000939E3">
              <w:t>V</w:t>
            </w:r>
            <w:r w:rsidR="0016215C" w:rsidRPr="000939E3">
              <w:t> </w:t>
            </w:r>
            <w:r w:rsidRPr="000939E3">
              <w:t>prípadoch, kde existovali dva súbežné pracovné pomery, bola ako zmena zamestnávateľa definovaná zmena hlavného zamestnávateľa, kde hlavný zamestnávateľ poskytuje aspoň 75 percent celkovej mesačnej mzdy daného zamestnanca v</w:t>
            </w:r>
            <w:r w:rsidR="0016215C" w:rsidRPr="000939E3">
              <w:t> </w:t>
            </w:r>
            <w:r w:rsidRPr="000939E3">
              <w:t>každom mesiaci v</w:t>
            </w:r>
            <w:r w:rsidR="0016215C" w:rsidRPr="000939E3">
              <w:t> </w:t>
            </w:r>
            <w:r w:rsidRPr="000939E3">
              <w:t>roku pred zmenou a</w:t>
            </w:r>
            <w:r w:rsidR="0016215C" w:rsidRPr="000939E3">
              <w:t> </w:t>
            </w:r>
            <w:r w:rsidRPr="000939E3">
              <w:t>po zmene;</w:t>
            </w:r>
          </w:p>
          <w:p w14:paraId="5C619133" w14:textId="77777777" w:rsidR="00C6221A" w:rsidRPr="000939E3" w:rsidRDefault="00C6221A" w:rsidP="00B41924">
            <w:pPr>
              <w:pStyle w:val="Odsekzoznamu"/>
              <w:numPr>
                <w:ilvl w:val="0"/>
                <w:numId w:val="21"/>
              </w:numPr>
              <w:jc w:val="both"/>
            </w:pPr>
            <w:r w:rsidRPr="000939E3">
              <w:t>Skúmaná je priemerná hrubá denná mzda zamestnanca počas daného obdobia;</w:t>
            </w:r>
          </w:p>
          <w:p w14:paraId="60D898F2" w14:textId="7E1F752C" w:rsidR="001D4C20" w:rsidRPr="000939E3" w:rsidRDefault="001D4C20" w:rsidP="00B41924">
            <w:pPr>
              <w:pStyle w:val="Odsekzoznamu"/>
              <w:numPr>
                <w:ilvl w:val="0"/>
                <w:numId w:val="21"/>
              </w:numPr>
              <w:jc w:val="both"/>
            </w:pPr>
            <w:r w:rsidRPr="000939E3">
              <w:t>Kompletné výsledky pre obe analýzy sú uvedené v</w:t>
            </w:r>
            <w:r w:rsidR="0016215C" w:rsidRPr="000939E3">
              <w:t> </w:t>
            </w:r>
            <w:r w:rsidR="000647E2" w:rsidRPr="000939E3">
              <w:fldChar w:fldCharType="begin"/>
            </w:r>
            <w:r w:rsidR="000647E2" w:rsidRPr="000939E3">
              <w:instrText xml:space="preserve"> REF _Ref11754337 \h  \* MERGEFORMAT </w:instrText>
            </w:r>
            <w:r w:rsidR="000647E2" w:rsidRPr="000939E3">
              <w:fldChar w:fldCharType="separate"/>
            </w:r>
            <w:r w:rsidR="00BF69CA" w:rsidRPr="00BF69CA">
              <w:t>Príloha 11</w:t>
            </w:r>
            <w:r w:rsidR="000647E2" w:rsidRPr="000939E3">
              <w:fldChar w:fldCharType="end"/>
            </w:r>
            <w:r w:rsidR="000647E2" w:rsidRPr="000939E3">
              <w:t xml:space="preserve"> a</w:t>
            </w:r>
            <w:r w:rsidR="0016215C" w:rsidRPr="000939E3">
              <w:t> </w:t>
            </w:r>
            <w:r w:rsidR="000647E2" w:rsidRPr="000939E3">
              <w:fldChar w:fldCharType="begin"/>
            </w:r>
            <w:r w:rsidR="000647E2" w:rsidRPr="000939E3">
              <w:instrText xml:space="preserve"> REF _Ref11754343 \h  \* MERGEFORMAT </w:instrText>
            </w:r>
            <w:r w:rsidR="000647E2" w:rsidRPr="000939E3">
              <w:fldChar w:fldCharType="separate"/>
            </w:r>
            <w:r w:rsidR="00BF69CA" w:rsidRPr="000939E3">
              <w:t xml:space="preserve">Príloha </w:t>
            </w:r>
            <w:r w:rsidR="00BF69CA">
              <w:t>12</w:t>
            </w:r>
            <w:r w:rsidR="000647E2" w:rsidRPr="000939E3">
              <w:fldChar w:fldCharType="end"/>
            </w:r>
            <w:r w:rsidRPr="000939E3">
              <w:t>;</w:t>
            </w:r>
          </w:p>
          <w:p w14:paraId="4A7D3496" w14:textId="2753E4E4" w:rsidR="00C6221A" w:rsidRPr="000939E3" w:rsidRDefault="00C6221A" w:rsidP="00B41924">
            <w:pPr>
              <w:pStyle w:val="Odsekzoznamu"/>
              <w:numPr>
                <w:ilvl w:val="0"/>
                <w:numId w:val="21"/>
              </w:numPr>
              <w:jc w:val="both"/>
            </w:pPr>
            <w:r w:rsidRPr="000939E3">
              <w:t>Pravdepodobnosť smerovania zamestnanca je odhadnutá probit modelom.</w:t>
            </w:r>
          </w:p>
        </w:tc>
      </w:tr>
    </w:tbl>
    <w:p w14:paraId="75ABC28E" w14:textId="77777777" w:rsidR="005918FD" w:rsidRPr="000939E3" w:rsidRDefault="005918FD" w:rsidP="005918FD">
      <w:pPr>
        <w:rPr>
          <w:szCs w:val="20"/>
        </w:rPr>
      </w:pPr>
    </w:p>
    <w:p w14:paraId="0141BB73" w14:textId="77777777" w:rsidR="005918FD" w:rsidRPr="000939E3" w:rsidRDefault="005918FD" w:rsidP="0004409E">
      <w:pPr>
        <w:rPr>
          <w:szCs w:val="20"/>
        </w:rPr>
      </w:pPr>
    </w:p>
    <w:p w14:paraId="6F39179C" w14:textId="77777777" w:rsidR="005918FD" w:rsidRPr="000939E3" w:rsidRDefault="005918FD" w:rsidP="0004409E">
      <w:pPr>
        <w:rPr>
          <w:szCs w:val="20"/>
        </w:rPr>
      </w:pPr>
    </w:p>
    <w:p w14:paraId="57D85F5E" w14:textId="6EF4C3F3" w:rsidR="00F778F9" w:rsidRPr="000939E3" w:rsidRDefault="00F778F9" w:rsidP="00F778F9">
      <w:pPr>
        <w:pStyle w:val="Nadpis1"/>
      </w:pPr>
      <w:bookmarkStart w:id="184" w:name="_Toc524220476"/>
      <w:bookmarkStart w:id="185" w:name="_Toc34050704"/>
      <w:bookmarkStart w:id="186" w:name="_Toc517158130"/>
      <w:bookmarkEnd w:id="103"/>
      <w:bookmarkEnd w:id="104"/>
      <w:bookmarkEnd w:id="184"/>
      <w:r w:rsidRPr="000939E3">
        <w:lastRenderedPageBreak/>
        <w:t>Nástroje riadenia zamestnanosti a</w:t>
      </w:r>
      <w:r w:rsidR="0016215C" w:rsidRPr="000939E3">
        <w:t> </w:t>
      </w:r>
      <w:r w:rsidRPr="000939E3">
        <w:t>miezd vo verejnom sektore</w:t>
      </w:r>
      <w:bookmarkEnd w:id="185"/>
    </w:p>
    <w:p w14:paraId="6CE30FBF" w14:textId="1EDC357D" w:rsidR="00F778F9" w:rsidRPr="000939E3" w:rsidRDefault="00F778F9" w:rsidP="00B41924">
      <w:pPr>
        <w:pStyle w:val="Odsekzoznamu"/>
        <w:numPr>
          <w:ilvl w:val="0"/>
          <w:numId w:val="7"/>
        </w:numPr>
        <w:spacing w:after="0"/>
        <w:ind w:left="426" w:hanging="426"/>
        <w:contextualSpacing w:val="0"/>
        <w:jc w:val="both"/>
        <w:rPr>
          <w:b/>
          <w:bCs/>
        </w:rPr>
      </w:pPr>
      <w:r w:rsidRPr="000939E3">
        <w:rPr>
          <w:b/>
          <w:bCs/>
        </w:rPr>
        <w:t xml:space="preserve">Kolektívne vyjednávanie generuje rovnakú relatívnu valorizáciu pre väčšinu profesií napriek </w:t>
      </w:r>
      <w:r w:rsidR="00423B90" w:rsidRPr="000939E3">
        <w:rPr>
          <w:b/>
          <w:bCs/>
        </w:rPr>
        <w:br/>
      </w:r>
      <w:r w:rsidRPr="000939E3">
        <w:rPr>
          <w:b/>
          <w:bCs/>
        </w:rPr>
        <w:t>ich rozdielnej konkurencieschopnosti v</w:t>
      </w:r>
      <w:r w:rsidR="0016215C" w:rsidRPr="000939E3">
        <w:rPr>
          <w:b/>
          <w:bCs/>
        </w:rPr>
        <w:t> </w:t>
      </w:r>
      <w:r w:rsidRPr="000939E3">
        <w:rPr>
          <w:b/>
          <w:bCs/>
        </w:rPr>
        <w:t xml:space="preserve">odmeňovaní. </w:t>
      </w:r>
    </w:p>
    <w:p w14:paraId="37960D45" w14:textId="772F02F0" w:rsidR="0006678C" w:rsidRPr="000939E3" w:rsidRDefault="00F778F9" w:rsidP="00B41924">
      <w:pPr>
        <w:pStyle w:val="Odsekzoznamu"/>
        <w:numPr>
          <w:ilvl w:val="0"/>
          <w:numId w:val="7"/>
        </w:numPr>
        <w:spacing w:after="0"/>
        <w:ind w:left="426" w:hanging="426"/>
        <w:contextualSpacing w:val="0"/>
        <w:jc w:val="both"/>
        <w:rPr>
          <w:b/>
          <w:bCs/>
        </w:rPr>
      </w:pPr>
      <w:r w:rsidRPr="000939E3">
        <w:rPr>
          <w:b/>
        </w:rPr>
        <w:t>Každoročne je v</w:t>
      </w:r>
      <w:r w:rsidR="0016215C" w:rsidRPr="000939E3">
        <w:rPr>
          <w:b/>
        </w:rPr>
        <w:t> </w:t>
      </w:r>
      <w:r w:rsidRPr="000939E3">
        <w:rPr>
          <w:b/>
        </w:rPr>
        <w:t xml:space="preserve">ústrednej štátnej správe neobsadených </w:t>
      </w:r>
      <w:r w:rsidR="00B7793E" w:rsidRPr="000939E3">
        <w:rPr>
          <w:b/>
        </w:rPr>
        <w:t xml:space="preserve">približne </w:t>
      </w:r>
      <w:r w:rsidRPr="000939E3">
        <w:rPr>
          <w:rFonts w:eastAsia="Calibri" w:cs="Times New Roman"/>
          <w:b/>
          <w:color w:val="000000"/>
        </w:rPr>
        <w:t xml:space="preserve">5 tisíc plánovaných miest </w:t>
      </w:r>
      <w:r w:rsidR="005E5D3B" w:rsidRPr="000939E3">
        <w:rPr>
          <w:rFonts w:eastAsia="Calibri" w:cs="Times New Roman"/>
          <w:b/>
          <w:color w:val="000000"/>
        </w:rPr>
        <w:br/>
      </w:r>
      <w:r w:rsidRPr="000939E3">
        <w:rPr>
          <w:rFonts w:eastAsia="Calibri" w:cs="Times New Roman"/>
          <w:b/>
          <w:color w:val="000000"/>
        </w:rPr>
        <w:t>(4 %), štvornásobok oproti priemeru krajín EÚ. Väčšinu neobsadených miest predstavujú policajti a</w:t>
      </w:r>
      <w:r w:rsidR="0016215C" w:rsidRPr="000939E3">
        <w:rPr>
          <w:rFonts w:eastAsia="Calibri" w:cs="Times New Roman"/>
          <w:b/>
          <w:color w:val="000000"/>
        </w:rPr>
        <w:t> </w:t>
      </w:r>
      <w:r w:rsidRPr="000939E3">
        <w:rPr>
          <w:rFonts w:eastAsia="Calibri" w:cs="Times New Roman"/>
          <w:b/>
          <w:color w:val="000000"/>
        </w:rPr>
        <w:t xml:space="preserve">vojaci. </w:t>
      </w:r>
      <w:r w:rsidR="00C02710" w:rsidRPr="000939E3">
        <w:rPr>
          <w:b/>
        </w:rPr>
        <w:t>Zrušenie všetkých voľných pracovných miest nad 5 %</w:t>
      </w:r>
      <w:r w:rsidR="00C02710" w:rsidRPr="000939E3">
        <w:t xml:space="preserve"> </w:t>
      </w:r>
      <w:r w:rsidR="00C02710" w:rsidRPr="000939E3">
        <w:rPr>
          <w:rFonts w:eastAsia="Calibri" w:cs="Times New Roman"/>
          <w:b/>
          <w:color w:val="000000"/>
        </w:rPr>
        <w:t>by znížilo počet miest o</w:t>
      </w:r>
      <w:r w:rsidRPr="000939E3">
        <w:rPr>
          <w:b/>
        </w:rPr>
        <w:t xml:space="preserve"> </w:t>
      </w:r>
      <w:r w:rsidR="00C02710" w:rsidRPr="000939E3">
        <w:rPr>
          <w:b/>
        </w:rPr>
        <w:t xml:space="preserve">1,1 </w:t>
      </w:r>
      <w:r w:rsidRPr="000939E3">
        <w:rPr>
          <w:b/>
        </w:rPr>
        <w:t>tisíc miest, č</w:t>
      </w:r>
      <w:r w:rsidR="0006678C" w:rsidRPr="000939E3">
        <w:rPr>
          <w:b/>
        </w:rPr>
        <w:t xml:space="preserve">o predstavuje </w:t>
      </w:r>
      <w:r w:rsidR="00C02710" w:rsidRPr="000939E3">
        <w:rPr>
          <w:b/>
        </w:rPr>
        <w:t>2</w:t>
      </w:r>
      <w:r w:rsidR="0006678C" w:rsidRPr="000939E3">
        <w:rPr>
          <w:b/>
        </w:rPr>
        <w:t>8 mil. eur ročne.</w:t>
      </w:r>
    </w:p>
    <w:p w14:paraId="2038E4E1" w14:textId="75B44584" w:rsidR="0006678C" w:rsidRPr="000939E3" w:rsidRDefault="0006678C" w:rsidP="00B41924">
      <w:pPr>
        <w:pStyle w:val="Odsekzoznamu"/>
        <w:numPr>
          <w:ilvl w:val="0"/>
          <w:numId w:val="7"/>
        </w:numPr>
        <w:spacing w:after="0"/>
        <w:ind w:left="426" w:hanging="426"/>
        <w:contextualSpacing w:val="0"/>
        <w:jc w:val="both"/>
        <w:rPr>
          <w:b/>
          <w:bCs/>
        </w:rPr>
      </w:pPr>
      <w:r w:rsidRPr="000939E3">
        <w:rPr>
          <w:b/>
        </w:rPr>
        <w:t>C</w:t>
      </w:r>
      <w:r w:rsidR="00F778F9" w:rsidRPr="000939E3">
        <w:rPr>
          <w:rFonts w:eastAsia="Calibri" w:cs="Times New Roman"/>
          <w:b/>
          <w:color w:val="000000"/>
        </w:rPr>
        <w:t>elkové skutočné výdavky na kompenzácie sa</w:t>
      </w:r>
      <w:r w:rsidR="00423B90" w:rsidRPr="000939E3">
        <w:rPr>
          <w:rFonts w:eastAsia="Calibri" w:cs="Times New Roman"/>
          <w:b/>
          <w:color w:val="000000"/>
        </w:rPr>
        <w:t xml:space="preserve"> v</w:t>
      </w:r>
      <w:r w:rsidR="0016215C" w:rsidRPr="000939E3">
        <w:rPr>
          <w:rFonts w:eastAsia="Calibri" w:cs="Times New Roman"/>
          <w:b/>
          <w:color w:val="000000"/>
        </w:rPr>
        <w:t> </w:t>
      </w:r>
      <w:r w:rsidR="00F778F9" w:rsidRPr="000939E3">
        <w:rPr>
          <w:rFonts w:eastAsia="Calibri" w:cs="Times New Roman"/>
          <w:b/>
          <w:color w:val="000000"/>
        </w:rPr>
        <w:t xml:space="preserve">rokoch 2011 až </w:t>
      </w:r>
      <w:r w:rsidR="009C6942" w:rsidRPr="000939E3">
        <w:rPr>
          <w:rFonts w:eastAsia="Calibri" w:cs="Times New Roman"/>
          <w:b/>
          <w:color w:val="000000"/>
        </w:rPr>
        <w:t xml:space="preserve">2019 </w:t>
      </w:r>
      <w:r w:rsidR="00F778F9" w:rsidRPr="000939E3">
        <w:rPr>
          <w:rFonts w:eastAsia="Calibri" w:cs="Times New Roman"/>
          <w:b/>
          <w:color w:val="000000"/>
        </w:rPr>
        <w:t>rozpočtovali spoľahlivo</w:t>
      </w:r>
      <w:r w:rsidR="00423B90" w:rsidRPr="000939E3">
        <w:rPr>
          <w:rFonts w:eastAsia="Calibri" w:cs="Times New Roman"/>
          <w:b/>
          <w:color w:val="000000"/>
        </w:rPr>
        <w:t>,</w:t>
      </w:r>
      <w:r w:rsidR="00F778F9" w:rsidRPr="000939E3">
        <w:rPr>
          <w:rFonts w:eastAsia="Calibri" w:cs="Times New Roman"/>
          <w:b/>
          <w:color w:val="000000"/>
        </w:rPr>
        <w:t xml:space="preserve"> od rozpočtu sa líšili priemerne o</w:t>
      </w:r>
      <w:r w:rsidR="0016215C" w:rsidRPr="000939E3">
        <w:rPr>
          <w:rFonts w:eastAsia="Calibri" w:cs="Times New Roman"/>
          <w:b/>
          <w:color w:val="000000"/>
        </w:rPr>
        <w:t> </w:t>
      </w:r>
      <w:r w:rsidR="00F778F9" w:rsidRPr="000939E3">
        <w:rPr>
          <w:rFonts w:eastAsia="Calibri" w:cs="Times New Roman"/>
          <w:b/>
          <w:color w:val="000000"/>
        </w:rPr>
        <w:t>4 % (100 mil. eur ročne).</w:t>
      </w:r>
      <w:r w:rsidR="00E72D74" w:rsidRPr="000939E3">
        <w:rPr>
          <w:rFonts w:eastAsia="Calibri" w:cs="Times New Roman"/>
          <w:b/>
          <w:color w:val="000000"/>
        </w:rPr>
        <w:t xml:space="preserve"> Štruktúra výdavkov sa ale menila </w:t>
      </w:r>
      <w:r w:rsidR="00423B90" w:rsidRPr="000939E3">
        <w:rPr>
          <w:rFonts w:eastAsia="Calibri" w:cs="Times New Roman"/>
          <w:b/>
          <w:color w:val="000000"/>
        </w:rPr>
        <w:br/>
      </w:r>
      <w:r w:rsidR="00E72D74" w:rsidRPr="000939E3">
        <w:rPr>
          <w:rFonts w:eastAsia="Calibri" w:cs="Times New Roman"/>
          <w:b/>
          <w:color w:val="000000"/>
        </w:rPr>
        <w:t>po schválení rozpočtu</w:t>
      </w:r>
      <w:r w:rsidR="00F778F9" w:rsidRPr="000939E3">
        <w:rPr>
          <w:rFonts w:eastAsia="Calibri" w:cs="Times New Roman"/>
          <w:b/>
          <w:color w:val="000000"/>
        </w:rPr>
        <w:t xml:space="preserve"> </w:t>
      </w:r>
      <w:r w:rsidR="00E72D74" w:rsidRPr="000939E3">
        <w:rPr>
          <w:rFonts w:eastAsia="Calibri" w:cs="Times New Roman"/>
          <w:b/>
          <w:color w:val="000000"/>
        </w:rPr>
        <w:t>z</w:t>
      </w:r>
      <w:r w:rsidR="0016215C" w:rsidRPr="000939E3">
        <w:rPr>
          <w:rFonts w:eastAsia="Calibri" w:cs="Times New Roman"/>
          <w:b/>
          <w:color w:val="000000"/>
        </w:rPr>
        <w:t> </w:t>
      </w:r>
      <w:r w:rsidR="00E72D74" w:rsidRPr="000939E3">
        <w:rPr>
          <w:rFonts w:eastAsia="Calibri" w:cs="Times New Roman"/>
          <w:b/>
          <w:color w:val="000000"/>
        </w:rPr>
        <w:t xml:space="preserve">dôvodu vysokého podielu neobsadených miest, nerozpočtovania miezd </w:t>
      </w:r>
      <w:r w:rsidR="00423B90" w:rsidRPr="000939E3">
        <w:rPr>
          <w:rFonts w:eastAsia="Calibri" w:cs="Times New Roman"/>
          <w:b/>
          <w:color w:val="000000"/>
        </w:rPr>
        <w:br/>
      </w:r>
      <w:r w:rsidR="00E72D74" w:rsidRPr="000939E3">
        <w:rPr>
          <w:rFonts w:eastAsia="Calibri" w:cs="Times New Roman"/>
          <w:b/>
          <w:color w:val="000000"/>
        </w:rPr>
        <w:t>z eurofondov a</w:t>
      </w:r>
      <w:r w:rsidR="0016215C" w:rsidRPr="000939E3">
        <w:rPr>
          <w:rFonts w:eastAsia="Calibri" w:cs="Times New Roman"/>
          <w:b/>
          <w:color w:val="000000"/>
        </w:rPr>
        <w:t> </w:t>
      </w:r>
      <w:r w:rsidR="00E72D74" w:rsidRPr="000939E3">
        <w:rPr>
          <w:rFonts w:eastAsia="Calibri" w:cs="Times New Roman"/>
          <w:b/>
          <w:color w:val="000000"/>
        </w:rPr>
        <w:t>ďalších zmien však počas roka.</w:t>
      </w:r>
    </w:p>
    <w:p w14:paraId="324BDCFB" w14:textId="11005146" w:rsidR="00EC0F39" w:rsidRPr="000939E3" w:rsidRDefault="00191338" w:rsidP="00B41924">
      <w:pPr>
        <w:pStyle w:val="Odsekzoznamu"/>
        <w:numPr>
          <w:ilvl w:val="0"/>
          <w:numId w:val="7"/>
        </w:numPr>
        <w:spacing w:after="0"/>
        <w:ind w:left="426" w:hanging="426"/>
        <w:contextualSpacing w:val="0"/>
        <w:jc w:val="both"/>
        <w:rPr>
          <w:b/>
          <w:bCs/>
        </w:rPr>
      </w:pPr>
      <w:r w:rsidRPr="000939E3">
        <w:rPr>
          <w:b/>
          <w:bCs/>
        </w:rPr>
        <w:t>Centrálna koordinácia a</w:t>
      </w:r>
      <w:r w:rsidR="0016215C" w:rsidRPr="000939E3">
        <w:rPr>
          <w:b/>
          <w:bCs/>
        </w:rPr>
        <w:t> </w:t>
      </w:r>
      <w:r w:rsidRPr="000939E3">
        <w:rPr>
          <w:b/>
          <w:bCs/>
        </w:rPr>
        <w:t>strategické riadenie ľudských zdrojov v</w:t>
      </w:r>
      <w:r w:rsidR="0016215C" w:rsidRPr="000939E3">
        <w:rPr>
          <w:b/>
          <w:bCs/>
        </w:rPr>
        <w:t> </w:t>
      </w:r>
      <w:r w:rsidRPr="000939E3">
        <w:rPr>
          <w:b/>
          <w:bCs/>
        </w:rPr>
        <w:t>štátnej službe prebieha iba čiastočne a</w:t>
      </w:r>
      <w:r w:rsidR="0016215C" w:rsidRPr="000939E3">
        <w:rPr>
          <w:b/>
          <w:bCs/>
        </w:rPr>
        <w:t> </w:t>
      </w:r>
      <w:r w:rsidRPr="000939E3">
        <w:rPr>
          <w:b/>
          <w:bCs/>
        </w:rPr>
        <w:t>vo verejnej službe vôbec</w:t>
      </w:r>
      <w:r w:rsidR="00EC0F39" w:rsidRPr="000939E3">
        <w:rPr>
          <w:b/>
        </w:rPr>
        <w:t>.</w:t>
      </w:r>
    </w:p>
    <w:p w14:paraId="3A96E858" w14:textId="68BEAC28" w:rsidR="00F778F9" w:rsidRPr="000939E3" w:rsidRDefault="00F778F9" w:rsidP="00F778F9">
      <w:pPr>
        <w:spacing w:before="240"/>
      </w:pPr>
      <w:r w:rsidRPr="000939E3">
        <w:rPr>
          <w:b/>
          <w:bCs/>
        </w:rPr>
        <w:t>Verejný sektor zamestnáva takmer všetkých zamestnancov podľa dvanástich noriem</w:t>
      </w:r>
      <w:r w:rsidRPr="000939E3">
        <w:t>, základnými normami sú zákon o</w:t>
      </w:r>
      <w:r w:rsidR="0016215C" w:rsidRPr="000939E3">
        <w:t> </w:t>
      </w:r>
      <w:r w:rsidRPr="000939E3">
        <w:t>štátnej službe</w:t>
      </w:r>
      <w:r w:rsidRPr="000939E3">
        <w:rPr>
          <w:rStyle w:val="Odkaznapoznmkupodiarou"/>
        </w:rPr>
        <w:footnoteReference w:id="68"/>
      </w:r>
      <w:r w:rsidRPr="000939E3">
        <w:t xml:space="preserve"> a</w:t>
      </w:r>
      <w:r w:rsidR="0016215C" w:rsidRPr="000939E3">
        <w:t> </w:t>
      </w:r>
      <w:r w:rsidRPr="000939E3">
        <w:t>o</w:t>
      </w:r>
      <w:r w:rsidR="0016215C" w:rsidRPr="000939E3">
        <w:t> </w:t>
      </w:r>
      <w:r w:rsidRPr="000939E3">
        <w:t>práci vo verejnom záujme</w:t>
      </w:r>
      <w:r w:rsidRPr="000939E3">
        <w:rPr>
          <w:rStyle w:val="Odkaznapoznmkupodiarou"/>
        </w:rPr>
        <w:footnoteReference w:id="69"/>
      </w:r>
      <w:r w:rsidRPr="000939E3">
        <w:t>. Sedem zákonov upravuje zv</w:t>
      </w:r>
      <w:r w:rsidR="00F5695C" w:rsidRPr="000939E3">
        <w:t>äčša jedno špecifické povolanie – n</w:t>
      </w:r>
      <w:r w:rsidRPr="000939E3">
        <w:t>apríklad vojakov. Z</w:t>
      </w:r>
      <w:r w:rsidR="0016215C" w:rsidRPr="000939E3">
        <w:t> </w:t>
      </w:r>
      <w:r w:rsidRPr="000939E3">
        <w:t xml:space="preserve">medzinárodného hľadiska </w:t>
      </w:r>
      <w:r w:rsidR="00F5695C" w:rsidRPr="000939E3">
        <w:t xml:space="preserve">ide </w:t>
      </w:r>
      <w:r w:rsidRPr="000939E3">
        <w:t>o</w:t>
      </w:r>
      <w:r w:rsidR="0016215C" w:rsidRPr="000939E3">
        <w:t> </w:t>
      </w:r>
      <w:r w:rsidRPr="000939E3">
        <w:t>bežný jav. Úprava pracovnoprávnych vzťahov vychádza zo Zákonníka práce a</w:t>
      </w:r>
      <w:r w:rsidR="0016215C" w:rsidRPr="000939E3">
        <w:t> </w:t>
      </w:r>
      <w:r w:rsidRPr="000939E3">
        <w:t xml:space="preserve">je prispôsobená verejnému sektoru. </w:t>
      </w:r>
    </w:p>
    <w:p w14:paraId="4A5C419F" w14:textId="0AA746B2" w:rsidR="00F778F9" w:rsidRPr="000939E3" w:rsidRDefault="00F778F9" w:rsidP="00F778F9">
      <w:r w:rsidRPr="000939E3">
        <w:rPr>
          <w:b/>
        </w:rPr>
        <w:t>Jednotlivé predpisy sú rozdielne vo viacerých oblastiach pracovnoprávnych vzťahov, výhody alebo obmedzenia sú špecifické pre jednotlivé profesie.</w:t>
      </w:r>
      <w:r w:rsidRPr="000939E3">
        <w:t xml:space="preserve"> Vo všeobecnosti sa dá povedať, že štát poskytuje svojim zamestnancom väčšiu ochranu (napr. pred prepustením zo zamestnania), zároveň však požaduje vyššiu kvalifikáciu a</w:t>
      </w:r>
      <w:r w:rsidR="0016215C" w:rsidRPr="000939E3">
        <w:t> </w:t>
      </w:r>
      <w:r w:rsidRPr="000939E3">
        <w:t>niektorých zamestnancov čiastočne obmedzuje napr. pri podnikaní, alebo štrajku (</w:t>
      </w:r>
      <w:r w:rsidRPr="000939E3">
        <w:fldChar w:fldCharType="begin"/>
      </w:r>
      <w:r w:rsidRPr="000939E3">
        <w:instrText xml:space="preserve"> REF _Ref527110988 \h  \* MERGEFORMAT </w:instrText>
      </w:r>
      <w:r w:rsidRPr="000939E3">
        <w:fldChar w:fldCharType="separate"/>
      </w:r>
      <w:r w:rsidR="00BF69CA" w:rsidRPr="000939E3">
        <w:t xml:space="preserve">Box </w:t>
      </w:r>
      <w:r w:rsidR="00BF69CA">
        <w:rPr>
          <w:noProof/>
        </w:rPr>
        <w:t>9</w:t>
      </w:r>
      <w:r w:rsidRPr="000939E3">
        <w:fldChar w:fldCharType="end"/>
      </w:r>
      <w:r w:rsidRPr="000939E3">
        <w:t xml:space="preserve">). </w:t>
      </w:r>
    </w:p>
    <w:p w14:paraId="77A2E462" w14:textId="3A151987" w:rsidR="00597C83" w:rsidRPr="000939E3" w:rsidRDefault="00597C83" w:rsidP="00F778F9">
      <w:r w:rsidRPr="000939E3">
        <w:rPr>
          <w:b/>
        </w:rPr>
        <w:t xml:space="preserve">Vláda priamo kontroluje tretinu mzdových výdavkov verejnej zamestnanosti, ďalšiu tretinu ovplyvňuje nepriamo. </w:t>
      </w:r>
      <w:r w:rsidRPr="000939E3">
        <w:t>Priamu kontrolu má vláda po schválení v</w:t>
      </w:r>
      <w:r w:rsidR="0016215C" w:rsidRPr="000939E3">
        <w:t> </w:t>
      </w:r>
      <w:r w:rsidRPr="000939E3">
        <w:t>NR SR v</w:t>
      </w:r>
      <w:r w:rsidR="0016215C" w:rsidRPr="000939E3">
        <w:t> </w:t>
      </w:r>
      <w:r w:rsidRPr="000939E3">
        <w:t>profesiách, v</w:t>
      </w:r>
      <w:r w:rsidR="0016215C" w:rsidRPr="000939E3">
        <w:t> </w:t>
      </w:r>
      <w:r w:rsidRPr="000939E3">
        <w:t>ktorých priamo stanovuje maximálne celkové výdavky a</w:t>
      </w:r>
      <w:r w:rsidR="0016215C" w:rsidRPr="000939E3">
        <w:t> </w:t>
      </w:r>
      <w:r w:rsidRPr="000939E3">
        <w:t xml:space="preserve">maximálne počty zamestnancov (kapitola </w:t>
      </w:r>
      <w:r w:rsidRPr="000939E3">
        <w:fldChar w:fldCharType="begin"/>
      </w:r>
      <w:r w:rsidRPr="000939E3">
        <w:instrText xml:space="preserve"> REF _Ref528052436 \r \h  \* MERGEFORMAT </w:instrText>
      </w:r>
      <w:r w:rsidRPr="000939E3">
        <w:fldChar w:fldCharType="separate"/>
      </w:r>
      <w:r w:rsidR="00BF69CA">
        <w:t>4.2</w:t>
      </w:r>
      <w:r w:rsidRPr="000939E3">
        <w:fldChar w:fldCharType="end"/>
      </w:r>
      <w:r w:rsidRPr="000939E3">
        <w:t>). Nepriamo vláda ovplyvňuje výdavky zamestnancov s</w:t>
      </w:r>
      <w:r w:rsidR="0016215C" w:rsidRPr="000939E3">
        <w:t> </w:t>
      </w:r>
      <w:r w:rsidRPr="000939E3">
        <w:t>automaticky indexovanou mzdou (lekári, zdravotné sestry) alebo počet zamestnancov v</w:t>
      </w:r>
      <w:r w:rsidR="0016215C" w:rsidRPr="000939E3">
        <w:t> </w:t>
      </w:r>
      <w:r w:rsidRPr="000939E3">
        <w:t>samosprávach</w:t>
      </w:r>
      <w:r w:rsidRPr="000939E3">
        <w:rPr>
          <w:rStyle w:val="Odkaznapoznmkupodiarou"/>
        </w:rPr>
        <w:footnoteReference w:id="70"/>
      </w:r>
      <w:r w:rsidRPr="000939E3">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062"/>
      </w:tblGrid>
      <w:tr w:rsidR="00C80A36" w:rsidRPr="000939E3" w14:paraId="4C885828" w14:textId="77777777" w:rsidTr="0040330D">
        <w:tc>
          <w:tcPr>
            <w:tcW w:w="9062" w:type="dxa"/>
            <w:shd w:val="clear" w:color="auto" w:fill="BDD6EE" w:themeFill="accent1" w:themeFillTint="66"/>
          </w:tcPr>
          <w:p w14:paraId="7A73ABD1" w14:textId="77777777" w:rsidR="00C80A36" w:rsidRPr="000939E3" w:rsidRDefault="00C80A36" w:rsidP="00C80A36">
            <w:pPr>
              <w:pStyle w:val="Popis"/>
              <w:spacing w:after="120" w:line="276" w:lineRule="auto"/>
              <w:rPr>
                <w:sz w:val="22"/>
                <w:szCs w:val="22"/>
              </w:rPr>
            </w:pPr>
            <w:bookmarkStart w:id="187" w:name="_Ref527110988"/>
            <w:r w:rsidRPr="000939E3">
              <w:rPr>
                <w:sz w:val="22"/>
                <w:szCs w:val="22"/>
              </w:rPr>
              <w:t xml:space="preserve">Box </w:t>
            </w:r>
            <w:r w:rsidRPr="000939E3">
              <w:rPr>
                <w:sz w:val="22"/>
                <w:szCs w:val="22"/>
              </w:rPr>
              <w:fldChar w:fldCharType="begin"/>
            </w:r>
            <w:r w:rsidRPr="000939E3">
              <w:rPr>
                <w:sz w:val="22"/>
                <w:szCs w:val="22"/>
              </w:rPr>
              <w:instrText xml:space="preserve"> SEQ Box \* ARABIC </w:instrText>
            </w:r>
            <w:r w:rsidRPr="000939E3">
              <w:rPr>
                <w:sz w:val="22"/>
                <w:szCs w:val="22"/>
              </w:rPr>
              <w:fldChar w:fldCharType="separate"/>
            </w:r>
            <w:r w:rsidR="00BF69CA">
              <w:rPr>
                <w:noProof/>
                <w:sz w:val="22"/>
                <w:szCs w:val="22"/>
              </w:rPr>
              <w:t>9</w:t>
            </w:r>
            <w:r w:rsidRPr="000939E3">
              <w:rPr>
                <w:sz w:val="22"/>
                <w:szCs w:val="22"/>
              </w:rPr>
              <w:fldChar w:fldCharType="end"/>
            </w:r>
            <w:bookmarkEnd w:id="187"/>
            <w:r w:rsidRPr="000939E3">
              <w:rPr>
                <w:sz w:val="22"/>
                <w:szCs w:val="22"/>
              </w:rPr>
              <w:t xml:space="preserve">: Úprava pracovno-právnych vzťahov vo verejnom sektore </w:t>
            </w:r>
          </w:p>
          <w:p w14:paraId="4293606B" w14:textId="58749AFC" w:rsidR="00C80A36" w:rsidRPr="000939E3" w:rsidRDefault="00C80A36" w:rsidP="00C80A36">
            <w:r w:rsidRPr="000939E3">
              <w:rPr>
                <w:b/>
              </w:rPr>
              <w:t>Väčšina zamestnancov štátnej správy a</w:t>
            </w:r>
            <w:r w:rsidR="0016215C" w:rsidRPr="000939E3">
              <w:rPr>
                <w:b/>
              </w:rPr>
              <w:t> </w:t>
            </w:r>
            <w:r w:rsidRPr="000939E3">
              <w:rPr>
                <w:b/>
              </w:rPr>
              <w:t>samosprávy je zamestnaná podľa zákona o</w:t>
            </w:r>
            <w:r w:rsidR="0016215C" w:rsidRPr="000939E3">
              <w:rPr>
                <w:b/>
              </w:rPr>
              <w:t> </w:t>
            </w:r>
            <w:r w:rsidRPr="000939E3">
              <w:rPr>
                <w:b/>
              </w:rPr>
              <w:t>výkone práce vo verejnom záujme a</w:t>
            </w:r>
            <w:r w:rsidR="0016215C" w:rsidRPr="000939E3">
              <w:rPr>
                <w:b/>
              </w:rPr>
              <w:t> </w:t>
            </w:r>
            <w:r w:rsidRPr="000939E3">
              <w:rPr>
                <w:b/>
              </w:rPr>
              <w:t xml:space="preserve">Zákonníka práce. </w:t>
            </w:r>
            <w:r w:rsidRPr="000939E3">
              <w:t>Medzi zamestnancov vo verejnom záujme patria hlavne odborní zamestnanci školstva a</w:t>
            </w:r>
            <w:r w:rsidR="0016215C" w:rsidRPr="000939E3">
              <w:t> </w:t>
            </w:r>
            <w:r w:rsidRPr="000939E3">
              <w:t>samospráv, ale aj pomocní zamestnanci ako kuchári alebo školníci v</w:t>
            </w:r>
            <w:r w:rsidR="0016215C" w:rsidRPr="000939E3">
              <w:t> </w:t>
            </w:r>
            <w:r w:rsidRPr="000939E3">
              <w:t>školách. Zákon o</w:t>
            </w:r>
            <w:r w:rsidR="0016215C" w:rsidRPr="000939E3">
              <w:t> </w:t>
            </w:r>
            <w:r w:rsidRPr="000939E3">
              <w:t>odmeňovaní pri výkone práce vo verejnom záujme obsahuje tri špecifické odmeňovacie tabuľky líšiace sa iba úrovňou mzdy v</w:t>
            </w:r>
            <w:r w:rsidR="0016215C" w:rsidRPr="000939E3">
              <w:t> </w:t>
            </w:r>
            <w:r w:rsidRPr="000939E3">
              <w:t>jednotlivých platových triedach. Zamestnanci sú</w:t>
            </w:r>
            <w:r w:rsidR="00F3351F" w:rsidRPr="000939E3">
              <w:t xml:space="preserve"> zväčša</w:t>
            </w:r>
            <w:r w:rsidRPr="000939E3">
              <w:t xml:space="preserve"> priradení</w:t>
            </w:r>
            <w:r w:rsidR="00C050DB" w:rsidRPr="000939E3">
              <w:t xml:space="preserve"> </w:t>
            </w:r>
            <w:r w:rsidRPr="000939E3">
              <w:t>k</w:t>
            </w:r>
            <w:r w:rsidR="0016215C" w:rsidRPr="000939E3">
              <w:t> </w:t>
            </w:r>
            <w:r w:rsidRPr="000939E3">
              <w:t>odmeňovacej tabuľke podľa vykonávanej profesie. Zamestnancov podľa zákona o</w:t>
            </w:r>
            <w:r w:rsidR="0016215C" w:rsidRPr="000939E3">
              <w:t> </w:t>
            </w:r>
            <w:r w:rsidRPr="000939E3">
              <w:t>výkone práce vo verejnom záujme môžu zamestnávať aj ústredné orgány štátnej správy.</w:t>
            </w:r>
          </w:p>
          <w:p w14:paraId="2AE6CD80" w14:textId="63771260" w:rsidR="00C80A36" w:rsidRPr="000939E3" w:rsidRDefault="00C80A36" w:rsidP="00C80A36">
            <w:r w:rsidRPr="000939E3">
              <w:rPr>
                <w:b/>
              </w:rPr>
              <w:lastRenderedPageBreak/>
              <w:t>Zamestnanci v</w:t>
            </w:r>
            <w:r w:rsidR="0016215C" w:rsidRPr="000939E3">
              <w:rPr>
                <w:b/>
              </w:rPr>
              <w:t> </w:t>
            </w:r>
            <w:r w:rsidRPr="000939E3">
              <w:rPr>
                <w:b/>
              </w:rPr>
              <w:t>štátnej službe môžu pracovať na ústredných orgánoch a</w:t>
            </w:r>
            <w:r w:rsidR="0016215C" w:rsidRPr="000939E3">
              <w:rPr>
                <w:b/>
              </w:rPr>
              <w:t> </w:t>
            </w:r>
            <w:r w:rsidR="002F127B" w:rsidRPr="000939E3">
              <w:rPr>
                <w:b/>
              </w:rPr>
              <w:t>len</w:t>
            </w:r>
            <w:r w:rsidRPr="000939E3">
              <w:rPr>
                <w:b/>
              </w:rPr>
              <w:t> v</w:t>
            </w:r>
            <w:r w:rsidR="0016215C" w:rsidRPr="000939E3">
              <w:rPr>
                <w:b/>
              </w:rPr>
              <w:t> </w:t>
            </w:r>
            <w:r w:rsidRPr="000939E3">
              <w:rPr>
                <w:b/>
              </w:rPr>
              <w:t>odboroch činností štátnej služby</w:t>
            </w:r>
            <w:r w:rsidRPr="000939E3">
              <w:rPr>
                <w:rStyle w:val="Odkaznapoznmkupodiarou"/>
                <w:b/>
              </w:rPr>
              <w:footnoteReference w:id="71"/>
            </w:r>
            <w:r w:rsidRPr="000939E3">
              <w:rPr>
                <w:b/>
              </w:rPr>
              <w:t xml:space="preserve">. </w:t>
            </w:r>
            <w:r w:rsidRPr="000939E3">
              <w:t>Odbornú činnosť pri riadení štátu vykonávajú úradníci na ministerstvách a</w:t>
            </w:r>
            <w:r w:rsidR="0016215C" w:rsidRPr="000939E3">
              <w:t> </w:t>
            </w:r>
            <w:r w:rsidRPr="000939E3">
              <w:t>iných orgánoch s</w:t>
            </w:r>
            <w:r w:rsidR="0016215C" w:rsidRPr="000939E3">
              <w:t> </w:t>
            </w:r>
            <w:r w:rsidRPr="000939E3">
              <w:t>prevažne celoštátnou pôsobnosťou a</w:t>
            </w:r>
            <w:r w:rsidR="0016215C" w:rsidRPr="000939E3">
              <w:t> </w:t>
            </w:r>
            <w:r w:rsidRPr="000939E3">
              <w:t>orgánoch vykonávajúcich kompetencie štátu v</w:t>
            </w:r>
            <w:r w:rsidR="0016215C" w:rsidRPr="000939E3">
              <w:t> </w:t>
            </w:r>
            <w:r w:rsidRPr="000939E3">
              <w:t>miestnej správe</w:t>
            </w:r>
            <w:r w:rsidRPr="000939E3">
              <w:rPr>
                <w:rStyle w:val="Odkaznapoznmkupodiarou"/>
              </w:rPr>
              <w:footnoteReference w:id="72"/>
            </w:r>
            <w:r w:rsidRPr="000939E3">
              <w:t>.</w:t>
            </w:r>
            <w:r w:rsidRPr="000939E3">
              <w:rPr>
                <w:b/>
              </w:rPr>
              <w:t xml:space="preserve"> </w:t>
            </w:r>
          </w:p>
          <w:p w14:paraId="6DF01D7A" w14:textId="7312297F" w:rsidR="00977D9B" w:rsidRPr="000939E3" w:rsidRDefault="00977D9B" w:rsidP="00977D9B">
            <w:r w:rsidRPr="000939E3">
              <w:rPr>
                <w:b/>
              </w:rPr>
              <w:t>Zamestnanci v</w:t>
            </w:r>
            <w:r w:rsidR="0016215C" w:rsidRPr="000939E3">
              <w:rPr>
                <w:b/>
              </w:rPr>
              <w:t> </w:t>
            </w:r>
            <w:r w:rsidRPr="000939E3">
              <w:rPr>
                <w:b/>
              </w:rPr>
              <w:t>štátnej správe vykonávajúci podobnú prácu nemajú vždy rovnakú platovú tabuľku.</w:t>
            </w:r>
            <w:r w:rsidRPr="000939E3">
              <w:t xml:space="preserve"> Väčšina zamestnancov v</w:t>
            </w:r>
            <w:r w:rsidR="0016215C" w:rsidRPr="000939E3">
              <w:t> </w:t>
            </w:r>
            <w:r w:rsidRPr="000939E3">
              <w:t>štátnej či verejnej službe je odmeňovaných podľa tabuliek určených v</w:t>
            </w:r>
            <w:r w:rsidR="0016215C" w:rsidRPr="000939E3">
              <w:t> </w:t>
            </w:r>
            <w:r w:rsidRPr="000939E3">
              <w:t>príslušných zákonoch, časť je však odmeňovaných podľa tabuliek špecifických pre konkrétnu inštitúciu. Vybraní zamestnanci Kancelárie Národnej rady SR, Kancelárie prezidenta SR, Najvyššieho kontrolného úradu SR, Úradu verejného ochrancu práv, Úradu vlády a</w:t>
            </w:r>
            <w:r w:rsidR="0016215C" w:rsidRPr="000939E3">
              <w:t> </w:t>
            </w:r>
            <w:r w:rsidRPr="000939E3">
              <w:t>Kancelárie Ústavného súdu SR majú oproti ostatným štátnym a</w:t>
            </w:r>
            <w:r w:rsidR="0016215C" w:rsidRPr="000939E3">
              <w:t> </w:t>
            </w:r>
            <w:r w:rsidRPr="000939E3">
              <w:t xml:space="preserve">verejným zamestnancom vyššie tarifné mzdy – </w:t>
            </w:r>
            <w:r w:rsidR="00093B51" w:rsidRPr="000939E3">
              <w:t>niektoré z</w:t>
            </w:r>
            <w:r w:rsidR="0016215C" w:rsidRPr="000939E3">
              <w:t> </w:t>
            </w:r>
            <w:r w:rsidR="00093B51" w:rsidRPr="000939E3">
              <w:t>nich majú samostatné tabuľky, iné majú tarifné mzdy násobené špecifickým koeficientom</w:t>
            </w:r>
            <w:r w:rsidRPr="000939E3">
              <w:t>. Hoci vykonávajú technicky rovnakú činnosť ako zamestnanci na iných úradoch, ich tarifné mzdy môžu byť vyššie až o</w:t>
            </w:r>
            <w:r w:rsidR="0016215C" w:rsidRPr="000939E3">
              <w:t> </w:t>
            </w:r>
            <w:r w:rsidRPr="000939E3">
              <w:t>20 %.</w:t>
            </w:r>
          </w:p>
          <w:p w14:paraId="4A16528A" w14:textId="66190F55" w:rsidR="00C80A36" w:rsidRPr="000939E3" w:rsidRDefault="00C80A36" w:rsidP="00C80A36">
            <w:r w:rsidRPr="000939E3">
              <w:rPr>
                <w:b/>
              </w:rPr>
              <w:t>V</w:t>
            </w:r>
            <w:r w:rsidR="0016215C" w:rsidRPr="000939E3">
              <w:rPr>
                <w:b/>
              </w:rPr>
              <w:t> </w:t>
            </w:r>
            <w:r w:rsidRPr="000939E3">
              <w:rPr>
                <w:b/>
              </w:rPr>
              <w:t xml:space="preserve">sektore verejnej správy, okrem štátnej </w:t>
            </w:r>
            <w:r w:rsidR="002F127B" w:rsidRPr="000939E3">
              <w:rPr>
                <w:b/>
              </w:rPr>
              <w:t>služby</w:t>
            </w:r>
            <w:r w:rsidRPr="000939E3">
              <w:rPr>
                <w:b/>
              </w:rPr>
              <w:t>, je možné využívať aj Zákonník práce.</w:t>
            </w:r>
            <w:r w:rsidRPr="000939E3">
              <w:t xml:space="preserve"> V</w:t>
            </w:r>
            <w:r w:rsidR="0016215C" w:rsidRPr="000939E3">
              <w:t> </w:t>
            </w:r>
            <w:r w:rsidRPr="000939E3">
              <w:t>podnikoch štátnej správy je využívaný výlučne Zákonník práce, často však podľa neho zamestnávajú aj samosprávy. Územná samospráva má možnosť voľby, či na zamestnávanie využije Zákonník práce alebo prácu vo verejnom záujme</w:t>
            </w:r>
            <w:r w:rsidRPr="000939E3">
              <w:rPr>
                <w:rStyle w:val="Odkaznapoznmkupodiarou"/>
              </w:rPr>
              <w:footnoteReference w:id="73"/>
            </w:r>
            <w:r w:rsidRPr="000939E3">
              <w:t>.</w:t>
            </w:r>
          </w:p>
          <w:p w14:paraId="624B1415" w14:textId="7949568D" w:rsidR="00C80A36" w:rsidRPr="000939E3" w:rsidRDefault="00C80A36" w:rsidP="00C80A36">
            <w:r w:rsidRPr="000939E3">
              <w:rPr>
                <w:b/>
              </w:rPr>
              <w:t>Väčšina pozícií štátu vyžaduje vysokoškolské vzdelanie</w:t>
            </w:r>
            <w:r w:rsidRPr="000939E3">
              <w:t>, aspoň prvý stupeň vysokoškolského vzdelania je nevyhnutný v</w:t>
            </w:r>
            <w:r w:rsidR="0016215C" w:rsidRPr="000939E3">
              <w:t> </w:t>
            </w:r>
            <w:r w:rsidRPr="000939E3">
              <w:t>polovici platových tried vo verejnom záujme a</w:t>
            </w:r>
            <w:r w:rsidR="0016215C" w:rsidRPr="000939E3">
              <w:t> </w:t>
            </w:r>
            <w:r w:rsidRPr="000939E3">
              <w:t>štátnej službe.</w:t>
            </w:r>
            <w:r w:rsidRPr="000939E3">
              <w:rPr>
                <w:b/>
              </w:rPr>
              <w:t xml:space="preserve"> </w:t>
            </w:r>
            <w:r w:rsidRPr="000939E3">
              <w:t xml:space="preserve">Niektoré profesie vyžadujú </w:t>
            </w:r>
            <w:r w:rsidR="00423B90" w:rsidRPr="000939E3">
              <w:br/>
            </w:r>
            <w:r w:rsidRPr="000939E3">
              <w:t>aj niekoľkoročnú prax, ďalšie vzdelávanie a</w:t>
            </w:r>
            <w:r w:rsidR="0016215C" w:rsidRPr="000939E3">
              <w:t> </w:t>
            </w:r>
            <w:r w:rsidRPr="000939E3">
              <w:t xml:space="preserve">kvalifikačné skúšky. Zákonník práce neurčuje minimálne vzdelanostné kritéria, stupeň náročnosti určuje najťažšou vykonávanou pracovnou činnosťou. </w:t>
            </w:r>
          </w:p>
          <w:p w14:paraId="754E51AA" w14:textId="143C9F95" w:rsidR="00C80A36" w:rsidRPr="000939E3" w:rsidRDefault="00C80A36" w:rsidP="00C80A36">
            <w:r w:rsidRPr="000939E3">
              <w:rPr>
                <w:b/>
              </w:rPr>
              <w:t xml:space="preserve">Iné zárobkové aktivity sú často obmedzené, zamestnanci štátu musia strpieť vyššiu mieru kontroly </w:t>
            </w:r>
            <w:r w:rsidR="00423B90" w:rsidRPr="000939E3">
              <w:rPr>
                <w:b/>
              </w:rPr>
              <w:br/>
            </w:r>
            <w:r w:rsidRPr="000939E3">
              <w:rPr>
                <w:b/>
              </w:rPr>
              <w:t>a časť z</w:t>
            </w:r>
            <w:r w:rsidR="0016215C" w:rsidRPr="000939E3">
              <w:rPr>
                <w:b/>
              </w:rPr>
              <w:t> </w:t>
            </w:r>
            <w:r w:rsidRPr="000939E3">
              <w:rPr>
                <w:b/>
              </w:rPr>
              <w:t xml:space="preserve">nich nemôže štrajkovať. </w:t>
            </w:r>
            <w:r w:rsidRPr="000939E3">
              <w:t>Z</w:t>
            </w:r>
            <w:r w:rsidR="0016215C" w:rsidRPr="000939E3">
              <w:t> </w:t>
            </w:r>
            <w:r w:rsidRPr="000939E3">
              <w:t>dôvodu vylúčenia konfliktu záujmov nemôžu vykonávať iné zárobkové činnosti štátni zamestnanci, vedúci zamestnanci pri výkone verejnej služby a</w:t>
            </w:r>
            <w:r w:rsidR="0016215C" w:rsidRPr="000939E3">
              <w:t> </w:t>
            </w:r>
            <w:r w:rsidRPr="000939E3">
              <w:t>niektorí zamestnanci podľa osobitných predpisov</w:t>
            </w:r>
            <w:r w:rsidRPr="000939E3">
              <w:rPr>
                <w:rStyle w:val="Odkaznapoznmkupodiarou"/>
              </w:rPr>
              <w:footnoteReference w:id="74"/>
            </w:r>
            <w:r w:rsidRPr="000939E3">
              <w:t>. Všetci štátni zamestnanci a</w:t>
            </w:r>
            <w:r w:rsidR="0016215C" w:rsidRPr="000939E3">
              <w:t> </w:t>
            </w:r>
            <w:r w:rsidRPr="000939E3">
              <w:t xml:space="preserve">vedúci zamestnanci každoročne podávajú majetkové priznania, Zákonník práce takúto povinnosť neukladá. Vybrané kategórie verejných zamestnancov, </w:t>
            </w:r>
            <w:r w:rsidR="00423B90" w:rsidRPr="000939E3">
              <w:br/>
            </w:r>
            <w:r w:rsidRPr="000939E3">
              <w:t xml:space="preserve">ako napríklad lekári, policajti alebo vojaci, majú obmedzené právo na štrajk. </w:t>
            </w:r>
          </w:p>
          <w:p w14:paraId="589FDBCB" w14:textId="09069563" w:rsidR="00C80A36" w:rsidRPr="000939E3" w:rsidRDefault="00C80A36" w:rsidP="00C80A36">
            <w:pPr>
              <w:rPr>
                <w:rFonts w:eastAsia="Times New Roman" w:cs="Times New Roman"/>
                <w:bCs/>
                <w:lang w:eastAsia="sk-SK"/>
              </w:rPr>
            </w:pPr>
            <w:r w:rsidRPr="000939E3">
              <w:rPr>
                <w:rFonts w:eastAsia="Times New Roman" w:cs="Times New Roman"/>
                <w:b/>
                <w:bCs/>
                <w:lang w:eastAsia="sk-SK"/>
              </w:rPr>
              <w:t>Veľká časť verejných zamestnancov pracuje kratšie a</w:t>
            </w:r>
            <w:r w:rsidR="0016215C" w:rsidRPr="000939E3">
              <w:rPr>
                <w:rFonts w:eastAsia="Times New Roman" w:cs="Times New Roman"/>
                <w:b/>
                <w:bCs/>
                <w:lang w:eastAsia="sk-SK"/>
              </w:rPr>
              <w:t> </w:t>
            </w:r>
            <w:r w:rsidRPr="000939E3">
              <w:rPr>
                <w:rFonts w:eastAsia="Times New Roman" w:cs="Times New Roman"/>
                <w:b/>
                <w:bCs/>
                <w:lang w:eastAsia="sk-SK"/>
              </w:rPr>
              <w:t>má viac nároku na platené voľno ako zamestnanci v</w:t>
            </w:r>
            <w:r w:rsidR="0016215C" w:rsidRPr="000939E3">
              <w:rPr>
                <w:rFonts w:eastAsia="Times New Roman" w:cs="Times New Roman"/>
                <w:b/>
                <w:bCs/>
                <w:lang w:eastAsia="sk-SK"/>
              </w:rPr>
              <w:t> </w:t>
            </w:r>
            <w:r w:rsidRPr="000939E3">
              <w:rPr>
                <w:rFonts w:eastAsia="Times New Roman" w:cs="Times New Roman"/>
                <w:b/>
                <w:bCs/>
                <w:lang w:eastAsia="sk-SK"/>
              </w:rPr>
              <w:t xml:space="preserve">súkromnom sektore. </w:t>
            </w:r>
            <w:r w:rsidRPr="000939E3">
              <w:rPr>
                <w:rFonts w:eastAsia="Times New Roman" w:cs="Times New Roman"/>
                <w:bCs/>
                <w:lang w:eastAsia="sk-SK"/>
              </w:rPr>
              <w:t>Zamestnanci vo verejnom sektore odpracujú približne o</w:t>
            </w:r>
            <w:r w:rsidR="0016215C" w:rsidRPr="000939E3">
              <w:rPr>
                <w:rFonts w:eastAsia="Times New Roman" w:cs="Times New Roman"/>
                <w:bCs/>
                <w:lang w:eastAsia="sk-SK"/>
              </w:rPr>
              <w:t> </w:t>
            </w:r>
            <w:r w:rsidRPr="000939E3">
              <w:rPr>
                <w:rFonts w:eastAsia="Times New Roman" w:cs="Times New Roman"/>
                <w:bCs/>
                <w:lang w:eastAsia="sk-SK"/>
              </w:rPr>
              <w:t>10 platených hodín mesačne menej ako v</w:t>
            </w:r>
            <w:r w:rsidR="0016215C" w:rsidRPr="000939E3">
              <w:rPr>
                <w:rFonts w:eastAsia="Times New Roman" w:cs="Times New Roman"/>
                <w:bCs/>
                <w:lang w:eastAsia="sk-SK"/>
              </w:rPr>
              <w:t> </w:t>
            </w:r>
            <w:r w:rsidRPr="000939E3">
              <w:rPr>
                <w:rFonts w:eastAsia="Times New Roman" w:cs="Times New Roman"/>
                <w:bCs/>
                <w:lang w:eastAsia="sk-SK"/>
              </w:rPr>
              <w:t>súkromnom sektore. To približne zodpovedá rozdielu medzi štandardnou dennou pracovnou dobou 7,5 hodín vo verejnom a</w:t>
            </w:r>
            <w:r w:rsidR="0016215C" w:rsidRPr="000939E3">
              <w:rPr>
                <w:rFonts w:eastAsia="Times New Roman" w:cs="Times New Roman"/>
                <w:bCs/>
                <w:lang w:eastAsia="sk-SK"/>
              </w:rPr>
              <w:t> </w:t>
            </w:r>
            <w:r w:rsidRPr="000939E3">
              <w:rPr>
                <w:rFonts w:eastAsia="Times New Roman" w:cs="Times New Roman"/>
                <w:bCs/>
                <w:lang w:eastAsia="sk-SK"/>
              </w:rPr>
              <w:t>8 hodín v</w:t>
            </w:r>
            <w:r w:rsidR="0016215C" w:rsidRPr="000939E3">
              <w:rPr>
                <w:rFonts w:eastAsia="Times New Roman" w:cs="Times New Roman"/>
                <w:bCs/>
                <w:lang w:eastAsia="sk-SK"/>
              </w:rPr>
              <w:t> </w:t>
            </w:r>
            <w:r w:rsidRPr="000939E3">
              <w:rPr>
                <w:rFonts w:eastAsia="Times New Roman" w:cs="Times New Roman"/>
                <w:bCs/>
                <w:lang w:eastAsia="sk-SK"/>
              </w:rPr>
              <w:t>súkromnom sektore. To neplatí v</w:t>
            </w:r>
            <w:r w:rsidR="0016215C" w:rsidRPr="000939E3">
              <w:rPr>
                <w:rFonts w:eastAsia="Times New Roman" w:cs="Times New Roman"/>
                <w:bCs/>
                <w:lang w:eastAsia="sk-SK"/>
              </w:rPr>
              <w:t> </w:t>
            </w:r>
            <w:r w:rsidRPr="000939E3">
              <w:rPr>
                <w:rFonts w:eastAsia="Times New Roman" w:cs="Times New Roman"/>
                <w:bCs/>
                <w:lang w:eastAsia="sk-SK"/>
              </w:rPr>
              <w:t>prípade lekárov, ktorých pracovnú dobu predlžujú nadčasy nad rámec Zákonníka práce. Väčšina verejných zamestnancov má nárok na týždeň dovolenky navyše oproti Zákonníku práce (</w:t>
            </w:r>
            <w:r w:rsidR="007F515E" w:rsidRPr="000939E3">
              <w:rPr>
                <w:rFonts w:eastAsia="Times New Roman" w:cs="Times New Roman"/>
                <w:bCs/>
                <w:lang w:eastAsia="sk-SK"/>
              </w:rPr>
              <w:fldChar w:fldCharType="begin"/>
            </w:r>
            <w:r w:rsidR="007F515E" w:rsidRPr="000939E3">
              <w:rPr>
                <w:rFonts w:eastAsia="Times New Roman" w:cs="Times New Roman"/>
                <w:bCs/>
                <w:lang w:eastAsia="sk-SK"/>
              </w:rPr>
              <w:instrText xml:space="preserve"> REF _Ref532827167 \h </w:instrText>
            </w:r>
            <w:r w:rsidR="0040330D" w:rsidRPr="000939E3">
              <w:rPr>
                <w:rFonts w:eastAsia="Times New Roman" w:cs="Times New Roman"/>
                <w:bCs/>
                <w:lang w:eastAsia="sk-SK"/>
              </w:rPr>
              <w:instrText xml:space="preserve"> \* MERGEFORMAT </w:instrText>
            </w:r>
            <w:r w:rsidR="007F515E" w:rsidRPr="000939E3">
              <w:rPr>
                <w:rFonts w:eastAsia="Times New Roman" w:cs="Times New Roman"/>
                <w:bCs/>
                <w:lang w:eastAsia="sk-SK"/>
              </w:rPr>
            </w:r>
            <w:r w:rsidR="007F515E" w:rsidRPr="000939E3">
              <w:rPr>
                <w:rFonts w:eastAsia="Times New Roman" w:cs="Times New Roman"/>
                <w:bCs/>
                <w:lang w:eastAsia="sk-SK"/>
              </w:rPr>
              <w:fldChar w:fldCharType="separate"/>
            </w:r>
            <w:r w:rsidR="00BF69CA" w:rsidRPr="000939E3">
              <w:t xml:space="preserve">Príloha </w:t>
            </w:r>
            <w:r w:rsidR="00BF69CA">
              <w:rPr>
                <w:noProof/>
              </w:rPr>
              <w:t>13</w:t>
            </w:r>
            <w:r w:rsidR="007F515E" w:rsidRPr="000939E3">
              <w:rPr>
                <w:rFonts w:eastAsia="Times New Roman" w:cs="Times New Roman"/>
                <w:bCs/>
                <w:lang w:eastAsia="sk-SK"/>
              </w:rPr>
              <w:fldChar w:fldCharType="end"/>
            </w:r>
            <w:r w:rsidRPr="000939E3">
              <w:rPr>
                <w:rFonts w:eastAsia="Times New Roman" w:cs="Times New Roman"/>
                <w:bCs/>
                <w:lang w:eastAsia="sk-SK"/>
              </w:rPr>
              <w:t xml:space="preserve">). </w:t>
            </w:r>
          </w:p>
          <w:p w14:paraId="07BFF076" w14:textId="4D69CD69" w:rsidR="00C80A36" w:rsidRPr="000939E3" w:rsidRDefault="00C80A36" w:rsidP="00C80A36">
            <w:r w:rsidRPr="000939E3">
              <w:rPr>
                <w:b/>
              </w:rPr>
              <w:t>Časť verejných zamestnancov má vyššiu ochranu pred stratou zamestnania.</w:t>
            </w:r>
            <w:r w:rsidRPr="000939E3">
              <w:t xml:space="preserve"> Niektorých zamestnancov (napr. sudcov a</w:t>
            </w:r>
            <w:r w:rsidR="0016215C" w:rsidRPr="000939E3">
              <w:t> </w:t>
            </w:r>
            <w:r w:rsidRPr="000939E3">
              <w:t>prokurátorov) je možné prepustiť iba vo výnimočných prípadoch</w:t>
            </w:r>
            <w:r w:rsidRPr="000939E3">
              <w:rPr>
                <w:rStyle w:val="Odkaznapoznmkupodiarou"/>
              </w:rPr>
              <w:footnoteReference w:id="75"/>
            </w:r>
            <w:r w:rsidRPr="000939E3">
              <w:t xml:space="preserve">. Ich povolanie </w:t>
            </w:r>
            <w:r w:rsidR="00C42FDA" w:rsidRPr="000939E3">
              <w:t xml:space="preserve">sa </w:t>
            </w:r>
            <w:r w:rsidRPr="000939E3">
              <w:t>končí dosiahnutím veku 65 rokov, kedy je možné ich odvolať</w:t>
            </w:r>
            <w:r w:rsidRPr="000939E3">
              <w:rPr>
                <w:rStyle w:val="Odkaznapoznmkupodiarou"/>
              </w:rPr>
              <w:footnoteReference w:id="76"/>
            </w:r>
            <w:r w:rsidRPr="000939E3">
              <w:t>. Vyššiu mieru ochrany tiež požívajú zamestnanci v</w:t>
            </w:r>
            <w:r w:rsidR="0016215C" w:rsidRPr="000939E3">
              <w:t> </w:t>
            </w:r>
            <w:r w:rsidRPr="000939E3">
              <w:t>štátnej službe, ktorí môžu žiadať prešetrenie pri</w:t>
            </w:r>
            <w:r w:rsidRPr="000939E3">
              <w:rPr>
                <w:rStyle w:val="Odkaznakomentr"/>
              </w:rPr>
              <w:t xml:space="preserve"> </w:t>
            </w:r>
            <w:r w:rsidRPr="000939E3">
              <w:t>prepustení</w:t>
            </w:r>
            <w:r w:rsidRPr="000939E3">
              <w:rPr>
                <w:rStyle w:val="Odkaznapoznmkupodiarou"/>
              </w:rPr>
              <w:footnoteReference w:id="77"/>
            </w:r>
            <w:r w:rsidRPr="000939E3">
              <w:t xml:space="preserve"> a</w:t>
            </w:r>
            <w:r w:rsidR="0016215C" w:rsidRPr="000939E3">
              <w:t> </w:t>
            </w:r>
            <w:r w:rsidRPr="000939E3">
              <w:t xml:space="preserve">nárok na odstupné im vzniká po jednom roku. </w:t>
            </w:r>
          </w:p>
          <w:p w14:paraId="6978A00D" w14:textId="0ABEA3FB" w:rsidR="00C80A36" w:rsidRPr="000939E3" w:rsidRDefault="00C80A36" w:rsidP="00C80A36">
            <w:r w:rsidRPr="000939E3">
              <w:rPr>
                <w:b/>
              </w:rPr>
              <w:lastRenderedPageBreak/>
              <w:t xml:space="preserve">Verejní zamestnanci majú istejší rast miezd. </w:t>
            </w:r>
            <w:r w:rsidRPr="000939E3">
              <w:t>Najistejší rast majú zamestnanci, ktorých mzda je legislatívne naviazaná na priemernú mzdu v</w:t>
            </w:r>
            <w:r w:rsidR="0016215C" w:rsidRPr="000939E3">
              <w:t> </w:t>
            </w:r>
            <w:r w:rsidRPr="000939E3">
              <w:t xml:space="preserve">hospodárstve. Základné mzdy ostatných verejných zamestnancov sú síce závislé od rozhodnutia vlády, majú však istotu priemerného rastu za každý odpracovaný rok. </w:t>
            </w:r>
          </w:p>
          <w:p w14:paraId="4633CE91" w14:textId="1C60E30C" w:rsidR="00C80A36" w:rsidRPr="000939E3" w:rsidRDefault="00C80A36" w:rsidP="0016215C">
            <w:pPr>
              <w:spacing w:after="0"/>
            </w:pPr>
            <w:r w:rsidRPr="000939E3">
              <w:rPr>
                <w:b/>
              </w:rPr>
              <w:t>Za benefit práce pre ozbrojené zložky možno považovať výsluhové dôchodky</w:t>
            </w:r>
            <w:r w:rsidRPr="000939E3">
              <w:t>, priznané sú po 25 odslúžených rokoch a</w:t>
            </w:r>
            <w:r w:rsidR="0016215C" w:rsidRPr="000939E3">
              <w:t> </w:t>
            </w:r>
            <w:r w:rsidRPr="000939E3">
              <w:t>ukončení kariéry, bez ohľadu na dosiahnutý vek. Sú dodatočnou, časovo neobmedzenou kompenzáciou, ktorá nemá ekvivalent v</w:t>
            </w:r>
            <w:r w:rsidR="0016215C" w:rsidRPr="000939E3">
              <w:t> </w:t>
            </w:r>
            <w:r w:rsidRPr="000939E3">
              <w:t>Zákonníku práce. Poberanie výsluhového dôchodku neobmedzuje inú zárobkovú činnosť ani súbeh s</w:t>
            </w:r>
            <w:r w:rsidR="0016215C" w:rsidRPr="000939E3">
              <w:t> </w:t>
            </w:r>
            <w:r w:rsidRPr="000939E3">
              <w:t>bežným starobným dôchodkom, benefit spočíva v</w:t>
            </w:r>
            <w:r w:rsidR="0016215C" w:rsidRPr="000939E3">
              <w:t> </w:t>
            </w:r>
            <w:r w:rsidRPr="000939E3">
              <w:t>poberaní dôchodku pred dôchodkovým vekom. V</w:t>
            </w:r>
            <w:r w:rsidR="0016215C" w:rsidRPr="000939E3">
              <w:t> </w:t>
            </w:r>
            <w:r w:rsidRPr="000939E3">
              <w:t>dôchodkovom veku v</w:t>
            </w:r>
            <w:r w:rsidR="0016215C" w:rsidRPr="000939E3">
              <w:t> </w:t>
            </w:r>
            <w:r w:rsidRPr="000939E3">
              <w:t>prípade vzniku nároku sú poberané dva dôchodky, výška bežného starobného dôchodku sa kráti. V</w:t>
            </w:r>
            <w:r w:rsidR="0016215C" w:rsidRPr="000939E3">
              <w:t> </w:t>
            </w:r>
            <w:r w:rsidRPr="000939E3">
              <w:t>roku 2017 poberalo výsluhové dôchodky takmer 33 tisíc policajtov a</w:t>
            </w:r>
            <w:r w:rsidR="0016215C" w:rsidRPr="000939E3">
              <w:t> </w:t>
            </w:r>
            <w:r w:rsidRPr="000939E3">
              <w:t>vojakov.</w:t>
            </w:r>
          </w:p>
        </w:tc>
      </w:tr>
    </w:tbl>
    <w:p w14:paraId="6DF8A315" w14:textId="77777777" w:rsidR="00F778F9" w:rsidRPr="000939E3" w:rsidRDefault="00F778F9" w:rsidP="00F778F9">
      <w:pPr>
        <w:pStyle w:val="Nadpis2"/>
      </w:pPr>
      <w:bookmarkStart w:id="188" w:name="_Toc4052287"/>
      <w:bookmarkStart w:id="189" w:name="_Toc4052420"/>
      <w:bookmarkStart w:id="190" w:name="_Toc4066865"/>
      <w:bookmarkStart w:id="191" w:name="_Toc4066904"/>
      <w:bookmarkStart w:id="192" w:name="_Toc4067124"/>
      <w:bookmarkStart w:id="193" w:name="_Toc4078972"/>
      <w:bookmarkStart w:id="194" w:name="_Toc4162658"/>
      <w:bookmarkStart w:id="195" w:name="_Toc4414887"/>
      <w:bookmarkStart w:id="196" w:name="_Toc4052288"/>
      <w:bookmarkStart w:id="197" w:name="_Toc4052421"/>
      <w:bookmarkStart w:id="198" w:name="_Toc4066866"/>
      <w:bookmarkStart w:id="199" w:name="_Toc4066905"/>
      <w:bookmarkStart w:id="200" w:name="_Toc4067125"/>
      <w:bookmarkStart w:id="201" w:name="_Toc4078973"/>
      <w:bookmarkStart w:id="202" w:name="_Toc4162659"/>
      <w:bookmarkStart w:id="203" w:name="_Toc4414888"/>
      <w:bookmarkStart w:id="204" w:name="_Toc4052289"/>
      <w:bookmarkStart w:id="205" w:name="_Toc4052422"/>
      <w:bookmarkStart w:id="206" w:name="_Toc4066867"/>
      <w:bookmarkStart w:id="207" w:name="_Toc4066906"/>
      <w:bookmarkStart w:id="208" w:name="_Toc4067126"/>
      <w:bookmarkStart w:id="209" w:name="_Toc4078974"/>
      <w:bookmarkStart w:id="210" w:name="_Toc4162660"/>
      <w:bookmarkStart w:id="211" w:name="_Toc4414889"/>
      <w:bookmarkStart w:id="212" w:name="_Toc4052290"/>
      <w:bookmarkStart w:id="213" w:name="_Toc4052423"/>
      <w:bookmarkStart w:id="214" w:name="_Toc4066868"/>
      <w:bookmarkStart w:id="215" w:name="_Toc4066907"/>
      <w:bookmarkStart w:id="216" w:name="_Toc4067127"/>
      <w:bookmarkStart w:id="217" w:name="_Toc4078975"/>
      <w:bookmarkStart w:id="218" w:name="_Toc4162661"/>
      <w:bookmarkStart w:id="219" w:name="_Toc4414890"/>
      <w:bookmarkStart w:id="220" w:name="_Toc34050705"/>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0939E3">
        <w:lastRenderedPageBreak/>
        <w:t>Kolektívne vyjednávanie</w:t>
      </w:r>
      <w:bookmarkEnd w:id="220"/>
    </w:p>
    <w:p w14:paraId="56DB79F5" w14:textId="686A8B6C" w:rsidR="00F778F9" w:rsidRPr="000939E3" w:rsidRDefault="00F778F9" w:rsidP="00F778F9">
      <w:r w:rsidRPr="000939E3">
        <w:rPr>
          <w:b/>
        </w:rPr>
        <w:t>Nástrojom na ovplyvnenie budúcich mzdových nákladov súvisiacich s</w:t>
      </w:r>
      <w:r w:rsidR="0016215C" w:rsidRPr="000939E3">
        <w:rPr>
          <w:b/>
        </w:rPr>
        <w:t> </w:t>
      </w:r>
      <w:r w:rsidRPr="000939E3">
        <w:rPr>
          <w:b/>
        </w:rPr>
        <w:t xml:space="preserve">verejnou zamestnanosťou je predovšetkým kolektívne vyjednávanie. </w:t>
      </w:r>
      <w:r w:rsidRPr="000939E3">
        <w:t>Kolektívne vyjednávanie je proces negociácie zamestnávateľov a</w:t>
      </w:r>
      <w:r w:rsidR="0016215C" w:rsidRPr="000939E3">
        <w:t> </w:t>
      </w:r>
      <w:r w:rsidRPr="000939E3">
        <w:t>zamestnancov o</w:t>
      </w:r>
      <w:r w:rsidR="0016215C" w:rsidRPr="000939E3">
        <w:t> </w:t>
      </w:r>
      <w:r w:rsidRPr="000939E3">
        <w:t>pracovných podmienkach, napr. dĺžke pracovného času, benefitoch a</w:t>
      </w:r>
      <w:r w:rsidR="0016215C" w:rsidRPr="000939E3">
        <w:t> </w:t>
      </w:r>
      <w:r w:rsidRPr="000939E3">
        <w:t>odmene za prácu. Spoločným záujmom strán vyjednávania je sociálny zmier, ktorý vytvára predvídateľné prostredie a</w:t>
      </w:r>
      <w:r w:rsidR="0016215C" w:rsidRPr="000939E3">
        <w:t> </w:t>
      </w:r>
      <w:r w:rsidRPr="000939E3">
        <w:t xml:space="preserve">znižuje šancu štrajkov. </w:t>
      </w:r>
    </w:p>
    <w:p w14:paraId="37C0ABC7" w14:textId="55F14B7C" w:rsidR="00F778F9" w:rsidRPr="000939E3" w:rsidRDefault="00F778F9" w:rsidP="00DA30C9">
      <w:r w:rsidRPr="000939E3">
        <w:rPr>
          <w:b/>
        </w:rPr>
        <w:t>Systémy, v</w:t>
      </w:r>
      <w:r w:rsidR="0016215C" w:rsidRPr="000939E3">
        <w:rPr>
          <w:b/>
        </w:rPr>
        <w:t> </w:t>
      </w:r>
      <w:r w:rsidRPr="000939E3">
        <w:rPr>
          <w:b/>
        </w:rPr>
        <w:t>ktorých sa kolektívne vyjednáva vykazujú lepšie výsledky v</w:t>
      </w:r>
      <w:r w:rsidR="0016215C" w:rsidRPr="000939E3">
        <w:rPr>
          <w:b/>
        </w:rPr>
        <w:t> </w:t>
      </w:r>
      <w:r w:rsidRPr="000939E3">
        <w:rPr>
          <w:b/>
        </w:rPr>
        <w:t>zamestnanosti a</w:t>
      </w:r>
      <w:r w:rsidR="0016215C" w:rsidRPr="000939E3">
        <w:rPr>
          <w:b/>
        </w:rPr>
        <w:t> </w:t>
      </w:r>
      <w:r w:rsidRPr="000939E3">
        <w:rPr>
          <w:b/>
        </w:rPr>
        <w:t>menšiu mzdovú nerovnosť (OECD, 2018a).</w:t>
      </w:r>
      <w:r w:rsidRPr="000939E3">
        <w:t xml:space="preserve"> Výsledkom vyjednávania na Slovensku je kolektívna zmluva na úrovni podniku alebo na úrovni celého hospodárstva</w:t>
      </w:r>
      <w:r w:rsidRPr="000939E3">
        <w:rPr>
          <w:rStyle w:val="Odkaznapoznmkupodiarou"/>
        </w:rPr>
        <w:footnoteReference w:id="78"/>
      </w:r>
      <w:r w:rsidRPr="000939E3">
        <w:t>. V</w:t>
      </w:r>
      <w:r w:rsidR="0016215C" w:rsidRPr="000939E3">
        <w:t> </w:t>
      </w:r>
      <w:r w:rsidRPr="000939E3">
        <w:t>prípade verejnej správy sa vyjednáva na úrovni štátnych zamestnancov a</w:t>
      </w:r>
      <w:r w:rsidR="0016215C" w:rsidRPr="000939E3">
        <w:t> </w:t>
      </w:r>
      <w:r w:rsidRPr="000939E3">
        <w:t>verejných zamestnancov, pričom kolektívna zmluva vyššieho stupňa ovplyvňuje aj ďalšie profesie vo verejnej správe, nap</w:t>
      </w:r>
      <w:r w:rsidR="00DA30C9" w:rsidRPr="000939E3">
        <w:t xml:space="preserve">ríklad zamestnancov samospráv.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222"/>
        <w:gridCol w:w="4165"/>
      </w:tblGrid>
      <w:tr w:rsidR="00F778F9" w:rsidRPr="000939E3" w14:paraId="49C36E79" w14:textId="77777777" w:rsidTr="000939E3">
        <w:trPr>
          <w:trHeight w:val="20"/>
        </w:trPr>
        <w:tc>
          <w:tcPr>
            <w:tcW w:w="4670" w:type="dxa"/>
            <w:tcBorders>
              <w:bottom w:val="single" w:sz="4" w:space="0" w:color="auto"/>
            </w:tcBorders>
          </w:tcPr>
          <w:p w14:paraId="758AC968" w14:textId="74C5CF77" w:rsidR="00F778F9" w:rsidRPr="000939E3" w:rsidRDefault="00F778F9" w:rsidP="00F778F9">
            <w:pPr>
              <w:pStyle w:val="Popis"/>
              <w:keepNext/>
            </w:pPr>
            <w:bookmarkStart w:id="221" w:name="_Ref4139908"/>
            <w:bookmarkStart w:id="222" w:name="_Toc526966788"/>
            <w:bookmarkStart w:id="223" w:name="_Toc34226909"/>
            <w:r w:rsidRPr="000939E3">
              <w:t xml:space="preserve">Graf </w:t>
            </w:r>
            <w:r w:rsidRPr="000939E3">
              <w:rPr>
                <w:noProof/>
              </w:rPr>
              <w:fldChar w:fldCharType="begin"/>
            </w:r>
            <w:r w:rsidRPr="000939E3">
              <w:rPr>
                <w:noProof/>
              </w:rPr>
              <w:instrText xml:space="preserve"> SEQ Graf \* ARABIC </w:instrText>
            </w:r>
            <w:r w:rsidRPr="000939E3">
              <w:rPr>
                <w:noProof/>
              </w:rPr>
              <w:fldChar w:fldCharType="separate"/>
            </w:r>
            <w:r w:rsidR="00BF69CA">
              <w:rPr>
                <w:noProof/>
              </w:rPr>
              <w:t>38</w:t>
            </w:r>
            <w:r w:rsidRPr="000939E3">
              <w:rPr>
                <w:noProof/>
              </w:rPr>
              <w:fldChar w:fldCharType="end"/>
            </w:r>
            <w:bookmarkEnd w:id="221"/>
            <w:r w:rsidRPr="000939E3">
              <w:rPr>
                <w:noProof/>
              </w:rPr>
              <w:t>:</w:t>
            </w:r>
            <w:r w:rsidRPr="000939E3">
              <w:t xml:space="preserve"> Vyjednaný rast platov vybraných skupín (% rastu oproti rovnakému obdobi</w:t>
            </w:r>
            <w:r w:rsidR="00423B90" w:rsidRPr="000939E3">
              <w:t>u</w:t>
            </w:r>
            <w:r w:rsidRPr="000939E3">
              <w:t xml:space="preserve"> predchádzajúceho roka)</w:t>
            </w:r>
            <w:r w:rsidRPr="000939E3">
              <w:rPr>
                <w:rStyle w:val="Odkaznapoznmkupodiarou"/>
              </w:rPr>
              <w:footnoteReference w:id="79"/>
            </w:r>
            <w:bookmarkEnd w:id="222"/>
            <w:bookmarkEnd w:id="223"/>
            <w:r w:rsidRPr="000939E3">
              <w:t xml:space="preserve"> </w:t>
            </w:r>
          </w:p>
        </w:tc>
        <w:tc>
          <w:tcPr>
            <w:tcW w:w="222" w:type="dxa"/>
          </w:tcPr>
          <w:p w14:paraId="685D8BFF" w14:textId="77777777" w:rsidR="00F778F9" w:rsidRPr="000939E3" w:rsidRDefault="00F778F9" w:rsidP="00F778F9">
            <w:pPr>
              <w:pStyle w:val="Popis"/>
              <w:keepNext/>
            </w:pPr>
          </w:p>
        </w:tc>
        <w:tc>
          <w:tcPr>
            <w:tcW w:w="4180" w:type="dxa"/>
            <w:tcBorders>
              <w:bottom w:val="single" w:sz="4" w:space="0" w:color="auto"/>
            </w:tcBorders>
            <w:vAlign w:val="bottom"/>
          </w:tcPr>
          <w:p w14:paraId="67D0A128" w14:textId="3336B558" w:rsidR="00F778F9" w:rsidRPr="000939E3" w:rsidRDefault="00F778F9" w:rsidP="00F778F9">
            <w:pPr>
              <w:pStyle w:val="Popis"/>
              <w:keepNext/>
            </w:pPr>
            <w:bookmarkStart w:id="224" w:name="_Ref529522343"/>
            <w:bookmarkStart w:id="225" w:name="_Toc34226910"/>
            <w:r w:rsidRPr="000939E3">
              <w:t xml:space="preserve">Graf </w:t>
            </w:r>
            <w:r w:rsidRPr="000939E3">
              <w:rPr>
                <w:noProof/>
              </w:rPr>
              <w:fldChar w:fldCharType="begin"/>
            </w:r>
            <w:r w:rsidRPr="000939E3">
              <w:rPr>
                <w:noProof/>
              </w:rPr>
              <w:instrText xml:space="preserve"> SEQ Graf \* ARABIC </w:instrText>
            </w:r>
            <w:r w:rsidRPr="000939E3">
              <w:rPr>
                <w:noProof/>
              </w:rPr>
              <w:fldChar w:fldCharType="separate"/>
            </w:r>
            <w:r w:rsidR="00BF69CA">
              <w:rPr>
                <w:noProof/>
              </w:rPr>
              <w:t>39</w:t>
            </w:r>
            <w:r w:rsidRPr="000939E3">
              <w:rPr>
                <w:noProof/>
              </w:rPr>
              <w:fldChar w:fldCharType="end"/>
            </w:r>
            <w:bookmarkEnd w:id="224"/>
            <w:r w:rsidRPr="000939E3">
              <w:rPr>
                <w:noProof/>
              </w:rPr>
              <w:t>:</w:t>
            </w:r>
            <w:r w:rsidRPr="000939E3">
              <w:t xml:space="preserve"> Priemerná mzda ako násobok priemernej mzdy vysokoškolsky vzdelaných osôb (II. st.) v</w:t>
            </w:r>
            <w:r w:rsidR="0016215C" w:rsidRPr="000939E3">
              <w:t> </w:t>
            </w:r>
            <w:r w:rsidRPr="000939E3">
              <w:t>hospodárstve</w:t>
            </w:r>
            <w:bookmarkEnd w:id="225"/>
          </w:p>
        </w:tc>
      </w:tr>
      <w:tr w:rsidR="00F778F9" w:rsidRPr="000939E3" w14:paraId="60000EDE" w14:textId="77777777" w:rsidTr="000939E3">
        <w:trPr>
          <w:trHeight w:val="20"/>
        </w:trPr>
        <w:tc>
          <w:tcPr>
            <w:tcW w:w="4670" w:type="dxa"/>
            <w:tcBorders>
              <w:top w:val="single" w:sz="4" w:space="0" w:color="auto"/>
              <w:bottom w:val="single" w:sz="4" w:space="0" w:color="auto"/>
            </w:tcBorders>
          </w:tcPr>
          <w:p w14:paraId="6971E3DB" w14:textId="77777777" w:rsidR="00F778F9" w:rsidRPr="000939E3" w:rsidRDefault="00F778F9" w:rsidP="00F778F9">
            <w:pPr>
              <w:spacing w:after="0"/>
            </w:pPr>
            <w:r w:rsidRPr="000939E3">
              <w:rPr>
                <w:noProof/>
                <w:lang w:eastAsia="sk-SK"/>
              </w:rPr>
              <w:drawing>
                <wp:inline distT="0" distB="0" distL="0" distR="0" wp14:anchorId="15E02F9B" wp14:editId="042394CD">
                  <wp:extent cx="2874645" cy="2340864"/>
                  <wp:effectExtent l="0" t="0" r="0" b="254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222" w:type="dxa"/>
          </w:tcPr>
          <w:p w14:paraId="513F48D6" w14:textId="77777777" w:rsidR="00F778F9" w:rsidRPr="000939E3" w:rsidRDefault="00F778F9" w:rsidP="00F778F9">
            <w:pPr>
              <w:spacing w:after="0"/>
              <w:rPr>
                <w:noProof/>
                <w:lang w:eastAsia="sk-SK"/>
              </w:rPr>
            </w:pPr>
          </w:p>
        </w:tc>
        <w:tc>
          <w:tcPr>
            <w:tcW w:w="4180" w:type="dxa"/>
            <w:tcBorders>
              <w:top w:val="single" w:sz="4" w:space="0" w:color="auto"/>
              <w:bottom w:val="single" w:sz="4" w:space="0" w:color="auto"/>
            </w:tcBorders>
          </w:tcPr>
          <w:p w14:paraId="03DA1263" w14:textId="46FEC266" w:rsidR="00F778F9" w:rsidRPr="000939E3" w:rsidRDefault="009C6942" w:rsidP="00463343">
            <w:pPr>
              <w:spacing w:after="0"/>
              <w:ind w:left="-35"/>
              <w:jc w:val="left"/>
              <w:rPr>
                <w:noProof/>
                <w:lang w:eastAsia="sk-SK"/>
              </w:rPr>
            </w:pPr>
            <w:r w:rsidRPr="000939E3">
              <w:rPr>
                <w:noProof/>
                <w:lang w:eastAsia="sk-SK"/>
              </w:rPr>
              <w:drawing>
                <wp:inline distT="0" distB="0" distL="0" distR="0" wp14:anchorId="3674A1FD" wp14:editId="3AC14500">
                  <wp:extent cx="2562225" cy="2362810"/>
                  <wp:effectExtent l="0" t="0" r="0" b="0"/>
                  <wp:docPr id="232" name="Graf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F778F9" w:rsidRPr="000939E3" w14:paraId="32835372" w14:textId="77777777" w:rsidTr="000939E3">
        <w:trPr>
          <w:trHeight w:val="20"/>
        </w:trPr>
        <w:tc>
          <w:tcPr>
            <w:tcW w:w="4670" w:type="dxa"/>
            <w:tcBorders>
              <w:top w:val="single" w:sz="4" w:space="0" w:color="auto"/>
            </w:tcBorders>
          </w:tcPr>
          <w:p w14:paraId="7D474F9C" w14:textId="77777777" w:rsidR="00F778F9" w:rsidRPr="000939E3" w:rsidRDefault="00F778F9" w:rsidP="00F778F9">
            <w:pPr>
              <w:keepNext/>
              <w:spacing w:after="0"/>
              <w:jc w:val="right"/>
              <w:rPr>
                <w:i/>
                <w:sz w:val="18"/>
              </w:rPr>
            </w:pPr>
            <w:r w:rsidRPr="000939E3">
              <w:rPr>
                <w:i/>
                <w:sz w:val="18"/>
              </w:rPr>
              <w:t>Zdroj: ŠÚ SR, SRP MF SR, kolektívne zmluvy vyššieho stupňa, spracovanie ÚHP</w:t>
            </w:r>
          </w:p>
        </w:tc>
        <w:tc>
          <w:tcPr>
            <w:tcW w:w="222" w:type="dxa"/>
          </w:tcPr>
          <w:p w14:paraId="33C60244" w14:textId="77777777" w:rsidR="00F778F9" w:rsidRPr="000939E3" w:rsidRDefault="00F778F9" w:rsidP="00F778F9">
            <w:pPr>
              <w:keepNext/>
              <w:spacing w:after="0"/>
              <w:jc w:val="right"/>
              <w:rPr>
                <w:i/>
                <w:sz w:val="18"/>
              </w:rPr>
            </w:pPr>
          </w:p>
        </w:tc>
        <w:tc>
          <w:tcPr>
            <w:tcW w:w="4180" w:type="dxa"/>
            <w:tcBorders>
              <w:top w:val="single" w:sz="4" w:space="0" w:color="auto"/>
            </w:tcBorders>
          </w:tcPr>
          <w:p w14:paraId="4E51C870" w14:textId="77777777" w:rsidR="00F778F9" w:rsidRPr="000939E3" w:rsidRDefault="00F778F9" w:rsidP="00F778F9">
            <w:pPr>
              <w:keepNext/>
              <w:spacing w:after="0"/>
              <w:jc w:val="right"/>
              <w:rPr>
                <w:i/>
                <w:sz w:val="18"/>
              </w:rPr>
            </w:pPr>
            <w:r w:rsidRPr="000939E3">
              <w:rPr>
                <w:i/>
                <w:sz w:val="18"/>
              </w:rPr>
              <w:t>Zdroj: MF SR, NCZI, MŠVVaŠ SR, spracovanie ÚHP</w:t>
            </w:r>
          </w:p>
        </w:tc>
      </w:tr>
    </w:tbl>
    <w:p w14:paraId="2FF0B3EB" w14:textId="130D6BBD" w:rsidR="00DA30C9" w:rsidRPr="000939E3" w:rsidRDefault="00DA30C9" w:rsidP="00F778F9">
      <w:pPr>
        <w:spacing w:before="240"/>
      </w:pPr>
      <w:r w:rsidRPr="000939E3">
        <w:rPr>
          <w:b/>
        </w:rPr>
        <w:t>Prax kolektívneho vyjednávania vo verejnom sektore na Slovensku generuje rovnakú relatívnu valorizáciu pre väčšinu profesií napriek ich rozdielnej konkurencieschopnosti v odmeňovaní.</w:t>
      </w:r>
      <w:r w:rsidRPr="000939E3">
        <w:t xml:space="preserve"> Napriek 6 rôznym </w:t>
      </w:r>
      <w:r w:rsidRPr="000939E3">
        <w:lastRenderedPageBreak/>
        <w:t>platovým tabuľkám</w:t>
      </w:r>
      <w:r w:rsidRPr="000939E3">
        <w:rPr>
          <w:rStyle w:val="Odkaznapoznmkupodiarou"/>
        </w:rPr>
        <w:footnoteReference w:id="80"/>
      </w:r>
      <w:r w:rsidRPr="000939E3">
        <w:t xml:space="preserve"> prebieha na úrovni vlády iba jedno rokovanie. Výsledkom sú dve kolektívne zmluvy, p</w:t>
      </w:r>
      <w:r w:rsidR="00903470">
        <w:t>re </w:t>
      </w:r>
      <w:r w:rsidRPr="000939E3">
        <w:t xml:space="preserve">štátnych zamestnancov a zamestnancov vo verejnom záujme, upravujúce mzdovú valorizáciu a pracovné podmienky. Valorizácie </w:t>
      </w:r>
      <w:r w:rsidR="005558C2" w:rsidRPr="000939E3">
        <w:t xml:space="preserve">miezd </w:t>
      </w:r>
      <w:r w:rsidRPr="000939E3">
        <w:t>zamestnancov v štátnej a verejnej službe sa od roku 2013 nelíšili, s výnimkou učiteľov</w:t>
      </w:r>
      <w:r w:rsidR="008F3937" w:rsidRPr="000939E3">
        <w:t>,</w:t>
      </w:r>
      <w:r w:rsidRPr="000939E3">
        <w:t xml:space="preserve"> </w:t>
      </w:r>
      <w:r w:rsidR="008F3937" w:rsidRPr="000939E3">
        <w:t xml:space="preserve">u ktorých </w:t>
      </w:r>
      <w:r w:rsidRPr="000939E3">
        <w:t>vyššia valorizácia vyplynula z programového vyhlásenia vlády. Mzdy lekárov (od roku 2012) a zdravotných sestier (od roku 2016) sa valorizujú automaticky, kopírujú rast priemernej mzdy, ich kolektívne vyjednávanie prebieha hlavne o nemzdových pracovných podmienkach.</w:t>
      </w:r>
      <w:r w:rsidRPr="000939E3">
        <w:rPr>
          <w:b/>
        </w:rPr>
        <w:t xml:space="preserve"> </w:t>
      </w:r>
      <w:r w:rsidRPr="000939E3">
        <w:t xml:space="preserve">V prípade profesií odmeňovaných podľa osobitných predpisov (napr. policajti) prebieha rokovanie na úrovni ministerstva, vyjednáva sa v prevažnej miere iba o nemzdových benefitoch. Valorizácia ich platov je uvedená v zákone o rozpočte a nerokuje sa o nej. </w:t>
      </w:r>
    </w:p>
    <w:p w14:paraId="655BEA02" w14:textId="1ED5447C" w:rsidR="005B2A4B" w:rsidRPr="000939E3" w:rsidRDefault="005B2A4B" w:rsidP="00F778F9">
      <w:pPr>
        <w:spacing w:before="240"/>
        <w:rPr>
          <w:b/>
        </w:rPr>
      </w:pPr>
      <w:r w:rsidRPr="000939E3">
        <w:rPr>
          <w:b/>
        </w:rPr>
        <w:t>Rovnakú valorizáciu o 10 % pre takmer všetky skupiny zamestnancov</w:t>
      </w:r>
      <w:r w:rsidRPr="000939E3">
        <w:rPr>
          <w:rStyle w:val="Odkaznapoznmkupodiarou"/>
          <w:b/>
        </w:rPr>
        <w:footnoteReference w:id="81"/>
      </w:r>
      <w:r w:rsidRPr="000939E3">
        <w:rPr>
          <w:b/>
        </w:rPr>
        <w:t xml:space="preserve">, vrátane učiteľov, </w:t>
      </w:r>
      <w:r w:rsidR="00E2301C" w:rsidRPr="000939E3">
        <w:rPr>
          <w:b/>
        </w:rPr>
        <w:t xml:space="preserve">priniesla </w:t>
      </w:r>
      <w:r w:rsidRPr="000939E3">
        <w:rPr>
          <w:b/>
        </w:rPr>
        <w:t>kolektívna zmluva na roky 2019 a 2020. Ide o prvú kolektívnu zmluv</w:t>
      </w:r>
      <w:r w:rsidR="0016215C" w:rsidRPr="000939E3">
        <w:rPr>
          <w:b/>
        </w:rPr>
        <w:t>a vyššieho stupňa uzatvorenú na </w:t>
      </w:r>
      <w:r w:rsidRPr="000939E3">
        <w:rPr>
          <w:b/>
        </w:rPr>
        <w:t>obdobie dlhšie ako jeden rok,</w:t>
      </w:r>
      <w:r w:rsidRPr="000939E3">
        <w:t xml:space="preserve"> čo umož</w:t>
      </w:r>
      <w:r w:rsidR="00E2301C" w:rsidRPr="000939E3">
        <w:t>ňuje</w:t>
      </w:r>
      <w:r w:rsidRPr="000939E3">
        <w:t xml:space="preserve"> lepšie plánovanie zdrojov a mô</w:t>
      </w:r>
      <w:r w:rsidR="0016215C" w:rsidRPr="000939E3">
        <w:t>že zabezpečiť sociálny zmier na </w:t>
      </w:r>
      <w:r w:rsidRPr="000939E3">
        <w:t>dlhšie obdobie.</w:t>
      </w:r>
    </w:p>
    <w:p w14:paraId="6D63F4DB" w14:textId="28118E47" w:rsidR="00F778F9" w:rsidRPr="000939E3" w:rsidRDefault="00F778F9" w:rsidP="00F778F9">
      <w:pPr>
        <w:spacing w:before="240"/>
      </w:pPr>
      <w:r w:rsidRPr="000939E3">
        <w:rPr>
          <w:b/>
        </w:rPr>
        <w:t xml:space="preserve">Priemerné platy medzi rokmi 2010 až </w:t>
      </w:r>
      <w:r w:rsidR="00E2301C" w:rsidRPr="000939E3">
        <w:rPr>
          <w:b/>
        </w:rPr>
        <w:t xml:space="preserve">2018 </w:t>
      </w:r>
      <w:r w:rsidRPr="000939E3">
        <w:rPr>
          <w:b/>
        </w:rPr>
        <w:t>vo verejnom sektore rástli pomalšie ako v</w:t>
      </w:r>
      <w:r w:rsidR="005B2A4B" w:rsidRPr="000939E3">
        <w:rPr>
          <w:b/>
        </w:rPr>
        <w:t> </w:t>
      </w:r>
      <w:r w:rsidRPr="000939E3">
        <w:rPr>
          <w:b/>
        </w:rPr>
        <w:t>hospodárstve</w:t>
      </w:r>
      <w:r w:rsidR="005B2A4B" w:rsidRPr="000939E3">
        <w:rPr>
          <w:b/>
        </w:rPr>
        <w:t xml:space="preserve"> (</w:t>
      </w:r>
      <w:r w:rsidR="005B2A4B" w:rsidRPr="00813E6B">
        <w:rPr>
          <w:b/>
        </w:rPr>
        <w:fldChar w:fldCharType="begin"/>
      </w:r>
      <w:r w:rsidR="005B2A4B" w:rsidRPr="00813E6B">
        <w:rPr>
          <w:b/>
        </w:rPr>
        <w:instrText xml:space="preserve"> REF _Ref4139908 \h  \* MERGEFORMAT </w:instrText>
      </w:r>
      <w:r w:rsidR="005B2A4B" w:rsidRPr="00813E6B">
        <w:rPr>
          <w:b/>
        </w:rPr>
      </w:r>
      <w:r w:rsidR="005B2A4B" w:rsidRPr="00813E6B">
        <w:rPr>
          <w:b/>
        </w:rPr>
        <w:fldChar w:fldCharType="separate"/>
      </w:r>
      <w:r w:rsidR="00BF69CA" w:rsidRPr="00BF69CA">
        <w:rPr>
          <w:b/>
        </w:rPr>
        <w:t>Graf</w:t>
      </w:r>
      <w:r w:rsidR="00BF69CA" w:rsidRPr="000939E3">
        <w:t xml:space="preserve"> </w:t>
      </w:r>
      <w:r w:rsidR="00BF69CA">
        <w:rPr>
          <w:noProof/>
        </w:rPr>
        <w:t>38</w:t>
      </w:r>
      <w:r w:rsidR="005B2A4B" w:rsidRPr="00813E6B">
        <w:rPr>
          <w:b/>
        </w:rPr>
        <w:fldChar w:fldCharType="end"/>
      </w:r>
      <w:r w:rsidR="005B2A4B" w:rsidRPr="00813E6B">
        <w:rPr>
          <w:b/>
        </w:rPr>
        <w:t>)</w:t>
      </w:r>
      <w:r w:rsidRPr="00813E6B">
        <w:rPr>
          <w:b/>
        </w:rPr>
        <w:t>.</w:t>
      </w:r>
      <w:r w:rsidRPr="000939E3">
        <w:rPr>
          <w:b/>
        </w:rPr>
        <w:t xml:space="preserve"> </w:t>
      </w:r>
      <w:r w:rsidRPr="000939E3">
        <w:t xml:space="preserve">V sledovanom období vzrástli priemerné mzdy v hospodárstve o takmer </w:t>
      </w:r>
      <w:r w:rsidR="003A0C03" w:rsidRPr="000939E3">
        <w:t>41 </w:t>
      </w:r>
      <w:r w:rsidRPr="000939E3">
        <w:t>%, priemerné mzdy zamestnancov v štátnej a verejnej správe však rástli o </w:t>
      </w:r>
      <w:r w:rsidR="003A0C03" w:rsidRPr="000939E3">
        <w:t>37 </w:t>
      </w:r>
      <w:r w:rsidRPr="000939E3">
        <w:t>%. Základné tarify štátnych a verejných</w:t>
      </w:r>
      <w:r w:rsidR="005B2A4B" w:rsidRPr="000939E3">
        <w:t xml:space="preserve"> zamestnancov vzrástli iba o </w:t>
      </w:r>
      <w:r w:rsidR="003A0C03" w:rsidRPr="000939E3">
        <w:t>23 </w:t>
      </w:r>
      <w:r w:rsidRPr="000939E3">
        <w:t xml:space="preserve">%, zvyšok tvorili iné zložky kompenzácie. Základné tarify rástli rýchlejšie učiteľom, </w:t>
      </w:r>
      <w:r w:rsidR="00F118F8" w:rsidRPr="000939E3">
        <w:t>od tomu 2012 do 2017 vzrástli o 44% (</w:t>
      </w:r>
      <w:r w:rsidR="00F118F8" w:rsidRPr="000939E3">
        <w:fldChar w:fldCharType="begin"/>
      </w:r>
      <w:r w:rsidR="00F118F8" w:rsidRPr="000939E3">
        <w:instrText xml:space="preserve"> REF _Ref12532370 \h </w:instrText>
      </w:r>
      <w:r w:rsidR="000939E3">
        <w:instrText xml:space="preserve"> \* MERGEFORMAT </w:instrText>
      </w:r>
      <w:r w:rsidR="00F118F8" w:rsidRPr="000939E3">
        <w:fldChar w:fldCharType="separate"/>
      </w:r>
      <w:r w:rsidR="00BF69CA" w:rsidRPr="00BF69CA">
        <w:t xml:space="preserve">Graf </w:t>
      </w:r>
      <w:r w:rsidR="00BF69CA" w:rsidRPr="00BF69CA">
        <w:rPr>
          <w:noProof/>
        </w:rPr>
        <w:t>51</w:t>
      </w:r>
      <w:r w:rsidR="00F118F8" w:rsidRPr="000939E3">
        <w:fldChar w:fldCharType="end"/>
      </w:r>
      <w:r w:rsidR="00F118F8" w:rsidRPr="000939E3">
        <w:t>)</w:t>
      </w:r>
      <w:r w:rsidRPr="000939E3">
        <w:t>. Diferenciácia valorizácie platov učiteľov je potrebná a nevyhnutná. Z pohľadu priemernej mzdy rástl</w:t>
      </w:r>
      <w:r w:rsidR="00820790" w:rsidRPr="000939E3">
        <w:t>i učitelia z </w:t>
      </w:r>
      <w:r w:rsidRPr="000939E3">
        <w:t>nízkej bázy, ich priemerné platy presiahli priemer stredoškolsky vzdelaných zamestnancov v</w:t>
      </w:r>
      <w:r w:rsidR="0016215C" w:rsidRPr="000939E3">
        <w:t> </w:t>
      </w:r>
      <w:r w:rsidRPr="000939E3">
        <w:t>hospodárstve v roku 2015 (</w:t>
      </w:r>
      <w:r w:rsidRPr="000939E3">
        <w:fldChar w:fldCharType="begin"/>
      </w:r>
      <w:r w:rsidRPr="000939E3">
        <w:instrText xml:space="preserve"> REF _Ref529522343 \h  \* MERGEFORMAT </w:instrText>
      </w:r>
      <w:r w:rsidRPr="000939E3">
        <w:fldChar w:fldCharType="separate"/>
      </w:r>
      <w:r w:rsidR="00BF69CA" w:rsidRPr="000939E3">
        <w:t xml:space="preserve">Graf </w:t>
      </w:r>
      <w:r w:rsidR="00BF69CA">
        <w:rPr>
          <w:noProof/>
        </w:rPr>
        <w:t>39</w:t>
      </w:r>
      <w:r w:rsidRPr="000939E3">
        <w:fldChar w:fldCharType="end"/>
      </w:r>
      <w:r w:rsidRPr="000939E3">
        <w:t xml:space="preserve">). </w:t>
      </w:r>
    </w:p>
    <w:p w14:paraId="3841BBB4" w14:textId="77777777" w:rsidR="00F778F9" w:rsidRPr="000939E3" w:rsidRDefault="00F778F9" w:rsidP="00F778F9">
      <w:pPr>
        <w:pStyle w:val="Nadpis2"/>
      </w:pPr>
      <w:bookmarkStart w:id="226" w:name="_Toc4162663"/>
      <w:bookmarkStart w:id="227" w:name="_Toc4414892"/>
      <w:bookmarkStart w:id="228" w:name="_Toc4162664"/>
      <w:bookmarkStart w:id="229" w:name="_Toc4414893"/>
      <w:bookmarkStart w:id="230" w:name="_Ref527111108"/>
      <w:bookmarkStart w:id="231" w:name="_Ref528052436"/>
      <w:bookmarkStart w:id="232" w:name="_Toc34050706"/>
      <w:bookmarkEnd w:id="226"/>
      <w:bookmarkEnd w:id="227"/>
      <w:bookmarkEnd w:id="228"/>
      <w:bookmarkEnd w:id="229"/>
      <w:r w:rsidRPr="000939E3">
        <w:t>Nástroje regulácie zamestnanosti</w:t>
      </w:r>
      <w:bookmarkEnd w:id="230"/>
      <w:bookmarkEnd w:id="231"/>
      <w:bookmarkEnd w:id="232"/>
      <w:r w:rsidRPr="000939E3">
        <w:t xml:space="preserve"> </w:t>
      </w:r>
    </w:p>
    <w:p w14:paraId="4CCAB108" w14:textId="557B32FE" w:rsidR="00F778F9" w:rsidRPr="000939E3" w:rsidRDefault="007E6916" w:rsidP="00F778F9">
      <w:pPr>
        <w:rPr>
          <w:b/>
        </w:rPr>
      </w:pPr>
      <w:r w:rsidRPr="000939E3">
        <w:rPr>
          <w:b/>
        </w:rPr>
        <w:t xml:space="preserve">Hlavným nástrojom </w:t>
      </w:r>
      <w:r w:rsidRPr="000939E3">
        <w:rPr>
          <w:b/>
          <w:color w:val="000000" w:themeColor="text1"/>
        </w:rPr>
        <w:t xml:space="preserve">štátu na riadenie zamestnanosti v rozpočtových kapitolách štátnej správy je stanovenie maximálnej výšky ročných mzdových výdavkov a celkového počtu pracovníkov. </w:t>
      </w:r>
      <w:r w:rsidR="00F778F9" w:rsidRPr="000939E3">
        <w:t>Výšku mzdových výdavkov ústredných orgánov štátnej správy stanovuje NR SR zákonom o štátnom rozpočte. Počet zamestnancov ústredných orgánov a systemizáciu uniformovaných profesií určuje vláda uznesením</w:t>
      </w:r>
      <w:r w:rsidR="00F778F9" w:rsidRPr="000939E3">
        <w:rPr>
          <w:rStyle w:val="Odkaznapoznmkupodiarou"/>
        </w:rPr>
        <w:footnoteReference w:id="82"/>
      </w:r>
      <w:r w:rsidR="00F778F9" w:rsidRPr="000939E3">
        <w:t>.</w:t>
      </w:r>
    </w:p>
    <w:p w14:paraId="16F670C0" w14:textId="77777777" w:rsidR="00F778F9" w:rsidRPr="000939E3" w:rsidRDefault="00F778F9" w:rsidP="00F778F9">
      <w:r w:rsidRPr="000939E3">
        <w:rPr>
          <w:b/>
        </w:rPr>
        <w:t xml:space="preserve">Sekundárnym nástrojom sú odmeňovacie predpisy a výška základných taríf, celkovo však ovplyvňujú viac kvalitu zamestnancov ako ich počet. </w:t>
      </w:r>
      <w:r w:rsidRPr="000939E3">
        <w:t xml:space="preserve">Predovšetkým ministerstvá a ich podriadené organizácie majú flexibilitu v rozdelení celkového balíka peňazí na menej lepšie zaplatených alebo viac zamestnancov s nižšou mzdou. </w:t>
      </w:r>
    </w:p>
    <w:p w14:paraId="07503E5C" w14:textId="641D6EBA" w:rsidR="00F778F9" w:rsidRPr="000939E3" w:rsidRDefault="00F778F9" w:rsidP="00F778F9">
      <w:r w:rsidRPr="000939E3">
        <w:rPr>
          <w:b/>
        </w:rPr>
        <w:t xml:space="preserve">Nástrojmi v oblastiach s nepriamym vplyvom vlády na zamestnanosť sú minimálne mzdové nároky, spôsob výpočtu transferov a delegovanie zástupcov. </w:t>
      </w:r>
      <w:r w:rsidRPr="000939E3">
        <w:t>Samosprávy vrátane škôl, štátne podniky aj zariadenia ústavnej starostlivosti si počet zamestnancov určujú samy. Vláda dokáže v týchto sektoroch stanoviť len spodnú hranicu miezd - napr. prostredníctvom platových tabuliek a katalógov činností pri odmeňovaní podľa zákona o výkone prác vo verejnom záujme. Celkovú mzdovú úroveň verejnej zamestnanosti dokáže ovplyvniť spôsobom výpočtu transferov (normatívny spôsob financovania školstva</w:t>
      </w:r>
      <w:r w:rsidR="00AD5D4C" w:rsidRPr="000939E3">
        <w:t>,</w:t>
      </w:r>
      <w:r w:rsidRPr="000939E3">
        <w:t xml:space="preserve"> ktorým je možné nepriamo upravovať počet pedagogických a nepedagogických zamestnancov), </w:t>
      </w:r>
      <w:r w:rsidR="00BA6424" w:rsidRPr="000939E3">
        <w:t xml:space="preserve">a tiež </w:t>
      </w:r>
      <w:r w:rsidRPr="000939E3">
        <w:t xml:space="preserve">kontrolou alebo delegovaním </w:t>
      </w:r>
      <w:r w:rsidR="00BA6424" w:rsidRPr="000939E3">
        <w:t xml:space="preserve">svojich </w:t>
      </w:r>
      <w:r w:rsidRPr="000939E3">
        <w:t>zástupcov, ktorí sa spolupodieľajú na riadení</w:t>
      </w:r>
      <w:r w:rsidR="00BA6424" w:rsidRPr="000939E3">
        <w:t xml:space="preserve"> (napríklad v štátnych podnikoch).</w:t>
      </w:r>
    </w:p>
    <w:p w14:paraId="200B6295" w14:textId="7862490E" w:rsidR="00F778F9" w:rsidRPr="000939E3" w:rsidRDefault="00F778F9" w:rsidP="00F778F9">
      <w:pPr>
        <w:rPr>
          <w:rFonts w:eastAsia="Calibri" w:cs="Times New Roman"/>
          <w:color w:val="000000"/>
        </w:rPr>
      </w:pPr>
      <w:r w:rsidRPr="000939E3">
        <w:rPr>
          <w:rFonts w:eastAsia="Calibri" w:cs="Times New Roman"/>
          <w:b/>
          <w:color w:val="000000"/>
        </w:rPr>
        <w:t>Podľa údajov Eurostatu</w:t>
      </w:r>
      <w:r w:rsidRPr="000939E3">
        <w:rPr>
          <w:rStyle w:val="Odkaznapoznmkupodiarou"/>
          <w:rFonts w:eastAsia="Calibri" w:cs="Times New Roman"/>
          <w:b/>
          <w:color w:val="000000"/>
        </w:rPr>
        <w:footnoteReference w:id="83"/>
      </w:r>
      <w:r w:rsidRPr="000939E3">
        <w:rPr>
          <w:rFonts w:eastAsia="Calibri" w:cs="Times New Roman"/>
          <w:b/>
          <w:color w:val="000000"/>
        </w:rPr>
        <w:t xml:space="preserve"> má Slovensko </w:t>
      </w:r>
      <w:r w:rsidR="007C3F5A" w:rsidRPr="000939E3">
        <w:rPr>
          <w:rFonts w:eastAsia="Calibri" w:cs="Times New Roman"/>
          <w:b/>
          <w:color w:val="000000"/>
        </w:rPr>
        <w:t xml:space="preserve">v poslednom období </w:t>
      </w:r>
      <w:r w:rsidRPr="000939E3">
        <w:rPr>
          <w:rFonts w:eastAsia="Calibri" w:cs="Times New Roman"/>
          <w:b/>
          <w:color w:val="000000"/>
        </w:rPr>
        <w:t xml:space="preserve">oproti mediánu EÚ </w:t>
      </w:r>
      <w:r w:rsidR="00EF2216" w:rsidRPr="000939E3">
        <w:rPr>
          <w:rFonts w:eastAsia="Calibri" w:cs="Times New Roman"/>
          <w:b/>
          <w:color w:val="000000"/>
        </w:rPr>
        <w:t xml:space="preserve">takmer </w:t>
      </w:r>
      <w:r w:rsidRPr="000939E3">
        <w:rPr>
          <w:rFonts w:eastAsia="Calibri" w:cs="Times New Roman"/>
          <w:b/>
          <w:color w:val="000000"/>
        </w:rPr>
        <w:t>štvornásobok voľných pracovných miest v odvetví verejnej správy</w:t>
      </w:r>
      <w:r w:rsidRPr="000939E3">
        <w:rPr>
          <w:rStyle w:val="Odkaznapoznmkupodiarou"/>
          <w:rFonts w:eastAsia="Calibri" w:cs="Times New Roman"/>
          <w:b/>
          <w:color w:val="000000"/>
        </w:rPr>
        <w:footnoteReference w:id="84"/>
      </w:r>
      <w:r w:rsidR="00D91827" w:rsidRPr="000939E3">
        <w:rPr>
          <w:rFonts w:eastAsia="Calibri" w:cs="Times New Roman"/>
          <w:b/>
          <w:color w:val="000000"/>
        </w:rPr>
        <w:t xml:space="preserve"> (</w:t>
      </w:r>
      <w:r w:rsidR="00B93FC3" w:rsidRPr="000939E3">
        <w:rPr>
          <w:rFonts w:eastAsia="Calibri" w:cs="Times New Roman"/>
          <w:b/>
          <w:color w:val="000000"/>
        </w:rPr>
        <w:fldChar w:fldCharType="begin"/>
      </w:r>
      <w:r w:rsidR="00B93FC3" w:rsidRPr="000939E3">
        <w:rPr>
          <w:rFonts w:eastAsia="Calibri" w:cs="Times New Roman"/>
          <w:b/>
          <w:color w:val="000000"/>
        </w:rPr>
        <w:instrText xml:space="preserve"> REF _Ref527113179 \h  \* MERGEFORMAT </w:instrText>
      </w:r>
      <w:r w:rsidR="00B93FC3" w:rsidRPr="000939E3">
        <w:rPr>
          <w:rFonts w:eastAsia="Calibri" w:cs="Times New Roman"/>
          <w:b/>
          <w:color w:val="000000"/>
        </w:rPr>
      </w:r>
      <w:r w:rsidR="00B93FC3" w:rsidRPr="000939E3">
        <w:rPr>
          <w:rFonts w:eastAsia="Calibri" w:cs="Times New Roman"/>
          <w:b/>
          <w:color w:val="000000"/>
        </w:rPr>
        <w:fldChar w:fldCharType="separate"/>
      </w:r>
      <w:r w:rsidR="00BF69CA" w:rsidRPr="00BF69CA">
        <w:rPr>
          <w:b/>
        </w:rPr>
        <w:t xml:space="preserve">Graf </w:t>
      </w:r>
      <w:r w:rsidR="00BF69CA" w:rsidRPr="00BF69CA">
        <w:rPr>
          <w:b/>
          <w:noProof/>
        </w:rPr>
        <w:t>40</w:t>
      </w:r>
      <w:r w:rsidR="00B93FC3" w:rsidRPr="000939E3">
        <w:rPr>
          <w:rFonts w:eastAsia="Calibri" w:cs="Times New Roman"/>
          <w:b/>
          <w:color w:val="000000"/>
        </w:rPr>
        <w:fldChar w:fldCharType="end"/>
      </w:r>
      <w:r w:rsidR="00D91827" w:rsidRPr="000939E3">
        <w:rPr>
          <w:rFonts w:eastAsia="Calibri" w:cs="Times New Roman"/>
          <w:b/>
          <w:color w:val="000000"/>
        </w:rPr>
        <w:t>)</w:t>
      </w:r>
      <w:r w:rsidRPr="000939E3">
        <w:rPr>
          <w:rFonts w:eastAsia="Calibri" w:cs="Times New Roman"/>
          <w:b/>
          <w:color w:val="000000"/>
        </w:rPr>
        <w:t xml:space="preserve">. </w:t>
      </w:r>
      <w:r w:rsidR="00E83B2E" w:rsidRPr="000939E3">
        <w:rPr>
          <w:rFonts w:eastAsia="Calibri" w:cs="Times New Roman"/>
          <w:color w:val="000000"/>
        </w:rPr>
        <w:t>Ide o dlhodobý jav</w:t>
      </w:r>
      <w:r w:rsidRPr="000939E3">
        <w:rPr>
          <w:rFonts w:eastAsia="Calibri" w:cs="Times New Roman"/>
          <w:color w:val="000000"/>
        </w:rPr>
        <w:t xml:space="preserve">, pritom z pohľadu celej </w:t>
      </w:r>
      <w:r w:rsidRPr="000939E3">
        <w:rPr>
          <w:rFonts w:eastAsia="Calibri" w:cs="Times New Roman"/>
          <w:color w:val="000000"/>
        </w:rPr>
        <w:lastRenderedPageBreak/>
        <w:t>ekonomiky alebo iných odvetv</w:t>
      </w:r>
      <w:r w:rsidR="00E83B2E" w:rsidRPr="000939E3">
        <w:rPr>
          <w:rFonts w:eastAsia="Calibri" w:cs="Times New Roman"/>
          <w:color w:val="000000"/>
        </w:rPr>
        <w:t>í</w:t>
      </w:r>
      <w:r w:rsidRPr="000939E3">
        <w:rPr>
          <w:rFonts w:eastAsia="Calibri" w:cs="Times New Roman"/>
          <w:color w:val="000000"/>
        </w:rPr>
        <w:t xml:space="preserve"> verejnej zamestnanosti s menšou priamou kontrolou štátu (vzdelávanie a zdravotníctvo) patrí Slovensko medzi krajiny s nižšou mierou voľných pracovných miest. </w:t>
      </w:r>
      <w:r w:rsidR="00E83B2E" w:rsidRPr="000939E3">
        <w:rPr>
          <w:b/>
        </w:rPr>
        <w:t>Vysoký p</w:t>
      </w:r>
      <w:r w:rsidRPr="000939E3">
        <w:rPr>
          <w:b/>
        </w:rPr>
        <w:t>očet neobsadených miest naznačuje buď problém s obsadzovaním miest</w:t>
      </w:r>
      <w:r w:rsidR="008F3937" w:rsidRPr="000939E3">
        <w:rPr>
          <w:b/>
        </w:rPr>
        <w:t>,</w:t>
      </w:r>
      <w:r w:rsidRPr="000939E3">
        <w:rPr>
          <w:b/>
        </w:rPr>
        <w:t xml:space="preserve"> alebo nesprávne stanovený počet potrebných pracovníkov.</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778F9" w:rsidRPr="000939E3" w14:paraId="5AC98B1B" w14:textId="77777777" w:rsidTr="00F778F9">
        <w:tc>
          <w:tcPr>
            <w:tcW w:w="9072" w:type="dxa"/>
            <w:tcBorders>
              <w:bottom w:val="single" w:sz="4" w:space="0" w:color="000000" w:themeColor="text1"/>
            </w:tcBorders>
          </w:tcPr>
          <w:p w14:paraId="6FD1B2E9" w14:textId="6D9984E3" w:rsidR="00F778F9" w:rsidRPr="000939E3" w:rsidRDefault="00F778F9" w:rsidP="00EF2216">
            <w:pPr>
              <w:pStyle w:val="Popis"/>
              <w:keepNext/>
            </w:pPr>
            <w:bookmarkStart w:id="233" w:name="_Ref527113179"/>
            <w:bookmarkStart w:id="234" w:name="_Toc34226911"/>
            <w:r w:rsidRPr="000939E3">
              <w:t xml:space="preserve">Graf </w:t>
            </w:r>
            <w:r w:rsidRPr="000939E3">
              <w:rPr>
                <w:noProof/>
              </w:rPr>
              <w:fldChar w:fldCharType="begin"/>
            </w:r>
            <w:r w:rsidRPr="000939E3">
              <w:rPr>
                <w:noProof/>
              </w:rPr>
              <w:instrText xml:space="preserve"> SEQ Graf \* ARABIC </w:instrText>
            </w:r>
            <w:r w:rsidRPr="000939E3">
              <w:rPr>
                <w:noProof/>
              </w:rPr>
              <w:fldChar w:fldCharType="separate"/>
            </w:r>
            <w:r w:rsidR="00BF69CA">
              <w:rPr>
                <w:noProof/>
              </w:rPr>
              <w:t>40</w:t>
            </w:r>
            <w:r w:rsidRPr="000939E3">
              <w:rPr>
                <w:noProof/>
              </w:rPr>
              <w:fldChar w:fldCharType="end"/>
            </w:r>
            <w:bookmarkEnd w:id="233"/>
            <w:r w:rsidRPr="000939E3">
              <w:rPr>
                <w:noProof/>
              </w:rPr>
              <w:t>:</w:t>
            </w:r>
            <w:r w:rsidRPr="000939E3">
              <w:t xml:space="preserve"> Priemerná miera voľných pracovných miest vo verejnej správe, v %, 2011-</w:t>
            </w:r>
            <w:r w:rsidR="00EF2216" w:rsidRPr="000939E3">
              <w:t>2018</w:t>
            </w:r>
            <w:bookmarkEnd w:id="234"/>
          </w:p>
        </w:tc>
      </w:tr>
      <w:tr w:rsidR="00F778F9" w:rsidRPr="000939E3" w14:paraId="3C26BA56" w14:textId="77777777" w:rsidTr="00EF2216">
        <w:tc>
          <w:tcPr>
            <w:tcW w:w="9072" w:type="dxa"/>
            <w:tcBorders>
              <w:top w:val="single" w:sz="4" w:space="0" w:color="000000" w:themeColor="text1"/>
              <w:bottom w:val="single" w:sz="4" w:space="0" w:color="000000" w:themeColor="text1"/>
            </w:tcBorders>
          </w:tcPr>
          <w:p w14:paraId="00EA6B65" w14:textId="7B27E644" w:rsidR="00F778F9" w:rsidRPr="000939E3" w:rsidRDefault="00EF2216" w:rsidP="00F778F9">
            <w:pPr>
              <w:keepNext/>
              <w:spacing w:after="0"/>
            </w:pPr>
            <w:r w:rsidRPr="000939E3">
              <w:rPr>
                <w:noProof/>
                <w:lang w:eastAsia="sk-SK"/>
              </w:rPr>
              <w:drawing>
                <wp:inline distT="0" distB="0" distL="0" distR="0" wp14:anchorId="44B9BC95" wp14:editId="5C3B016A">
                  <wp:extent cx="5629275" cy="2457907"/>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EF2216" w:rsidRPr="000939E3" w14:paraId="5F09208E" w14:textId="77777777" w:rsidTr="00903470">
        <w:tc>
          <w:tcPr>
            <w:tcW w:w="9072" w:type="dxa"/>
            <w:tcBorders>
              <w:top w:val="single" w:sz="4" w:space="0" w:color="000000" w:themeColor="text1"/>
            </w:tcBorders>
          </w:tcPr>
          <w:p w14:paraId="34C75B5F" w14:textId="77777777" w:rsidR="00F778F9" w:rsidRPr="000939E3" w:rsidRDefault="00F778F9" w:rsidP="00903470">
            <w:pPr>
              <w:pStyle w:val="Popis"/>
              <w:jc w:val="right"/>
              <w:rPr>
                <w:b w:val="0"/>
                <w:i/>
                <w:sz w:val="18"/>
              </w:rPr>
            </w:pPr>
            <w:r w:rsidRPr="000939E3">
              <w:rPr>
                <w:b w:val="0"/>
                <w:i/>
                <w:sz w:val="18"/>
              </w:rPr>
              <w:t>Zdroj: Eurostat, spracovanie ÚHP</w:t>
            </w:r>
          </w:p>
        </w:tc>
      </w:tr>
    </w:tbl>
    <w:p w14:paraId="012E4C1B" w14:textId="208DBCD0" w:rsidR="00E902B3" w:rsidRPr="000939E3" w:rsidRDefault="00F778F9" w:rsidP="00DA30C9">
      <w:pPr>
        <w:spacing w:before="240"/>
        <w:rPr>
          <w:rFonts w:eastAsia="Calibri" w:cs="Times New Roman"/>
          <w:color w:val="000000"/>
        </w:rPr>
      </w:pPr>
      <w:r w:rsidRPr="000939E3">
        <w:rPr>
          <w:rFonts w:eastAsia="Calibri" w:cs="Times New Roman"/>
          <w:b/>
          <w:color w:val="000000"/>
        </w:rPr>
        <w:t>Ministerstvá a iné ústredné orgány štátnej správy (kapitoly rozpočtu) neobsadi</w:t>
      </w:r>
      <w:r w:rsidR="006F78DC" w:rsidRPr="000939E3">
        <w:rPr>
          <w:rFonts w:eastAsia="Calibri" w:cs="Times New Roman"/>
          <w:b/>
          <w:color w:val="000000"/>
        </w:rPr>
        <w:t>li</w:t>
      </w:r>
      <w:r w:rsidRPr="000939E3">
        <w:rPr>
          <w:rFonts w:eastAsia="Calibri" w:cs="Times New Roman"/>
          <w:b/>
          <w:color w:val="000000"/>
        </w:rPr>
        <w:t xml:space="preserve"> v</w:t>
      </w:r>
      <w:r w:rsidR="006F78DC" w:rsidRPr="000939E3">
        <w:rPr>
          <w:rFonts w:eastAsia="Calibri" w:cs="Times New Roman"/>
          <w:b/>
          <w:color w:val="000000"/>
        </w:rPr>
        <w:t> rokoch 2011-2018 v</w:t>
      </w:r>
      <w:r w:rsidRPr="000939E3">
        <w:rPr>
          <w:rFonts w:eastAsia="Calibri" w:cs="Times New Roman"/>
          <w:b/>
          <w:color w:val="000000"/>
        </w:rPr>
        <w:t> priemere 5 tisíc zo 128 tisíc rozpočtovaných miest. Väčšinu neobsadených miest tvoria policajti a vojaci.</w:t>
      </w:r>
      <w:r w:rsidRPr="000939E3">
        <w:rPr>
          <w:rFonts w:eastAsia="Calibri" w:cs="Times New Roman"/>
          <w:color w:val="000000"/>
        </w:rPr>
        <w:t xml:space="preserve"> Z celkovej 4 % miery neobsadených miest v odvetví verejnej správy tvoria 95 % rozpočtované ale neobsadené miesta v kapitolách rozpočtu.</w:t>
      </w:r>
      <w:r w:rsidRPr="000939E3">
        <w:rPr>
          <w:rStyle w:val="Odkaznapoznmkupodiarou"/>
        </w:rPr>
        <w:footnoteReference w:id="85"/>
      </w:r>
      <w:r w:rsidRPr="000939E3">
        <w:t xml:space="preserve"> </w:t>
      </w:r>
      <w:r w:rsidR="006F78DC" w:rsidRPr="000939E3">
        <w:t xml:space="preserve">Dlhodobo </w:t>
      </w:r>
      <w:r w:rsidR="00B64213" w:rsidRPr="000939E3">
        <w:rPr>
          <w:rFonts w:eastAsia="Calibri" w:cs="Times New Roman"/>
          <w:color w:val="000000"/>
        </w:rPr>
        <w:t>tvori</w:t>
      </w:r>
      <w:r w:rsidR="006F78DC" w:rsidRPr="000939E3">
        <w:rPr>
          <w:rFonts w:eastAsia="Calibri" w:cs="Times New Roman"/>
          <w:color w:val="000000"/>
        </w:rPr>
        <w:t>a</w:t>
      </w:r>
      <w:r w:rsidR="00B64213" w:rsidRPr="000939E3">
        <w:rPr>
          <w:rFonts w:eastAsia="Calibri" w:cs="Times New Roman"/>
          <w:color w:val="000000"/>
        </w:rPr>
        <w:t xml:space="preserve"> p</w:t>
      </w:r>
      <w:r w:rsidRPr="000939E3">
        <w:rPr>
          <w:rFonts w:eastAsia="Calibri" w:cs="Times New Roman"/>
          <w:color w:val="000000"/>
        </w:rPr>
        <w:t>olicajti a</w:t>
      </w:r>
      <w:r w:rsidR="00B64213" w:rsidRPr="000939E3">
        <w:rPr>
          <w:rFonts w:eastAsia="Calibri" w:cs="Times New Roman"/>
          <w:color w:val="000000"/>
        </w:rPr>
        <w:t> </w:t>
      </w:r>
      <w:r w:rsidRPr="000939E3">
        <w:rPr>
          <w:rFonts w:eastAsia="Calibri" w:cs="Times New Roman"/>
          <w:color w:val="000000"/>
        </w:rPr>
        <w:t xml:space="preserve">vojaci </w:t>
      </w:r>
      <w:r w:rsidR="0094529B" w:rsidRPr="000939E3">
        <w:rPr>
          <w:rFonts w:eastAsia="Calibri" w:cs="Times New Roman"/>
          <w:color w:val="000000"/>
        </w:rPr>
        <w:t>viac ako polovicu</w:t>
      </w:r>
      <w:r w:rsidRPr="000939E3">
        <w:rPr>
          <w:rFonts w:eastAsia="Calibri" w:cs="Times New Roman"/>
          <w:color w:val="000000"/>
        </w:rPr>
        <w:t xml:space="preserve"> z celkového počtu neobsadených miest v ústrednej štátnej správe</w:t>
      </w:r>
      <w:r w:rsidR="006F78DC" w:rsidRPr="000939E3">
        <w:rPr>
          <w:rFonts w:eastAsia="Calibri" w:cs="Times New Roman"/>
          <w:color w:val="000000"/>
        </w:rPr>
        <w:t>,</w:t>
      </w:r>
      <w:r w:rsidR="002E4DAE" w:rsidRPr="000939E3">
        <w:rPr>
          <w:rFonts w:eastAsia="Calibri" w:cs="Times New Roman"/>
          <w:color w:val="000000"/>
        </w:rPr>
        <w:t xml:space="preserve"> </w:t>
      </w:r>
      <w:r w:rsidR="006F78DC" w:rsidRPr="000939E3">
        <w:rPr>
          <w:rFonts w:eastAsia="Calibri" w:cs="Times New Roman"/>
          <w:color w:val="000000"/>
        </w:rPr>
        <w:t xml:space="preserve">v roku 2018 to bolo </w:t>
      </w:r>
      <w:r w:rsidR="002E4DAE" w:rsidRPr="000939E3">
        <w:rPr>
          <w:rFonts w:eastAsia="Calibri" w:cs="Times New Roman"/>
          <w:color w:val="000000"/>
        </w:rPr>
        <w:t>3,</w:t>
      </w:r>
      <w:r w:rsidR="0094529B" w:rsidRPr="000939E3">
        <w:rPr>
          <w:rFonts w:eastAsia="Calibri" w:cs="Times New Roman"/>
          <w:color w:val="000000"/>
        </w:rPr>
        <w:t xml:space="preserve">6 </w:t>
      </w:r>
      <w:r w:rsidR="002E4DAE" w:rsidRPr="000939E3">
        <w:rPr>
          <w:rFonts w:eastAsia="Calibri" w:cs="Times New Roman"/>
          <w:color w:val="000000"/>
        </w:rPr>
        <w:t>tisíc z </w:t>
      </w:r>
      <w:r w:rsidR="0094529B" w:rsidRPr="000939E3">
        <w:rPr>
          <w:rFonts w:eastAsia="Calibri" w:cs="Times New Roman"/>
          <w:color w:val="000000"/>
        </w:rPr>
        <w:t>6,7</w:t>
      </w:r>
      <w:r w:rsidR="002E4DAE" w:rsidRPr="000939E3">
        <w:rPr>
          <w:rFonts w:eastAsia="Calibri" w:cs="Times New Roman"/>
          <w:color w:val="000000"/>
        </w:rPr>
        <w:t xml:space="preserve"> tisíc </w:t>
      </w:r>
      <w:r w:rsidR="006F78DC" w:rsidRPr="000939E3">
        <w:rPr>
          <w:rFonts w:eastAsia="Calibri" w:cs="Times New Roman"/>
          <w:color w:val="000000"/>
        </w:rPr>
        <w:t xml:space="preserve">neobsadených </w:t>
      </w:r>
      <w:r w:rsidR="002E4DAE" w:rsidRPr="000939E3">
        <w:rPr>
          <w:rFonts w:eastAsia="Calibri" w:cs="Times New Roman"/>
          <w:color w:val="000000"/>
        </w:rPr>
        <w:t>miest.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778F9" w:rsidRPr="000939E3" w14:paraId="04E00B6F" w14:textId="77777777" w:rsidTr="00F778F9">
        <w:tc>
          <w:tcPr>
            <w:tcW w:w="0" w:type="auto"/>
            <w:tcBorders>
              <w:bottom w:val="single" w:sz="4" w:space="0" w:color="000000" w:themeColor="text1"/>
            </w:tcBorders>
          </w:tcPr>
          <w:p w14:paraId="04A33976" w14:textId="789148DB" w:rsidR="00F778F9" w:rsidRPr="000939E3" w:rsidRDefault="00F778F9" w:rsidP="005E308C">
            <w:pPr>
              <w:pStyle w:val="Popis"/>
              <w:keepNext/>
            </w:pPr>
            <w:bookmarkStart w:id="235" w:name="_Ref4674297"/>
            <w:bookmarkStart w:id="236" w:name="_Toc34226912"/>
            <w:r w:rsidRPr="000939E3">
              <w:t xml:space="preserve">Graf </w:t>
            </w:r>
            <w:r w:rsidRPr="000939E3">
              <w:rPr>
                <w:noProof/>
              </w:rPr>
              <w:fldChar w:fldCharType="begin"/>
            </w:r>
            <w:r w:rsidRPr="000939E3">
              <w:rPr>
                <w:noProof/>
              </w:rPr>
              <w:instrText xml:space="preserve"> SEQ Graf \* ARABIC </w:instrText>
            </w:r>
            <w:r w:rsidRPr="000939E3">
              <w:rPr>
                <w:noProof/>
              </w:rPr>
              <w:fldChar w:fldCharType="separate"/>
            </w:r>
            <w:r w:rsidR="00BF69CA">
              <w:rPr>
                <w:noProof/>
              </w:rPr>
              <w:t>41</w:t>
            </w:r>
            <w:r w:rsidRPr="000939E3">
              <w:rPr>
                <w:noProof/>
              </w:rPr>
              <w:fldChar w:fldCharType="end"/>
            </w:r>
            <w:bookmarkEnd w:id="235"/>
            <w:r w:rsidRPr="000939E3">
              <w:rPr>
                <w:noProof/>
              </w:rPr>
              <w:t>:</w:t>
            </w:r>
            <w:r w:rsidRPr="000939E3">
              <w:t xml:space="preserve"> Priemerné počty neobsadených miest rezortov (2011-</w:t>
            </w:r>
            <w:r w:rsidR="005E308C" w:rsidRPr="000939E3">
              <w:t>2018</w:t>
            </w:r>
            <w:r w:rsidRPr="000939E3">
              <w:t>)</w:t>
            </w:r>
            <w:bookmarkEnd w:id="236"/>
          </w:p>
        </w:tc>
      </w:tr>
      <w:tr w:rsidR="00F778F9" w:rsidRPr="000939E3" w14:paraId="3FEF145A" w14:textId="77777777" w:rsidTr="005E308C">
        <w:tc>
          <w:tcPr>
            <w:tcW w:w="9072" w:type="dxa"/>
            <w:tcBorders>
              <w:top w:val="single" w:sz="4" w:space="0" w:color="000000" w:themeColor="text1"/>
              <w:bottom w:val="single" w:sz="4" w:space="0" w:color="000000" w:themeColor="text1"/>
            </w:tcBorders>
          </w:tcPr>
          <w:p w14:paraId="22235135" w14:textId="13B89F55" w:rsidR="00F778F9" w:rsidRPr="000939E3" w:rsidRDefault="005E308C" w:rsidP="00F778F9">
            <w:pPr>
              <w:keepNext/>
              <w:spacing w:after="0"/>
            </w:pPr>
            <w:r w:rsidRPr="000939E3">
              <w:rPr>
                <w:noProof/>
                <w:lang w:eastAsia="sk-SK"/>
              </w:rPr>
              <w:drawing>
                <wp:inline distT="0" distB="0" distL="0" distR="0" wp14:anchorId="2CC538FA" wp14:editId="45F72994">
                  <wp:extent cx="5629275" cy="2450592"/>
                  <wp:effectExtent l="0" t="0" r="0" b="6985"/>
                  <wp:docPr id="228" name="Graf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F778F9" w:rsidRPr="000939E3" w14:paraId="7DC601DE" w14:textId="77777777" w:rsidTr="00F778F9">
        <w:tc>
          <w:tcPr>
            <w:tcW w:w="0" w:type="auto"/>
            <w:tcBorders>
              <w:top w:val="single" w:sz="4" w:space="0" w:color="000000" w:themeColor="text1"/>
            </w:tcBorders>
          </w:tcPr>
          <w:p w14:paraId="51ECA014" w14:textId="77777777" w:rsidR="00F778F9" w:rsidRPr="000939E3" w:rsidRDefault="00F778F9" w:rsidP="00F778F9">
            <w:pPr>
              <w:pStyle w:val="Popis"/>
              <w:jc w:val="right"/>
              <w:rPr>
                <w:b w:val="0"/>
                <w:i/>
                <w:sz w:val="18"/>
              </w:rPr>
            </w:pPr>
            <w:r w:rsidRPr="000939E3">
              <w:rPr>
                <w:b w:val="0"/>
                <w:i/>
                <w:sz w:val="18"/>
              </w:rPr>
              <w:t>Zdroj: SRP MF SR, Eurostat, spracovanie ÚHP</w:t>
            </w:r>
          </w:p>
        </w:tc>
      </w:tr>
    </w:tbl>
    <w:p w14:paraId="20A1DED2" w14:textId="49DD61EC" w:rsidR="002E4DAE" w:rsidRPr="000939E3" w:rsidRDefault="00DA30C9" w:rsidP="004340DE">
      <w:pPr>
        <w:spacing w:before="240"/>
      </w:pPr>
      <w:r w:rsidRPr="000939E3">
        <w:rPr>
          <w:b/>
        </w:rPr>
        <w:t xml:space="preserve">Takmer všetky ministerstvá majú vyššiu mieru voľných pracovných miest oproti bežnej neobsadenosti v zahraničí. </w:t>
      </w:r>
      <w:r w:rsidRPr="000939E3">
        <w:t xml:space="preserve">Dlhodobo vysoký podiel neobsadených miest má </w:t>
      </w:r>
      <w:r w:rsidRPr="000939E3">
        <w:rPr>
          <w:rFonts w:eastAsia="Calibri" w:cs="Times New Roman"/>
          <w:color w:val="000000"/>
        </w:rPr>
        <w:t>hlavne ministerstvo vnútra (</w:t>
      </w:r>
      <w:r w:rsidR="008340B3" w:rsidRPr="000939E3">
        <w:rPr>
          <w:rFonts w:eastAsia="Calibri" w:cs="Times New Roman"/>
          <w:color w:val="000000"/>
        </w:rPr>
        <w:t>2</w:t>
      </w:r>
      <w:r w:rsidRPr="000939E3">
        <w:t xml:space="preserve"> tisíc miest, 4 % plánu) </w:t>
      </w:r>
      <w:r w:rsidRPr="000939E3">
        <w:rPr>
          <w:rFonts w:eastAsia="Calibri" w:cs="Times New Roman"/>
          <w:color w:val="000000"/>
        </w:rPr>
        <w:t xml:space="preserve">a obrany </w:t>
      </w:r>
      <w:r w:rsidRPr="000939E3">
        <w:t>(1,4 tisíc miest, 7 % plánu). Vyšší než priemerný podiel neobsadených miest štátnej správy má aj MŽP</w:t>
      </w:r>
      <w:r w:rsidR="00813E6B">
        <w:t> </w:t>
      </w:r>
      <w:r w:rsidRPr="000939E3">
        <w:t xml:space="preserve">SR </w:t>
      </w:r>
      <w:r w:rsidRPr="000939E3">
        <w:lastRenderedPageBreak/>
        <w:t>(8</w:t>
      </w:r>
      <w:r w:rsidR="008340B3" w:rsidRPr="000939E3">
        <w:t>1</w:t>
      </w:r>
      <w:r w:rsidRPr="000939E3">
        <w:t xml:space="preserve"> miest, 8 %) a MZ SR (1</w:t>
      </w:r>
      <w:r w:rsidR="008340B3" w:rsidRPr="000939E3">
        <w:t>92</w:t>
      </w:r>
      <w:r w:rsidRPr="000939E3">
        <w:t xml:space="preserve"> miest, 7 %). Plánovaný počet pracovných miest priemerne prekračovali MPSVaR SR a MK SR (</w:t>
      </w:r>
      <w:r w:rsidR="00671B62" w:rsidRPr="000939E3">
        <w:fldChar w:fldCharType="begin"/>
      </w:r>
      <w:r w:rsidR="00671B62" w:rsidRPr="000939E3">
        <w:instrText xml:space="preserve"> REF _Ref4674297 \h  \* MERGEFORMAT </w:instrText>
      </w:r>
      <w:r w:rsidR="00671B62" w:rsidRPr="000939E3">
        <w:fldChar w:fldCharType="separate"/>
      </w:r>
      <w:r w:rsidR="00BF69CA" w:rsidRPr="000939E3">
        <w:t xml:space="preserve">Graf </w:t>
      </w:r>
      <w:r w:rsidR="00BF69CA">
        <w:rPr>
          <w:noProof/>
        </w:rPr>
        <w:t>41</w:t>
      </w:r>
      <w:r w:rsidR="00671B62" w:rsidRPr="000939E3">
        <w:fldChar w:fldCharType="end"/>
      </w:r>
      <w:r w:rsidRPr="000939E3">
        <w:t>).</w:t>
      </w:r>
      <w:r w:rsidR="00671B62" w:rsidRPr="000939E3">
        <w:t xml:space="preserve"> </w:t>
      </w:r>
      <w:r w:rsidR="002E4DAE" w:rsidRPr="000939E3">
        <w:rPr>
          <w:b/>
        </w:rPr>
        <w:t>Dlhodobé plánovanie vyššieho počtu obsadených miest za súčasného minutia prostriedkov plánovaných pre tieto miesta skresľuje informácie o s</w:t>
      </w:r>
      <w:r w:rsidR="003F3DCE" w:rsidRPr="000939E3">
        <w:rPr>
          <w:b/>
        </w:rPr>
        <w:t>kutočnej zamestnanosti a </w:t>
      </w:r>
      <w:r w:rsidR="002E4DAE" w:rsidRPr="000939E3">
        <w:rPr>
          <w:b/>
        </w:rPr>
        <w:t xml:space="preserve">priemerných mzdových výdavkoch. </w:t>
      </w:r>
      <w:r w:rsidR="002E4DAE" w:rsidRPr="000939E3">
        <w:t xml:space="preserve">V roku 2018 bolo v kapitolách rozpočtu </w:t>
      </w:r>
      <w:r w:rsidR="006F78DC" w:rsidRPr="000939E3">
        <w:t>6,</w:t>
      </w:r>
      <w:r w:rsidR="00312BF1" w:rsidRPr="000939E3">
        <w:t>7</w:t>
      </w:r>
      <w:r w:rsidR="002E4DAE" w:rsidRPr="000939E3">
        <w:t xml:space="preserve"> tisíc voľnýc</w:t>
      </w:r>
      <w:r w:rsidR="004340DE">
        <w:t>h pracovných miest (VPM). Šlo o </w:t>
      </w:r>
      <w:r w:rsidR="00312BF1" w:rsidRPr="000939E3">
        <w:t>5</w:t>
      </w:r>
      <w:r w:rsidR="002E4DAE" w:rsidRPr="000939E3">
        <w:t>,3 % všetkých tabuľkových miest s finančným krytím približne 10</w:t>
      </w:r>
      <w:r w:rsidR="009C6A94" w:rsidRPr="000939E3">
        <w:t>6</w:t>
      </w:r>
      <w:r w:rsidR="002E4DAE" w:rsidRPr="000939E3">
        <w:t xml:space="preserve"> mil. eur, </w:t>
      </w:r>
      <w:r w:rsidR="009C6A94" w:rsidRPr="000939E3">
        <w:t>21</w:t>
      </w:r>
      <w:r w:rsidR="002E4DAE" w:rsidRPr="000939E3">
        <w:t xml:space="preserve"> ka</w:t>
      </w:r>
      <w:r w:rsidR="004340DE">
        <w:t>pitol malo podiel VPM nad 5 </w:t>
      </w:r>
      <w:r w:rsidR="002E4DAE" w:rsidRPr="000939E3">
        <w:t xml:space="preserve">%. </w:t>
      </w:r>
      <w:r w:rsidR="00C02710" w:rsidRPr="000939E3">
        <w:rPr>
          <w:b/>
        </w:rPr>
        <w:t>Zrušením všetkých voľných pracovných miest nad 5 %</w:t>
      </w:r>
      <w:r w:rsidR="00C02710" w:rsidRPr="000939E3">
        <w:t xml:space="preserve"> z celkového počtu plánovaných miest pri ponechaní plánovaných prostriedkov (28 mil. eur) by došlo k zníženiu počtu tabuľkových miest o 1,1 tisíc a zvýšeniu rozpočtovanej priemernej mzdy o 140 eur.</w:t>
      </w:r>
    </w:p>
    <w:p w14:paraId="29BEFADA" w14:textId="14D0A0D1" w:rsidR="009640DD" w:rsidRPr="000939E3" w:rsidRDefault="009640DD" w:rsidP="009640DD">
      <w:pPr>
        <w:pStyle w:val="Nadpis2"/>
      </w:pPr>
      <w:bookmarkStart w:id="237" w:name="_Toc4162666"/>
      <w:bookmarkStart w:id="238" w:name="_Toc4414895"/>
      <w:bookmarkStart w:id="239" w:name="_Toc34050707"/>
      <w:bookmarkEnd w:id="237"/>
      <w:bookmarkEnd w:id="238"/>
      <w:r w:rsidRPr="000939E3">
        <w:t>Rozpočtovanie výdavkov na kompenzácie</w:t>
      </w:r>
      <w:bookmarkEnd w:id="239"/>
    </w:p>
    <w:p w14:paraId="0EAADCC7" w14:textId="68720B58" w:rsidR="00F778F9" w:rsidRPr="000939E3" w:rsidRDefault="00F778F9" w:rsidP="00F778F9">
      <w:pPr>
        <w:rPr>
          <w:rFonts w:eastAsia="Calibri" w:cs="Times New Roman"/>
          <w:color w:val="000000"/>
        </w:rPr>
      </w:pPr>
      <w:r w:rsidRPr="000939E3">
        <w:rPr>
          <w:rFonts w:eastAsia="Calibri" w:cs="Times New Roman"/>
          <w:b/>
          <w:color w:val="000000"/>
        </w:rPr>
        <w:t>Celkové skutočné výdavky na kompenzácie</w:t>
      </w:r>
      <w:r w:rsidR="00DC3679" w:rsidRPr="000939E3">
        <w:rPr>
          <w:rStyle w:val="Odkaznapoznmkupodiarou"/>
          <w:rFonts w:eastAsia="Calibri" w:cs="Times New Roman"/>
          <w:b/>
          <w:color w:val="000000"/>
        </w:rPr>
        <w:footnoteReference w:id="86"/>
      </w:r>
      <w:r w:rsidRPr="000939E3">
        <w:rPr>
          <w:rFonts w:eastAsia="Calibri" w:cs="Times New Roman"/>
          <w:b/>
          <w:color w:val="000000"/>
        </w:rPr>
        <w:t xml:space="preserve"> sa v rokoch 2011 až </w:t>
      </w:r>
      <w:r w:rsidR="001F1B48" w:rsidRPr="000939E3">
        <w:rPr>
          <w:rFonts w:eastAsia="Calibri" w:cs="Times New Roman"/>
          <w:b/>
          <w:color w:val="000000"/>
        </w:rPr>
        <w:t xml:space="preserve">2019 </w:t>
      </w:r>
      <w:r w:rsidRPr="000939E3">
        <w:rPr>
          <w:rFonts w:eastAsia="Calibri" w:cs="Times New Roman"/>
          <w:b/>
          <w:color w:val="000000"/>
        </w:rPr>
        <w:t>rozpočtovali spoľahlivo</w:t>
      </w:r>
      <w:r w:rsidRPr="000939E3">
        <w:rPr>
          <w:rStyle w:val="Odkaznapoznmkupodiarou"/>
          <w:rFonts w:eastAsia="Calibri" w:cs="Times New Roman"/>
          <w:b/>
          <w:color w:val="000000"/>
        </w:rPr>
        <w:footnoteReference w:id="87"/>
      </w:r>
      <w:r w:rsidRPr="000939E3">
        <w:rPr>
          <w:rFonts w:eastAsia="Calibri" w:cs="Times New Roman"/>
          <w:b/>
          <w:color w:val="000000"/>
        </w:rPr>
        <w:t>, od rozpočtu sa líšili priemerne o 4 % (100 mil. eur ročne)</w:t>
      </w:r>
      <w:r w:rsidR="007C3F5A" w:rsidRPr="000939E3">
        <w:rPr>
          <w:rFonts w:eastAsia="Calibri" w:cs="Times New Roman"/>
          <w:b/>
          <w:color w:val="000000"/>
        </w:rPr>
        <w:t xml:space="preserve"> (</w:t>
      </w:r>
      <w:r w:rsidR="00767E1C" w:rsidRPr="000939E3">
        <w:rPr>
          <w:rFonts w:eastAsia="Calibri" w:cs="Times New Roman"/>
          <w:b/>
          <w:color w:val="000000"/>
        </w:rPr>
        <w:fldChar w:fldCharType="begin"/>
      </w:r>
      <w:r w:rsidR="00767E1C" w:rsidRPr="000939E3">
        <w:rPr>
          <w:rFonts w:eastAsia="Calibri" w:cs="Times New Roman"/>
          <w:b/>
          <w:color w:val="000000"/>
        </w:rPr>
        <w:instrText xml:space="preserve"> REF _Ref33600494 \h </w:instrText>
      </w:r>
      <w:r w:rsidR="000939E3">
        <w:rPr>
          <w:rFonts w:eastAsia="Calibri" w:cs="Times New Roman"/>
          <w:b/>
          <w:color w:val="000000"/>
        </w:rPr>
        <w:instrText xml:space="preserve"> \* MERGEFORMAT </w:instrText>
      </w:r>
      <w:r w:rsidR="00767E1C" w:rsidRPr="000939E3">
        <w:rPr>
          <w:rFonts w:eastAsia="Calibri" w:cs="Times New Roman"/>
          <w:b/>
          <w:color w:val="000000"/>
        </w:rPr>
      </w:r>
      <w:r w:rsidR="00767E1C" w:rsidRPr="000939E3">
        <w:rPr>
          <w:rFonts w:eastAsia="Calibri" w:cs="Times New Roman"/>
          <w:b/>
          <w:color w:val="000000"/>
        </w:rPr>
        <w:fldChar w:fldCharType="separate"/>
      </w:r>
      <w:r w:rsidR="00BF69CA" w:rsidRPr="000939E3">
        <w:rPr>
          <w:rFonts w:eastAsia="Calibri" w:cs="Times New Roman"/>
          <w:b/>
          <w:sz w:val="20"/>
          <w:szCs w:val="20"/>
        </w:rPr>
        <w:t xml:space="preserve">Graf </w:t>
      </w:r>
      <w:r w:rsidR="00BF69CA">
        <w:rPr>
          <w:rFonts w:eastAsia="Calibri" w:cs="Times New Roman"/>
          <w:b/>
          <w:noProof/>
          <w:sz w:val="20"/>
          <w:szCs w:val="20"/>
        </w:rPr>
        <w:t>42</w:t>
      </w:r>
      <w:r w:rsidR="00767E1C" w:rsidRPr="000939E3">
        <w:rPr>
          <w:rFonts w:eastAsia="Calibri" w:cs="Times New Roman"/>
          <w:b/>
          <w:color w:val="000000"/>
        </w:rPr>
        <w:fldChar w:fldCharType="end"/>
      </w:r>
      <w:r w:rsidR="00A91BB2" w:rsidRPr="000939E3">
        <w:rPr>
          <w:rFonts w:eastAsia="Calibri" w:cs="Times New Roman"/>
          <w:b/>
          <w:color w:val="000000"/>
        </w:rPr>
        <w:t>)</w:t>
      </w:r>
      <w:r w:rsidRPr="000939E3">
        <w:rPr>
          <w:rStyle w:val="Odkaznapoznmkupodiarou"/>
          <w:rFonts w:eastAsia="Calibri" w:cs="Times New Roman"/>
          <w:b/>
          <w:color w:val="000000"/>
        </w:rPr>
        <w:footnoteReference w:id="88"/>
      </w:r>
      <w:r w:rsidRPr="000939E3">
        <w:rPr>
          <w:rFonts w:eastAsia="Calibri" w:cs="Times New Roman"/>
          <w:color w:val="000000"/>
        </w:rPr>
        <w:t>. Z dôvodu vysokého podielu neobsadených miest, nerozpočtovania miezd z eurofondov a</w:t>
      </w:r>
      <w:r w:rsidR="0070115F" w:rsidRPr="000939E3">
        <w:rPr>
          <w:rFonts w:eastAsia="Calibri" w:cs="Times New Roman"/>
          <w:color w:val="000000"/>
        </w:rPr>
        <w:t> ďalších zmien však</w:t>
      </w:r>
      <w:r w:rsidRPr="000939E3">
        <w:rPr>
          <w:rFonts w:eastAsia="Calibri" w:cs="Times New Roman"/>
          <w:color w:val="000000"/>
        </w:rPr>
        <w:t xml:space="preserve"> počas roka</w:t>
      </w:r>
      <w:r w:rsidR="007C3F5A" w:rsidRPr="000939E3">
        <w:rPr>
          <w:rFonts w:eastAsia="Calibri" w:cs="Times New Roman"/>
          <w:color w:val="000000"/>
        </w:rPr>
        <w:t xml:space="preserve"> dochádza k nezanedbateľným zmenám v štruktúre </w:t>
      </w:r>
      <w:r w:rsidR="0070115F" w:rsidRPr="000939E3">
        <w:rPr>
          <w:rFonts w:eastAsia="Calibri" w:cs="Times New Roman"/>
          <w:color w:val="000000"/>
        </w:rPr>
        <w:t>výdavkov na kompenzácie</w:t>
      </w:r>
      <w:r w:rsidR="007C3F5A" w:rsidRPr="000939E3">
        <w:rPr>
          <w:rFonts w:eastAsia="Calibri" w:cs="Times New Roman"/>
          <w:color w:val="000000"/>
        </w:rPr>
        <w:t xml:space="preserve"> po schválení</w:t>
      </w:r>
      <w:r w:rsidR="0070115F" w:rsidRPr="000939E3">
        <w:rPr>
          <w:rFonts w:eastAsia="Calibri" w:cs="Times New Roman"/>
          <w:color w:val="000000"/>
        </w:rPr>
        <w:t xml:space="preserve"> rozpočtu</w:t>
      </w:r>
      <w:r w:rsidR="007C3F5A" w:rsidRPr="000939E3">
        <w:rPr>
          <w:rFonts w:eastAsia="Calibri" w:cs="Times New Roman"/>
          <w:color w:val="000000"/>
        </w:rPr>
        <w:t>.</w:t>
      </w:r>
    </w:p>
    <w:p w14:paraId="0B24013A" w14:textId="5A586D50" w:rsidR="007163CC" w:rsidRPr="000939E3" w:rsidRDefault="007163CC" w:rsidP="007163CC">
      <w:pPr>
        <w:spacing w:before="120"/>
        <w:rPr>
          <w:rFonts w:eastAsia="Calibri" w:cs="Times New Roman"/>
          <w:color w:val="000000"/>
        </w:rPr>
      </w:pPr>
      <w:r w:rsidRPr="000939E3">
        <w:rPr>
          <w:rFonts w:eastAsia="Calibri" w:cs="Times New Roman"/>
          <w:b/>
          <w:color w:val="000000"/>
        </w:rPr>
        <w:t xml:space="preserve">Priemerné mzdy zamestnancov </w:t>
      </w:r>
      <w:r w:rsidR="00E22A40" w:rsidRPr="000939E3">
        <w:rPr>
          <w:rFonts w:eastAsia="Calibri" w:cs="Times New Roman"/>
          <w:b/>
          <w:color w:val="000000"/>
        </w:rPr>
        <w:t xml:space="preserve">centrál ministerstiev </w:t>
      </w:r>
      <w:r w:rsidRPr="000939E3">
        <w:rPr>
          <w:rFonts w:eastAsia="Calibri" w:cs="Times New Roman"/>
          <w:b/>
          <w:color w:val="000000"/>
        </w:rPr>
        <w:t>(aparátov) sú obvykle o </w:t>
      </w:r>
      <w:r w:rsidR="004D7AE0" w:rsidRPr="000939E3">
        <w:rPr>
          <w:rFonts w:eastAsia="Calibri" w:cs="Times New Roman"/>
          <w:b/>
          <w:color w:val="000000"/>
        </w:rPr>
        <w:t xml:space="preserve">25 </w:t>
      </w:r>
      <w:r w:rsidRPr="000939E3">
        <w:rPr>
          <w:rFonts w:eastAsia="Calibri" w:cs="Times New Roman"/>
          <w:b/>
          <w:color w:val="000000"/>
        </w:rPr>
        <w:t>% (</w:t>
      </w:r>
      <w:r w:rsidR="004D7AE0" w:rsidRPr="000939E3">
        <w:rPr>
          <w:rFonts w:eastAsia="Calibri" w:cs="Times New Roman"/>
          <w:b/>
          <w:color w:val="000000"/>
        </w:rPr>
        <w:t xml:space="preserve">420 </w:t>
      </w:r>
      <w:r w:rsidRPr="000939E3">
        <w:rPr>
          <w:rFonts w:eastAsia="Calibri" w:cs="Times New Roman"/>
          <w:b/>
          <w:color w:val="000000"/>
        </w:rPr>
        <w:t>eur</w:t>
      </w:r>
      <w:r w:rsidR="004D7AE0" w:rsidRPr="000939E3">
        <w:rPr>
          <w:rFonts w:eastAsia="Calibri" w:cs="Times New Roman"/>
          <w:b/>
          <w:color w:val="000000"/>
        </w:rPr>
        <w:t xml:space="preserve"> v roku 2018</w:t>
      </w:r>
      <w:r w:rsidRPr="000939E3">
        <w:rPr>
          <w:rFonts w:eastAsia="Calibri" w:cs="Times New Roman"/>
          <w:b/>
          <w:color w:val="000000"/>
        </w:rPr>
        <w:t xml:space="preserve">) vyššie ako rozpočtované. </w:t>
      </w:r>
      <w:r w:rsidRPr="000939E3">
        <w:rPr>
          <w:rFonts w:eastAsia="Calibri" w:cs="Times New Roman"/>
          <w:color w:val="000000"/>
        </w:rPr>
        <w:t>Skutočná priemerná mzda zamestnancov ústredí (prevažne centrál ministerstiev) dosahuje 93 % priemeru vysokoškolsky vzdelaných zamestnancov pracujúcich v Bratislave,</w:t>
      </w:r>
      <w:r w:rsidR="003F3DCE" w:rsidRPr="000939E3">
        <w:rPr>
          <w:rFonts w:eastAsia="Calibri" w:cs="Times New Roman"/>
          <w:color w:val="000000"/>
        </w:rPr>
        <w:t xml:space="preserve"> plánovaná by dosahovala len 74 </w:t>
      </w:r>
      <w:r w:rsidRPr="000939E3">
        <w:rPr>
          <w:rFonts w:eastAsia="Calibri" w:cs="Times New Roman"/>
          <w:color w:val="000000"/>
        </w:rPr>
        <w:t xml:space="preserve">% priemeru. </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153"/>
        <w:gridCol w:w="236"/>
        <w:gridCol w:w="4564"/>
      </w:tblGrid>
      <w:tr w:rsidR="00FE48EA" w:rsidRPr="000939E3" w14:paraId="577EBC1E" w14:textId="77777777" w:rsidTr="00767E1C">
        <w:trPr>
          <w:trHeight w:val="20"/>
        </w:trPr>
        <w:tc>
          <w:tcPr>
            <w:tcW w:w="4272" w:type="dxa"/>
            <w:gridSpan w:val="2"/>
            <w:tcBorders>
              <w:bottom w:val="single" w:sz="4" w:space="0" w:color="000000" w:themeColor="text1"/>
            </w:tcBorders>
          </w:tcPr>
          <w:p w14:paraId="4BE4894C" w14:textId="5AF8C941" w:rsidR="00F778F9" w:rsidRPr="000939E3" w:rsidRDefault="009D2443" w:rsidP="009D2443">
            <w:pPr>
              <w:spacing w:after="0"/>
              <w:rPr>
                <w:rFonts w:eastAsia="Calibri" w:cs="Times New Roman"/>
              </w:rPr>
            </w:pPr>
            <w:bookmarkStart w:id="240" w:name="_Ref33600494"/>
            <w:bookmarkStart w:id="241" w:name="_Toc34226913"/>
            <w:r w:rsidRPr="000939E3">
              <w:rPr>
                <w:rFonts w:eastAsia="Calibri" w:cs="Times New Roman"/>
                <w:b/>
                <w:sz w:val="20"/>
                <w:szCs w:val="20"/>
              </w:rPr>
              <w:t xml:space="preserve">Graf </w:t>
            </w:r>
            <w:r w:rsidRPr="000939E3">
              <w:rPr>
                <w:rFonts w:eastAsia="Calibri" w:cs="Times New Roman"/>
                <w:b/>
                <w:sz w:val="20"/>
                <w:szCs w:val="20"/>
              </w:rPr>
              <w:fldChar w:fldCharType="begin"/>
            </w:r>
            <w:r w:rsidRPr="000939E3">
              <w:rPr>
                <w:rFonts w:eastAsia="Calibri" w:cs="Times New Roman"/>
                <w:b/>
                <w:sz w:val="20"/>
                <w:szCs w:val="20"/>
              </w:rPr>
              <w:instrText xml:space="preserve"> SEQ Graf \* ARABIC </w:instrText>
            </w:r>
            <w:r w:rsidRPr="000939E3">
              <w:rPr>
                <w:rFonts w:eastAsia="Calibri" w:cs="Times New Roman"/>
                <w:b/>
                <w:sz w:val="20"/>
                <w:szCs w:val="20"/>
              </w:rPr>
              <w:fldChar w:fldCharType="separate"/>
            </w:r>
            <w:r w:rsidR="00BF69CA">
              <w:rPr>
                <w:rFonts w:eastAsia="Calibri" w:cs="Times New Roman"/>
                <w:b/>
                <w:noProof/>
                <w:sz w:val="20"/>
                <w:szCs w:val="20"/>
              </w:rPr>
              <w:t>42</w:t>
            </w:r>
            <w:r w:rsidRPr="000939E3">
              <w:rPr>
                <w:rFonts w:eastAsia="Calibri" w:cs="Times New Roman"/>
                <w:b/>
                <w:sz w:val="20"/>
                <w:szCs w:val="20"/>
              </w:rPr>
              <w:fldChar w:fldCharType="end"/>
            </w:r>
            <w:bookmarkEnd w:id="240"/>
            <w:r w:rsidR="00F778F9" w:rsidRPr="000939E3">
              <w:rPr>
                <w:rFonts w:eastAsia="Calibri" w:cs="Times New Roman"/>
                <w:b/>
                <w:noProof/>
                <w:sz w:val="20"/>
                <w:szCs w:val="20"/>
                <w:lang w:eastAsia="sk-SK"/>
              </w:rPr>
              <w:t>:</w:t>
            </w:r>
            <w:r w:rsidR="00F778F9" w:rsidRPr="000939E3">
              <w:rPr>
                <w:rFonts w:eastAsia="Calibri" w:cs="Times New Roman"/>
                <w:b/>
                <w:sz w:val="20"/>
                <w:szCs w:val="20"/>
                <w:lang w:eastAsia="sk-SK"/>
              </w:rPr>
              <w:t xml:space="preserve"> </w:t>
            </w:r>
            <w:r w:rsidR="00F778F9" w:rsidRPr="000939E3">
              <w:rPr>
                <w:rFonts w:eastAsia="Calibri" w:cs="Times New Roman"/>
                <w:b/>
                <w:sz w:val="20"/>
                <w:szCs w:val="20"/>
              </w:rPr>
              <w:t>Rozpočtované a skutočné výdavky na kompenzácie, v mld. eur a %</w:t>
            </w:r>
            <w:bookmarkEnd w:id="241"/>
          </w:p>
        </w:tc>
        <w:tc>
          <w:tcPr>
            <w:tcW w:w="236" w:type="dxa"/>
            <w:tcMar>
              <w:left w:w="28" w:type="dxa"/>
              <w:right w:w="28" w:type="dxa"/>
            </w:tcMar>
          </w:tcPr>
          <w:p w14:paraId="1973FBA2" w14:textId="77777777" w:rsidR="00F778F9" w:rsidRPr="000939E3" w:rsidRDefault="00F778F9" w:rsidP="00F778F9">
            <w:pPr>
              <w:spacing w:after="0"/>
              <w:rPr>
                <w:rFonts w:eastAsia="Calibri" w:cs="Times New Roman"/>
              </w:rPr>
            </w:pPr>
          </w:p>
        </w:tc>
        <w:tc>
          <w:tcPr>
            <w:tcW w:w="4564" w:type="dxa"/>
            <w:tcBorders>
              <w:bottom w:val="single" w:sz="4" w:space="0" w:color="000000" w:themeColor="text1"/>
            </w:tcBorders>
          </w:tcPr>
          <w:p w14:paraId="11893339" w14:textId="2DF9AFF0" w:rsidR="00F778F9" w:rsidRPr="000939E3" w:rsidRDefault="00F778F9" w:rsidP="00F778F9">
            <w:pPr>
              <w:spacing w:after="0"/>
              <w:rPr>
                <w:rFonts w:eastAsia="Calibri" w:cs="Times New Roman"/>
              </w:rPr>
            </w:pPr>
            <w:bookmarkStart w:id="242" w:name="_Ref4141017"/>
            <w:bookmarkStart w:id="243" w:name="_Toc34226914"/>
            <w:r w:rsidRPr="000939E3">
              <w:rPr>
                <w:rFonts w:eastAsia="Calibri" w:cs="Times New Roman"/>
                <w:b/>
                <w:sz w:val="20"/>
                <w:szCs w:val="20"/>
              </w:rPr>
              <w:t xml:space="preserve">Graf </w:t>
            </w:r>
            <w:r w:rsidRPr="000939E3">
              <w:rPr>
                <w:rFonts w:eastAsia="Calibri" w:cs="Times New Roman"/>
                <w:b/>
                <w:sz w:val="20"/>
                <w:szCs w:val="20"/>
              </w:rPr>
              <w:fldChar w:fldCharType="begin"/>
            </w:r>
            <w:r w:rsidRPr="000939E3">
              <w:rPr>
                <w:rFonts w:eastAsia="Calibri" w:cs="Times New Roman"/>
                <w:b/>
                <w:sz w:val="20"/>
                <w:szCs w:val="20"/>
              </w:rPr>
              <w:instrText xml:space="preserve"> SEQ Graf \* ARABIC </w:instrText>
            </w:r>
            <w:r w:rsidRPr="000939E3">
              <w:rPr>
                <w:rFonts w:eastAsia="Calibri" w:cs="Times New Roman"/>
                <w:b/>
                <w:sz w:val="20"/>
                <w:szCs w:val="20"/>
              </w:rPr>
              <w:fldChar w:fldCharType="separate"/>
            </w:r>
            <w:r w:rsidR="00BF69CA">
              <w:rPr>
                <w:rFonts w:eastAsia="Calibri" w:cs="Times New Roman"/>
                <w:b/>
                <w:noProof/>
                <w:sz w:val="20"/>
                <w:szCs w:val="20"/>
              </w:rPr>
              <w:t>43</w:t>
            </w:r>
            <w:r w:rsidRPr="000939E3">
              <w:rPr>
                <w:rFonts w:eastAsia="Calibri" w:cs="Times New Roman"/>
                <w:b/>
                <w:sz w:val="20"/>
                <w:szCs w:val="20"/>
              </w:rPr>
              <w:fldChar w:fldCharType="end"/>
            </w:r>
            <w:bookmarkEnd w:id="242"/>
            <w:r w:rsidRPr="000939E3">
              <w:rPr>
                <w:rFonts w:eastAsia="Calibri" w:cs="Times New Roman"/>
                <w:b/>
                <w:noProof/>
                <w:sz w:val="20"/>
                <w:szCs w:val="20"/>
              </w:rPr>
              <w:t>:</w:t>
            </w:r>
            <w:r w:rsidRPr="000939E3">
              <w:rPr>
                <w:rFonts w:eastAsia="Calibri" w:cs="Times New Roman"/>
                <w:b/>
                <w:sz w:val="20"/>
                <w:szCs w:val="20"/>
              </w:rPr>
              <w:t xml:space="preserve"> Priemerné odchýlky zložiek výdavkov na kompenzácie od rozpočtu, v mil. eur a %</w:t>
            </w:r>
            <w:r w:rsidR="001F1B48" w:rsidRPr="000939E3">
              <w:rPr>
                <w:rFonts w:eastAsia="Calibri" w:cs="Times New Roman"/>
                <w:b/>
                <w:sz w:val="20"/>
                <w:szCs w:val="20"/>
              </w:rPr>
              <w:t xml:space="preserve"> (2011-2019)</w:t>
            </w:r>
            <w:bookmarkEnd w:id="243"/>
          </w:p>
        </w:tc>
      </w:tr>
      <w:tr w:rsidR="00FE48EA" w:rsidRPr="000939E3" w14:paraId="1383676C" w14:textId="77777777" w:rsidTr="00767E1C">
        <w:trPr>
          <w:trHeight w:val="20"/>
        </w:trPr>
        <w:tc>
          <w:tcPr>
            <w:tcW w:w="4272" w:type="dxa"/>
            <w:gridSpan w:val="2"/>
            <w:tcBorders>
              <w:top w:val="single" w:sz="4" w:space="0" w:color="000000" w:themeColor="text1"/>
              <w:bottom w:val="single" w:sz="4" w:space="0" w:color="000000" w:themeColor="text1"/>
            </w:tcBorders>
          </w:tcPr>
          <w:p w14:paraId="34039D65" w14:textId="71BDE642" w:rsidR="00F778F9" w:rsidRPr="000939E3" w:rsidRDefault="0016460D" w:rsidP="001F1B48">
            <w:pPr>
              <w:spacing w:after="0"/>
              <w:ind w:left="-108" w:right="-224"/>
              <w:rPr>
                <w:rFonts w:eastAsia="Calibri" w:cs="Times New Roman"/>
              </w:rPr>
            </w:pPr>
            <w:r w:rsidRPr="000939E3">
              <w:rPr>
                <w:noProof/>
                <w:lang w:eastAsia="sk-SK"/>
              </w:rPr>
              <w:drawing>
                <wp:inline distT="0" distB="0" distL="0" distR="0" wp14:anchorId="1D375350" wp14:editId="08900095">
                  <wp:extent cx="2644346" cy="2742565"/>
                  <wp:effectExtent l="0" t="0" r="3810" b="63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236" w:type="dxa"/>
          </w:tcPr>
          <w:p w14:paraId="09BA0502" w14:textId="77777777" w:rsidR="00F778F9" w:rsidRPr="000939E3" w:rsidRDefault="00F778F9" w:rsidP="00F778F9">
            <w:pPr>
              <w:spacing w:after="0"/>
              <w:rPr>
                <w:rFonts w:eastAsia="Calibri" w:cs="Times New Roman"/>
              </w:rPr>
            </w:pPr>
          </w:p>
        </w:tc>
        <w:tc>
          <w:tcPr>
            <w:tcW w:w="4564" w:type="dxa"/>
            <w:tcBorders>
              <w:top w:val="single" w:sz="4" w:space="0" w:color="000000" w:themeColor="text1"/>
              <w:bottom w:val="single" w:sz="4" w:space="0" w:color="000000" w:themeColor="text1"/>
            </w:tcBorders>
          </w:tcPr>
          <w:p w14:paraId="405EE4FC" w14:textId="575FA2A5" w:rsidR="00F778F9" w:rsidRPr="000939E3" w:rsidRDefault="00FE48EA" w:rsidP="001F1B48">
            <w:pPr>
              <w:spacing w:after="0"/>
              <w:ind w:left="-159" w:right="-108"/>
              <w:rPr>
                <w:rFonts w:eastAsia="Calibri" w:cs="Times New Roman"/>
              </w:rPr>
            </w:pPr>
            <w:r w:rsidRPr="000939E3">
              <w:rPr>
                <w:noProof/>
                <w:lang w:eastAsia="sk-SK"/>
              </w:rPr>
              <w:drawing>
                <wp:inline distT="0" distB="0" distL="0" distR="0" wp14:anchorId="6A3DE141" wp14:editId="10F0FFBF">
                  <wp:extent cx="2899410" cy="278384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767E1C" w:rsidRPr="000939E3" w14:paraId="2592D186" w14:textId="77777777" w:rsidTr="008E4B7A">
        <w:trPr>
          <w:trHeight w:val="20"/>
        </w:trPr>
        <w:tc>
          <w:tcPr>
            <w:tcW w:w="3119" w:type="dxa"/>
            <w:tcBorders>
              <w:top w:val="single" w:sz="4" w:space="0" w:color="000000" w:themeColor="text1"/>
            </w:tcBorders>
          </w:tcPr>
          <w:p w14:paraId="70C30C4C" w14:textId="3D86E5EE" w:rsidR="00767E1C" w:rsidRPr="000939E3" w:rsidRDefault="00767E1C" w:rsidP="008E4B7A">
            <w:pPr>
              <w:spacing w:after="0"/>
              <w:jc w:val="left"/>
              <w:rPr>
                <w:rFonts w:eastAsia="Calibri" w:cs="Times New Roman"/>
                <w:i/>
              </w:rPr>
            </w:pPr>
            <w:r w:rsidRPr="000939E3">
              <w:rPr>
                <w:rFonts w:eastAsia="Calibri" w:cs="Times New Roman"/>
                <w:i/>
                <w:sz w:val="18"/>
              </w:rPr>
              <w:t>Pozn</w:t>
            </w:r>
            <w:r w:rsidR="008E4B7A">
              <w:rPr>
                <w:rFonts w:eastAsia="Calibri" w:cs="Times New Roman"/>
                <w:i/>
                <w:sz w:val="18"/>
              </w:rPr>
              <w:t>.</w:t>
            </w:r>
            <w:r w:rsidRPr="000939E3">
              <w:rPr>
                <w:rFonts w:eastAsia="Calibri" w:cs="Times New Roman"/>
                <w:i/>
                <w:sz w:val="18"/>
              </w:rPr>
              <w:t xml:space="preserve">: </w:t>
            </w:r>
            <w:r w:rsidR="008E4B7A">
              <w:rPr>
                <w:rFonts w:eastAsia="Calibri" w:cs="Times New Roman"/>
                <w:i/>
                <w:sz w:val="18"/>
              </w:rPr>
              <w:t>Z</w:t>
            </w:r>
            <w:r w:rsidRPr="000939E3">
              <w:rPr>
                <w:rFonts w:eastAsia="Calibri" w:cs="Times New Roman"/>
                <w:i/>
                <w:sz w:val="18"/>
              </w:rPr>
              <w:t>ahŕňa iba výdavky zo zdroja ŠR</w:t>
            </w:r>
            <w:r w:rsidR="008E4B7A">
              <w:rPr>
                <w:rFonts w:eastAsia="Calibri" w:cs="Times New Roman"/>
                <w:i/>
                <w:sz w:val="18"/>
              </w:rPr>
              <w:t>.</w:t>
            </w:r>
          </w:p>
        </w:tc>
        <w:tc>
          <w:tcPr>
            <w:tcW w:w="1153" w:type="dxa"/>
            <w:tcBorders>
              <w:top w:val="single" w:sz="4" w:space="0" w:color="000000" w:themeColor="text1"/>
            </w:tcBorders>
          </w:tcPr>
          <w:p w14:paraId="332365D7" w14:textId="140AB263" w:rsidR="00767E1C" w:rsidRPr="000939E3" w:rsidRDefault="00767E1C" w:rsidP="00F60C41">
            <w:pPr>
              <w:spacing w:after="0"/>
              <w:jc w:val="right"/>
              <w:rPr>
                <w:rFonts w:eastAsia="Calibri" w:cs="Times New Roman"/>
              </w:rPr>
            </w:pPr>
            <w:r w:rsidRPr="000939E3">
              <w:rPr>
                <w:rFonts w:eastAsia="Calibri" w:cs="Times New Roman"/>
                <w:i/>
                <w:sz w:val="18"/>
                <w:szCs w:val="20"/>
                <w:lang w:eastAsia="sk-SK"/>
              </w:rPr>
              <w:t xml:space="preserve">Zdroj: </w:t>
            </w:r>
            <w:r w:rsidRPr="000939E3">
              <w:rPr>
                <w:rFonts w:eastAsia="Calibri" w:cs="Times New Roman"/>
                <w:i/>
                <w:sz w:val="18"/>
                <w:szCs w:val="20"/>
              </w:rPr>
              <w:t>MF</w:t>
            </w:r>
            <w:r w:rsidR="00F60C41" w:rsidRPr="000939E3">
              <w:rPr>
                <w:rFonts w:eastAsia="Calibri" w:cs="Times New Roman"/>
                <w:i/>
                <w:sz w:val="18"/>
                <w:szCs w:val="20"/>
              </w:rPr>
              <w:t xml:space="preserve"> SR</w:t>
            </w:r>
          </w:p>
        </w:tc>
        <w:tc>
          <w:tcPr>
            <w:tcW w:w="236" w:type="dxa"/>
            <w:tcMar>
              <w:left w:w="28" w:type="dxa"/>
              <w:right w:w="28" w:type="dxa"/>
            </w:tcMar>
          </w:tcPr>
          <w:p w14:paraId="7006A725" w14:textId="77777777" w:rsidR="00767E1C" w:rsidRPr="000939E3" w:rsidRDefault="00767E1C" w:rsidP="00F778F9">
            <w:pPr>
              <w:spacing w:after="0"/>
              <w:rPr>
                <w:rFonts w:eastAsia="Calibri" w:cs="Times New Roman"/>
              </w:rPr>
            </w:pPr>
          </w:p>
        </w:tc>
        <w:tc>
          <w:tcPr>
            <w:tcW w:w="4564" w:type="dxa"/>
            <w:tcBorders>
              <w:top w:val="single" w:sz="4" w:space="0" w:color="000000" w:themeColor="text1"/>
            </w:tcBorders>
          </w:tcPr>
          <w:p w14:paraId="4A471F91" w14:textId="77777777" w:rsidR="00767E1C" w:rsidRPr="000939E3" w:rsidRDefault="00767E1C" w:rsidP="00F778F9">
            <w:pPr>
              <w:spacing w:after="0"/>
              <w:jc w:val="right"/>
              <w:rPr>
                <w:rFonts w:eastAsia="Calibri" w:cs="Times New Roman"/>
              </w:rPr>
            </w:pPr>
            <w:r w:rsidRPr="000939E3">
              <w:rPr>
                <w:rFonts w:eastAsia="Calibri" w:cs="Times New Roman"/>
                <w:i/>
                <w:sz w:val="18"/>
                <w:szCs w:val="20"/>
              </w:rPr>
              <w:t>Zdroj: MF SR, spracovanie ÚHP</w:t>
            </w:r>
          </w:p>
        </w:tc>
      </w:tr>
    </w:tbl>
    <w:p w14:paraId="56A4E9D3" w14:textId="77777777" w:rsidR="004340DE" w:rsidRDefault="004340DE" w:rsidP="00F778F9">
      <w:pPr>
        <w:spacing w:before="120"/>
        <w:rPr>
          <w:rFonts w:eastAsia="Calibri" w:cs="Times New Roman"/>
          <w:b/>
          <w:color w:val="000000"/>
        </w:rPr>
      </w:pPr>
    </w:p>
    <w:p w14:paraId="341E2ADC" w14:textId="77777777" w:rsidR="004340DE" w:rsidRDefault="004340DE">
      <w:pPr>
        <w:spacing w:after="160" w:line="259" w:lineRule="auto"/>
        <w:jc w:val="left"/>
        <w:rPr>
          <w:rFonts w:eastAsia="Calibri" w:cs="Times New Roman"/>
          <w:b/>
          <w:color w:val="000000"/>
        </w:rPr>
      </w:pPr>
      <w:r>
        <w:rPr>
          <w:rFonts w:eastAsia="Calibri" w:cs="Times New Roman"/>
          <w:b/>
          <w:color w:val="000000"/>
        </w:rPr>
        <w:br w:type="page"/>
      </w:r>
    </w:p>
    <w:p w14:paraId="28B72043" w14:textId="0FAB27AF" w:rsidR="00F778F9" w:rsidRPr="000939E3" w:rsidRDefault="00F778F9" w:rsidP="00F778F9">
      <w:pPr>
        <w:spacing w:before="120"/>
        <w:rPr>
          <w:rFonts w:eastAsia="Calibri" w:cs="Times New Roman"/>
          <w:color w:val="000000"/>
        </w:rPr>
      </w:pPr>
      <w:r w:rsidRPr="000939E3">
        <w:rPr>
          <w:rFonts w:eastAsia="Calibri" w:cs="Times New Roman"/>
          <w:b/>
          <w:color w:val="000000"/>
        </w:rPr>
        <w:lastRenderedPageBreak/>
        <w:t xml:space="preserve">Viac ako polovicu z </w:t>
      </w:r>
      <w:r w:rsidR="004B45B2" w:rsidRPr="000939E3">
        <w:rPr>
          <w:rFonts w:eastAsia="Calibri" w:cs="Times New Roman"/>
          <w:b/>
          <w:color w:val="000000"/>
        </w:rPr>
        <w:t xml:space="preserve">celkového navýšenia </w:t>
      </w:r>
      <w:r w:rsidRPr="000939E3">
        <w:rPr>
          <w:rFonts w:eastAsia="Calibri" w:cs="Times New Roman"/>
          <w:b/>
          <w:color w:val="000000"/>
        </w:rPr>
        <w:t>priemernej mzdy tvoria mzdové prostriedky hradené</w:t>
      </w:r>
      <w:r w:rsidR="00A91BB2" w:rsidRPr="000939E3">
        <w:rPr>
          <w:rFonts w:eastAsia="Calibri" w:cs="Times New Roman"/>
          <w:b/>
          <w:color w:val="000000"/>
        </w:rPr>
        <w:t xml:space="preserve"> </w:t>
      </w:r>
      <w:r w:rsidRPr="000939E3">
        <w:rPr>
          <w:rFonts w:eastAsia="Calibri" w:cs="Times New Roman"/>
          <w:b/>
          <w:color w:val="000000"/>
        </w:rPr>
        <w:t xml:space="preserve">z eurofondov. </w:t>
      </w:r>
      <w:r w:rsidRPr="000939E3">
        <w:rPr>
          <w:rFonts w:eastAsia="Calibri" w:cs="Times New Roman"/>
          <w:color w:val="000000"/>
        </w:rPr>
        <w:t xml:space="preserve">Tieto sa na mzdových položkách nerozpočtujú vôbec, </w:t>
      </w:r>
      <w:r w:rsidR="0037526B" w:rsidRPr="000939E3">
        <w:t>časť je do rozpočtu presunutá</w:t>
      </w:r>
      <w:r w:rsidRPr="000939E3">
        <w:t xml:space="preserve"> až v upravenom rozpočte v januári.</w:t>
      </w:r>
      <w:r w:rsidRPr="000939E3">
        <w:rPr>
          <w:rFonts w:eastAsia="Calibri" w:cs="Times New Roman"/>
          <w:color w:val="000000"/>
        </w:rPr>
        <w:t xml:space="preserve"> Ide najmä o pracovníkov zabezpečujúcich realizáciu operačných programov (tzv.</w:t>
      </w:r>
      <w:r w:rsidR="004340DE">
        <w:rPr>
          <w:rFonts w:eastAsia="Calibri" w:cs="Times New Roman"/>
          <w:color w:val="000000"/>
        </w:rPr>
        <w:t> </w:t>
      </w:r>
      <w:r w:rsidRPr="000939E3">
        <w:rPr>
          <w:rFonts w:eastAsia="Calibri" w:cs="Times New Roman"/>
          <w:color w:val="000000"/>
        </w:rPr>
        <w:t>administratívne kapacity).</w:t>
      </w:r>
      <w:r w:rsidRPr="000939E3">
        <w:rPr>
          <w:rStyle w:val="Odkaznapoznmkupodiarou"/>
          <w:rFonts w:eastAsia="Calibri" w:cs="Times New Roman"/>
          <w:color w:val="000000"/>
        </w:rPr>
        <w:footnoteReference w:id="89"/>
      </w:r>
      <w:r w:rsidRPr="000939E3">
        <w:rPr>
          <w:rFonts w:eastAsia="Calibri" w:cs="Times New Roman"/>
          <w:color w:val="000000"/>
        </w:rPr>
        <w:t xml:space="preserve"> </w:t>
      </w:r>
      <w:r w:rsidRPr="000939E3">
        <w:t>S</w:t>
      </w:r>
      <w:r w:rsidR="008651BD" w:rsidRPr="000939E3">
        <w:t>ekcia rozpočtovej politiky na MF SR</w:t>
      </w:r>
      <w:r w:rsidRPr="000939E3">
        <w:t xml:space="preserve"> deklaruje vysokú administratívnu náročnosť rozpočtovania týchto prostriedkov, pri relatívne malých prínosoch (priemerne 3</w:t>
      </w:r>
      <w:r w:rsidR="004340DE">
        <w:t xml:space="preserve"> </w:t>
      </w:r>
      <w:r w:rsidRPr="000939E3">
        <w:t>% podiel na mzdovej obálke). Najmä v </w:t>
      </w:r>
      <w:r w:rsidR="00CB4E10" w:rsidRPr="000939E3">
        <w:t xml:space="preserve">centrálach ministerstiev </w:t>
      </w:r>
      <w:r w:rsidRPr="000939E3">
        <w:t>však majú vysoký príspevok k nepresnosti, oproti rozpočtu zvyšujú priemerný mzdový výdavok o 10 % (165 eur).</w:t>
      </w:r>
    </w:p>
    <w:p w14:paraId="5C5581B1" w14:textId="70D9570E" w:rsidR="00F778F9" w:rsidRPr="000939E3" w:rsidRDefault="00F778F9" w:rsidP="00603DC5">
      <w:pPr>
        <w:rPr>
          <w:rFonts w:eastAsia="Calibri" w:cs="Times New Roman"/>
          <w:color w:val="000000"/>
        </w:rPr>
      </w:pPr>
      <w:r w:rsidRPr="000939E3">
        <w:rPr>
          <w:rFonts w:eastAsia="Calibri" w:cs="Times New Roman"/>
          <w:b/>
          <w:color w:val="000000"/>
        </w:rPr>
        <w:t xml:space="preserve">Štvrtinu </w:t>
      </w:r>
      <w:r w:rsidR="00A91BB2" w:rsidRPr="000939E3">
        <w:rPr>
          <w:rFonts w:eastAsia="Calibri" w:cs="Times New Roman"/>
          <w:b/>
          <w:color w:val="000000"/>
        </w:rPr>
        <w:t xml:space="preserve">celkového </w:t>
      </w:r>
      <w:r w:rsidR="004B45B2" w:rsidRPr="000939E3">
        <w:rPr>
          <w:rFonts w:eastAsia="Calibri" w:cs="Times New Roman"/>
          <w:b/>
          <w:color w:val="000000"/>
        </w:rPr>
        <w:t xml:space="preserve">navýšenia </w:t>
      </w:r>
      <w:r w:rsidRPr="000939E3">
        <w:rPr>
          <w:rFonts w:eastAsia="Calibri" w:cs="Times New Roman"/>
          <w:b/>
          <w:color w:val="000000"/>
        </w:rPr>
        <w:t xml:space="preserve">tvoria prostriedky plánované na neobsadené miesta. </w:t>
      </w:r>
      <w:r w:rsidR="007E6916" w:rsidRPr="000939E3">
        <w:rPr>
          <w:rFonts w:eastAsia="Calibri" w:cs="Times New Roman"/>
          <w:b/>
          <w:color w:val="000000"/>
        </w:rPr>
        <w:t>Ďalšiu pätinu predstavujú zmeny v dôsledku valorizácie, či hmotnej stimulácie</w:t>
      </w:r>
      <w:r w:rsidRPr="000939E3">
        <w:rPr>
          <w:rStyle w:val="Odkaznapoznmkupodiarou"/>
          <w:rFonts w:eastAsia="Calibri" w:cs="Times New Roman"/>
          <w:b/>
          <w:color w:val="000000"/>
        </w:rPr>
        <w:footnoteReference w:id="90"/>
      </w:r>
      <w:r w:rsidRPr="000939E3">
        <w:rPr>
          <w:rFonts w:eastAsia="Calibri" w:cs="Times New Roman"/>
          <w:b/>
          <w:color w:val="000000"/>
        </w:rPr>
        <w:t>.</w:t>
      </w:r>
      <w:r w:rsidRPr="000939E3">
        <w:rPr>
          <w:rFonts w:eastAsia="Calibri" w:cs="Times New Roman"/>
          <w:color w:val="000000"/>
        </w:rPr>
        <w:t xml:space="preserve"> Podiel nerozpočtovaných prostriedkov v posledných troch rokoch rastie v dôsledku vyššieho príspevku valorizácie a predsedníctva Rady EÚ. Valorizáciu by pritom bolo možné jednoducho transparentnejšie rozpočtovať v prípade časovo ohraničeného kolektívneho vyjednávania, napríklad stanovením zákonného termínu </w:t>
      </w:r>
      <w:r w:rsidRPr="000939E3">
        <w:t>ukončenia vyjednáva</w:t>
      </w:r>
      <w:r w:rsidR="003F3DCE" w:rsidRPr="000939E3">
        <w:t>nia pred stanoveným termínom na </w:t>
      </w:r>
      <w:r w:rsidRPr="000939E3">
        <w:t xml:space="preserve">schválenie návrhu rozpočtu verenej správy vládou SR. </w:t>
      </w:r>
    </w:p>
    <w:p w14:paraId="2AD53148" w14:textId="286C76EB" w:rsidR="00A53E45" w:rsidRPr="000939E3" w:rsidRDefault="00F778F9" w:rsidP="00C1597F">
      <w:r w:rsidRPr="000939E3">
        <w:rPr>
          <w:rFonts w:eastAsia="Calibri" w:cs="Times New Roman"/>
          <w:b/>
          <w:color w:val="000000"/>
        </w:rPr>
        <w:t>K výrazným zmenám</w:t>
      </w:r>
      <w:r w:rsidRPr="000939E3">
        <w:rPr>
          <w:rFonts w:eastAsia="Calibri" w:cs="Times New Roman"/>
          <w:color w:val="000000"/>
        </w:rPr>
        <w:t xml:space="preserve"> </w:t>
      </w:r>
      <w:r w:rsidRPr="000939E3">
        <w:rPr>
          <w:rFonts w:eastAsia="Calibri" w:cs="Times New Roman"/>
          <w:b/>
          <w:color w:val="000000"/>
        </w:rPr>
        <w:t>však dochádza v štruktúre výdavkov aj z dôvodu nerozpočtovania položiek, ktoré sú historicky vyplácané.</w:t>
      </w:r>
      <w:r w:rsidRPr="000939E3">
        <w:rPr>
          <w:rFonts w:eastAsia="Calibri" w:cs="Times New Roman"/>
          <w:color w:val="000000"/>
        </w:rPr>
        <w:t xml:space="preserve"> Výrazne rástli najmä odmeny, ktoré sa od schváleného rozpočtu odchyľovali v priemere až </w:t>
      </w:r>
      <w:r w:rsidR="00C67849" w:rsidRPr="000939E3">
        <w:rPr>
          <w:rFonts w:eastAsia="Calibri" w:cs="Times New Roman"/>
          <w:color w:val="000000"/>
        </w:rPr>
        <w:t xml:space="preserve">desaťnásobne </w:t>
      </w:r>
      <w:r w:rsidRPr="000939E3">
        <w:rPr>
          <w:rFonts w:eastAsia="Calibri" w:cs="Times New Roman"/>
          <w:color w:val="000000"/>
        </w:rPr>
        <w:t>(+</w:t>
      </w:r>
      <w:r w:rsidR="00C67849" w:rsidRPr="000939E3">
        <w:rPr>
          <w:rFonts w:eastAsia="Calibri" w:cs="Times New Roman"/>
          <w:color w:val="000000"/>
        </w:rPr>
        <w:t>10</w:t>
      </w:r>
      <w:r w:rsidRPr="000939E3">
        <w:rPr>
          <w:rFonts w:eastAsia="Calibri" w:cs="Times New Roman"/>
          <w:color w:val="000000"/>
        </w:rPr>
        <w:t>0 mil. eur ročne)</w:t>
      </w:r>
      <w:r w:rsidR="007163CC" w:rsidRPr="000939E3">
        <w:rPr>
          <w:rFonts w:eastAsia="Calibri" w:cs="Times New Roman"/>
          <w:color w:val="000000"/>
        </w:rPr>
        <w:t xml:space="preserve"> (</w:t>
      </w:r>
      <w:r w:rsidR="007163CC" w:rsidRPr="000939E3">
        <w:rPr>
          <w:rFonts w:eastAsia="Calibri" w:cs="Times New Roman"/>
          <w:color w:val="000000"/>
        </w:rPr>
        <w:fldChar w:fldCharType="begin"/>
      </w:r>
      <w:r w:rsidR="007163CC" w:rsidRPr="000939E3">
        <w:rPr>
          <w:rFonts w:eastAsia="Calibri" w:cs="Times New Roman"/>
          <w:color w:val="000000"/>
        </w:rPr>
        <w:instrText xml:space="preserve"> REF _Ref4141017 \h  \* MERGEFORMAT </w:instrText>
      </w:r>
      <w:r w:rsidR="007163CC" w:rsidRPr="000939E3">
        <w:rPr>
          <w:rFonts w:eastAsia="Calibri" w:cs="Times New Roman"/>
          <w:color w:val="000000"/>
        </w:rPr>
      </w:r>
      <w:r w:rsidR="007163CC" w:rsidRPr="000939E3">
        <w:rPr>
          <w:rFonts w:eastAsia="Calibri" w:cs="Times New Roman"/>
          <w:color w:val="000000"/>
        </w:rPr>
        <w:fldChar w:fldCharType="separate"/>
      </w:r>
      <w:r w:rsidR="00BF69CA" w:rsidRPr="00BF69CA">
        <w:rPr>
          <w:rFonts w:eastAsia="Calibri" w:cs="Times New Roman"/>
        </w:rPr>
        <w:t xml:space="preserve">Graf </w:t>
      </w:r>
      <w:r w:rsidR="00BF69CA" w:rsidRPr="00BF69CA">
        <w:rPr>
          <w:rFonts w:eastAsia="Calibri" w:cs="Times New Roman"/>
          <w:noProof/>
        </w:rPr>
        <w:t>43</w:t>
      </w:r>
      <w:r w:rsidR="007163CC" w:rsidRPr="000939E3">
        <w:rPr>
          <w:rFonts w:eastAsia="Calibri" w:cs="Times New Roman"/>
          <w:color w:val="000000"/>
        </w:rPr>
        <w:fldChar w:fldCharType="end"/>
      </w:r>
      <w:r w:rsidR="007163CC" w:rsidRPr="000939E3">
        <w:rPr>
          <w:rFonts w:eastAsia="Calibri" w:cs="Times New Roman"/>
          <w:color w:val="000000"/>
        </w:rPr>
        <w:t>)</w:t>
      </w:r>
      <w:r w:rsidRPr="000939E3">
        <w:rPr>
          <w:rFonts w:eastAsia="Calibri" w:cs="Times New Roman"/>
          <w:color w:val="000000"/>
        </w:rPr>
        <w:t>, dlhodobo sú však rozpočtované len na 0,5</w:t>
      </w:r>
      <w:r w:rsidR="007163CC" w:rsidRPr="000939E3">
        <w:rPr>
          <w:rFonts w:eastAsia="Calibri" w:cs="Times New Roman"/>
          <w:color w:val="000000"/>
        </w:rPr>
        <w:t xml:space="preserve"> </w:t>
      </w:r>
      <w:r w:rsidRPr="000939E3">
        <w:rPr>
          <w:rFonts w:eastAsia="Calibri" w:cs="Times New Roman"/>
          <w:color w:val="000000"/>
        </w:rPr>
        <w:t xml:space="preserve">% rozpočtu celkových mzdových kompenzácií. </w:t>
      </w:r>
      <w:r w:rsidR="00A53E45" w:rsidRPr="000939E3">
        <w:t>Zdrojom na odmeny sú prostriedky z neobsadených pracovných miest. Deklarovaným zdrojom sú aj ušetrené prostriedky v dôsledku práceneschopnosti zamestnancov, ide však o</w:t>
      </w:r>
      <w:r w:rsidR="00AD5D4C" w:rsidRPr="000939E3">
        <w:t> </w:t>
      </w:r>
      <w:r w:rsidR="00A53E45" w:rsidRPr="000939E3">
        <w:t>zdroj</w:t>
      </w:r>
      <w:r w:rsidR="00AD5D4C" w:rsidRPr="000939E3">
        <w:t>,</w:t>
      </w:r>
      <w:r w:rsidR="00A53E45" w:rsidRPr="000939E3">
        <w:t xml:space="preserve"> ktorý nie je plne pod kontrolou zamestnávateľa. Analýza v aparáte MFSR navyše naznačuje, že s približne 20 % podielom predstavuje nerozhodujúcu časť realizovaných výdavkov na odmeny.</w:t>
      </w:r>
      <w:r w:rsidRPr="000939E3">
        <w:t xml:space="preserve"> </w:t>
      </w:r>
    </w:p>
    <w:p w14:paraId="6CF0F439" w14:textId="65755194" w:rsidR="00F778F9" w:rsidRPr="000939E3" w:rsidRDefault="00D91320" w:rsidP="00F778F9">
      <w:pPr>
        <w:pStyle w:val="Nadpis2"/>
      </w:pPr>
      <w:bookmarkStart w:id="244" w:name="_Toc34050708"/>
      <w:r w:rsidRPr="000939E3">
        <w:t>Riadenie ľudských zdrojov v štátnej a verejnej správe</w:t>
      </w:r>
      <w:bookmarkEnd w:id="244"/>
    </w:p>
    <w:p w14:paraId="26DD5ECF" w14:textId="72A71A4E" w:rsidR="00D91320" w:rsidRPr="000939E3" w:rsidRDefault="00D91320" w:rsidP="00D91320">
      <w:pPr>
        <w:rPr>
          <w:b/>
        </w:rPr>
      </w:pPr>
      <w:r w:rsidRPr="000939E3">
        <w:rPr>
          <w:b/>
        </w:rPr>
        <w:t>Jednou z kľúčových výziev pri riadení ľudských zdrojov v štáte je miera a spôsob centralizácie a</w:t>
      </w:r>
      <w:r w:rsidR="003F3DCE" w:rsidRPr="000939E3">
        <w:rPr>
          <w:b/>
        </w:rPr>
        <w:t> </w:t>
      </w:r>
      <w:r w:rsidRPr="000939E3">
        <w:rPr>
          <w:b/>
        </w:rPr>
        <w:t>koordinovania.</w:t>
      </w:r>
      <w:r w:rsidRPr="000939E3">
        <w:t xml:space="preserve"> Vyššia miera centralizácie môže prispieť k zvyšovaniu rovnosti, uplatňovaniu rovnakých prístupov a princípov, naopak decentralizácia prináša manažmentu väčšiu voľnosť pri riadení a lepšiu orientáciu na potreby konkrétnej inštitúcie. Miera a úroveň delegovania sa medzinárodne líši</w:t>
      </w:r>
      <w:r w:rsidR="00C050DB" w:rsidRPr="000939E3">
        <w:t xml:space="preserve">. </w:t>
      </w:r>
      <w:r w:rsidR="00856B10" w:rsidRPr="000939E3">
        <w:t>Slovensko dlhodobo patrilo ku </w:t>
      </w:r>
      <w:r w:rsidRPr="000939E3">
        <w:t>krajinám s vysokou mierou delegovania s výnimkou krátkej existencie Úradu pre štátnu službu, ktorého cieľom bolo zaviesť jednotnú a centrálnu koordináciu štátnej služby a to takmer vo všetkých oblastiach manažmentu ľudských zdrojov.</w:t>
      </w:r>
      <w:r w:rsidRPr="000939E3">
        <w:rPr>
          <w:b/>
        </w:rPr>
        <w:t xml:space="preserve"> Miera de</w:t>
      </w:r>
      <w:r w:rsidR="004B45B2" w:rsidRPr="000939E3">
        <w:rPr>
          <w:b/>
        </w:rPr>
        <w:t xml:space="preserve">legovania sa čiastočne znížila </w:t>
      </w:r>
      <w:r w:rsidRPr="000939E3">
        <w:rPr>
          <w:b/>
        </w:rPr>
        <w:t>v roku 2017 prijatím nového zákona o š</w:t>
      </w:r>
      <w:r w:rsidR="004B45B2" w:rsidRPr="000939E3">
        <w:rPr>
          <w:b/>
        </w:rPr>
        <w:t xml:space="preserve">tátnej službe, ktorý priniesol </w:t>
      </w:r>
      <w:r w:rsidRPr="000939E3">
        <w:rPr>
          <w:b/>
        </w:rPr>
        <w:t xml:space="preserve">zmenu v zmysle posilnenia centralizácie niektorých inštitútov a zjednocovania pravidiel.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91320" w:rsidRPr="000939E3" w14:paraId="584B1E15" w14:textId="77777777" w:rsidTr="006842A0">
        <w:tc>
          <w:tcPr>
            <w:tcW w:w="0" w:type="auto"/>
            <w:tcBorders>
              <w:bottom w:val="single" w:sz="4" w:space="0" w:color="000000" w:themeColor="text1"/>
            </w:tcBorders>
          </w:tcPr>
          <w:p w14:paraId="3DD610B1" w14:textId="03DD81FF" w:rsidR="00D91320" w:rsidRPr="000939E3" w:rsidRDefault="00D91320" w:rsidP="00232623">
            <w:pPr>
              <w:pStyle w:val="Popis"/>
              <w:keepNext/>
            </w:pPr>
            <w:bookmarkStart w:id="245" w:name="_Toc34226915"/>
            <w:r w:rsidRPr="000939E3">
              <w:lastRenderedPageBreak/>
              <w:t xml:space="preserve">Graf </w:t>
            </w:r>
            <w:r w:rsidRPr="000939E3">
              <w:rPr>
                <w:noProof/>
              </w:rPr>
              <w:fldChar w:fldCharType="begin"/>
            </w:r>
            <w:r w:rsidRPr="000939E3">
              <w:rPr>
                <w:noProof/>
              </w:rPr>
              <w:instrText xml:space="preserve"> SEQ Graf \* ARABIC </w:instrText>
            </w:r>
            <w:r w:rsidRPr="000939E3">
              <w:rPr>
                <w:noProof/>
              </w:rPr>
              <w:fldChar w:fldCharType="separate"/>
            </w:r>
            <w:r w:rsidR="00BF69CA">
              <w:rPr>
                <w:noProof/>
              </w:rPr>
              <w:t>44</w:t>
            </w:r>
            <w:r w:rsidRPr="000939E3">
              <w:rPr>
                <w:noProof/>
              </w:rPr>
              <w:fldChar w:fldCharType="end"/>
            </w:r>
            <w:r w:rsidRPr="000939E3">
              <w:rPr>
                <w:noProof/>
              </w:rPr>
              <w:t>:</w:t>
            </w:r>
            <w:r w:rsidRPr="000939E3">
              <w:t xml:space="preserve"> Miera delegovania riadenia ľudských zdrojov v štátnej správe vo </w:t>
            </w:r>
            <w:r w:rsidR="00232623" w:rsidRPr="000939E3">
              <w:t xml:space="preserve">vybraných </w:t>
            </w:r>
            <w:r w:rsidRPr="000939E3">
              <w:t>krajinách (index</w:t>
            </w:r>
            <w:r w:rsidR="00703950" w:rsidRPr="000939E3">
              <w:t>, 2014</w:t>
            </w:r>
            <w:r w:rsidRPr="000939E3">
              <w:t>)</w:t>
            </w:r>
            <w:bookmarkEnd w:id="245"/>
          </w:p>
        </w:tc>
      </w:tr>
      <w:tr w:rsidR="00D91320" w:rsidRPr="000939E3" w14:paraId="79FA3D7D" w14:textId="77777777" w:rsidTr="00D91320">
        <w:tblPrEx>
          <w:tblCellMar>
            <w:left w:w="70" w:type="dxa"/>
            <w:right w:w="70" w:type="dxa"/>
          </w:tblCellMar>
        </w:tblPrEx>
        <w:tc>
          <w:tcPr>
            <w:tcW w:w="9072" w:type="dxa"/>
            <w:tcBorders>
              <w:top w:val="single" w:sz="4" w:space="0" w:color="000000" w:themeColor="text1"/>
              <w:bottom w:val="single" w:sz="4" w:space="0" w:color="000000" w:themeColor="text1"/>
            </w:tcBorders>
          </w:tcPr>
          <w:p w14:paraId="54CDE5EB" w14:textId="23F5B477" w:rsidR="00D91320" w:rsidRPr="000939E3" w:rsidRDefault="00D91320" w:rsidP="00D91320">
            <w:pPr>
              <w:keepNext/>
              <w:spacing w:after="0"/>
              <w:jc w:val="center"/>
            </w:pPr>
            <w:r w:rsidRPr="000939E3">
              <w:rPr>
                <w:noProof/>
                <w:lang w:eastAsia="sk-SK"/>
              </w:rPr>
              <w:drawing>
                <wp:inline distT="0" distB="0" distL="0" distR="0" wp14:anchorId="24190356" wp14:editId="0F57BF4C">
                  <wp:extent cx="5695950" cy="2274570"/>
                  <wp:effectExtent l="0" t="0" r="0" b="0"/>
                  <wp:docPr id="39" name="Graf 39">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C54D206-D902-408D-8357-9A572C744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D91320" w:rsidRPr="000939E3" w14:paraId="2F2A583D" w14:textId="77777777" w:rsidTr="006842A0">
        <w:tc>
          <w:tcPr>
            <w:tcW w:w="0" w:type="auto"/>
            <w:tcBorders>
              <w:top w:val="single" w:sz="4" w:space="0" w:color="000000" w:themeColor="text1"/>
            </w:tcBorders>
          </w:tcPr>
          <w:p w14:paraId="1015CB71" w14:textId="0DE82EA7" w:rsidR="00D91320" w:rsidRPr="000939E3" w:rsidRDefault="004B45B2" w:rsidP="00CA2FD4">
            <w:pPr>
              <w:pStyle w:val="Popis"/>
              <w:jc w:val="right"/>
              <w:rPr>
                <w:b w:val="0"/>
                <w:i/>
                <w:sz w:val="18"/>
                <w:szCs w:val="18"/>
              </w:rPr>
            </w:pPr>
            <w:r w:rsidRPr="000939E3">
              <w:rPr>
                <w:b w:val="0"/>
                <w:i/>
                <w:sz w:val="18"/>
                <w:szCs w:val="18"/>
              </w:rPr>
              <w:t>Zdroj: ÚV SR (</w:t>
            </w:r>
            <w:r w:rsidR="00CA2FD4" w:rsidRPr="000939E3">
              <w:rPr>
                <w:b w:val="0"/>
                <w:i/>
                <w:sz w:val="18"/>
                <w:szCs w:val="18"/>
              </w:rPr>
              <w:t>2017</w:t>
            </w:r>
            <w:r w:rsidRPr="000939E3">
              <w:rPr>
                <w:b w:val="0"/>
                <w:i/>
                <w:sz w:val="18"/>
                <w:szCs w:val="18"/>
              </w:rPr>
              <w:t xml:space="preserve">) </w:t>
            </w:r>
            <w:r w:rsidR="00D91320" w:rsidRPr="000939E3">
              <w:rPr>
                <w:b w:val="0"/>
                <w:i/>
                <w:sz w:val="18"/>
                <w:szCs w:val="18"/>
              </w:rPr>
              <w:t>na základe OECD Stat.</w:t>
            </w:r>
            <w:r w:rsidR="00D91320" w:rsidRPr="000939E3">
              <w:rPr>
                <w:rStyle w:val="Odkaznapoznmkupodiarou"/>
                <w:b w:val="0"/>
                <w:i/>
                <w:sz w:val="18"/>
                <w:szCs w:val="18"/>
              </w:rPr>
              <w:footnoteReference w:id="91"/>
            </w:r>
          </w:p>
        </w:tc>
      </w:tr>
    </w:tbl>
    <w:p w14:paraId="4A843A9A" w14:textId="67AFEDAB" w:rsidR="00D91320" w:rsidRPr="000939E3" w:rsidRDefault="00D91320" w:rsidP="00D91320">
      <w:pPr>
        <w:spacing w:before="160"/>
      </w:pPr>
      <w:r w:rsidRPr="000939E3">
        <w:rPr>
          <w:b/>
        </w:rPr>
        <w:t>Kľúčovým procesom koordinácie je strategické riadenie a plánovanie ľudských zdrojov</w:t>
      </w:r>
      <w:r w:rsidRPr="000939E3">
        <w:t>, ktoré je založené na kvalifikovaných dôkazoch a dátach.</w:t>
      </w:r>
      <w:r w:rsidRPr="000939E3">
        <w:rPr>
          <w:b/>
        </w:rPr>
        <w:t xml:space="preserve"> </w:t>
      </w:r>
      <w:r w:rsidRPr="000939E3">
        <w:t>Strategické riadenie pretavuje stratégiu organizácií do požiadaviek na</w:t>
      </w:r>
      <w:r w:rsidR="00856B10" w:rsidRPr="000939E3">
        <w:t> </w:t>
      </w:r>
      <w:r w:rsidRPr="000939E3">
        <w:t>zabezpečovanie a celkové vedenie ľudských zdrojov.</w:t>
      </w:r>
      <w:r w:rsidR="001373D7" w:rsidRPr="000939E3">
        <w:t xml:space="preserve"> </w:t>
      </w:r>
      <w:r w:rsidRPr="000939E3">
        <w:t xml:space="preserve">Zmeny vo verejných politikách (digitalizácia procesov) alebo trendoch (napr. starnutie) ovplyvňujú počet a profil zamestnancov, ktorých bude štát a konkrétne organizácie vyžadovať. Plánovanie ľudských zdrojov zahŕňa prognózovanie počtu potrebných pracovníkov pre rôzne profesie, </w:t>
      </w:r>
      <w:r w:rsidR="00B46ED0" w:rsidRPr="000939E3">
        <w:t xml:space="preserve">či </w:t>
      </w:r>
      <w:r w:rsidRPr="000939E3">
        <w:t>podporenie získavania aktuálne potrebných profesií (tvrdé plánovanie)</w:t>
      </w:r>
      <w:r w:rsidR="00B46ED0" w:rsidRPr="000939E3">
        <w:t>.</w:t>
      </w:r>
      <w:r w:rsidRPr="000939E3">
        <w:t xml:space="preserve"> </w:t>
      </w:r>
      <w:r w:rsidR="00B46ED0" w:rsidRPr="000939E3">
        <w:t>N</w:t>
      </w:r>
      <w:r w:rsidRPr="000939E3">
        <w:t>a mikroúrovni sa môže venovať aj plánovaniu a rozmiestňovaniu zamestnancov v jednotlivých org</w:t>
      </w:r>
      <w:r w:rsidR="004B45B2" w:rsidRPr="000939E3">
        <w:t xml:space="preserve">anizáciách (mäkké plánovanie). </w:t>
      </w:r>
    </w:p>
    <w:p w14:paraId="5CF3CFF1" w14:textId="4D134F57" w:rsidR="00B46ED0" w:rsidRPr="000939E3" w:rsidRDefault="00D91320" w:rsidP="00B46ED0">
      <w:r w:rsidRPr="000939E3">
        <w:rPr>
          <w:b/>
        </w:rPr>
        <w:t>Strategické riadenie a plánovanie v slovenskej štátnej službe je naďalej decentralizované, aj po zjednotení pravidiel vo viacerých oblastiach</w:t>
      </w:r>
      <w:r w:rsidRPr="000939E3">
        <w:rPr>
          <w:rStyle w:val="Odkaznapoznmkupodiarou"/>
          <w:b/>
        </w:rPr>
        <w:footnoteReference w:id="92"/>
      </w:r>
      <w:r w:rsidRPr="000939E3">
        <w:rPr>
          <w:b/>
        </w:rPr>
        <w:t xml:space="preserve">. </w:t>
      </w:r>
      <w:r w:rsidR="00B46ED0" w:rsidRPr="000939E3">
        <w:t>Neprebieha tak dlhodobé plánovanie počtov pracovníkov, analýza konzistentnosti a horizontálneho súladu rôznych odmeňovacích predpisov, r</w:t>
      </w:r>
      <w:r w:rsidR="00856B10" w:rsidRPr="000939E3">
        <w:t>iadenie líderstva (programy pre </w:t>
      </w:r>
      <w:r w:rsidR="00B46ED0" w:rsidRPr="000939E3">
        <w:t>talentovaných úradníkov) a kariéry medzi služobnými úradmi prípadne náročnejšie otázky pomenované aj revíziou (systém regionálneho odmeňovania, organizácia kolektívneho vyjednávania atď.).</w:t>
      </w:r>
    </w:p>
    <w:p w14:paraId="07499F6E" w14:textId="0476249B" w:rsidR="00CE411D" w:rsidRPr="000939E3" w:rsidRDefault="00D91320" w:rsidP="00D91320">
      <w:r w:rsidRPr="000939E3">
        <w:rPr>
          <w:b/>
        </w:rPr>
        <w:t>Riešenie navrhuje stratégia riadenia ľudských zdrojov v štátnej službe na roky 2015 – 2020, ktorá za cieľ kladie vytvorenie mechanizmov dátovo podloženej centrálnej koordinácie</w:t>
      </w:r>
      <w:r w:rsidR="00B46ED0" w:rsidRPr="000939E3">
        <w:rPr>
          <w:b/>
        </w:rPr>
        <w:t xml:space="preserve">. </w:t>
      </w:r>
      <w:r w:rsidR="00B46ED0" w:rsidRPr="000939E3">
        <w:t>Stratégia</w:t>
      </w:r>
      <w:r w:rsidRPr="000939E3">
        <w:rPr>
          <w:b/>
        </w:rPr>
        <w:t xml:space="preserve"> </w:t>
      </w:r>
      <w:r w:rsidR="00B46ED0" w:rsidRPr="000939E3">
        <w:t>n</w:t>
      </w:r>
      <w:r w:rsidRPr="000939E3">
        <w:t>avrhuje na centrálnej úrovni definovať dlhodobé požiadavky na ľudské zdroje štátnych zamestnancov, spôsoby a postupy ich zabezpečovania a vedenia (odmeňovanie, motivovanie, rozvoj</w:t>
      </w:r>
      <w:r w:rsidR="00B46ED0" w:rsidRPr="000939E3">
        <w:t>,</w:t>
      </w:r>
      <w:r w:rsidRPr="000939E3">
        <w:t> talent manažment a</w:t>
      </w:r>
      <w:r w:rsidR="00B46ED0" w:rsidRPr="000939E3">
        <w:t> </w:t>
      </w:r>
      <w:r w:rsidRPr="000939E3">
        <w:t>pod</w:t>
      </w:r>
      <w:r w:rsidR="00B46ED0" w:rsidRPr="000939E3">
        <w:t>.</w:t>
      </w:r>
      <w:r w:rsidRPr="000939E3">
        <w:t>)</w:t>
      </w:r>
      <w:r w:rsidR="00E21636" w:rsidRPr="000939E3">
        <w:t xml:space="preserve"> </w:t>
      </w:r>
      <w:r w:rsidR="00856B10" w:rsidRPr="000939E3">
        <w:t>pri ponechaní voľnosti a </w:t>
      </w:r>
      <w:r w:rsidRPr="000939E3">
        <w:t>zodpovednosti služobným úradom za mäkké prvky manažmentu. Pre celistvejš</w:t>
      </w:r>
      <w:r w:rsidR="00856B10" w:rsidRPr="000939E3">
        <w:t>ie riadenie ľudských zdrojov na </w:t>
      </w:r>
      <w:r w:rsidRPr="000939E3">
        <w:t xml:space="preserve">úrovni verejnej správy by bolo vhodné do centrálnej koordinácie zahrnúť aj zamestnancov vo verejnom záujme, prípadne zamestnancov odmeňovaných podľa osobitných predpisov. </w:t>
      </w:r>
    </w:p>
    <w:p w14:paraId="3D5C01CC" w14:textId="63E6F00F" w:rsidR="005D443D" w:rsidRPr="000939E3" w:rsidRDefault="00F778F9" w:rsidP="00472C5D">
      <w:pPr>
        <w:pStyle w:val="Nadpis1"/>
        <w:spacing w:after="0"/>
      </w:pPr>
      <w:bookmarkStart w:id="246" w:name="_Toc34050709"/>
      <w:bookmarkEnd w:id="186"/>
      <w:r w:rsidRPr="000939E3">
        <w:lastRenderedPageBreak/>
        <w:t xml:space="preserve">Potenciál úspory vo </w:t>
      </w:r>
      <w:r w:rsidR="00232623" w:rsidRPr="000939E3">
        <w:t xml:space="preserve">vybraných </w:t>
      </w:r>
      <w:r w:rsidRPr="000939E3">
        <w:t>oblastiach</w:t>
      </w:r>
      <w:bookmarkEnd w:id="246"/>
    </w:p>
    <w:p w14:paraId="465F921A" w14:textId="77777777" w:rsidR="009244D6" w:rsidRPr="000939E3" w:rsidRDefault="009244D6" w:rsidP="00B41924">
      <w:pPr>
        <w:pStyle w:val="Nadpis2"/>
        <w:numPr>
          <w:ilvl w:val="1"/>
          <w:numId w:val="6"/>
        </w:numPr>
        <w:ind w:left="0" w:firstLine="0"/>
      </w:pPr>
      <w:bookmarkStart w:id="247" w:name="_Ref527965100"/>
      <w:bookmarkStart w:id="248" w:name="_Toc34050710"/>
      <w:r w:rsidRPr="000939E3">
        <w:t>Podporné a prierezové činnosti v ústrednej štátnej správe</w:t>
      </w:r>
      <w:bookmarkEnd w:id="247"/>
      <w:bookmarkEnd w:id="248"/>
    </w:p>
    <w:p w14:paraId="2E7357D6" w14:textId="641AD249" w:rsidR="008A5973" w:rsidRPr="000939E3" w:rsidRDefault="008432FE" w:rsidP="008A5973">
      <w:pPr>
        <w:pStyle w:val="Odsekzoznamu"/>
        <w:numPr>
          <w:ilvl w:val="0"/>
          <w:numId w:val="9"/>
        </w:numPr>
        <w:ind w:left="426" w:hanging="426"/>
        <w:jc w:val="both"/>
        <w:rPr>
          <w:b/>
        </w:rPr>
      </w:pPr>
      <w:r w:rsidRPr="000939E3">
        <w:rPr>
          <w:b/>
        </w:rPr>
        <w:t xml:space="preserve">Podporné a prierezové činnosti stáli ústredné orgány štátnej správy a ich podriadené organizácie v roku 2017 odhadom </w:t>
      </w:r>
      <w:r w:rsidR="00DD5730" w:rsidRPr="000939E3">
        <w:rPr>
          <w:b/>
        </w:rPr>
        <w:t>takmer</w:t>
      </w:r>
      <w:r w:rsidRPr="000939E3">
        <w:rPr>
          <w:b/>
        </w:rPr>
        <w:t xml:space="preserve"> </w:t>
      </w:r>
      <w:r w:rsidR="004C5DFB" w:rsidRPr="000939E3">
        <w:rPr>
          <w:b/>
        </w:rPr>
        <w:t xml:space="preserve">150 </w:t>
      </w:r>
      <w:r w:rsidRPr="000939E3">
        <w:rPr>
          <w:b/>
        </w:rPr>
        <w:t xml:space="preserve">mil. eur, ich výkonu sa venoval každý </w:t>
      </w:r>
      <w:r w:rsidR="004C5DFB" w:rsidRPr="000939E3">
        <w:rPr>
          <w:b/>
        </w:rPr>
        <w:t xml:space="preserve">piaty </w:t>
      </w:r>
      <w:r w:rsidRPr="000939E3">
        <w:rPr>
          <w:b/>
        </w:rPr>
        <w:t xml:space="preserve">zamestnanec. </w:t>
      </w:r>
    </w:p>
    <w:p w14:paraId="5E2B4B10" w14:textId="77777777" w:rsidR="008A5973" w:rsidRPr="000939E3" w:rsidRDefault="008A5973" w:rsidP="008A5973">
      <w:pPr>
        <w:pStyle w:val="Odsekzoznamu"/>
        <w:numPr>
          <w:ilvl w:val="0"/>
          <w:numId w:val="9"/>
        </w:numPr>
        <w:ind w:left="426" w:hanging="426"/>
        <w:jc w:val="both"/>
        <w:rPr>
          <w:b/>
        </w:rPr>
      </w:pPr>
      <w:r w:rsidRPr="000939E3">
        <w:rPr>
          <w:b/>
        </w:rPr>
        <w:t xml:space="preserve">Analýza sa podrobnejšie zamerala na centrály ministerstiev a úrad vlády, spolu s ich podriadenými organizáciami. </w:t>
      </w:r>
    </w:p>
    <w:p w14:paraId="3C601EB5" w14:textId="77777777" w:rsidR="008A5973" w:rsidRPr="000939E3" w:rsidRDefault="008A5973" w:rsidP="008A5973">
      <w:pPr>
        <w:pStyle w:val="Odsekzoznamu"/>
        <w:numPr>
          <w:ilvl w:val="0"/>
          <w:numId w:val="9"/>
        </w:numPr>
        <w:ind w:left="426" w:hanging="426"/>
        <w:jc w:val="both"/>
        <w:rPr>
          <w:b/>
        </w:rPr>
      </w:pPr>
      <w:r w:rsidRPr="000939E3">
        <w:rPr>
          <w:b/>
        </w:rPr>
        <w:t>Spolu s externými nákladmi stáli analyzované činnosti centrál ministerstiev a Úradu vlády viac ako 54 mil. eur, vykonávala ich tretina zamestnancov.</w:t>
      </w:r>
    </w:p>
    <w:p w14:paraId="02F9AC12" w14:textId="3F37349D" w:rsidR="008A5973" w:rsidRPr="000939E3" w:rsidRDefault="008A5973" w:rsidP="008A5973">
      <w:pPr>
        <w:pStyle w:val="Odsekzoznamu"/>
        <w:numPr>
          <w:ilvl w:val="0"/>
          <w:numId w:val="9"/>
        </w:numPr>
        <w:ind w:left="426" w:hanging="426"/>
        <w:jc w:val="both"/>
      </w:pPr>
      <w:r w:rsidRPr="000939E3">
        <w:rPr>
          <w:b/>
        </w:rPr>
        <w:t>Bez ohľadu na svoju veľkosť, podriadené organizácie musia zabezpečovať podobné podporné a</w:t>
      </w:r>
      <w:r w:rsidR="00856B10" w:rsidRPr="000939E3">
        <w:rPr>
          <w:b/>
        </w:rPr>
        <w:t> </w:t>
      </w:r>
      <w:r w:rsidRPr="000939E3">
        <w:rPr>
          <w:b/>
        </w:rPr>
        <w:t>prierezové činnosti ako úrady centrálnej štátnej správy. Ich výkonu sa v analyzovaných organizáciách venuje 14 % zamestnancov, s odhadovanými nákladmi 41 mil. eur ročne.</w:t>
      </w:r>
    </w:p>
    <w:p w14:paraId="30E5DDD3" w14:textId="12B3927B" w:rsidR="008A5973" w:rsidRPr="000939E3" w:rsidRDefault="008A5973" w:rsidP="008A5973">
      <w:pPr>
        <w:pStyle w:val="Odsekzoznamu"/>
        <w:numPr>
          <w:ilvl w:val="0"/>
          <w:numId w:val="9"/>
        </w:numPr>
        <w:ind w:left="426" w:hanging="426"/>
        <w:jc w:val="both"/>
      </w:pPr>
      <w:r w:rsidRPr="000939E3">
        <w:rPr>
          <w:b/>
        </w:rPr>
        <w:t xml:space="preserve">V oblasti existuje priestor na optimalizáciu, relatívna nákladovosť organizácií na rovnaké činnosti </w:t>
      </w:r>
      <w:r w:rsidR="00856B10" w:rsidRPr="000939E3">
        <w:rPr>
          <w:b/>
        </w:rPr>
        <w:t>sa </w:t>
      </w:r>
      <w:r w:rsidRPr="000939E3">
        <w:rPr>
          <w:b/>
        </w:rPr>
        <w:t>líši. Identifikovaná krátkodobá potenciálna úspora</w:t>
      </w:r>
      <w:r w:rsidR="006D1557" w:rsidRPr="000939E3">
        <w:rPr>
          <w:rStyle w:val="Odkaznapoznmkupodiarou"/>
          <w:b/>
        </w:rPr>
        <w:footnoteReference w:id="93"/>
      </w:r>
      <w:r w:rsidRPr="000939E3">
        <w:rPr>
          <w:b/>
        </w:rPr>
        <w:t xml:space="preserve"> na analyzovaných úradoch je </w:t>
      </w:r>
      <w:r w:rsidR="00C86B49" w:rsidRPr="000939E3">
        <w:rPr>
          <w:b/>
        </w:rPr>
        <w:t xml:space="preserve">18 </w:t>
      </w:r>
      <w:r w:rsidRPr="000939E3">
        <w:rPr>
          <w:b/>
        </w:rPr>
        <w:t>mil. eur</w:t>
      </w:r>
      <w:r w:rsidR="006D1557" w:rsidRPr="000939E3">
        <w:rPr>
          <w:rStyle w:val="Odkaznapoznmkupodiarou"/>
          <w:b/>
        </w:rPr>
        <w:footnoteReference w:id="94"/>
      </w:r>
      <w:r w:rsidRPr="000939E3">
        <w:rPr>
          <w:b/>
        </w:rPr>
        <w:t xml:space="preserve">, ďalších </w:t>
      </w:r>
      <w:r w:rsidR="00C86B49" w:rsidRPr="000939E3">
        <w:rPr>
          <w:b/>
        </w:rPr>
        <w:t>11</w:t>
      </w:r>
      <w:r w:rsidRPr="000939E3">
        <w:rPr>
          <w:b/>
        </w:rPr>
        <w:t xml:space="preserve"> mil. </w:t>
      </w:r>
      <w:r w:rsidR="006D1557" w:rsidRPr="000939E3">
        <w:rPr>
          <w:b/>
        </w:rPr>
        <w:t>eur</w:t>
      </w:r>
      <w:r w:rsidR="006D1557" w:rsidRPr="000939E3">
        <w:rPr>
          <w:rStyle w:val="Odkaznapoznmkupodiarou"/>
          <w:b/>
        </w:rPr>
        <w:footnoteReference w:id="95"/>
      </w:r>
      <w:r w:rsidR="006D1557" w:rsidRPr="000939E3">
        <w:rPr>
          <w:b/>
        </w:rPr>
        <w:t xml:space="preserve"> </w:t>
      </w:r>
      <w:r w:rsidRPr="000939E3">
        <w:rPr>
          <w:b/>
        </w:rPr>
        <w:t>v podriadených organizáciách.</w:t>
      </w:r>
    </w:p>
    <w:p w14:paraId="0C810C31" w14:textId="77777777" w:rsidR="008A5973" w:rsidRPr="000939E3" w:rsidRDefault="008432FE" w:rsidP="008A5973">
      <w:pPr>
        <w:pStyle w:val="Odsekzoznamu"/>
        <w:numPr>
          <w:ilvl w:val="0"/>
          <w:numId w:val="9"/>
        </w:numPr>
        <w:ind w:left="426" w:hanging="426"/>
        <w:jc w:val="both"/>
      </w:pPr>
      <w:r w:rsidRPr="000939E3">
        <w:rPr>
          <w:b/>
        </w:rPr>
        <w:t xml:space="preserve">Časť úspory sa dá dosiahnuť rýchlo, dlhodobo je zefektívnenie možné dosiahnuť prostredníctvom rezortnej alebo štátnej centralizácie podporných služieb. </w:t>
      </w:r>
    </w:p>
    <w:p w14:paraId="0BE4DFA4" w14:textId="4DBD7C1B" w:rsidR="008432FE" w:rsidRPr="000939E3" w:rsidRDefault="008432FE" w:rsidP="008A5973">
      <w:pPr>
        <w:pStyle w:val="Odsekzoznamu"/>
        <w:numPr>
          <w:ilvl w:val="0"/>
          <w:numId w:val="9"/>
        </w:numPr>
        <w:ind w:left="426" w:hanging="426"/>
        <w:jc w:val="both"/>
      </w:pPr>
      <w:r w:rsidRPr="000939E3">
        <w:rPr>
          <w:b/>
          <w:bCs/>
        </w:rPr>
        <w:t>Viaceré mzdovo-organizačné audity na ministerstvách preukázali úsporný potenciál na mzdových nákladoch, aj keď navrhnuté opatrenia neboli vždy implementované.</w:t>
      </w:r>
    </w:p>
    <w:p w14:paraId="5111BF1F" w14:textId="77777777" w:rsidR="00A36235" w:rsidRPr="000939E3" w:rsidRDefault="00A36235" w:rsidP="001C79CD">
      <w:pPr>
        <w:rPr>
          <w:color w:val="0070C0"/>
        </w:rPr>
      </w:pPr>
      <w:r w:rsidRPr="000939E3">
        <w:rPr>
          <w:color w:val="0070C0"/>
        </w:rPr>
        <w:t>Optimalizácia procesov v rámci existujúcich štruktúr</w:t>
      </w:r>
    </w:p>
    <w:p w14:paraId="007B5C4D" w14:textId="11E0D91B" w:rsidR="008A5973" w:rsidRPr="000939E3" w:rsidRDefault="008A5973" w:rsidP="006012A3">
      <w:pPr>
        <w:spacing w:before="240"/>
      </w:pPr>
      <w:bookmarkStart w:id="249" w:name="_Toc517158125"/>
      <w:bookmarkStart w:id="250" w:name="_Ref524218698"/>
      <w:r w:rsidRPr="000939E3">
        <w:rPr>
          <w:b/>
        </w:rPr>
        <w:t>Podporné a prierezové činnosti</w:t>
      </w:r>
      <w:r w:rsidRPr="000939E3">
        <w:rPr>
          <w:b/>
          <w:vertAlign w:val="superscript"/>
        </w:rPr>
        <w:footnoteReference w:id="96"/>
      </w:r>
      <w:r w:rsidRPr="000939E3">
        <w:rPr>
          <w:b/>
        </w:rPr>
        <w:t xml:space="preserve"> plnia základné funkcie fungovania úradu dovnútra, ako aj jeho spolupráce s ďalšími orgánmi štátu a zahraničím.</w:t>
      </w:r>
      <w:r w:rsidRPr="000939E3">
        <w:t xml:space="preserve"> Kým väčšina zamestnancov ministerstiev a Úradu vlády SR vykonáva činnosti špecifické pre organizáciu</w:t>
      </w:r>
      <w:r w:rsidR="004B45B2" w:rsidRPr="000939E3">
        <w:t xml:space="preserve">, </w:t>
      </w:r>
      <w:r w:rsidRPr="000939E3">
        <w:t>podporné a prierezové činnosti sú zhodné naprieč rôznymi druhmi organizácií</w:t>
      </w:r>
      <w:r w:rsidRPr="000939E3">
        <w:rPr>
          <w:vertAlign w:val="superscript"/>
        </w:rPr>
        <w:footnoteReference w:id="97"/>
      </w:r>
      <w:r w:rsidRPr="000939E3">
        <w:t>. Ich opakovaný výskyt umožňuje porovnávať efektivitu</w:t>
      </w:r>
      <w:r w:rsidR="001B28BE" w:rsidRPr="000939E3">
        <w:t xml:space="preserve"> úradov</w:t>
      </w:r>
      <w:r w:rsidRPr="000939E3">
        <w:t xml:space="preserve">. </w:t>
      </w:r>
      <w:r w:rsidR="006012A3" w:rsidRPr="000939E3">
        <w:t xml:space="preserve">Za </w:t>
      </w:r>
      <w:r w:rsidR="001B28BE" w:rsidRPr="000939E3">
        <w:t xml:space="preserve">týmto </w:t>
      </w:r>
      <w:r w:rsidR="006012A3" w:rsidRPr="000939E3">
        <w:t>účelom boli zmapované a porovnané podporné a prierezové činnosti na 12 orgánoch centrálnej štátnej správy</w:t>
      </w:r>
      <w:r w:rsidR="006012A3" w:rsidRPr="000939E3">
        <w:rPr>
          <w:vertAlign w:val="superscript"/>
        </w:rPr>
        <w:footnoteReference w:id="98"/>
      </w:r>
      <w:r w:rsidR="006012A3" w:rsidRPr="000939E3">
        <w:t xml:space="preserve"> (</w:t>
      </w:r>
      <w:r w:rsidR="006012A3" w:rsidRPr="000939E3">
        <w:fldChar w:fldCharType="begin"/>
      </w:r>
      <w:r w:rsidR="006012A3" w:rsidRPr="000939E3">
        <w:instrText xml:space="preserve"> REF _Ref5998170 \h  \* MERGEFORMAT </w:instrText>
      </w:r>
      <w:r w:rsidR="006012A3" w:rsidRPr="000939E3">
        <w:fldChar w:fldCharType="separate"/>
      </w:r>
      <w:r w:rsidR="00BF69CA" w:rsidRPr="00BF69CA">
        <w:rPr>
          <w:lang w:eastAsia="sk-SK"/>
        </w:rPr>
        <w:t xml:space="preserve">Box </w:t>
      </w:r>
      <w:r w:rsidR="00BF69CA" w:rsidRPr="00BF69CA">
        <w:rPr>
          <w:noProof/>
          <w:lang w:eastAsia="sk-SK"/>
        </w:rPr>
        <w:t>10</w:t>
      </w:r>
      <w:r w:rsidR="006012A3" w:rsidRPr="000939E3">
        <w:fldChar w:fldCharType="end"/>
      </w:r>
      <w:r w:rsidR="006012A3" w:rsidRPr="000939E3">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072"/>
      </w:tblGrid>
      <w:tr w:rsidR="008A5973" w:rsidRPr="000939E3" w14:paraId="6B415E74" w14:textId="77777777" w:rsidTr="0040330D">
        <w:tc>
          <w:tcPr>
            <w:tcW w:w="9072" w:type="dxa"/>
            <w:shd w:val="clear" w:color="auto" w:fill="BDD6EE" w:themeFill="accent1" w:themeFillTint="66"/>
          </w:tcPr>
          <w:p w14:paraId="1790949F" w14:textId="77777777" w:rsidR="008A5973" w:rsidRPr="000939E3" w:rsidRDefault="008A5973" w:rsidP="008A5973">
            <w:pPr>
              <w:contextualSpacing/>
              <w:rPr>
                <w:lang w:eastAsia="sk-SK"/>
              </w:rPr>
            </w:pPr>
            <w:bookmarkStart w:id="251" w:name="_Ref5998170"/>
            <w:r w:rsidRPr="000939E3">
              <w:rPr>
                <w:b/>
                <w:lang w:eastAsia="sk-SK"/>
              </w:rPr>
              <w:t xml:space="preserve">Box </w:t>
            </w:r>
            <w:r w:rsidRPr="000939E3">
              <w:rPr>
                <w:b/>
                <w:lang w:eastAsia="sk-SK"/>
              </w:rPr>
              <w:fldChar w:fldCharType="begin"/>
            </w:r>
            <w:r w:rsidRPr="000939E3">
              <w:rPr>
                <w:b/>
                <w:lang w:eastAsia="sk-SK"/>
              </w:rPr>
              <w:instrText xml:space="preserve"> SEQ Box \* ARABIC </w:instrText>
            </w:r>
            <w:r w:rsidRPr="000939E3">
              <w:rPr>
                <w:b/>
                <w:lang w:eastAsia="sk-SK"/>
              </w:rPr>
              <w:fldChar w:fldCharType="separate"/>
            </w:r>
            <w:r w:rsidR="00BF69CA">
              <w:rPr>
                <w:b/>
                <w:noProof/>
                <w:lang w:eastAsia="sk-SK"/>
              </w:rPr>
              <w:t>10</w:t>
            </w:r>
            <w:r w:rsidRPr="000939E3">
              <w:rPr>
                <w:b/>
                <w:lang w:eastAsia="sk-SK"/>
              </w:rPr>
              <w:fldChar w:fldCharType="end"/>
            </w:r>
            <w:bookmarkEnd w:id="251"/>
            <w:r w:rsidRPr="000939E3">
              <w:rPr>
                <w:b/>
                <w:lang w:eastAsia="sk-SK"/>
              </w:rPr>
              <w:t>: Prístup k porovnaniu nákladov na podporné a prierezové činností</w:t>
            </w:r>
          </w:p>
          <w:p w14:paraId="20A25668" w14:textId="77777777" w:rsidR="008A5973" w:rsidRPr="000939E3" w:rsidRDefault="008A5973" w:rsidP="008A5973">
            <w:pPr>
              <w:keepNext/>
            </w:pPr>
            <w:r w:rsidRPr="000939E3">
              <w:t xml:space="preserve">V prvom kroku boli identifikované podporné a prierezové činnosti, následne bolo 80 činností rozdelených </w:t>
            </w:r>
            <w:r w:rsidRPr="000939E3">
              <w:br/>
              <w:t>do 11 oblastí (napr.: ľudské zdroje, IT, vnútorná správa). Výpočet potenciálu je založený na 73 činnostiach v 8 oblastiach. Vylúčené boli oblasti, kde neboli zozbierané konzistentné dáta.</w:t>
            </w:r>
            <w:r w:rsidRPr="000939E3">
              <w:rPr>
                <w:vertAlign w:val="superscript"/>
              </w:rPr>
              <w:footnoteReference w:id="99"/>
            </w:r>
            <w:r w:rsidRPr="000939E3">
              <w:t xml:space="preserve"> Ich vylúčením došlo k zníženiu celkových nákladov na podporné činnosti z 58 mil. eur na 54 mil. eur. </w:t>
            </w:r>
          </w:p>
          <w:p w14:paraId="0ED98D11" w14:textId="77777777" w:rsidR="008A5973" w:rsidRPr="000939E3" w:rsidRDefault="008A5973" w:rsidP="008A5973">
            <w:pPr>
              <w:keepNext/>
            </w:pPr>
            <w:r w:rsidRPr="000939E3">
              <w:t xml:space="preserve">V rámci revízie boli zozbierané dáta od dvanástich zo štrnástich oslovených úradov centrálnych orgánov štátnej správy (13 ministerstiev a Úrad vlády) o počte prepočítaných úväzkov, mzdových nákladoch a odmenách, </w:t>
            </w:r>
            <w:r w:rsidRPr="000939E3">
              <w:lastRenderedPageBreak/>
              <w:t xml:space="preserve">nákladoch na externe obstarané služby. Zozbierané dáta boli s úradmi validované. Údaje nedodali ministerstvo vnútra a ministerstvo životného prostredia. </w:t>
            </w:r>
          </w:p>
          <w:p w14:paraId="4B0586A0" w14:textId="77777777" w:rsidR="008A5973" w:rsidRPr="000939E3" w:rsidRDefault="008A5973" w:rsidP="008A5973">
            <w:r w:rsidRPr="000939E3">
              <w:t>Potenciál úspory sa kvantifikoval pre každú organizáciu a oblasť činností osobitne. Potenciál pre úrad bol určený rozdielom relatívnej nákladovosti daného úradu voči druhému najlepšiemu úradu referenčnej skupiny (úradu s druhými najnižšími relatívnymi nákladmi). Úrady boli rozdelené do dvoch referenčných skupín podľa počtu zamestnancov.</w:t>
            </w:r>
          </w:p>
          <w:p w14:paraId="2E0A8839" w14:textId="529A2F6F" w:rsidR="008A5973" w:rsidRPr="000939E3" w:rsidRDefault="008A5973" w:rsidP="008A5973">
            <w:pPr>
              <w:keepNext/>
            </w:pPr>
            <w:r w:rsidRPr="000939E3">
              <w:t>Porovnateľnosť úradov bola dosiahnutá normalizovaním. Základná mi</w:t>
            </w:r>
            <w:r w:rsidR="00856B10" w:rsidRPr="000939E3">
              <w:t>era normalizácie zohľadňuje pri </w:t>
            </w:r>
            <w:r w:rsidRPr="000939E3">
              <w:t>porovnávaní nákladovosti veľkosť úradov. Detailnejšia normalizácia by umožnila prepočítať nákladovos</w:t>
            </w:r>
            <w:r w:rsidR="004B45B2" w:rsidRPr="000939E3">
              <w:t xml:space="preserve">ť vybraných oblastí na základe </w:t>
            </w:r>
            <w:r w:rsidRPr="000939E3">
              <w:t>veľkosti spravovaného rozpočtu alebo množstva výstupov (napríklad počet právnych sporov</w:t>
            </w:r>
            <w:r w:rsidR="004B45B2" w:rsidRPr="000939E3">
              <w:t xml:space="preserve"> alebo verejných obstarávaní). </w:t>
            </w:r>
            <w:r w:rsidRPr="000939E3">
              <w:t>Analýza nezohľadňuje rozdiely v náročnosti a kvalite vykonanej práce na jednotlivých úradoch. Potenciál je taktiež závislý od kvality dát a presnosti zaradenia zamestnancov a nákladov do podporných a prierezových činností.</w:t>
            </w:r>
          </w:p>
          <w:p w14:paraId="6518B7A4" w14:textId="77777777" w:rsidR="008A5973" w:rsidRPr="000939E3" w:rsidRDefault="008A5973" w:rsidP="008A5973">
            <w:pPr>
              <w:keepNext/>
              <w:rPr>
                <w:b/>
              </w:rPr>
            </w:pPr>
            <w:r w:rsidRPr="000939E3">
              <w:rPr>
                <w:b/>
              </w:rPr>
              <w:t>Zaradenie organizácií do veľkostných skupín</w:t>
            </w:r>
          </w:p>
          <w:tbl>
            <w:tblPr>
              <w:tblW w:w="8932" w:type="dxa"/>
              <w:tblCellMar>
                <w:left w:w="70" w:type="dxa"/>
                <w:right w:w="70" w:type="dxa"/>
              </w:tblCellMar>
              <w:tblLook w:val="04A0" w:firstRow="1" w:lastRow="0" w:firstColumn="1" w:lastColumn="0" w:noHBand="0" w:noVBand="1"/>
            </w:tblPr>
            <w:tblGrid>
              <w:gridCol w:w="705"/>
              <w:gridCol w:w="387"/>
              <w:gridCol w:w="405"/>
              <w:gridCol w:w="597"/>
              <w:gridCol w:w="815"/>
              <w:gridCol w:w="806"/>
              <w:gridCol w:w="411"/>
              <w:gridCol w:w="398"/>
              <w:gridCol w:w="806"/>
              <w:gridCol w:w="856"/>
              <w:gridCol w:w="759"/>
              <w:gridCol w:w="568"/>
              <w:gridCol w:w="913"/>
              <w:gridCol w:w="506"/>
            </w:tblGrid>
            <w:tr w:rsidR="008A5973" w:rsidRPr="000939E3" w14:paraId="3EAF31C4" w14:textId="77777777" w:rsidTr="008A5973">
              <w:trPr>
                <w:trHeight w:val="113"/>
              </w:trPr>
              <w:tc>
                <w:tcPr>
                  <w:tcW w:w="3463" w:type="pct"/>
                  <w:gridSpan w:val="10"/>
                  <w:tcBorders>
                    <w:top w:val="single" w:sz="4" w:space="0" w:color="auto"/>
                    <w:left w:val="nil"/>
                    <w:bottom w:val="single" w:sz="4" w:space="0" w:color="auto"/>
                    <w:right w:val="nil"/>
                  </w:tcBorders>
                  <w:shd w:val="clear" w:color="auto" w:fill="auto"/>
                  <w:noWrap/>
                  <w:vAlign w:val="center"/>
                  <w:hideMark/>
                </w:tcPr>
                <w:p w14:paraId="0049EC9E" w14:textId="77777777" w:rsidR="008A5973" w:rsidRPr="000939E3" w:rsidRDefault="008A5973" w:rsidP="008A5973">
                  <w:pPr>
                    <w:spacing w:after="0" w:line="240" w:lineRule="auto"/>
                    <w:jc w:val="center"/>
                    <w:rPr>
                      <w:b/>
                      <w:color w:val="000000"/>
                      <w:sz w:val="20"/>
                    </w:rPr>
                  </w:pPr>
                  <w:r w:rsidRPr="000939E3">
                    <w:rPr>
                      <w:b/>
                      <w:color w:val="000000"/>
                      <w:sz w:val="20"/>
                    </w:rPr>
                    <w:t>veľké organizácie</w:t>
                  </w:r>
                </w:p>
              </w:tc>
              <w:tc>
                <w:tcPr>
                  <w:tcW w:w="1537" w:type="pct"/>
                  <w:gridSpan w:val="4"/>
                  <w:tcBorders>
                    <w:top w:val="single" w:sz="4" w:space="0" w:color="auto"/>
                    <w:left w:val="single" w:sz="4" w:space="0" w:color="auto"/>
                    <w:bottom w:val="single" w:sz="4" w:space="0" w:color="auto"/>
                  </w:tcBorders>
                </w:tcPr>
                <w:p w14:paraId="2F071B4D" w14:textId="77777777" w:rsidR="008A5973" w:rsidRPr="000939E3" w:rsidRDefault="008A5973" w:rsidP="008A5973">
                  <w:pPr>
                    <w:spacing w:after="0" w:line="240" w:lineRule="auto"/>
                    <w:jc w:val="center"/>
                    <w:rPr>
                      <w:b/>
                      <w:color w:val="000000"/>
                      <w:sz w:val="20"/>
                    </w:rPr>
                  </w:pPr>
                  <w:r w:rsidRPr="000939E3">
                    <w:rPr>
                      <w:b/>
                      <w:color w:val="000000"/>
                      <w:sz w:val="20"/>
                    </w:rPr>
                    <w:t>malé organizácie</w:t>
                  </w:r>
                </w:p>
              </w:tc>
            </w:tr>
            <w:tr w:rsidR="008A5973" w:rsidRPr="000939E3" w14:paraId="36EF623D" w14:textId="77777777" w:rsidTr="008A5973">
              <w:trPr>
                <w:trHeight w:val="113"/>
              </w:trPr>
              <w:tc>
                <w:tcPr>
                  <w:tcW w:w="395" w:type="pct"/>
                  <w:tcBorders>
                    <w:top w:val="single" w:sz="4" w:space="0" w:color="auto"/>
                    <w:left w:val="nil"/>
                    <w:bottom w:val="single" w:sz="4" w:space="0" w:color="auto"/>
                  </w:tcBorders>
                  <w:shd w:val="clear" w:color="auto" w:fill="auto"/>
                  <w:noWrap/>
                  <w:vAlign w:val="center"/>
                  <w:hideMark/>
                </w:tcPr>
                <w:p w14:paraId="6214F76E" w14:textId="77777777" w:rsidR="008A5973" w:rsidRPr="000939E3" w:rsidRDefault="008A5973" w:rsidP="008A5973">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MPaRV</w:t>
                  </w:r>
                </w:p>
              </w:tc>
              <w:tc>
                <w:tcPr>
                  <w:tcW w:w="217" w:type="pct"/>
                  <w:tcBorders>
                    <w:top w:val="single" w:sz="4" w:space="0" w:color="auto"/>
                    <w:bottom w:val="single" w:sz="4" w:space="0" w:color="auto"/>
                  </w:tcBorders>
                  <w:shd w:val="clear" w:color="auto" w:fill="auto"/>
                  <w:noWrap/>
                  <w:vAlign w:val="center"/>
                  <w:hideMark/>
                </w:tcPr>
                <w:p w14:paraId="59651EE3" w14:textId="77777777" w:rsidR="008A5973" w:rsidRPr="000939E3" w:rsidRDefault="008A5973" w:rsidP="008A5973">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MF</w:t>
                  </w:r>
                </w:p>
              </w:tc>
              <w:tc>
                <w:tcPr>
                  <w:tcW w:w="227" w:type="pct"/>
                  <w:tcBorders>
                    <w:top w:val="single" w:sz="4" w:space="0" w:color="auto"/>
                    <w:bottom w:val="single" w:sz="4" w:space="0" w:color="auto"/>
                  </w:tcBorders>
                  <w:shd w:val="clear" w:color="auto" w:fill="auto"/>
                  <w:noWrap/>
                  <w:vAlign w:val="center"/>
                  <w:hideMark/>
                </w:tcPr>
                <w:p w14:paraId="175EC1D6" w14:textId="77777777" w:rsidR="008A5973" w:rsidRPr="000939E3" w:rsidRDefault="008A5973" w:rsidP="008A5973">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MH</w:t>
                  </w:r>
                </w:p>
              </w:tc>
              <w:tc>
                <w:tcPr>
                  <w:tcW w:w="334" w:type="pct"/>
                  <w:tcBorders>
                    <w:top w:val="single" w:sz="4" w:space="0" w:color="auto"/>
                    <w:bottom w:val="single" w:sz="4" w:space="0" w:color="auto"/>
                  </w:tcBorders>
                  <w:shd w:val="clear" w:color="auto" w:fill="auto"/>
                  <w:noWrap/>
                  <w:vAlign w:val="center"/>
                  <w:hideMark/>
                </w:tcPr>
                <w:p w14:paraId="293EDA47" w14:textId="77777777" w:rsidR="008A5973" w:rsidRPr="000939E3" w:rsidRDefault="008A5973" w:rsidP="008A5973">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MDaV</w:t>
                  </w:r>
                </w:p>
              </w:tc>
              <w:tc>
                <w:tcPr>
                  <w:tcW w:w="456" w:type="pct"/>
                  <w:tcBorders>
                    <w:top w:val="single" w:sz="4" w:space="0" w:color="auto"/>
                    <w:bottom w:val="single" w:sz="4" w:space="0" w:color="auto"/>
                  </w:tcBorders>
                  <w:shd w:val="clear" w:color="auto" w:fill="auto"/>
                  <w:noWrap/>
                  <w:vAlign w:val="center"/>
                  <w:hideMark/>
                </w:tcPr>
                <w:p w14:paraId="6B489DB9" w14:textId="77777777" w:rsidR="008A5973" w:rsidRPr="000939E3" w:rsidRDefault="008A5973" w:rsidP="008A5973">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MPSVaR</w:t>
                  </w:r>
                </w:p>
              </w:tc>
              <w:tc>
                <w:tcPr>
                  <w:tcW w:w="451" w:type="pct"/>
                  <w:tcBorders>
                    <w:top w:val="single" w:sz="4" w:space="0" w:color="auto"/>
                    <w:bottom w:val="single" w:sz="4" w:space="0" w:color="auto"/>
                  </w:tcBorders>
                  <w:shd w:val="clear" w:color="auto" w:fill="auto"/>
                  <w:noWrap/>
                  <w:vAlign w:val="center"/>
                  <w:hideMark/>
                </w:tcPr>
                <w:p w14:paraId="5BD7AA6E" w14:textId="77777777" w:rsidR="008A5973" w:rsidRPr="000939E3" w:rsidRDefault="008A5973" w:rsidP="008A5973">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MŠVVaŠ</w:t>
                  </w:r>
                </w:p>
              </w:tc>
              <w:tc>
                <w:tcPr>
                  <w:tcW w:w="230" w:type="pct"/>
                  <w:tcBorders>
                    <w:top w:val="single" w:sz="4" w:space="0" w:color="auto"/>
                    <w:bottom w:val="single" w:sz="4" w:space="0" w:color="auto"/>
                  </w:tcBorders>
                  <w:shd w:val="clear" w:color="auto" w:fill="auto"/>
                  <w:noWrap/>
                  <w:vAlign w:val="center"/>
                  <w:hideMark/>
                </w:tcPr>
                <w:p w14:paraId="7BB23146" w14:textId="77777777" w:rsidR="008A5973" w:rsidRPr="000939E3" w:rsidRDefault="008A5973" w:rsidP="008A5973">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MO</w:t>
                  </w:r>
                </w:p>
              </w:tc>
              <w:tc>
                <w:tcPr>
                  <w:tcW w:w="223" w:type="pct"/>
                  <w:tcBorders>
                    <w:top w:val="single" w:sz="4" w:space="0" w:color="auto"/>
                    <w:bottom w:val="single" w:sz="4" w:space="0" w:color="auto"/>
                  </w:tcBorders>
                  <w:shd w:val="clear" w:color="auto" w:fill="auto"/>
                  <w:noWrap/>
                  <w:vAlign w:val="center"/>
                  <w:hideMark/>
                </w:tcPr>
                <w:p w14:paraId="7E19392C" w14:textId="77777777" w:rsidR="008A5973" w:rsidRPr="000939E3" w:rsidRDefault="008A5973" w:rsidP="008A5973">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MV</w:t>
                  </w:r>
                </w:p>
              </w:tc>
              <w:tc>
                <w:tcPr>
                  <w:tcW w:w="451" w:type="pct"/>
                  <w:tcBorders>
                    <w:top w:val="single" w:sz="4" w:space="0" w:color="auto"/>
                    <w:bottom w:val="single" w:sz="4" w:space="0" w:color="auto"/>
                  </w:tcBorders>
                  <w:shd w:val="clear" w:color="auto" w:fill="auto"/>
                  <w:noWrap/>
                  <w:vAlign w:val="center"/>
                  <w:hideMark/>
                </w:tcPr>
                <w:p w14:paraId="28B338CF" w14:textId="77777777" w:rsidR="008A5973" w:rsidRPr="000939E3" w:rsidRDefault="008A5973" w:rsidP="008A5973">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MZVaEZ</w:t>
                  </w:r>
                </w:p>
              </w:tc>
              <w:tc>
                <w:tcPr>
                  <w:tcW w:w="479" w:type="pct"/>
                  <w:tcBorders>
                    <w:top w:val="single" w:sz="4" w:space="0" w:color="auto"/>
                    <w:bottom w:val="single" w:sz="4" w:space="0" w:color="auto"/>
                    <w:right w:val="single" w:sz="4" w:space="0" w:color="auto"/>
                  </w:tcBorders>
                  <w:shd w:val="clear" w:color="auto" w:fill="auto"/>
                  <w:noWrap/>
                  <w:vAlign w:val="center"/>
                  <w:hideMark/>
                </w:tcPr>
                <w:p w14:paraId="7E971F5B" w14:textId="77777777" w:rsidR="008A5973" w:rsidRPr="000939E3" w:rsidRDefault="008A5973" w:rsidP="008A5973">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MŽP</w:t>
                  </w:r>
                </w:p>
              </w:tc>
              <w:tc>
                <w:tcPr>
                  <w:tcW w:w="425" w:type="pct"/>
                  <w:tcBorders>
                    <w:top w:val="single" w:sz="4" w:space="0" w:color="auto"/>
                    <w:left w:val="single" w:sz="4" w:space="0" w:color="auto"/>
                    <w:bottom w:val="single" w:sz="4" w:space="0" w:color="auto"/>
                  </w:tcBorders>
                </w:tcPr>
                <w:p w14:paraId="069AF52D" w14:textId="77777777" w:rsidR="008A5973" w:rsidRPr="000939E3" w:rsidRDefault="008A5973" w:rsidP="008A5973">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ÚV</w:t>
                  </w:r>
                </w:p>
              </w:tc>
              <w:tc>
                <w:tcPr>
                  <w:tcW w:w="318" w:type="pct"/>
                  <w:tcBorders>
                    <w:top w:val="single" w:sz="4" w:space="0" w:color="auto"/>
                    <w:bottom w:val="single" w:sz="4" w:space="0" w:color="auto"/>
                  </w:tcBorders>
                  <w:shd w:val="clear" w:color="auto" w:fill="auto"/>
                  <w:noWrap/>
                  <w:vAlign w:val="center"/>
                  <w:hideMark/>
                </w:tcPr>
                <w:p w14:paraId="01BC706E" w14:textId="77777777" w:rsidR="008A5973" w:rsidRPr="000939E3" w:rsidRDefault="008A5973" w:rsidP="008A5973">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MS</w:t>
                  </w:r>
                </w:p>
              </w:tc>
              <w:tc>
                <w:tcPr>
                  <w:tcW w:w="511" w:type="pct"/>
                  <w:tcBorders>
                    <w:top w:val="single" w:sz="4" w:space="0" w:color="auto"/>
                    <w:bottom w:val="single" w:sz="4" w:space="0" w:color="auto"/>
                  </w:tcBorders>
                  <w:shd w:val="clear" w:color="auto" w:fill="auto"/>
                  <w:noWrap/>
                  <w:vAlign w:val="center"/>
                  <w:hideMark/>
                </w:tcPr>
                <w:p w14:paraId="3531DE77" w14:textId="77777777" w:rsidR="008A5973" w:rsidRPr="000939E3" w:rsidRDefault="008A5973" w:rsidP="008A5973">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MZ</w:t>
                  </w:r>
                </w:p>
              </w:tc>
              <w:tc>
                <w:tcPr>
                  <w:tcW w:w="283" w:type="pct"/>
                  <w:tcBorders>
                    <w:top w:val="single" w:sz="4" w:space="0" w:color="auto"/>
                    <w:bottom w:val="single" w:sz="4" w:space="0" w:color="auto"/>
                    <w:right w:val="nil"/>
                  </w:tcBorders>
                  <w:shd w:val="clear" w:color="auto" w:fill="auto"/>
                  <w:noWrap/>
                  <w:vAlign w:val="center"/>
                  <w:hideMark/>
                </w:tcPr>
                <w:p w14:paraId="55303F0B" w14:textId="77777777" w:rsidR="008A5973" w:rsidRPr="000939E3" w:rsidRDefault="008A5973" w:rsidP="008A5973">
                  <w:pPr>
                    <w:spacing w:after="0" w:line="240" w:lineRule="auto"/>
                    <w:jc w:val="center"/>
                    <w:rPr>
                      <w:rFonts w:eastAsia="Times New Roman" w:cs="Times New Roman"/>
                      <w:color w:val="000000"/>
                      <w:sz w:val="20"/>
                      <w:lang w:eastAsia="sk-SK"/>
                    </w:rPr>
                  </w:pPr>
                  <w:r w:rsidRPr="000939E3">
                    <w:rPr>
                      <w:rFonts w:eastAsia="Times New Roman" w:cs="Times New Roman"/>
                      <w:color w:val="000000"/>
                      <w:sz w:val="20"/>
                      <w:lang w:eastAsia="sk-SK"/>
                    </w:rPr>
                    <w:t>MK</w:t>
                  </w:r>
                </w:p>
              </w:tc>
            </w:tr>
            <w:tr w:rsidR="008A5973" w:rsidRPr="000939E3" w14:paraId="2D37D5C6" w14:textId="77777777" w:rsidTr="008A5973">
              <w:trPr>
                <w:trHeight w:val="113"/>
              </w:trPr>
              <w:tc>
                <w:tcPr>
                  <w:tcW w:w="5000" w:type="pct"/>
                  <w:gridSpan w:val="14"/>
                  <w:tcBorders>
                    <w:top w:val="single" w:sz="4" w:space="0" w:color="auto"/>
                    <w:left w:val="nil"/>
                  </w:tcBorders>
                  <w:shd w:val="clear" w:color="auto" w:fill="auto"/>
                  <w:noWrap/>
                  <w:vAlign w:val="bottom"/>
                </w:tcPr>
                <w:p w14:paraId="18987E74" w14:textId="77777777" w:rsidR="008A5973" w:rsidRPr="000939E3" w:rsidRDefault="008A5973" w:rsidP="008A5973">
                  <w:pPr>
                    <w:spacing w:after="0" w:line="240" w:lineRule="auto"/>
                    <w:jc w:val="right"/>
                    <w:rPr>
                      <w:rFonts w:eastAsia="Times New Roman" w:cs="Times New Roman"/>
                      <w:i/>
                      <w:color w:val="000000"/>
                      <w:sz w:val="18"/>
                      <w:lang w:eastAsia="sk-SK"/>
                    </w:rPr>
                  </w:pPr>
                  <w:r w:rsidRPr="000939E3">
                    <w:rPr>
                      <w:rFonts w:eastAsia="Times New Roman" w:cs="Times New Roman"/>
                      <w:i/>
                      <w:color w:val="000000"/>
                      <w:sz w:val="18"/>
                      <w:lang w:eastAsia="sk-SK"/>
                    </w:rPr>
                    <w:t>Zdroj: ÚHP</w:t>
                  </w:r>
                </w:p>
              </w:tc>
            </w:tr>
          </w:tbl>
          <w:p w14:paraId="5210D828" w14:textId="77777777" w:rsidR="008A5973" w:rsidRPr="000939E3" w:rsidRDefault="008A5973" w:rsidP="008A5973"/>
        </w:tc>
      </w:tr>
    </w:tbl>
    <w:p w14:paraId="08050007" w14:textId="3B745187" w:rsidR="00763543" w:rsidRPr="000939E3" w:rsidRDefault="004B45B2" w:rsidP="008A5973">
      <w:pPr>
        <w:spacing w:before="240"/>
        <w:rPr>
          <w:noProof/>
          <w:lang w:eastAsia="sk-SK"/>
        </w:rPr>
      </w:pPr>
      <w:r w:rsidRPr="000939E3">
        <w:rPr>
          <w:noProof/>
          <w:lang w:eastAsia="sk-SK"/>
        </w:rPr>
        <w:lastRenderedPageBreak/>
        <w:t xml:space="preserve">V roku 2017 pracovalo na </w:t>
      </w:r>
      <w:r w:rsidR="008A5973" w:rsidRPr="000939E3">
        <w:rPr>
          <w:noProof/>
          <w:lang w:eastAsia="sk-SK"/>
        </w:rPr>
        <w:t xml:space="preserve">centrálach ministerstiev (okrem MV SR a MŽP SR) a Úrade vlády SR takmer </w:t>
      </w:r>
      <w:r w:rsidR="00813E6B">
        <w:rPr>
          <w:noProof/>
          <w:lang w:eastAsia="sk-SK"/>
        </w:rPr>
        <w:t>6 tis. </w:t>
      </w:r>
      <w:r w:rsidR="008A5973" w:rsidRPr="000939E3">
        <w:rPr>
          <w:noProof/>
          <w:lang w:eastAsia="sk-SK"/>
        </w:rPr>
        <w:t>zamestnancov. Takmer každý tretí zamestnanec v sledovaných organizáciách pracoval na podporných a prierezových činnostiach, najviac ich pracovalo v oblasti vnútornej správy, financovania a práva a legislatívy (</w:t>
      </w:r>
      <w:r w:rsidR="00763543" w:rsidRPr="000939E3">
        <w:rPr>
          <w:noProof/>
          <w:lang w:eastAsia="sk-SK"/>
        </w:rPr>
        <w:fldChar w:fldCharType="begin"/>
      </w:r>
      <w:r w:rsidR="00763543" w:rsidRPr="000939E3">
        <w:rPr>
          <w:noProof/>
          <w:lang w:eastAsia="sk-SK"/>
        </w:rPr>
        <w:instrText xml:space="preserve"> REF _Ref5982542 \h </w:instrText>
      </w:r>
      <w:r w:rsidR="00C427D2" w:rsidRPr="000939E3">
        <w:rPr>
          <w:noProof/>
          <w:lang w:eastAsia="sk-SK"/>
        </w:rPr>
        <w:instrText xml:space="preserve"> \* MERGEFORMAT </w:instrText>
      </w:r>
      <w:r w:rsidR="00763543" w:rsidRPr="000939E3">
        <w:rPr>
          <w:noProof/>
          <w:lang w:eastAsia="sk-SK"/>
        </w:rPr>
      </w:r>
      <w:r w:rsidR="00763543" w:rsidRPr="000939E3">
        <w:rPr>
          <w:noProof/>
          <w:lang w:eastAsia="sk-SK"/>
        </w:rPr>
        <w:fldChar w:fldCharType="separate"/>
      </w:r>
      <w:r w:rsidR="00BF69CA" w:rsidRPr="00BF69CA">
        <w:rPr>
          <w:lang w:eastAsia="sk-SK"/>
        </w:rPr>
        <w:t>Graf</w:t>
      </w:r>
      <w:r w:rsidR="00BF69CA" w:rsidRPr="000939E3">
        <w:rPr>
          <w:b/>
          <w:sz w:val="20"/>
          <w:lang w:eastAsia="sk-SK"/>
        </w:rPr>
        <w:t xml:space="preserve"> </w:t>
      </w:r>
      <w:r w:rsidR="00BF69CA">
        <w:rPr>
          <w:b/>
          <w:noProof/>
          <w:sz w:val="20"/>
          <w:lang w:eastAsia="sk-SK"/>
        </w:rPr>
        <w:t>45</w:t>
      </w:r>
      <w:r w:rsidR="00763543" w:rsidRPr="000939E3">
        <w:rPr>
          <w:noProof/>
          <w:lang w:eastAsia="sk-SK"/>
        </w:rPr>
        <w:fldChar w:fldCharType="end"/>
      </w:r>
      <w:r w:rsidR="008A5973" w:rsidRPr="000939E3">
        <w:rPr>
          <w:noProof/>
          <w:lang w:eastAsia="sk-SK"/>
        </w:rPr>
        <w:t>). Výdavky na zabezpečenie analyzovaných podporných a prierezových či</w:t>
      </w:r>
      <w:r w:rsidR="00813E6B">
        <w:rPr>
          <w:noProof/>
          <w:lang w:eastAsia="sk-SK"/>
        </w:rPr>
        <w:t>nností v roku 2017 boli 54 mil. </w:t>
      </w:r>
      <w:r w:rsidR="008A5973" w:rsidRPr="000939E3">
        <w:rPr>
          <w:noProof/>
          <w:lang w:eastAsia="sk-SK"/>
        </w:rPr>
        <w:t>eur, zahŕňajú mzdové výdavky vrátane odmien</w:t>
      </w:r>
      <w:r w:rsidR="00AD5D4C" w:rsidRPr="000939E3">
        <w:rPr>
          <w:noProof/>
          <w:lang w:eastAsia="sk-SK"/>
        </w:rPr>
        <w:t>,</w:t>
      </w:r>
      <w:r w:rsidR="008A5973" w:rsidRPr="000939E3">
        <w:rPr>
          <w:noProof/>
          <w:lang w:eastAsia="sk-SK"/>
        </w:rPr>
        <w:t xml:space="preserve"> ako aj náklady na prácu vykonanú dohodou a externé služby. </w:t>
      </w:r>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8"/>
        <w:gridCol w:w="1234"/>
      </w:tblGrid>
      <w:tr w:rsidR="008A5973" w:rsidRPr="000939E3" w14:paraId="56082268" w14:textId="77777777" w:rsidTr="008A5973">
        <w:tc>
          <w:tcPr>
            <w:tcW w:w="9072" w:type="dxa"/>
            <w:gridSpan w:val="2"/>
            <w:tcBorders>
              <w:top w:val="nil"/>
              <w:left w:val="nil"/>
              <w:bottom w:val="single" w:sz="8" w:space="0" w:color="auto"/>
              <w:right w:val="nil"/>
            </w:tcBorders>
            <w:hideMark/>
          </w:tcPr>
          <w:p w14:paraId="139BAB52" w14:textId="444DC0C6" w:rsidR="008A5973" w:rsidRPr="000939E3" w:rsidRDefault="008A5973" w:rsidP="00C9793B">
            <w:pPr>
              <w:spacing w:after="0"/>
              <w:rPr>
                <w:b/>
                <w:lang w:eastAsia="sk-SK"/>
              </w:rPr>
            </w:pPr>
            <w:bookmarkStart w:id="252" w:name="_Ref5982542"/>
            <w:bookmarkStart w:id="253" w:name="_Toc34226916"/>
            <w:r w:rsidRPr="000939E3">
              <w:rPr>
                <w:b/>
                <w:sz w:val="20"/>
                <w:lang w:eastAsia="sk-SK"/>
              </w:rPr>
              <w:t xml:space="preserve">Graf </w:t>
            </w:r>
            <w:r w:rsidRPr="000939E3">
              <w:rPr>
                <w:b/>
                <w:noProof/>
                <w:sz w:val="20"/>
                <w:lang w:eastAsia="sk-SK"/>
              </w:rPr>
              <w:fldChar w:fldCharType="begin"/>
            </w:r>
            <w:r w:rsidRPr="000939E3">
              <w:rPr>
                <w:b/>
                <w:noProof/>
                <w:sz w:val="20"/>
                <w:lang w:eastAsia="sk-SK"/>
              </w:rPr>
              <w:instrText xml:space="preserve"> SEQ Graf \* ARABIC </w:instrText>
            </w:r>
            <w:r w:rsidRPr="000939E3">
              <w:rPr>
                <w:b/>
                <w:noProof/>
                <w:sz w:val="20"/>
                <w:lang w:eastAsia="sk-SK"/>
              </w:rPr>
              <w:fldChar w:fldCharType="separate"/>
            </w:r>
            <w:r w:rsidR="00BF69CA">
              <w:rPr>
                <w:b/>
                <w:noProof/>
                <w:sz w:val="20"/>
                <w:lang w:eastAsia="sk-SK"/>
              </w:rPr>
              <w:t>45</w:t>
            </w:r>
            <w:r w:rsidRPr="000939E3">
              <w:rPr>
                <w:b/>
                <w:noProof/>
                <w:sz w:val="20"/>
                <w:lang w:eastAsia="sk-SK"/>
              </w:rPr>
              <w:fldChar w:fldCharType="end"/>
            </w:r>
            <w:bookmarkEnd w:id="252"/>
            <w:r w:rsidRPr="000939E3">
              <w:rPr>
                <w:b/>
                <w:noProof/>
                <w:sz w:val="20"/>
                <w:lang w:eastAsia="sk-SK"/>
              </w:rPr>
              <w:t>:</w:t>
            </w:r>
            <w:r w:rsidRPr="000939E3">
              <w:rPr>
                <w:b/>
                <w:sz w:val="20"/>
                <w:lang w:eastAsia="sk-SK"/>
              </w:rPr>
              <w:t xml:space="preserve"> Zamestnanci podporných a prierezových činností v ústredných orgánoch štátnej správy (12 úradov</w:t>
            </w:r>
            <w:r w:rsidR="00B46ED0" w:rsidRPr="000939E3">
              <w:rPr>
                <w:b/>
                <w:sz w:val="20"/>
                <w:lang w:eastAsia="sk-SK"/>
              </w:rPr>
              <w:t>, 2017</w:t>
            </w:r>
            <w:r w:rsidRPr="000939E3">
              <w:rPr>
                <w:b/>
                <w:sz w:val="20"/>
                <w:lang w:eastAsia="sk-SK"/>
              </w:rPr>
              <w:t>)</w:t>
            </w:r>
            <w:bookmarkEnd w:id="253"/>
          </w:p>
        </w:tc>
      </w:tr>
      <w:tr w:rsidR="008A5973" w:rsidRPr="000939E3" w14:paraId="1C5ADD4D" w14:textId="77777777" w:rsidTr="00C9793B">
        <w:tc>
          <w:tcPr>
            <w:tcW w:w="9072" w:type="dxa"/>
            <w:gridSpan w:val="2"/>
            <w:tcBorders>
              <w:top w:val="single" w:sz="8" w:space="0" w:color="auto"/>
              <w:left w:val="nil"/>
              <w:bottom w:val="single" w:sz="4" w:space="0" w:color="auto"/>
              <w:right w:val="nil"/>
            </w:tcBorders>
            <w:vAlign w:val="center"/>
            <w:hideMark/>
          </w:tcPr>
          <w:p w14:paraId="111CE3C6" w14:textId="45BB67D4" w:rsidR="008A5973" w:rsidRPr="000939E3" w:rsidRDefault="00C9793B" w:rsidP="00C9793B">
            <w:pPr>
              <w:spacing w:after="0"/>
            </w:pPr>
            <w:r w:rsidRPr="000939E3">
              <w:rPr>
                <w:noProof/>
                <w:lang w:eastAsia="sk-SK"/>
              </w:rPr>
              <w:drawing>
                <wp:inline distT="0" distB="0" distL="0" distR="0" wp14:anchorId="418B177E" wp14:editId="776A857D">
                  <wp:extent cx="5760720" cy="30797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8A5973" w:rsidRPr="000939E3" w14:paraId="22997E4A" w14:textId="77777777" w:rsidTr="00824A98">
        <w:tc>
          <w:tcPr>
            <w:tcW w:w="8222" w:type="dxa"/>
            <w:tcBorders>
              <w:top w:val="single" w:sz="4" w:space="0" w:color="auto"/>
              <w:left w:val="nil"/>
              <w:bottom w:val="nil"/>
              <w:right w:val="nil"/>
            </w:tcBorders>
            <w:vAlign w:val="center"/>
            <w:hideMark/>
          </w:tcPr>
          <w:p w14:paraId="19BBEF3C" w14:textId="77777777" w:rsidR="00824A98" w:rsidRDefault="008A5973" w:rsidP="00C9793B">
            <w:pPr>
              <w:keepNext/>
              <w:spacing w:after="0"/>
              <w:rPr>
                <w:i/>
                <w:noProof/>
                <w:sz w:val="18"/>
                <w:lang w:eastAsia="sk-SK"/>
              </w:rPr>
            </w:pPr>
            <w:r w:rsidRPr="000939E3">
              <w:rPr>
                <w:i/>
                <w:noProof/>
                <w:sz w:val="18"/>
                <w:lang w:eastAsia="sk-SK"/>
              </w:rPr>
              <w:t>Pozn.: Nezahŕňa úrady, ktoré v čase písania správy nedodali kompletné dáta (MV SR</w:t>
            </w:r>
            <w:r w:rsidR="00592E86" w:rsidRPr="000939E3">
              <w:rPr>
                <w:rStyle w:val="Odkaznapoznmkupodiarou"/>
                <w:i/>
                <w:noProof/>
                <w:sz w:val="18"/>
                <w:lang w:eastAsia="sk-SK"/>
              </w:rPr>
              <w:footnoteReference w:id="100"/>
            </w:r>
            <w:r w:rsidRPr="000939E3">
              <w:rPr>
                <w:i/>
                <w:noProof/>
                <w:sz w:val="18"/>
                <w:lang w:eastAsia="sk-SK"/>
              </w:rPr>
              <w:t xml:space="preserve"> a MŽP SR). </w:t>
            </w:r>
          </w:p>
          <w:p w14:paraId="64E8998E" w14:textId="59D58D43" w:rsidR="008A5973" w:rsidRPr="000939E3" w:rsidRDefault="008A5973" w:rsidP="00C9793B">
            <w:pPr>
              <w:keepNext/>
              <w:spacing w:after="0"/>
              <w:rPr>
                <w:i/>
                <w:noProof/>
                <w:sz w:val="18"/>
                <w:lang w:eastAsia="sk-SK"/>
              </w:rPr>
            </w:pPr>
            <w:r w:rsidRPr="000939E3">
              <w:rPr>
                <w:i/>
                <w:noProof/>
                <w:sz w:val="18"/>
                <w:lang w:eastAsia="sk-SK"/>
              </w:rPr>
              <w:t>FTE- ekvivalent plného pracovného času</w:t>
            </w:r>
          </w:p>
        </w:tc>
        <w:tc>
          <w:tcPr>
            <w:tcW w:w="850" w:type="dxa"/>
            <w:tcBorders>
              <w:top w:val="single" w:sz="4" w:space="0" w:color="auto"/>
              <w:left w:val="nil"/>
              <w:bottom w:val="nil"/>
              <w:right w:val="nil"/>
            </w:tcBorders>
          </w:tcPr>
          <w:p w14:paraId="4A57BA79" w14:textId="77777777" w:rsidR="008A5973" w:rsidRPr="000939E3" w:rsidRDefault="008A5973" w:rsidP="00C9793B">
            <w:pPr>
              <w:keepNext/>
              <w:spacing w:after="0"/>
              <w:jc w:val="right"/>
              <w:rPr>
                <w:i/>
                <w:noProof/>
                <w:sz w:val="18"/>
                <w:lang w:eastAsia="sk-SK"/>
              </w:rPr>
            </w:pPr>
            <w:r w:rsidRPr="000939E3">
              <w:rPr>
                <w:i/>
                <w:noProof/>
                <w:sz w:val="18"/>
                <w:lang w:eastAsia="sk-SK"/>
              </w:rPr>
              <w:t>Zdroj: ÚHP</w:t>
            </w:r>
          </w:p>
        </w:tc>
      </w:tr>
    </w:tbl>
    <w:p w14:paraId="758E978C" w14:textId="1B214401" w:rsidR="00856B10" w:rsidRPr="000939E3" w:rsidRDefault="00856B10" w:rsidP="008A5973">
      <w:pPr>
        <w:spacing w:after="0" w:line="240" w:lineRule="auto"/>
        <w:contextualSpacing/>
        <w:rPr>
          <w:b/>
          <w:noProof/>
          <w:sz w:val="20"/>
          <w:szCs w:val="20"/>
          <w:lang w:eastAsia="sk-SK"/>
        </w:rPr>
      </w:pPr>
    </w:p>
    <w:p w14:paraId="7A58DEAD" w14:textId="282EC6BF" w:rsidR="008A5973" w:rsidRPr="000939E3" w:rsidRDefault="008A5973" w:rsidP="008A5973">
      <w:r w:rsidRPr="000939E3">
        <w:rPr>
          <w:b/>
          <w:noProof/>
        </w:rPr>
        <w:lastRenderedPageBreak/>
        <w:t>Celkové výdavky na podporné a prierezové činnosti normalizované na počet zamestnancov alebo úrad vykazujú vysokú variabilitu.</w:t>
      </w:r>
      <w:r w:rsidRPr="000939E3">
        <w:t xml:space="preserve"> </w:t>
      </w:r>
      <w:r w:rsidRPr="000939E3">
        <w:rPr>
          <w:noProof/>
        </w:rPr>
        <w:t>Variabilita vo výdavkoch úradov poukazuje na priestor pre zníženie nákladov</w:t>
      </w:r>
      <w:r w:rsidR="00E21636" w:rsidRPr="000939E3">
        <w:rPr>
          <w:noProof/>
        </w:rPr>
        <w:t xml:space="preserve"> </w:t>
      </w:r>
      <w:r w:rsidRPr="000939E3">
        <w:rPr>
          <w:noProof/>
        </w:rPr>
        <w:t>optimalizáciou procesov.</w:t>
      </w:r>
      <w:r w:rsidRPr="000939E3">
        <w:rPr>
          <w:b/>
          <w:noProof/>
        </w:rPr>
        <w:t xml:space="preserve"> </w:t>
      </w:r>
      <w:r w:rsidRPr="000939E3">
        <w:rPr>
          <w:noProof/>
        </w:rPr>
        <w:t>Najväčšiu variabilitu dosahuje vnútorná správa, rozdiel medzi maximálnymi a minimálnymi výdavkymi ministerstiev na jedného zamestnanca je viac ako 350 % (</w:t>
      </w:r>
      <w:r w:rsidR="00AE36EA" w:rsidRPr="000939E3">
        <w:rPr>
          <w:noProof/>
        </w:rPr>
        <w:fldChar w:fldCharType="begin"/>
      </w:r>
      <w:r w:rsidR="00AE36EA" w:rsidRPr="000939E3">
        <w:rPr>
          <w:noProof/>
        </w:rPr>
        <w:instrText xml:space="preserve"> REF _Ref5994316 \h  \* MERGEFORMAT </w:instrText>
      </w:r>
      <w:r w:rsidR="00AE36EA" w:rsidRPr="000939E3">
        <w:rPr>
          <w:noProof/>
        </w:rPr>
      </w:r>
      <w:r w:rsidR="00AE36EA" w:rsidRPr="000939E3">
        <w:rPr>
          <w:noProof/>
        </w:rPr>
        <w:fldChar w:fldCharType="separate"/>
      </w:r>
      <w:r w:rsidR="00BF69CA" w:rsidRPr="00BF69CA">
        <w:t xml:space="preserve">Graf </w:t>
      </w:r>
      <w:r w:rsidR="00BF69CA" w:rsidRPr="00BF69CA">
        <w:rPr>
          <w:noProof/>
        </w:rPr>
        <w:t>46</w:t>
      </w:r>
      <w:r w:rsidR="00AE36EA" w:rsidRPr="000939E3">
        <w:rPr>
          <w:noProof/>
        </w:rPr>
        <w:fldChar w:fldCharType="end"/>
      </w:r>
      <w:r w:rsidRPr="000939E3">
        <w:rPr>
          <w:noProof/>
        </w:rPr>
        <w:t>)</w:t>
      </w:r>
      <w:r w:rsidRPr="000939E3">
        <w:t>.</w:t>
      </w:r>
    </w:p>
    <w:p w14:paraId="3E6386C3" w14:textId="676AB358" w:rsidR="008A5973" w:rsidRPr="000939E3" w:rsidRDefault="008A5973" w:rsidP="008A5973">
      <w:pPr>
        <w:spacing w:before="240"/>
      </w:pPr>
      <w:r w:rsidRPr="000939E3">
        <w:rPr>
          <w:b/>
        </w:rPr>
        <w:t>Mediánová hrubá mzda s odmenami v podporných a prierezových činnostiach je 1 700 eur (</w:t>
      </w:r>
      <w:r w:rsidR="00AE36EA" w:rsidRPr="000939E3">
        <w:rPr>
          <w:b/>
        </w:rPr>
        <w:fldChar w:fldCharType="begin"/>
      </w:r>
      <w:r w:rsidR="00AE36EA" w:rsidRPr="000939E3">
        <w:rPr>
          <w:b/>
        </w:rPr>
        <w:instrText xml:space="preserve"> REF _Ref5994335 \h </w:instrText>
      </w:r>
      <w:r w:rsidR="001D014A" w:rsidRPr="000939E3">
        <w:rPr>
          <w:b/>
        </w:rPr>
        <w:instrText xml:space="preserve"> \* MERGEFORMAT </w:instrText>
      </w:r>
      <w:r w:rsidR="00AE36EA" w:rsidRPr="000939E3">
        <w:rPr>
          <w:b/>
        </w:rPr>
      </w:r>
      <w:r w:rsidR="00AE36EA" w:rsidRPr="000939E3">
        <w:rPr>
          <w:b/>
        </w:rPr>
        <w:fldChar w:fldCharType="separate"/>
      </w:r>
      <w:r w:rsidR="00BF69CA" w:rsidRPr="00BF69CA">
        <w:rPr>
          <w:b/>
          <w:lang w:eastAsia="sk-SK"/>
        </w:rPr>
        <w:t xml:space="preserve">Graf </w:t>
      </w:r>
      <w:r w:rsidR="00BF69CA" w:rsidRPr="00BF69CA">
        <w:rPr>
          <w:b/>
          <w:noProof/>
          <w:lang w:eastAsia="sk-SK"/>
        </w:rPr>
        <w:t>47</w:t>
      </w:r>
      <w:r w:rsidR="00AE36EA" w:rsidRPr="000939E3">
        <w:rPr>
          <w:b/>
        </w:rPr>
        <w:fldChar w:fldCharType="end"/>
      </w:r>
      <w:r w:rsidRPr="000939E3">
        <w:rPr>
          <w:b/>
        </w:rPr>
        <w:t xml:space="preserve">). Vyššia mzda však nemusí znamenať celkovo vyššie mzdové výdavky na podpornú činnosť. </w:t>
      </w:r>
      <w:r w:rsidRPr="000939E3">
        <w:t>Rozdiely vo výdavkoch sú spôsobené faktormi ako je veľkosť úradu alebo outsourcing. Navyše úrad s menším počtom kvalitnejších a lepšie platených zamestnancov v podporných činnostiach môže mať nižšie celkové osobné výdavky ako úrad s vyšším počtom nižšie platených zamestnancov.</w:t>
      </w:r>
    </w:p>
    <w:tbl>
      <w:tblPr>
        <w:tblStyle w:val="Mriekatabuky"/>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4"/>
        <w:gridCol w:w="283"/>
        <w:gridCol w:w="4540"/>
      </w:tblGrid>
      <w:tr w:rsidR="008A5973" w:rsidRPr="000939E3" w14:paraId="5BE31E17" w14:textId="77777777" w:rsidTr="00824A98">
        <w:trPr>
          <w:trHeight w:val="17"/>
        </w:trPr>
        <w:tc>
          <w:tcPr>
            <w:tcW w:w="2343" w:type="pct"/>
            <w:tcBorders>
              <w:bottom w:val="single" w:sz="4" w:space="0" w:color="auto"/>
            </w:tcBorders>
            <w:hideMark/>
          </w:tcPr>
          <w:p w14:paraId="7A1B4B7D" w14:textId="77777777" w:rsidR="008A5973" w:rsidRPr="000939E3" w:rsidRDefault="008A5973" w:rsidP="006012A3">
            <w:pPr>
              <w:spacing w:after="0"/>
              <w:rPr>
                <w:b/>
                <w:sz w:val="20"/>
              </w:rPr>
            </w:pPr>
            <w:bookmarkStart w:id="254" w:name="_Ref5994316"/>
            <w:bookmarkStart w:id="255" w:name="_Toc34226917"/>
            <w:r w:rsidRPr="000939E3">
              <w:rPr>
                <w:b/>
                <w:sz w:val="20"/>
              </w:rPr>
              <w:t xml:space="preserve">Graf </w:t>
            </w:r>
            <w:r w:rsidRPr="000939E3">
              <w:rPr>
                <w:b/>
                <w:sz w:val="20"/>
              </w:rPr>
              <w:fldChar w:fldCharType="begin"/>
            </w:r>
            <w:r w:rsidRPr="000939E3">
              <w:rPr>
                <w:b/>
                <w:sz w:val="20"/>
              </w:rPr>
              <w:instrText xml:space="preserve"> SEQ Graf \* ARABIC </w:instrText>
            </w:r>
            <w:r w:rsidRPr="000939E3">
              <w:rPr>
                <w:b/>
                <w:sz w:val="20"/>
              </w:rPr>
              <w:fldChar w:fldCharType="separate"/>
            </w:r>
            <w:r w:rsidR="00BF69CA">
              <w:rPr>
                <w:b/>
                <w:noProof/>
                <w:sz w:val="20"/>
              </w:rPr>
              <w:t>46</w:t>
            </w:r>
            <w:r w:rsidRPr="000939E3">
              <w:rPr>
                <w:b/>
                <w:sz w:val="20"/>
              </w:rPr>
              <w:fldChar w:fldCharType="end"/>
            </w:r>
            <w:bookmarkEnd w:id="254"/>
            <w:r w:rsidRPr="000939E3">
              <w:rPr>
                <w:b/>
                <w:sz w:val="20"/>
              </w:rPr>
              <w:t>: Celkové ročné náklady na zabezpečenie podporných činností na jedného zamestnanca (eur)</w:t>
            </w:r>
            <w:bookmarkEnd w:id="255"/>
          </w:p>
        </w:tc>
        <w:tc>
          <w:tcPr>
            <w:tcW w:w="156" w:type="pct"/>
          </w:tcPr>
          <w:p w14:paraId="042BEF01" w14:textId="77777777" w:rsidR="008A5973" w:rsidRPr="000939E3" w:rsidRDefault="008A5973" w:rsidP="006012A3">
            <w:pPr>
              <w:spacing w:after="0"/>
              <w:rPr>
                <w:b/>
                <w:sz w:val="20"/>
                <w:lang w:eastAsia="sk-SK"/>
              </w:rPr>
            </w:pPr>
          </w:p>
        </w:tc>
        <w:tc>
          <w:tcPr>
            <w:tcW w:w="2501" w:type="pct"/>
            <w:tcBorders>
              <w:bottom w:val="single" w:sz="4" w:space="0" w:color="auto"/>
            </w:tcBorders>
          </w:tcPr>
          <w:p w14:paraId="247C9EC1" w14:textId="77777777" w:rsidR="008A5973" w:rsidRPr="000939E3" w:rsidRDefault="008A5973" w:rsidP="006012A3">
            <w:pPr>
              <w:spacing w:after="0"/>
              <w:rPr>
                <w:b/>
                <w:sz w:val="20"/>
                <w:lang w:eastAsia="sk-SK"/>
              </w:rPr>
            </w:pPr>
            <w:bookmarkStart w:id="256" w:name="_Ref5994335"/>
            <w:bookmarkStart w:id="257" w:name="_Toc34226918"/>
            <w:r w:rsidRPr="000939E3">
              <w:rPr>
                <w:b/>
                <w:sz w:val="20"/>
                <w:lang w:eastAsia="sk-SK"/>
              </w:rPr>
              <w:t xml:space="preserve">Graf </w:t>
            </w:r>
            <w:r w:rsidRPr="000939E3">
              <w:rPr>
                <w:b/>
                <w:noProof/>
                <w:sz w:val="20"/>
                <w:lang w:eastAsia="sk-SK"/>
              </w:rPr>
              <w:fldChar w:fldCharType="begin"/>
            </w:r>
            <w:r w:rsidRPr="000939E3">
              <w:rPr>
                <w:b/>
                <w:noProof/>
                <w:sz w:val="20"/>
                <w:lang w:eastAsia="sk-SK"/>
              </w:rPr>
              <w:instrText xml:space="preserve"> SEQ Graf \* ARABIC </w:instrText>
            </w:r>
            <w:r w:rsidRPr="000939E3">
              <w:rPr>
                <w:b/>
                <w:noProof/>
                <w:sz w:val="20"/>
                <w:lang w:eastAsia="sk-SK"/>
              </w:rPr>
              <w:fldChar w:fldCharType="separate"/>
            </w:r>
            <w:r w:rsidR="00BF69CA">
              <w:rPr>
                <w:b/>
                <w:noProof/>
                <w:sz w:val="20"/>
                <w:lang w:eastAsia="sk-SK"/>
              </w:rPr>
              <w:t>47</w:t>
            </w:r>
            <w:r w:rsidRPr="000939E3">
              <w:rPr>
                <w:b/>
                <w:noProof/>
                <w:sz w:val="20"/>
                <w:lang w:eastAsia="sk-SK"/>
              </w:rPr>
              <w:fldChar w:fldCharType="end"/>
            </w:r>
            <w:bookmarkEnd w:id="256"/>
            <w:r w:rsidRPr="000939E3">
              <w:rPr>
                <w:b/>
                <w:sz w:val="20"/>
                <w:lang w:eastAsia="sk-SK"/>
              </w:rPr>
              <w:t>: Priemerná mesačná hrubá mzda (s odmenami) zamestnanca podpornej činnosti (2017; eur)</w:t>
            </w:r>
            <w:bookmarkEnd w:id="257"/>
          </w:p>
        </w:tc>
      </w:tr>
      <w:tr w:rsidR="008A5973" w:rsidRPr="000939E3" w14:paraId="19BEB9A4" w14:textId="77777777" w:rsidTr="00824A98">
        <w:tblPrEx>
          <w:tblCellMar>
            <w:left w:w="70" w:type="dxa"/>
            <w:right w:w="70" w:type="dxa"/>
          </w:tblCellMar>
        </w:tblPrEx>
        <w:trPr>
          <w:trHeight w:val="3787"/>
        </w:trPr>
        <w:tc>
          <w:tcPr>
            <w:tcW w:w="2343" w:type="pct"/>
            <w:tcBorders>
              <w:top w:val="single" w:sz="4" w:space="0" w:color="auto"/>
              <w:bottom w:val="single" w:sz="4" w:space="0" w:color="auto"/>
            </w:tcBorders>
            <w:hideMark/>
          </w:tcPr>
          <w:p w14:paraId="3306393D" w14:textId="77777777" w:rsidR="008A5973" w:rsidRPr="000939E3" w:rsidRDefault="008A5973" w:rsidP="006012A3">
            <w:pPr>
              <w:spacing w:after="0"/>
              <w:jc w:val="center"/>
            </w:pPr>
            <w:r w:rsidRPr="000939E3">
              <w:rPr>
                <w:noProof/>
                <w:lang w:eastAsia="sk-SK"/>
              </w:rPr>
              <w:drawing>
                <wp:inline distT="0" distB="0" distL="0" distR="0" wp14:anchorId="5E0B8427" wp14:editId="228A35D2">
                  <wp:extent cx="2576830" cy="2955290"/>
                  <wp:effectExtent l="0" t="0" r="0" b="0"/>
                  <wp:docPr id="325" name="Graf 325">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156" w:type="pct"/>
          </w:tcPr>
          <w:p w14:paraId="10CEADAF" w14:textId="77777777" w:rsidR="008A5973" w:rsidRPr="000939E3" w:rsidRDefault="008A5973" w:rsidP="006012A3">
            <w:pPr>
              <w:spacing w:after="0"/>
              <w:jc w:val="center"/>
              <w:rPr>
                <w:noProof/>
                <w:lang w:eastAsia="sk-SK"/>
              </w:rPr>
            </w:pPr>
          </w:p>
        </w:tc>
        <w:tc>
          <w:tcPr>
            <w:tcW w:w="2501" w:type="pct"/>
            <w:tcBorders>
              <w:top w:val="single" w:sz="4" w:space="0" w:color="auto"/>
              <w:bottom w:val="single" w:sz="4" w:space="0" w:color="auto"/>
            </w:tcBorders>
          </w:tcPr>
          <w:p w14:paraId="63E9C1DA" w14:textId="77777777" w:rsidR="008A5973" w:rsidRPr="000939E3" w:rsidRDefault="008A5973" w:rsidP="00300C86">
            <w:pPr>
              <w:spacing w:after="0"/>
              <w:rPr>
                <w:noProof/>
                <w:lang w:eastAsia="sk-SK"/>
              </w:rPr>
            </w:pPr>
            <w:r w:rsidRPr="000939E3">
              <w:rPr>
                <w:noProof/>
                <w:lang w:eastAsia="sk-SK"/>
              </w:rPr>
              <w:drawing>
                <wp:inline distT="0" distB="0" distL="0" distR="0" wp14:anchorId="0B3B26F8" wp14:editId="184137A1">
                  <wp:extent cx="2794000" cy="2955341"/>
                  <wp:effectExtent l="0" t="0" r="6350" b="0"/>
                  <wp:docPr id="3" name="Graf 3">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8A5973" w:rsidRPr="000939E3" w14:paraId="1DB13848" w14:textId="77777777" w:rsidTr="00824A98">
        <w:trPr>
          <w:trHeight w:val="67"/>
        </w:trPr>
        <w:tc>
          <w:tcPr>
            <w:tcW w:w="2343" w:type="pct"/>
            <w:tcBorders>
              <w:top w:val="single" w:sz="4" w:space="0" w:color="auto"/>
            </w:tcBorders>
          </w:tcPr>
          <w:p w14:paraId="44E47C34" w14:textId="0576FF08" w:rsidR="008A5973" w:rsidRPr="000939E3" w:rsidRDefault="00525B21" w:rsidP="006012A3">
            <w:pPr>
              <w:spacing w:after="0"/>
              <w:jc w:val="right"/>
              <w:rPr>
                <w:i/>
                <w:noProof/>
                <w:sz w:val="18"/>
                <w:lang w:eastAsia="sk-SK"/>
              </w:rPr>
            </w:pPr>
            <w:r w:rsidRPr="000939E3">
              <w:rPr>
                <w:i/>
                <w:noProof/>
                <w:sz w:val="18"/>
                <w:lang w:eastAsia="sk-SK"/>
              </w:rPr>
              <w:t>Z</w:t>
            </w:r>
            <w:r w:rsidR="008A5973" w:rsidRPr="000939E3">
              <w:rPr>
                <w:i/>
                <w:noProof/>
                <w:sz w:val="18"/>
                <w:lang w:eastAsia="sk-SK"/>
              </w:rPr>
              <w:t>droj: ÚHP</w:t>
            </w:r>
          </w:p>
        </w:tc>
        <w:tc>
          <w:tcPr>
            <w:tcW w:w="156" w:type="pct"/>
            <w:hideMark/>
          </w:tcPr>
          <w:p w14:paraId="0C7DB681" w14:textId="77777777" w:rsidR="008A5973" w:rsidRPr="000939E3" w:rsidRDefault="008A5973" w:rsidP="006012A3">
            <w:pPr>
              <w:spacing w:after="0"/>
              <w:jc w:val="right"/>
              <w:rPr>
                <w:i/>
                <w:noProof/>
                <w:sz w:val="18"/>
                <w:lang w:eastAsia="sk-SK"/>
              </w:rPr>
            </w:pPr>
          </w:p>
        </w:tc>
        <w:tc>
          <w:tcPr>
            <w:tcW w:w="2501" w:type="pct"/>
            <w:tcBorders>
              <w:top w:val="single" w:sz="4" w:space="0" w:color="auto"/>
            </w:tcBorders>
          </w:tcPr>
          <w:p w14:paraId="4DCF1DA6" w14:textId="77777777" w:rsidR="008A5973" w:rsidRPr="000939E3" w:rsidRDefault="008A5973" w:rsidP="006012A3">
            <w:pPr>
              <w:spacing w:after="0"/>
              <w:jc w:val="right"/>
              <w:rPr>
                <w:i/>
                <w:noProof/>
                <w:sz w:val="18"/>
                <w:lang w:eastAsia="sk-SK"/>
              </w:rPr>
            </w:pPr>
            <w:r w:rsidRPr="000939E3">
              <w:rPr>
                <w:i/>
                <w:noProof/>
                <w:sz w:val="18"/>
                <w:lang w:eastAsia="sk-SK"/>
              </w:rPr>
              <w:t>Zdroj: ÚHP</w:t>
            </w:r>
          </w:p>
        </w:tc>
      </w:tr>
    </w:tbl>
    <w:p w14:paraId="32C8E6DE" w14:textId="3FB8E3BD" w:rsidR="00856B10" w:rsidRPr="000939E3" w:rsidRDefault="008A5973" w:rsidP="008A5973">
      <w:pPr>
        <w:spacing w:before="160"/>
      </w:pPr>
      <w:r w:rsidRPr="000939E3">
        <w:rPr>
          <w:b/>
        </w:rPr>
        <w:t>Viac ako štvrtina celkových výdavkov na podporné a prierezové činnosti (14 mil. eur</w:t>
      </w:r>
      <w:r w:rsidR="004E4352" w:rsidRPr="000939E3">
        <w:rPr>
          <w:b/>
        </w:rPr>
        <w:t xml:space="preserve"> v roku 2017</w:t>
      </w:r>
      <w:r w:rsidR="00813E6B">
        <w:rPr>
          <w:b/>
        </w:rPr>
        <w:t>, 18 mil. </w:t>
      </w:r>
      <w:r w:rsidR="00E55762" w:rsidRPr="000939E3">
        <w:rPr>
          <w:b/>
        </w:rPr>
        <w:t>eur v cenách roku 2020</w:t>
      </w:r>
      <w:r w:rsidRPr="000939E3">
        <w:rPr>
          <w:b/>
        </w:rPr>
        <w:t xml:space="preserve">) je potenciálna úspora sledovaných centrál ministerstiev a Úradu </w:t>
      </w:r>
      <w:r w:rsidRPr="00813E6B">
        <w:rPr>
          <w:b/>
        </w:rPr>
        <w:t>vlády SR (</w:t>
      </w:r>
      <w:r w:rsidR="006012A3" w:rsidRPr="00813E6B">
        <w:rPr>
          <w:b/>
        </w:rPr>
        <w:fldChar w:fldCharType="begin"/>
      </w:r>
      <w:r w:rsidR="006012A3" w:rsidRPr="00813E6B">
        <w:rPr>
          <w:b/>
        </w:rPr>
        <w:instrText xml:space="preserve"> REF _Ref5998245 \h </w:instrText>
      </w:r>
      <w:r w:rsidR="001D014A" w:rsidRPr="00813E6B">
        <w:rPr>
          <w:b/>
        </w:rPr>
        <w:instrText xml:space="preserve"> \* MERGEFORMAT </w:instrText>
      </w:r>
      <w:r w:rsidR="006012A3" w:rsidRPr="00813E6B">
        <w:rPr>
          <w:b/>
        </w:rPr>
      </w:r>
      <w:r w:rsidR="006012A3" w:rsidRPr="00813E6B">
        <w:rPr>
          <w:b/>
        </w:rPr>
        <w:fldChar w:fldCharType="separate"/>
      </w:r>
      <w:r w:rsidR="00BF69CA" w:rsidRPr="00BF69CA">
        <w:rPr>
          <w:b/>
          <w:lang w:eastAsia="sk-SK"/>
        </w:rPr>
        <w:t xml:space="preserve">Graf </w:t>
      </w:r>
      <w:r w:rsidR="00BF69CA" w:rsidRPr="00BF69CA">
        <w:rPr>
          <w:b/>
          <w:noProof/>
          <w:lang w:eastAsia="sk-SK"/>
        </w:rPr>
        <w:t>48</w:t>
      </w:r>
      <w:r w:rsidR="006012A3" w:rsidRPr="00813E6B">
        <w:rPr>
          <w:b/>
        </w:rPr>
        <w:fldChar w:fldCharType="end"/>
      </w:r>
      <w:r w:rsidRPr="00813E6B">
        <w:rPr>
          <w:b/>
        </w:rPr>
        <w:t>).</w:t>
      </w:r>
      <w:r w:rsidRPr="000939E3">
        <w:rPr>
          <w:b/>
        </w:rPr>
        <w:t xml:space="preserve"> </w:t>
      </w:r>
      <w:r w:rsidRPr="000939E3">
        <w:t>V prípade zníženia výdavkov na úroveň druhého najefektívnejšieho ministerstva</w:t>
      </w:r>
      <w:r w:rsidRPr="000939E3">
        <w:rPr>
          <w:vertAlign w:val="superscript"/>
        </w:rPr>
        <w:footnoteReference w:id="101"/>
      </w:r>
      <w:r w:rsidR="00813E6B">
        <w:t xml:space="preserve"> je úspora výdavkov na </w:t>
      </w:r>
      <w:r w:rsidRPr="000939E3">
        <w:t>podporné a prierezové činnosti 27 %. Úspora je podobná medzinárodným výsledkom pri optimalizácii výda</w:t>
      </w:r>
      <w:r w:rsidR="00F10BC3" w:rsidRPr="000939E3">
        <w:t>v</w:t>
      </w:r>
      <w:r w:rsidRPr="000939E3">
        <w:t>kov na podporné služby. (</w:t>
      </w:r>
      <w:r w:rsidR="00F10BC3" w:rsidRPr="000939E3">
        <w:fldChar w:fldCharType="begin"/>
      </w:r>
      <w:r w:rsidR="00F10BC3" w:rsidRPr="000939E3">
        <w:instrText xml:space="preserve"> REF _Ref5994569 \h  \* MERGEFORMAT </w:instrText>
      </w:r>
      <w:r w:rsidR="00F10BC3" w:rsidRPr="000939E3">
        <w:fldChar w:fldCharType="separate"/>
      </w:r>
      <w:r w:rsidR="00BF69CA" w:rsidRPr="00BF69CA">
        <w:rPr>
          <w:lang w:eastAsia="sk-SK"/>
        </w:rPr>
        <w:t xml:space="preserve">Box </w:t>
      </w:r>
      <w:r w:rsidR="00BF69CA" w:rsidRPr="00BF69CA">
        <w:rPr>
          <w:noProof/>
          <w:lang w:eastAsia="sk-SK"/>
        </w:rPr>
        <w:t>13</w:t>
      </w:r>
      <w:r w:rsidR="00F10BC3" w:rsidRPr="000939E3">
        <w:fldChar w:fldCharType="end"/>
      </w:r>
      <w:r w:rsidRPr="000939E3">
        <w:t xml:space="preserve">), v prípade dosiahnutia </w:t>
      </w:r>
      <w:r w:rsidR="00F10BC3" w:rsidRPr="000939E3">
        <w:t xml:space="preserve">nákladovej efektívnosti mediánového úradu by úspora dosiahla </w:t>
      </w:r>
      <w:r w:rsidR="009755A5" w:rsidRPr="000939E3">
        <w:t>8</w:t>
      </w:r>
      <w:r w:rsidR="00F10BC3" w:rsidRPr="000939E3">
        <w:t>,5 mil. eur</w:t>
      </w:r>
      <w:r w:rsidR="004E4352" w:rsidRPr="000939E3">
        <w:rPr>
          <w:rStyle w:val="Odkaznapoznmkupodiarou"/>
        </w:rPr>
        <w:footnoteReference w:id="102"/>
      </w:r>
      <w:r w:rsidR="00F10BC3" w:rsidRPr="000939E3">
        <w:t xml:space="preserve"> (12 % výdavkov na podporné a prierezové činnosti).</w:t>
      </w:r>
    </w:p>
    <w:p w14:paraId="4D95442C" w14:textId="2AE05F64" w:rsidR="008A5973" w:rsidRPr="000939E3" w:rsidRDefault="00856B10" w:rsidP="00856B10">
      <w:pPr>
        <w:spacing w:after="160" w:line="259" w:lineRule="auto"/>
        <w:jc w:val="left"/>
      </w:pPr>
      <w:r w:rsidRPr="000939E3">
        <w:br w:type="page"/>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1787"/>
      </w:tblGrid>
      <w:tr w:rsidR="00F10BC3" w:rsidRPr="000939E3" w14:paraId="350E0ACB" w14:textId="77777777" w:rsidTr="00824A98">
        <w:trPr>
          <w:trHeight w:val="20"/>
        </w:trPr>
        <w:tc>
          <w:tcPr>
            <w:tcW w:w="9072" w:type="dxa"/>
            <w:gridSpan w:val="2"/>
            <w:tcBorders>
              <w:bottom w:val="single" w:sz="4" w:space="0" w:color="auto"/>
            </w:tcBorders>
            <w:hideMark/>
          </w:tcPr>
          <w:p w14:paraId="686CE806" w14:textId="0D8419ED" w:rsidR="00F10BC3" w:rsidRPr="000939E3" w:rsidRDefault="00F10BC3" w:rsidP="00F10BC3">
            <w:pPr>
              <w:spacing w:after="0"/>
              <w:rPr>
                <w:lang w:eastAsia="sk-SK"/>
              </w:rPr>
            </w:pPr>
            <w:bookmarkStart w:id="258" w:name="_Ref5998245"/>
            <w:bookmarkStart w:id="259" w:name="_Toc34226919"/>
            <w:r w:rsidRPr="000939E3">
              <w:rPr>
                <w:b/>
                <w:sz w:val="20"/>
                <w:lang w:eastAsia="sk-SK"/>
              </w:rPr>
              <w:lastRenderedPageBreak/>
              <w:t xml:space="preserve">Graf </w:t>
            </w:r>
            <w:r w:rsidRPr="000939E3">
              <w:rPr>
                <w:b/>
                <w:noProof/>
                <w:sz w:val="20"/>
                <w:lang w:eastAsia="sk-SK"/>
              </w:rPr>
              <w:fldChar w:fldCharType="begin"/>
            </w:r>
            <w:r w:rsidRPr="000939E3">
              <w:rPr>
                <w:b/>
                <w:noProof/>
                <w:sz w:val="20"/>
                <w:lang w:eastAsia="sk-SK"/>
              </w:rPr>
              <w:instrText xml:space="preserve"> SEQ Graf \* ARABIC </w:instrText>
            </w:r>
            <w:r w:rsidRPr="000939E3">
              <w:rPr>
                <w:b/>
                <w:noProof/>
                <w:sz w:val="20"/>
                <w:lang w:eastAsia="sk-SK"/>
              </w:rPr>
              <w:fldChar w:fldCharType="separate"/>
            </w:r>
            <w:r w:rsidR="00BF69CA">
              <w:rPr>
                <w:b/>
                <w:noProof/>
                <w:sz w:val="20"/>
                <w:lang w:eastAsia="sk-SK"/>
              </w:rPr>
              <w:t>48</w:t>
            </w:r>
            <w:r w:rsidRPr="000939E3">
              <w:rPr>
                <w:b/>
                <w:noProof/>
                <w:sz w:val="20"/>
                <w:lang w:eastAsia="sk-SK"/>
              </w:rPr>
              <w:fldChar w:fldCharType="end"/>
            </w:r>
            <w:bookmarkEnd w:id="258"/>
            <w:r w:rsidRPr="000939E3">
              <w:rPr>
                <w:b/>
                <w:noProof/>
                <w:sz w:val="20"/>
                <w:lang w:eastAsia="sk-SK"/>
              </w:rPr>
              <w:t>:</w:t>
            </w:r>
            <w:r w:rsidRPr="000939E3">
              <w:rPr>
                <w:b/>
                <w:sz w:val="20"/>
                <w:lang w:eastAsia="sk-SK"/>
              </w:rPr>
              <w:t xml:space="preserve"> Potenciál úspor v podporných a prierezových činnostiach v 12 ústredných orgánoch štátnej správy (2017)</w:t>
            </w:r>
            <w:bookmarkEnd w:id="259"/>
          </w:p>
        </w:tc>
      </w:tr>
      <w:tr w:rsidR="00F10BC3" w:rsidRPr="000939E3" w14:paraId="5EACD7C1" w14:textId="77777777" w:rsidTr="00824A98">
        <w:tblPrEx>
          <w:tblCellMar>
            <w:left w:w="70" w:type="dxa"/>
            <w:right w:w="70" w:type="dxa"/>
          </w:tblCellMar>
        </w:tblPrEx>
        <w:trPr>
          <w:trHeight w:val="20"/>
        </w:trPr>
        <w:tc>
          <w:tcPr>
            <w:tcW w:w="9072" w:type="dxa"/>
            <w:gridSpan w:val="2"/>
            <w:tcBorders>
              <w:top w:val="single" w:sz="4" w:space="0" w:color="auto"/>
              <w:bottom w:val="single" w:sz="4" w:space="0" w:color="auto"/>
            </w:tcBorders>
          </w:tcPr>
          <w:p w14:paraId="76C0D4B3" w14:textId="237C711B" w:rsidR="00F10BC3" w:rsidRPr="000939E3" w:rsidRDefault="00F10BC3" w:rsidP="00824A98">
            <w:pPr>
              <w:spacing w:after="0"/>
              <w:ind w:left="-70"/>
              <w:jc w:val="center"/>
            </w:pPr>
            <w:r w:rsidRPr="000939E3">
              <w:rPr>
                <w:noProof/>
                <w:lang w:eastAsia="sk-SK"/>
              </w:rPr>
              <w:drawing>
                <wp:inline distT="0" distB="0" distL="0" distR="0" wp14:anchorId="780BD8B8" wp14:editId="18FFE8BE">
                  <wp:extent cx="5738841" cy="2406612"/>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F10BC3" w:rsidRPr="000939E3" w14:paraId="54F78CF4" w14:textId="77777777" w:rsidTr="00824A98">
        <w:trPr>
          <w:trHeight w:val="20"/>
        </w:trPr>
        <w:tc>
          <w:tcPr>
            <w:tcW w:w="7586" w:type="dxa"/>
            <w:tcBorders>
              <w:top w:val="single" w:sz="4" w:space="0" w:color="auto"/>
            </w:tcBorders>
            <w:vAlign w:val="center"/>
            <w:hideMark/>
          </w:tcPr>
          <w:p w14:paraId="27DDE35A" w14:textId="6F5DA2E9" w:rsidR="00F10BC3" w:rsidRPr="000939E3" w:rsidRDefault="00F10BC3" w:rsidP="00F10BC3">
            <w:pPr>
              <w:keepNext/>
              <w:spacing w:after="0"/>
              <w:rPr>
                <w:i/>
                <w:noProof/>
                <w:sz w:val="18"/>
                <w:lang w:eastAsia="sk-SK"/>
              </w:rPr>
            </w:pPr>
            <w:r w:rsidRPr="000939E3">
              <w:rPr>
                <w:i/>
                <w:noProof/>
                <w:sz w:val="18"/>
                <w:lang w:eastAsia="sk-SK"/>
              </w:rPr>
              <w:t>Pozn.: Nezahŕňa úrady, ktoré v čase písania správy nedodali kompletné dáta (MV SR, MŽP SR).</w:t>
            </w:r>
          </w:p>
        </w:tc>
        <w:tc>
          <w:tcPr>
            <w:tcW w:w="1486" w:type="dxa"/>
            <w:tcBorders>
              <w:top w:val="single" w:sz="4" w:space="0" w:color="auto"/>
            </w:tcBorders>
          </w:tcPr>
          <w:p w14:paraId="0667BE2E" w14:textId="77777777" w:rsidR="00F10BC3" w:rsidRPr="000939E3" w:rsidRDefault="00F10BC3" w:rsidP="00F10BC3">
            <w:pPr>
              <w:keepNext/>
              <w:spacing w:after="0"/>
              <w:jc w:val="right"/>
              <w:rPr>
                <w:i/>
                <w:noProof/>
                <w:sz w:val="18"/>
                <w:lang w:eastAsia="sk-SK"/>
              </w:rPr>
            </w:pPr>
            <w:r w:rsidRPr="000939E3">
              <w:rPr>
                <w:i/>
                <w:noProof/>
                <w:sz w:val="18"/>
                <w:lang w:eastAsia="sk-SK"/>
              </w:rPr>
              <w:t>Zdroj: ÚHP</w:t>
            </w:r>
          </w:p>
        </w:tc>
      </w:tr>
    </w:tbl>
    <w:p w14:paraId="01B3A979" w14:textId="391F0A0A" w:rsidR="005F7D60" w:rsidRPr="000939E3" w:rsidRDefault="005F7D60" w:rsidP="005F7D60">
      <w:pPr>
        <w:spacing w:before="160"/>
        <w:rPr>
          <w:color w:val="0070C0"/>
        </w:rPr>
      </w:pPr>
      <w:r w:rsidRPr="000939E3">
        <w:rPr>
          <w:color w:val="0070C0"/>
        </w:rPr>
        <w:t xml:space="preserve">Optimalizácia v </w:t>
      </w:r>
      <w:r w:rsidR="008F7311" w:rsidRPr="000939E3">
        <w:rPr>
          <w:color w:val="0070C0"/>
        </w:rPr>
        <w:t>rozpočtových</w:t>
      </w:r>
      <w:r w:rsidRPr="000939E3">
        <w:rPr>
          <w:color w:val="0070C0"/>
        </w:rPr>
        <w:t xml:space="preserve"> a príspevkových organizáciách</w:t>
      </w:r>
    </w:p>
    <w:p w14:paraId="0DFABCFA" w14:textId="16851C6A" w:rsidR="008A5973" w:rsidRPr="000939E3" w:rsidRDefault="008A5973" w:rsidP="008A5973">
      <w:r w:rsidRPr="000939E3">
        <w:rPr>
          <w:b/>
        </w:rPr>
        <w:t>Predbežné výsledky ukazujú na potenciál úspory 21 % z celkových nákladov na podporné a prierezové činnosti (</w:t>
      </w:r>
      <w:r w:rsidR="008331CD" w:rsidRPr="000939E3">
        <w:rPr>
          <w:b/>
        </w:rPr>
        <w:t>11</w:t>
      </w:r>
      <w:r w:rsidR="008331CD" w:rsidRPr="000939E3">
        <w:rPr>
          <w:rStyle w:val="Odkaznapoznmkupodiarou"/>
          <w:b/>
        </w:rPr>
        <w:footnoteReference w:id="103"/>
      </w:r>
      <w:r w:rsidRPr="000939E3">
        <w:rPr>
          <w:b/>
        </w:rPr>
        <w:t xml:space="preserve"> mil. eur</w:t>
      </w:r>
      <w:r w:rsidR="004B45B2" w:rsidRPr="000939E3">
        <w:rPr>
          <w:b/>
        </w:rPr>
        <w:t xml:space="preserve">) aj v podriadených organizáciách. </w:t>
      </w:r>
      <w:r w:rsidRPr="000939E3">
        <w:t>Revízia na základe dotazníkového zberu dát odhaduje, že náklady na podporné a prierezové činnosti v podriadených organizáciách 12 sledovaných úradov</w:t>
      </w:r>
      <w:r w:rsidRPr="000939E3">
        <w:rPr>
          <w:vertAlign w:val="superscript"/>
        </w:rPr>
        <w:footnoteReference w:id="104"/>
      </w:r>
      <w:r w:rsidRPr="000939E3">
        <w:t xml:space="preserve"> predstavujú 41 mil. eur a pracuje </w:t>
      </w:r>
      <w:r w:rsidR="00B46ED0" w:rsidRPr="000939E3">
        <w:t>na </w:t>
      </w:r>
      <w:r w:rsidRPr="000939E3">
        <w:t>nich 14 % zamestnancov.</w:t>
      </w:r>
      <w:r w:rsidRPr="000939E3">
        <w:rPr>
          <w:vertAlign w:val="superscript"/>
        </w:rPr>
        <w:footnoteReference w:id="105"/>
      </w:r>
      <w:r w:rsidRPr="000939E3">
        <w:t xml:space="preserve"> Podobne ako pri centrálnych úradoch, aj v podriadených organizáciách predbežné výsledky analýzy nákladovosti ukazujú značné odlišnosti medzi organizáciami. Pozorovateľné sú rastúce relatívne náklady na podporné a prierezové činnosti pri menšej veľkosti organizácie</w:t>
      </w:r>
      <w:r w:rsidRPr="000939E3">
        <w:rPr>
          <w:color w:val="FF0000"/>
        </w:rPr>
        <w:t xml:space="preserve">. </w:t>
      </w:r>
      <w:r w:rsidRPr="000939E3">
        <w:t>V prípade dosiahnutia efektivity mediánovej organizácie v danej veľkostnej skupine</w:t>
      </w:r>
      <w:r w:rsidRPr="000939E3">
        <w:rPr>
          <w:vertAlign w:val="superscript"/>
        </w:rPr>
        <w:footnoteReference w:id="106"/>
      </w:r>
      <w:r w:rsidRPr="000939E3">
        <w:t xml:space="preserve"> by úspora dosahovala</w:t>
      </w:r>
      <w:r w:rsidR="008331CD" w:rsidRPr="000939E3">
        <w:t xml:space="preserve"> </w:t>
      </w:r>
      <w:r w:rsidRPr="000939E3">
        <w:t>21 % súčasných celkových nákladov na podporné a prierezové činnosti (8,5 mil. eur</w:t>
      </w:r>
      <w:r w:rsidR="008331CD" w:rsidRPr="000939E3">
        <w:t xml:space="preserve"> v roku </w:t>
      </w:r>
      <w:r w:rsidR="008331CD" w:rsidRPr="00813E6B">
        <w:t xml:space="preserve">2017, </w:t>
      </w:r>
      <w:r w:rsidR="008331CD" w:rsidRPr="00813E6B">
        <w:fldChar w:fldCharType="begin"/>
      </w:r>
      <w:r w:rsidR="008331CD" w:rsidRPr="00813E6B">
        <w:instrText xml:space="preserve"> REF _Ref33772543 \h  \* MERGEFORMAT </w:instrText>
      </w:r>
      <w:r w:rsidR="008331CD" w:rsidRPr="00813E6B">
        <w:fldChar w:fldCharType="separate"/>
      </w:r>
      <w:r w:rsidR="00BF69CA" w:rsidRPr="00BF69CA">
        <w:rPr>
          <w:lang w:eastAsia="sk-SK"/>
        </w:rPr>
        <w:t>Graf</w:t>
      </w:r>
      <w:r w:rsidR="00BF69CA" w:rsidRPr="000939E3">
        <w:rPr>
          <w:b/>
          <w:sz w:val="20"/>
          <w:lang w:eastAsia="sk-SK"/>
        </w:rPr>
        <w:t xml:space="preserve"> </w:t>
      </w:r>
      <w:r w:rsidR="00BF69CA">
        <w:rPr>
          <w:b/>
          <w:noProof/>
          <w:sz w:val="20"/>
          <w:lang w:eastAsia="sk-SK"/>
        </w:rPr>
        <w:t>49</w:t>
      </w:r>
      <w:r w:rsidR="008331CD" w:rsidRPr="00813E6B">
        <w:fldChar w:fldCharType="end"/>
      </w:r>
      <w:r w:rsidRPr="00813E6B">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3"/>
        <w:gridCol w:w="1859"/>
      </w:tblGrid>
      <w:tr w:rsidR="008A5973" w:rsidRPr="000939E3" w14:paraId="48FAB5FF" w14:textId="77777777" w:rsidTr="00824A98">
        <w:trPr>
          <w:trHeight w:val="20"/>
        </w:trPr>
        <w:tc>
          <w:tcPr>
            <w:tcW w:w="9072" w:type="dxa"/>
            <w:gridSpan w:val="2"/>
            <w:tcBorders>
              <w:bottom w:val="single" w:sz="4" w:space="0" w:color="auto"/>
            </w:tcBorders>
            <w:hideMark/>
          </w:tcPr>
          <w:p w14:paraId="673074B8" w14:textId="771B8082" w:rsidR="008A5973" w:rsidRPr="000939E3" w:rsidRDefault="008A5973" w:rsidP="00F10BC3">
            <w:pPr>
              <w:spacing w:after="0"/>
              <w:rPr>
                <w:lang w:eastAsia="sk-SK"/>
              </w:rPr>
            </w:pPr>
            <w:bookmarkStart w:id="260" w:name="_Ref33772543"/>
            <w:bookmarkStart w:id="261" w:name="_Toc34226920"/>
            <w:r w:rsidRPr="000939E3">
              <w:rPr>
                <w:b/>
                <w:lang w:eastAsia="sk-SK"/>
              </w:rPr>
              <w:t>G</w:t>
            </w:r>
            <w:r w:rsidRPr="000939E3">
              <w:rPr>
                <w:b/>
                <w:sz w:val="20"/>
                <w:lang w:eastAsia="sk-SK"/>
              </w:rPr>
              <w:t xml:space="preserve">raf </w:t>
            </w:r>
            <w:r w:rsidRPr="000939E3">
              <w:rPr>
                <w:b/>
                <w:noProof/>
                <w:sz w:val="20"/>
                <w:lang w:eastAsia="sk-SK"/>
              </w:rPr>
              <w:fldChar w:fldCharType="begin"/>
            </w:r>
            <w:r w:rsidRPr="000939E3">
              <w:rPr>
                <w:b/>
                <w:noProof/>
                <w:sz w:val="20"/>
                <w:lang w:eastAsia="sk-SK"/>
              </w:rPr>
              <w:instrText xml:space="preserve"> SEQ Graf \* ARABIC </w:instrText>
            </w:r>
            <w:r w:rsidRPr="000939E3">
              <w:rPr>
                <w:b/>
                <w:noProof/>
                <w:sz w:val="20"/>
                <w:lang w:eastAsia="sk-SK"/>
              </w:rPr>
              <w:fldChar w:fldCharType="separate"/>
            </w:r>
            <w:r w:rsidR="00BF69CA">
              <w:rPr>
                <w:b/>
                <w:noProof/>
                <w:sz w:val="20"/>
                <w:lang w:eastAsia="sk-SK"/>
              </w:rPr>
              <w:t>49</w:t>
            </w:r>
            <w:r w:rsidRPr="000939E3">
              <w:rPr>
                <w:b/>
                <w:noProof/>
                <w:sz w:val="20"/>
                <w:lang w:eastAsia="sk-SK"/>
              </w:rPr>
              <w:fldChar w:fldCharType="end"/>
            </w:r>
            <w:bookmarkEnd w:id="260"/>
            <w:r w:rsidRPr="000939E3">
              <w:rPr>
                <w:b/>
                <w:noProof/>
                <w:sz w:val="20"/>
                <w:lang w:eastAsia="sk-SK"/>
              </w:rPr>
              <w:t>:</w:t>
            </w:r>
            <w:r w:rsidRPr="000939E3">
              <w:rPr>
                <w:b/>
                <w:sz w:val="20"/>
                <w:lang w:eastAsia="sk-SK"/>
              </w:rPr>
              <w:t xml:space="preserve"> Potenciál úspor v podporných a prierezových činnostiach v analyzovaných PRO (</w:t>
            </w:r>
            <w:r w:rsidR="002F067D" w:rsidRPr="000939E3">
              <w:rPr>
                <w:b/>
                <w:sz w:val="20"/>
                <w:lang w:eastAsia="sk-SK"/>
              </w:rPr>
              <w:t xml:space="preserve">mil. eur, </w:t>
            </w:r>
            <w:r w:rsidRPr="000939E3">
              <w:rPr>
                <w:b/>
                <w:sz w:val="20"/>
                <w:lang w:eastAsia="sk-SK"/>
              </w:rPr>
              <w:t>2017)</w:t>
            </w:r>
            <w:bookmarkEnd w:id="261"/>
          </w:p>
        </w:tc>
      </w:tr>
      <w:tr w:rsidR="008A5973" w:rsidRPr="000939E3" w14:paraId="01EC56D5" w14:textId="77777777" w:rsidTr="00824A98">
        <w:tblPrEx>
          <w:tblCellMar>
            <w:left w:w="70" w:type="dxa"/>
            <w:right w:w="70" w:type="dxa"/>
          </w:tblCellMar>
        </w:tblPrEx>
        <w:trPr>
          <w:trHeight w:val="20"/>
        </w:trPr>
        <w:tc>
          <w:tcPr>
            <w:tcW w:w="9072" w:type="dxa"/>
            <w:gridSpan w:val="2"/>
            <w:tcBorders>
              <w:top w:val="single" w:sz="4" w:space="0" w:color="auto"/>
              <w:bottom w:val="single" w:sz="4" w:space="0" w:color="auto"/>
            </w:tcBorders>
            <w:hideMark/>
          </w:tcPr>
          <w:p w14:paraId="5524DAD7" w14:textId="77777777" w:rsidR="008A5973" w:rsidRPr="000939E3" w:rsidRDefault="008A5973" w:rsidP="00F10BC3">
            <w:pPr>
              <w:spacing w:after="0"/>
              <w:jc w:val="center"/>
            </w:pPr>
            <w:r w:rsidRPr="000939E3">
              <w:rPr>
                <w:noProof/>
                <w:lang w:eastAsia="sk-SK"/>
              </w:rPr>
              <w:drawing>
                <wp:inline distT="0" distB="0" distL="0" distR="0" wp14:anchorId="26ECD6AB" wp14:editId="2C907EEA">
                  <wp:extent cx="5685259" cy="198755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8A5973" w:rsidRPr="000939E3" w14:paraId="0C74A96E" w14:textId="77777777" w:rsidTr="00824A98">
        <w:trPr>
          <w:trHeight w:val="20"/>
        </w:trPr>
        <w:tc>
          <w:tcPr>
            <w:tcW w:w="7586" w:type="dxa"/>
            <w:tcBorders>
              <w:top w:val="single" w:sz="4" w:space="0" w:color="auto"/>
            </w:tcBorders>
            <w:vAlign w:val="center"/>
            <w:hideMark/>
          </w:tcPr>
          <w:p w14:paraId="62CBCBFE" w14:textId="77777777" w:rsidR="008A5973" w:rsidRPr="000939E3" w:rsidRDefault="008A5973" w:rsidP="00F10BC3">
            <w:pPr>
              <w:keepNext/>
              <w:spacing w:after="0"/>
              <w:rPr>
                <w:i/>
                <w:noProof/>
                <w:sz w:val="18"/>
                <w:lang w:eastAsia="sk-SK"/>
              </w:rPr>
            </w:pPr>
          </w:p>
        </w:tc>
        <w:tc>
          <w:tcPr>
            <w:tcW w:w="1486" w:type="dxa"/>
            <w:tcBorders>
              <w:top w:val="single" w:sz="4" w:space="0" w:color="auto"/>
            </w:tcBorders>
          </w:tcPr>
          <w:p w14:paraId="3F5DCC55" w14:textId="77777777" w:rsidR="008A5973" w:rsidRPr="000939E3" w:rsidRDefault="008A5973" w:rsidP="00F10BC3">
            <w:pPr>
              <w:keepNext/>
              <w:spacing w:after="0"/>
              <w:jc w:val="right"/>
              <w:rPr>
                <w:i/>
                <w:noProof/>
                <w:sz w:val="18"/>
                <w:lang w:eastAsia="sk-SK"/>
              </w:rPr>
            </w:pPr>
            <w:r w:rsidRPr="000939E3">
              <w:rPr>
                <w:i/>
                <w:noProof/>
                <w:sz w:val="18"/>
                <w:lang w:eastAsia="sk-SK"/>
              </w:rPr>
              <w:t>Zdroj: ÚHP</w:t>
            </w:r>
          </w:p>
        </w:tc>
      </w:tr>
    </w:tbl>
    <w:p w14:paraId="3D2DF57A" w14:textId="77777777" w:rsidR="00856B10" w:rsidRPr="000939E3" w:rsidRDefault="00856B10" w:rsidP="00856B10">
      <w:r w:rsidRPr="000939E3">
        <w:br w:type="page"/>
      </w:r>
    </w:p>
    <w:p w14:paraId="4A936CE6" w14:textId="08F1BEB6" w:rsidR="008A5973" w:rsidRPr="000939E3" w:rsidRDefault="008A5973" w:rsidP="0003292A">
      <w:pPr>
        <w:spacing w:before="240"/>
        <w:rPr>
          <w:color w:val="0070C0"/>
        </w:rPr>
      </w:pPr>
      <w:r w:rsidRPr="000939E3">
        <w:rPr>
          <w:color w:val="0070C0"/>
        </w:rPr>
        <w:lastRenderedPageBreak/>
        <w:t>Prístupy k optimalizácii</w:t>
      </w:r>
    </w:p>
    <w:p w14:paraId="14C5A021" w14:textId="13820EAE" w:rsidR="008A5973" w:rsidRPr="000939E3" w:rsidRDefault="008A5973" w:rsidP="008A5973">
      <w:pPr>
        <w:tabs>
          <w:tab w:val="left" w:pos="284"/>
        </w:tabs>
        <w:spacing w:before="120" w:after="200"/>
      </w:pPr>
      <w:r w:rsidRPr="000939E3">
        <w:t>Vysoká variabilita výdavkov na podporné a prierezové činnosti a ich podobnosť naprieč organizáciami poukazujú na potenciál optimalizácie nákladov na zabezpečenie týchto služieb. Identifikované boli tri základné, v</w:t>
      </w:r>
      <w:r w:rsidR="005F7D60" w:rsidRPr="000939E3">
        <w:t>zájomne sa dopĺňajúce prístupy:</w:t>
      </w:r>
    </w:p>
    <w:p w14:paraId="26728AD8" w14:textId="0103C5FE" w:rsidR="008A5973" w:rsidRPr="000939E3" w:rsidRDefault="008A5973" w:rsidP="0081546B">
      <w:pPr>
        <w:numPr>
          <w:ilvl w:val="0"/>
          <w:numId w:val="30"/>
        </w:numPr>
        <w:tabs>
          <w:tab w:val="left" w:pos="284"/>
        </w:tabs>
        <w:spacing w:before="160"/>
        <w:ind w:left="0" w:firstLine="0"/>
        <w:contextualSpacing/>
      </w:pPr>
      <w:r w:rsidRPr="000939E3">
        <w:rPr>
          <w:b/>
        </w:rPr>
        <w:t>Optimalizácia podporných a prierezových činností v rámci súčasného organizačného nastavenia</w:t>
      </w:r>
      <w:r w:rsidRPr="000939E3">
        <w:t>.</w:t>
      </w:r>
      <w:r w:rsidR="00B5257A" w:rsidRPr="000939E3">
        <w:t xml:space="preserve"> </w:t>
      </w:r>
      <w:r w:rsidRPr="000939E3">
        <w:t xml:space="preserve">Analýza organizácií identifikovala potenciálnu úsporu v jednotlivých podporných a prierezových </w:t>
      </w:r>
      <w:r w:rsidR="00BB2763" w:rsidRPr="000939E3">
        <w:t>službách</w:t>
      </w:r>
      <w:r w:rsidRPr="000939E3">
        <w:t>. Spôsob naplnenia potenciálu je na rozhodnutí organizácie, príkladom je zníženie počtu zamestnancov a ich kompenzácií,</w:t>
      </w:r>
      <w:r w:rsidR="00B46ED0" w:rsidRPr="000939E3">
        <w:t xml:space="preserve"> či</w:t>
      </w:r>
      <w:r w:rsidRPr="000939E3">
        <w:t xml:space="preserve"> lepšie rozhodnutia o internom alebo externom zabezpečovaní služieb</w:t>
      </w:r>
      <w:r w:rsidR="00B46ED0" w:rsidRPr="000939E3">
        <w:t>.</w:t>
      </w:r>
      <w:r w:rsidRPr="000939E3">
        <w:t xml:space="preserve"> </w:t>
      </w:r>
      <w:r w:rsidR="00B46ED0" w:rsidRPr="000939E3">
        <w:t xml:space="preserve">Analýza </w:t>
      </w:r>
      <w:r w:rsidRPr="000939E3">
        <w:t>nepredpokladá však zásadnejšie zmeny v organizačnej štruktúre kapitoly (spájanie úradov a pod.). Vhodné spôsoby dosiahnutia úspory môže spresniť detailnejší organizačno-procesný a mzdový audit.</w:t>
      </w:r>
    </w:p>
    <w:tbl>
      <w:tblPr>
        <w:tblStyle w:val="Mriekatabuky1"/>
        <w:tblpPr w:leftFromText="141" w:rightFromText="141" w:vertAnchor="text" w:horzAnchor="margin" w:tblpY="7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CellMar>
          <w:left w:w="70" w:type="dxa"/>
          <w:right w:w="70" w:type="dxa"/>
        </w:tblCellMar>
        <w:tblLook w:val="04A0" w:firstRow="1" w:lastRow="0" w:firstColumn="1" w:lastColumn="0" w:noHBand="0" w:noVBand="1"/>
      </w:tblPr>
      <w:tblGrid>
        <w:gridCol w:w="9072"/>
      </w:tblGrid>
      <w:tr w:rsidR="00A42312" w:rsidRPr="000939E3" w14:paraId="037BAD42" w14:textId="77777777" w:rsidTr="00A53E86">
        <w:trPr>
          <w:trHeight w:val="1562"/>
        </w:trPr>
        <w:tc>
          <w:tcPr>
            <w:tcW w:w="5000" w:type="pct"/>
            <w:shd w:val="clear" w:color="auto" w:fill="BDD6EE" w:themeFill="accent1" w:themeFillTint="66"/>
          </w:tcPr>
          <w:p w14:paraId="290FC088" w14:textId="77777777" w:rsidR="00A42312" w:rsidRPr="000939E3" w:rsidRDefault="00A42312" w:rsidP="00A53E86">
            <w:pPr>
              <w:rPr>
                <w:b/>
                <w:lang w:eastAsia="sk-SK"/>
              </w:rPr>
            </w:pPr>
            <w:r w:rsidRPr="000939E3">
              <w:rPr>
                <w:b/>
                <w:lang w:eastAsia="sk-SK"/>
              </w:rPr>
              <w:t xml:space="preserve">Box </w:t>
            </w:r>
            <w:r w:rsidRPr="000939E3">
              <w:rPr>
                <w:b/>
                <w:lang w:eastAsia="sk-SK"/>
              </w:rPr>
              <w:fldChar w:fldCharType="begin"/>
            </w:r>
            <w:r w:rsidRPr="000939E3">
              <w:rPr>
                <w:b/>
                <w:lang w:eastAsia="sk-SK"/>
              </w:rPr>
              <w:instrText xml:space="preserve"> SEQ Box \* ARABIC </w:instrText>
            </w:r>
            <w:r w:rsidRPr="000939E3">
              <w:rPr>
                <w:b/>
                <w:lang w:eastAsia="sk-SK"/>
              </w:rPr>
              <w:fldChar w:fldCharType="separate"/>
            </w:r>
            <w:r w:rsidR="00BF69CA">
              <w:rPr>
                <w:b/>
                <w:noProof/>
                <w:lang w:eastAsia="sk-SK"/>
              </w:rPr>
              <w:t>11</w:t>
            </w:r>
            <w:r w:rsidRPr="000939E3">
              <w:rPr>
                <w:b/>
                <w:lang w:eastAsia="sk-SK"/>
              </w:rPr>
              <w:fldChar w:fldCharType="end"/>
            </w:r>
            <w:r w:rsidRPr="000939E3">
              <w:rPr>
                <w:b/>
                <w:lang w:eastAsia="sk-SK"/>
              </w:rPr>
              <w:t xml:space="preserve">: Uskutočnené optimalizačné audity </w:t>
            </w:r>
          </w:p>
          <w:p w14:paraId="5C59E4C4" w14:textId="77777777" w:rsidR="00A42312" w:rsidRPr="000939E3" w:rsidRDefault="00A42312" w:rsidP="00A53E86">
            <w:pPr>
              <w:contextualSpacing/>
              <w:rPr>
                <w:lang w:eastAsia="sk-SK"/>
              </w:rPr>
            </w:pPr>
            <w:r w:rsidRPr="000939E3">
              <w:rPr>
                <w:b/>
                <w:lang w:eastAsia="sk-SK"/>
              </w:rPr>
              <w:t>Optimalizačný audit je štandardným nástrojom zvyšovania efektivity a kvality organizácií</w:t>
            </w:r>
            <w:r w:rsidRPr="000939E3">
              <w:rPr>
                <w:lang w:eastAsia="sk-SK"/>
              </w:rPr>
              <w:t xml:space="preserve">. Cieľom auditov je mapovanie procesov, analýza zamestnanosti a následná optimalizácia spôsobu zabezpečenia danej činnosti, nie jej oslabenie. Prostredníctvom zhodnotenia pracovnej náplne a náročnosti práce audit identifikuje problémové procesy a navrhne opatrenia na zvýšenie efektivity využívania ľudských zdrojov vrátane </w:t>
            </w:r>
            <w:r w:rsidRPr="000939E3">
              <w:t xml:space="preserve">dohôd o práci vykonávaných mimo pracovného pomeru. </w:t>
            </w:r>
            <w:r w:rsidRPr="000939E3">
              <w:rPr>
                <w:lang w:eastAsia="sk-SK"/>
              </w:rPr>
              <w:t xml:space="preserve">Efektivitu môže zvýšiť aj prehodnotenie dodávateľských kontraktov alebo elektronizácia činností za predpokladu ich predchádzajúcej optimalizácie a dosiahnutia deklarovaných úspor. </w:t>
            </w:r>
          </w:p>
          <w:p w14:paraId="7FAA185A" w14:textId="77777777" w:rsidR="00A42312" w:rsidRPr="000939E3" w:rsidRDefault="00A42312" w:rsidP="00A53E86">
            <w:pPr>
              <w:contextualSpacing/>
              <w:rPr>
                <w:lang w:eastAsia="sk-SK"/>
              </w:rPr>
            </w:pPr>
          </w:p>
          <w:p w14:paraId="3B753D24" w14:textId="77777777" w:rsidR="00A42312" w:rsidRPr="000939E3" w:rsidRDefault="00A42312" w:rsidP="00A53E86">
            <w:pPr>
              <w:contextualSpacing/>
              <w:rPr>
                <w:lang w:eastAsia="sk-SK"/>
              </w:rPr>
            </w:pPr>
            <w:r w:rsidRPr="000939E3">
              <w:rPr>
                <w:b/>
                <w:lang w:eastAsia="sk-SK"/>
              </w:rPr>
              <w:t>V minulosti podobnými auditmi prešli napr. MF SR, MK SR, MO SR, s rôznou mierou úspechu implementácie a udržania výsledkov</w:t>
            </w:r>
            <w:r w:rsidRPr="000939E3">
              <w:rPr>
                <w:lang w:eastAsia="sk-SK"/>
              </w:rPr>
              <w:t xml:space="preserve">. Analýza fungovania organizácií bola skôr lokálna, zameraná dovnútra organizácie a vykonávaná spravidla externými dodávateľmi. Nadrezortnými výnimkami sú aktivity MV SR zamerané na optimalizáciu životných situácií alebo MF SR pri budovaní Centrálneho ekonomického systému. </w:t>
            </w:r>
          </w:p>
          <w:p w14:paraId="1BB75F14" w14:textId="77777777" w:rsidR="00A42312" w:rsidRPr="000939E3" w:rsidRDefault="00A42312" w:rsidP="00A53E86">
            <w:pPr>
              <w:contextualSpacing/>
              <w:rPr>
                <w:lang w:eastAsia="sk-SK"/>
              </w:rPr>
            </w:pPr>
          </w:p>
          <w:p w14:paraId="64C7434D" w14:textId="77777777" w:rsidR="00A42312" w:rsidRPr="000939E3" w:rsidRDefault="00A42312" w:rsidP="00A53E86">
            <w:pPr>
              <w:rPr>
                <w:sz w:val="20"/>
                <w:szCs w:val="20"/>
                <w:lang w:eastAsia="sk-SK"/>
              </w:rPr>
            </w:pPr>
            <w:r w:rsidRPr="000939E3">
              <w:rPr>
                <w:b/>
                <w:sz w:val="20"/>
                <w:szCs w:val="20"/>
              </w:rPr>
              <w:t>Zoznam mzdovo-organizačných auditov na ministerstvách od roku 2004</w:t>
            </w:r>
            <w:r w:rsidRPr="000939E3">
              <w:rPr>
                <w:b/>
                <w:sz w:val="20"/>
                <w:szCs w:val="20"/>
                <w:vertAlign w:val="superscript"/>
              </w:rPr>
              <w:t>1</w:t>
            </w:r>
          </w:p>
          <w:tbl>
            <w:tblPr>
              <w:tblStyle w:val="Obyajntabuka2"/>
              <w:tblW w:w="0" w:type="auto"/>
              <w:tblBorders>
                <w:top w:val="single" w:sz="4" w:space="0" w:color="auto"/>
                <w:bottom w:val="single" w:sz="4" w:space="0" w:color="auto"/>
                <w:insideH w:val="single" w:sz="4" w:space="0" w:color="BFBFBF" w:themeColor="background1" w:themeShade="BF"/>
              </w:tblBorders>
              <w:tblLook w:val="04A0" w:firstRow="1" w:lastRow="0" w:firstColumn="1" w:lastColumn="0" w:noHBand="0" w:noVBand="1"/>
            </w:tblPr>
            <w:tblGrid>
              <w:gridCol w:w="1276"/>
              <w:gridCol w:w="1192"/>
              <w:gridCol w:w="3061"/>
              <w:gridCol w:w="3403"/>
            </w:tblGrid>
            <w:tr w:rsidR="00A42312" w:rsidRPr="000939E3" w14:paraId="385383C2" w14:textId="77777777" w:rsidTr="00A53E8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B6DD449" w14:textId="77777777" w:rsidR="00A42312" w:rsidRPr="000939E3" w:rsidRDefault="00A42312" w:rsidP="00D62879">
                  <w:pPr>
                    <w:framePr w:hSpace="141" w:wrap="around" w:vAnchor="text" w:hAnchor="margin" w:y="77"/>
                    <w:contextualSpacing/>
                    <w:jc w:val="center"/>
                    <w:rPr>
                      <w:sz w:val="20"/>
                      <w:szCs w:val="20"/>
                      <w:lang w:eastAsia="sk-SK"/>
                    </w:rPr>
                  </w:pPr>
                  <w:r w:rsidRPr="000939E3">
                    <w:rPr>
                      <w:sz w:val="20"/>
                      <w:szCs w:val="20"/>
                      <w:lang w:eastAsia="sk-SK"/>
                    </w:rPr>
                    <w:t>Organizácia</w:t>
                  </w:r>
                </w:p>
              </w:tc>
              <w:tc>
                <w:tcPr>
                  <w:tcW w:w="1192" w:type="dxa"/>
                  <w:noWrap/>
                  <w:hideMark/>
                </w:tcPr>
                <w:p w14:paraId="4F75E343" w14:textId="77777777" w:rsidR="00A42312" w:rsidRPr="000939E3" w:rsidRDefault="00A42312" w:rsidP="00D62879">
                  <w:pPr>
                    <w:framePr w:hSpace="141" w:wrap="around" w:vAnchor="text" w:hAnchor="margin" w:y="77"/>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0939E3">
                    <w:rPr>
                      <w:sz w:val="20"/>
                      <w:szCs w:val="20"/>
                    </w:rPr>
                    <w:t>Audit od roku 2004</w:t>
                  </w:r>
                </w:p>
              </w:tc>
              <w:tc>
                <w:tcPr>
                  <w:tcW w:w="3061" w:type="dxa"/>
                  <w:noWrap/>
                  <w:hideMark/>
                </w:tcPr>
                <w:p w14:paraId="789C6D02" w14:textId="77777777" w:rsidR="00A42312" w:rsidRPr="000939E3" w:rsidRDefault="00A42312" w:rsidP="00D62879">
                  <w:pPr>
                    <w:framePr w:hSpace="141" w:wrap="around" w:vAnchor="text" w:hAnchor="margin" w:y="77"/>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0939E3">
                    <w:rPr>
                      <w:sz w:val="20"/>
                      <w:szCs w:val="20"/>
                    </w:rPr>
                    <w:t>Plánované úspory a vybrané odporúčania</w:t>
                  </w:r>
                </w:p>
              </w:tc>
              <w:tc>
                <w:tcPr>
                  <w:tcW w:w="3403" w:type="dxa"/>
                </w:tcPr>
                <w:p w14:paraId="240EE69B" w14:textId="77777777" w:rsidR="00A42312" w:rsidRPr="000939E3" w:rsidRDefault="00A42312" w:rsidP="00D62879">
                  <w:pPr>
                    <w:framePr w:hSpace="141" w:wrap="around" w:vAnchor="text" w:hAnchor="margin" w:y="77"/>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0939E3">
                    <w:rPr>
                      <w:sz w:val="20"/>
                      <w:szCs w:val="20"/>
                    </w:rPr>
                    <w:t xml:space="preserve">Odpočet realizácie </w:t>
                  </w:r>
                </w:p>
                <w:p w14:paraId="6AB18BF7" w14:textId="77777777" w:rsidR="00A42312" w:rsidRPr="000939E3" w:rsidRDefault="00A42312" w:rsidP="00D62879">
                  <w:pPr>
                    <w:framePr w:hSpace="141" w:wrap="around" w:vAnchor="text" w:hAnchor="margin" w:y="77"/>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0939E3">
                    <w:rPr>
                      <w:sz w:val="20"/>
                      <w:szCs w:val="20"/>
                    </w:rPr>
                    <w:t>(6 mesiacov po akceptovaní správy)</w:t>
                  </w:r>
                </w:p>
              </w:tc>
            </w:tr>
            <w:tr w:rsidR="00A42312" w:rsidRPr="000939E3" w14:paraId="20AA9064" w14:textId="77777777" w:rsidTr="00A53E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vMerge w:val="restart"/>
                  <w:noWrap/>
                  <w:vAlign w:val="center"/>
                  <w:hideMark/>
                </w:tcPr>
                <w:p w14:paraId="76F27B12" w14:textId="77777777" w:rsidR="00A42312" w:rsidRPr="000939E3" w:rsidRDefault="00A42312" w:rsidP="00D62879">
                  <w:pPr>
                    <w:framePr w:hSpace="141" w:wrap="around" w:vAnchor="text" w:hAnchor="margin" w:y="77"/>
                    <w:contextualSpacing/>
                    <w:rPr>
                      <w:sz w:val="20"/>
                      <w:szCs w:val="20"/>
                    </w:rPr>
                  </w:pPr>
                  <w:r w:rsidRPr="000939E3">
                    <w:rPr>
                      <w:sz w:val="20"/>
                    </w:rPr>
                    <w:t>MF SR</w:t>
                  </w:r>
                </w:p>
              </w:tc>
              <w:tc>
                <w:tcPr>
                  <w:tcW w:w="1192" w:type="dxa"/>
                  <w:noWrap/>
                  <w:vAlign w:val="center"/>
                </w:tcPr>
                <w:p w14:paraId="4F685A53" w14:textId="77777777" w:rsidR="00A42312" w:rsidRPr="000939E3" w:rsidRDefault="00A42312" w:rsidP="00D62879">
                  <w:pPr>
                    <w:framePr w:hSpace="141" w:wrap="around" w:vAnchor="text" w:hAnchor="margin" w:y="77"/>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0939E3">
                    <w:rPr>
                      <w:sz w:val="20"/>
                      <w:szCs w:val="20"/>
                    </w:rPr>
                    <w:t>Áno (2003)</w:t>
                  </w:r>
                </w:p>
              </w:tc>
              <w:tc>
                <w:tcPr>
                  <w:tcW w:w="3061" w:type="dxa"/>
                  <w:noWrap/>
                  <w:vAlign w:val="center"/>
                </w:tcPr>
                <w:p w14:paraId="715DF47F" w14:textId="77777777" w:rsidR="00A42312" w:rsidRPr="000939E3" w:rsidRDefault="00A42312" w:rsidP="00D62879">
                  <w:pPr>
                    <w:framePr w:hSpace="141" w:wrap="around" w:vAnchor="text" w:hAnchor="margin" w:y="77"/>
                    <w:contextualSpacing/>
                    <w:cnfStyle w:val="000000100000" w:firstRow="0" w:lastRow="0" w:firstColumn="0" w:lastColumn="0" w:oddVBand="0" w:evenVBand="0" w:oddHBand="1" w:evenHBand="0" w:firstRowFirstColumn="0" w:firstRowLastColumn="0" w:lastRowFirstColumn="0" w:lastRowLastColumn="0"/>
                    <w:rPr>
                      <w:sz w:val="20"/>
                    </w:rPr>
                  </w:pPr>
                  <w:r w:rsidRPr="000939E3">
                    <w:rPr>
                      <w:sz w:val="20"/>
                    </w:rPr>
                    <w:t>Zníženie o 314 FTE (37 %) na úrade</w:t>
                  </w:r>
                </w:p>
              </w:tc>
              <w:tc>
                <w:tcPr>
                  <w:tcW w:w="3403" w:type="dxa"/>
                </w:tcPr>
                <w:p w14:paraId="3C799DE1" w14:textId="77777777" w:rsidR="00A42312" w:rsidRPr="000939E3" w:rsidRDefault="00A42312" w:rsidP="00D62879">
                  <w:pPr>
                    <w:framePr w:hSpace="141" w:wrap="around" w:vAnchor="text" w:hAnchor="margin" w:y="77"/>
                    <w:contextualSpacing/>
                    <w:cnfStyle w:val="000000100000" w:firstRow="0" w:lastRow="0" w:firstColumn="0" w:lastColumn="0" w:oddVBand="0" w:evenVBand="0" w:oddHBand="1" w:evenHBand="0" w:firstRowFirstColumn="0" w:firstRowLastColumn="0" w:lastRowFirstColumn="0" w:lastRowLastColumn="0"/>
                    <w:rPr>
                      <w:sz w:val="20"/>
                    </w:rPr>
                  </w:pPr>
                  <w:r w:rsidRPr="000939E3">
                    <w:rPr>
                      <w:sz w:val="20"/>
                    </w:rPr>
                    <w:t>Plne implementované, úspora dosiahnutá v dôsledku základnej a procesnej optimalizácie. Zdroje použité na mzdy.</w:t>
                  </w:r>
                </w:p>
              </w:tc>
            </w:tr>
            <w:tr w:rsidR="00A42312" w:rsidRPr="000939E3" w14:paraId="131634BF" w14:textId="77777777" w:rsidTr="00A53E86">
              <w:trPr>
                <w:trHeight w:val="20"/>
              </w:trPr>
              <w:tc>
                <w:tcPr>
                  <w:cnfStyle w:val="001000000000" w:firstRow="0" w:lastRow="0" w:firstColumn="1" w:lastColumn="0" w:oddVBand="0" w:evenVBand="0" w:oddHBand="0" w:evenHBand="0" w:firstRowFirstColumn="0" w:firstRowLastColumn="0" w:lastRowFirstColumn="0" w:lastRowLastColumn="0"/>
                  <w:tcW w:w="1276" w:type="dxa"/>
                  <w:vMerge/>
                  <w:noWrap/>
                  <w:vAlign w:val="center"/>
                </w:tcPr>
                <w:p w14:paraId="4A720307" w14:textId="77777777" w:rsidR="00A42312" w:rsidRPr="000939E3" w:rsidRDefault="00A42312" w:rsidP="00D62879">
                  <w:pPr>
                    <w:framePr w:hSpace="141" w:wrap="around" w:vAnchor="text" w:hAnchor="margin" w:y="77"/>
                    <w:contextualSpacing/>
                    <w:rPr>
                      <w:sz w:val="20"/>
                    </w:rPr>
                  </w:pPr>
                </w:p>
              </w:tc>
              <w:tc>
                <w:tcPr>
                  <w:tcW w:w="1192" w:type="dxa"/>
                  <w:noWrap/>
                  <w:vAlign w:val="center"/>
                </w:tcPr>
                <w:p w14:paraId="12EAEDF3" w14:textId="77777777" w:rsidR="00A42312" w:rsidRPr="000939E3" w:rsidRDefault="00A42312" w:rsidP="00D62879">
                  <w:pPr>
                    <w:framePr w:hSpace="141" w:wrap="around" w:vAnchor="text" w:hAnchor="margin" w:y="77"/>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0939E3">
                    <w:rPr>
                      <w:sz w:val="20"/>
                    </w:rPr>
                    <w:t>Áno (2007)</w:t>
                  </w:r>
                </w:p>
              </w:tc>
              <w:tc>
                <w:tcPr>
                  <w:tcW w:w="3061" w:type="dxa"/>
                  <w:noWrap/>
                  <w:vAlign w:val="center"/>
                </w:tcPr>
                <w:p w14:paraId="59B744EA" w14:textId="77777777" w:rsidR="00A42312" w:rsidRPr="000939E3" w:rsidRDefault="00A42312" w:rsidP="00D62879">
                  <w:pPr>
                    <w:framePr w:hSpace="141" w:wrap="around" w:vAnchor="text" w:hAnchor="margin" w:y="77"/>
                    <w:contextualSpacing/>
                    <w:cnfStyle w:val="000000000000" w:firstRow="0" w:lastRow="0" w:firstColumn="0" w:lastColumn="0" w:oddVBand="0" w:evenVBand="0" w:oddHBand="0" w:evenHBand="0" w:firstRowFirstColumn="0" w:firstRowLastColumn="0" w:lastRowFirstColumn="0" w:lastRowLastColumn="0"/>
                    <w:rPr>
                      <w:sz w:val="20"/>
                    </w:rPr>
                  </w:pPr>
                  <w:r w:rsidRPr="000939E3">
                    <w:rPr>
                      <w:sz w:val="20"/>
                    </w:rPr>
                    <w:t xml:space="preserve">Zníženie o 98 FTE (14 %) na úrade </w:t>
                  </w:r>
                </w:p>
              </w:tc>
              <w:tc>
                <w:tcPr>
                  <w:tcW w:w="3403" w:type="dxa"/>
                </w:tcPr>
                <w:p w14:paraId="66DBA357" w14:textId="77777777" w:rsidR="00A42312" w:rsidRPr="000939E3" w:rsidRDefault="00A42312" w:rsidP="00D62879">
                  <w:pPr>
                    <w:framePr w:hSpace="141" w:wrap="around" w:vAnchor="text" w:hAnchor="margin" w:y="77"/>
                    <w:contextualSpacing/>
                    <w:cnfStyle w:val="000000000000" w:firstRow="0" w:lastRow="0" w:firstColumn="0" w:lastColumn="0" w:oddVBand="0" w:evenVBand="0" w:oddHBand="0" w:evenHBand="0" w:firstRowFirstColumn="0" w:firstRowLastColumn="0" w:lastRowFirstColumn="0" w:lastRowLastColumn="0"/>
                    <w:rPr>
                      <w:sz w:val="20"/>
                    </w:rPr>
                  </w:pPr>
                </w:p>
              </w:tc>
            </w:tr>
            <w:tr w:rsidR="00A42312" w:rsidRPr="000939E3" w14:paraId="73EFE4B4" w14:textId="77777777" w:rsidTr="00A53E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55F24BB1" w14:textId="77777777" w:rsidR="00A42312" w:rsidRPr="000939E3" w:rsidRDefault="00A42312" w:rsidP="00D62879">
                  <w:pPr>
                    <w:framePr w:hSpace="141" w:wrap="around" w:vAnchor="text" w:hAnchor="margin" w:y="77"/>
                    <w:contextualSpacing/>
                    <w:rPr>
                      <w:b w:val="0"/>
                      <w:bCs w:val="0"/>
                      <w:sz w:val="20"/>
                    </w:rPr>
                  </w:pPr>
                  <w:r w:rsidRPr="000939E3">
                    <w:rPr>
                      <w:sz w:val="20"/>
                    </w:rPr>
                    <w:t>MDaV SR</w:t>
                  </w:r>
                </w:p>
              </w:tc>
              <w:tc>
                <w:tcPr>
                  <w:tcW w:w="1192" w:type="dxa"/>
                  <w:noWrap/>
                  <w:vAlign w:val="center"/>
                </w:tcPr>
                <w:p w14:paraId="4B4EAA01" w14:textId="77777777" w:rsidR="00A42312" w:rsidRPr="000939E3" w:rsidRDefault="00A42312" w:rsidP="00D62879">
                  <w:pPr>
                    <w:framePr w:hSpace="141" w:wrap="around" w:vAnchor="text" w:hAnchor="margin" w:y="77"/>
                    <w:contextualSpacing/>
                    <w:jc w:val="center"/>
                    <w:cnfStyle w:val="000000100000" w:firstRow="0" w:lastRow="0" w:firstColumn="0" w:lastColumn="0" w:oddVBand="0" w:evenVBand="0" w:oddHBand="1" w:evenHBand="0" w:firstRowFirstColumn="0" w:firstRowLastColumn="0" w:lastRowFirstColumn="0" w:lastRowLastColumn="0"/>
                    <w:rPr>
                      <w:sz w:val="20"/>
                    </w:rPr>
                  </w:pPr>
                  <w:r w:rsidRPr="000939E3">
                    <w:rPr>
                      <w:bCs/>
                      <w:sz w:val="20"/>
                    </w:rPr>
                    <w:t>Áno (2004)</w:t>
                  </w:r>
                </w:p>
              </w:tc>
              <w:tc>
                <w:tcPr>
                  <w:tcW w:w="3061" w:type="dxa"/>
                  <w:noWrap/>
                  <w:vAlign w:val="center"/>
                </w:tcPr>
                <w:p w14:paraId="23DCC700" w14:textId="77777777" w:rsidR="00A42312" w:rsidRPr="000939E3" w:rsidRDefault="00A42312" w:rsidP="00D62879">
                  <w:pPr>
                    <w:framePr w:hSpace="141" w:wrap="around" w:vAnchor="text" w:hAnchor="margin" w:y="77"/>
                    <w:contextualSpacing/>
                    <w:cnfStyle w:val="000000100000" w:firstRow="0" w:lastRow="0" w:firstColumn="0" w:lastColumn="0" w:oddVBand="0" w:evenVBand="0" w:oddHBand="1" w:evenHBand="0" w:firstRowFirstColumn="0" w:firstRowLastColumn="0" w:lastRowFirstColumn="0" w:lastRowLastColumn="0"/>
                    <w:rPr>
                      <w:sz w:val="20"/>
                    </w:rPr>
                  </w:pPr>
                  <w:r w:rsidRPr="000939E3">
                    <w:rPr>
                      <w:bCs/>
                      <w:sz w:val="20"/>
                    </w:rPr>
                    <w:t>Zníženie o 17,3 % FTE na úrade</w:t>
                  </w:r>
                </w:p>
              </w:tc>
              <w:tc>
                <w:tcPr>
                  <w:tcW w:w="3403" w:type="dxa"/>
                </w:tcPr>
                <w:p w14:paraId="67CB0E49" w14:textId="77777777" w:rsidR="00A42312" w:rsidRPr="000939E3" w:rsidRDefault="00A42312" w:rsidP="00D62879">
                  <w:pPr>
                    <w:framePr w:hSpace="141" w:wrap="around" w:vAnchor="text" w:hAnchor="margin" w:y="77"/>
                    <w:contextualSpacing/>
                    <w:cnfStyle w:val="000000100000" w:firstRow="0" w:lastRow="0" w:firstColumn="0" w:lastColumn="0" w:oddVBand="0" w:evenVBand="0" w:oddHBand="1" w:evenHBand="0" w:firstRowFirstColumn="0" w:firstRowLastColumn="0" w:lastRowFirstColumn="0" w:lastRowLastColumn="0"/>
                    <w:rPr>
                      <w:sz w:val="20"/>
                    </w:rPr>
                  </w:pPr>
                </w:p>
              </w:tc>
            </w:tr>
            <w:tr w:rsidR="00A42312" w:rsidRPr="000939E3" w14:paraId="1CE562D4" w14:textId="77777777" w:rsidTr="00A53E86">
              <w:trPr>
                <w:trHeight w:val="20"/>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5525B398" w14:textId="77777777" w:rsidR="00A42312" w:rsidRPr="000939E3" w:rsidRDefault="00A42312" w:rsidP="00D62879">
                  <w:pPr>
                    <w:framePr w:hSpace="141" w:wrap="around" w:vAnchor="text" w:hAnchor="margin" w:y="77"/>
                    <w:contextualSpacing/>
                    <w:rPr>
                      <w:b w:val="0"/>
                      <w:bCs w:val="0"/>
                      <w:sz w:val="20"/>
                    </w:rPr>
                  </w:pPr>
                  <w:r w:rsidRPr="000939E3">
                    <w:rPr>
                      <w:sz w:val="20"/>
                    </w:rPr>
                    <w:t>MO SR</w:t>
                  </w:r>
                </w:p>
              </w:tc>
              <w:tc>
                <w:tcPr>
                  <w:tcW w:w="1192" w:type="dxa"/>
                  <w:noWrap/>
                  <w:vAlign w:val="center"/>
                </w:tcPr>
                <w:p w14:paraId="22679EC5" w14:textId="77777777" w:rsidR="00A42312" w:rsidRPr="000939E3" w:rsidRDefault="00A42312" w:rsidP="00D62879">
                  <w:pPr>
                    <w:framePr w:hSpace="141" w:wrap="around" w:vAnchor="text" w:hAnchor="margin" w:y="77"/>
                    <w:contextualSpacing/>
                    <w:jc w:val="center"/>
                    <w:cnfStyle w:val="000000000000" w:firstRow="0" w:lastRow="0" w:firstColumn="0" w:lastColumn="0" w:oddVBand="0" w:evenVBand="0" w:oddHBand="0" w:evenHBand="0" w:firstRowFirstColumn="0" w:firstRowLastColumn="0" w:lastRowFirstColumn="0" w:lastRowLastColumn="0"/>
                    <w:rPr>
                      <w:sz w:val="20"/>
                    </w:rPr>
                  </w:pPr>
                  <w:r w:rsidRPr="000939E3">
                    <w:rPr>
                      <w:sz w:val="20"/>
                    </w:rPr>
                    <w:t>Áno (2005)</w:t>
                  </w:r>
                </w:p>
              </w:tc>
              <w:tc>
                <w:tcPr>
                  <w:tcW w:w="3061" w:type="dxa"/>
                  <w:noWrap/>
                  <w:vAlign w:val="center"/>
                </w:tcPr>
                <w:p w14:paraId="7C42A927" w14:textId="77777777" w:rsidR="00A42312" w:rsidRPr="000939E3" w:rsidRDefault="00A42312" w:rsidP="00D62879">
                  <w:pPr>
                    <w:framePr w:hSpace="141" w:wrap="around" w:vAnchor="text" w:hAnchor="margin" w:y="77"/>
                    <w:contextualSpacing/>
                    <w:cnfStyle w:val="000000000000" w:firstRow="0" w:lastRow="0" w:firstColumn="0" w:lastColumn="0" w:oddVBand="0" w:evenVBand="0" w:oddHBand="0" w:evenHBand="0" w:firstRowFirstColumn="0" w:firstRowLastColumn="0" w:lastRowFirstColumn="0" w:lastRowLastColumn="0"/>
                    <w:rPr>
                      <w:sz w:val="20"/>
                    </w:rPr>
                  </w:pPr>
                  <w:r w:rsidRPr="000939E3">
                    <w:rPr>
                      <w:sz w:val="20"/>
                    </w:rPr>
                    <w:t>Zníženie o 609 FTE (23 %) na úrade a časti kapitoly</w:t>
                  </w:r>
                </w:p>
              </w:tc>
              <w:tc>
                <w:tcPr>
                  <w:tcW w:w="3403" w:type="dxa"/>
                </w:tcPr>
                <w:p w14:paraId="24604936" w14:textId="77777777" w:rsidR="00A42312" w:rsidRPr="000939E3" w:rsidRDefault="00A42312" w:rsidP="00D62879">
                  <w:pPr>
                    <w:framePr w:hSpace="141" w:wrap="around" w:vAnchor="text" w:hAnchor="margin" w:y="77"/>
                    <w:contextualSpacing/>
                    <w:cnfStyle w:val="000000000000" w:firstRow="0" w:lastRow="0" w:firstColumn="0" w:lastColumn="0" w:oddVBand="0" w:evenVBand="0" w:oddHBand="0" w:evenHBand="0" w:firstRowFirstColumn="0" w:firstRowLastColumn="0" w:lastRowFirstColumn="0" w:lastRowLastColumn="0"/>
                    <w:rPr>
                      <w:sz w:val="20"/>
                    </w:rPr>
                  </w:pPr>
                  <w:r w:rsidRPr="000939E3">
                    <w:rPr>
                      <w:sz w:val="20"/>
                    </w:rPr>
                    <w:t xml:space="preserve">Čiastočne implementované (zníženie o 7,6 % FTE) v dôsledku vzniku centier podporných služieb pre IT, správu majetku, obstarávanie, dopravu, právne služby. </w:t>
                  </w:r>
                </w:p>
              </w:tc>
            </w:tr>
            <w:tr w:rsidR="00A42312" w:rsidRPr="000939E3" w14:paraId="40A611D5" w14:textId="77777777" w:rsidTr="00A53E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270D1A10" w14:textId="77777777" w:rsidR="00A42312" w:rsidRPr="000939E3" w:rsidRDefault="00A42312" w:rsidP="00D62879">
                  <w:pPr>
                    <w:framePr w:hSpace="141" w:wrap="around" w:vAnchor="text" w:hAnchor="margin" w:y="77"/>
                    <w:contextualSpacing/>
                    <w:rPr>
                      <w:b w:val="0"/>
                      <w:bCs w:val="0"/>
                      <w:sz w:val="20"/>
                    </w:rPr>
                  </w:pPr>
                  <w:r w:rsidRPr="000939E3">
                    <w:rPr>
                      <w:sz w:val="20"/>
                    </w:rPr>
                    <w:t>MŠVVaŠ SR</w:t>
                  </w:r>
                </w:p>
              </w:tc>
              <w:tc>
                <w:tcPr>
                  <w:tcW w:w="1192" w:type="dxa"/>
                  <w:noWrap/>
                  <w:vAlign w:val="center"/>
                </w:tcPr>
                <w:p w14:paraId="3CAD9062" w14:textId="77777777" w:rsidR="00A42312" w:rsidRPr="000939E3" w:rsidRDefault="00A42312" w:rsidP="00D62879">
                  <w:pPr>
                    <w:framePr w:hSpace="141" w:wrap="around" w:vAnchor="text" w:hAnchor="margin" w:y="77"/>
                    <w:contextualSpacing/>
                    <w:jc w:val="center"/>
                    <w:cnfStyle w:val="000000100000" w:firstRow="0" w:lastRow="0" w:firstColumn="0" w:lastColumn="0" w:oddVBand="0" w:evenVBand="0" w:oddHBand="1" w:evenHBand="0" w:firstRowFirstColumn="0" w:firstRowLastColumn="0" w:lastRowFirstColumn="0" w:lastRowLastColumn="0"/>
                    <w:rPr>
                      <w:sz w:val="20"/>
                    </w:rPr>
                  </w:pPr>
                  <w:r w:rsidRPr="000939E3">
                    <w:rPr>
                      <w:sz w:val="20"/>
                    </w:rPr>
                    <w:t>Áno (</w:t>
                  </w:r>
                  <w:r w:rsidRPr="000939E3">
                    <w:rPr>
                      <w:sz w:val="20"/>
                      <w:lang w:val="en-US"/>
                    </w:rPr>
                    <w:t>2007</w:t>
                  </w:r>
                  <w:r w:rsidRPr="000939E3">
                    <w:rPr>
                      <w:sz w:val="20"/>
                    </w:rPr>
                    <w:t>)</w:t>
                  </w:r>
                </w:p>
              </w:tc>
              <w:tc>
                <w:tcPr>
                  <w:tcW w:w="3061" w:type="dxa"/>
                  <w:noWrap/>
                  <w:vAlign w:val="center"/>
                </w:tcPr>
                <w:p w14:paraId="6988DEC2" w14:textId="77777777" w:rsidR="00A42312" w:rsidRPr="000939E3" w:rsidRDefault="00A42312" w:rsidP="00D62879">
                  <w:pPr>
                    <w:framePr w:hSpace="141" w:wrap="around" w:vAnchor="text" w:hAnchor="margin" w:y="77"/>
                    <w:contextualSpacing/>
                    <w:cnfStyle w:val="000000100000" w:firstRow="0" w:lastRow="0" w:firstColumn="0" w:lastColumn="0" w:oddVBand="0" w:evenVBand="0" w:oddHBand="1" w:evenHBand="0" w:firstRowFirstColumn="0" w:firstRowLastColumn="0" w:lastRowFirstColumn="0" w:lastRowLastColumn="0"/>
                    <w:rPr>
                      <w:sz w:val="20"/>
                    </w:rPr>
                  </w:pPr>
                  <w:r w:rsidRPr="000939E3">
                    <w:rPr>
                      <w:sz w:val="20"/>
                    </w:rPr>
                    <w:t>Zníženie o 349 FTE na PRO (21 %)</w:t>
                  </w:r>
                </w:p>
              </w:tc>
              <w:tc>
                <w:tcPr>
                  <w:tcW w:w="3403" w:type="dxa"/>
                </w:tcPr>
                <w:p w14:paraId="42D6AC8A" w14:textId="77777777" w:rsidR="00A42312" w:rsidRPr="000939E3" w:rsidRDefault="00A42312" w:rsidP="00D62879">
                  <w:pPr>
                    <w:framePr w:hSpace="141" w:wrap="around" w:vAnchor="text" w:hAnchor="margin" w:y="77"/>
                    <w:contextualSpacing/>
                    <w:cnfStyle w:val="000000100000" w:firstRow="0" w:lastRow="0" w:firstColumn="0" w:lastColumn="0" w:oddVBand="0" w:evenVBand="0" w:oddHBand="1" w:evenHBand="0" w:firstRowFirstColumn="0" w:firstRowLastColumn="0" w:lastRowFirstColumn="0" w:lastRowLastColumn="0"/>
                    <w:rPr>
                      <w:sz w:val="20"/>
                    </w:rPr>
                  </w:pPr>
                </w:p>
              </w:tc>
            </w:tr>
            <w:tr w:rsidR="00A42312" w:rsidRPr="000939E3" w14:paraId="601CD837" w14:textId="77777777" w:rsidTr="00A53E86">
              <w:trPr>
                <w:trHeight w:val="20"/>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3E070134" w14:textId="77777777" w:rsidR="00A42312" w:rsidRPr="000939E3" w:rsidRDefault="00A42312" w:rsidP="00D62879">
                  <w:pPr>
                    <w:framePr w:hSpace="141" w:wrap="around" w:vAnchor="text" w:hAnchor="margin" w:y="77"/>
                    <w:contextualSpacing/>
                    <w:rPr>
                      <w:b w:val="0"/>
                      <w:bCs w:val="0"/>
                      <w:sz w:val="20"/>
                    </w:rPr>
                  </w:pPr>
                  <w:r w:rsidRPr="000939E3">
                    <w:rPr>
                      <w:sz w:val="20"/>
                    </w:rPr>
                    <w:t>MZ SR</w:t>
                  </w:r>
                </w:p>
              </w:tc>
              <w:tc>
                <w:tcPr>
                  <w:tcW w:w="1192" w:type="dxa"/>
                  <w:noWrap/>
                  <w:vAlign w:val="center"/>
                </w:tcPr>
                <w:p w14:paraId="2DC60627" w14:textId="77777777" w:rsidR="00A42312" w:rsidRPr="000939E3" w:rsidRDefault="00A42312" w:rsidP="00D62879">
                  <w:pPr>
                    <w:framePr w:hSpace="141" w:wrap="around" w:vAnchor="text" w:hAnchor="margin" w:y="77"/>
                    <w:contextualSpacing/>
                    <w:jc w:val="center"/>
                    <w:cnfStyle w:val="000000000000" w:firstRow="0" w:lastRow="0" w:firstColumn="0" w:lastColumn="0" w:oddVBand="0" w:evenVBand="0" w:oddHBand="0" w:evenHBand="0" w:firstRowFirstColumn="0" w:firstRowLastColumn="0" w:lastRowFirstColumn="0" w:lastRowLastColumn="0"/>
                    <w:rPr>
                      <w:sz w:val="20"/>
                    </w:rPr>
                  </w:pPr>
                  <w:r w:rsidRPr="000939E3">
                    <w:rPr>
                      <w:sz w:val="20"/>
                    </w:rPr>
                    <w:t>Áno (2007, 2009)</w:t>
                  </w:r>
                </w:p>
              </w:tc>
              <w:tc>
                <w:tcPr>
                  <w:tcW w:w="3061" w:type="dxa"/>
                  <w:noWrap/>
                  <w:vAlign w:val="center"/>
                </w:tcPr>
                <w:p w14:paraId="20E6CCFA" w14:textId="77777777" w:rsidR="00A42312" w:rsidRPr="000939E3" w:rsidRDefault="00A42312" w:rsidP="00D62879">
                  <w:pPr>
                    <w:framePr w:hSpace="141" w:wrap="around" w:vAnchor="text" w:hAnchor="margin" w:y="77"/>
                    <w:contextualSpacing/>
                    <w:cnfStyle w:val="000000000000" w:firstRow="0" w:lastRow="0" w:firstColumn="0" w:lastColumn="0" w:oddVBand="0" w:evenVBand="0" w:oddHBand="0" w:evenHBand="0" w:firstRowFirstColumn="0" w:firstRowLastColumn="0" w:lastRowFirstColumn="0" w:lastRowLastColumn="0"/>
                    <w:rPr>
                      <w:sz w:val="20"/>
                    </w:rPr>
                  </w:pPr>
                  <w:r w:rsidRPr="000939E3">
                    <w:rPr>
                      <w:sz w:val="20"/>
                    </w:rPr>
                    <w:t>Optimalizácie procesov a organizačnej štruktúry na vybraných PRO (potenciál 12-34 mil. eur)</w:t>
                  </w:r>
                </w:p>
              </w:tc>
              <w:tc>
                <w:tcPr>
                  <w:tcW w:w="3403" w:type="dxa"/>
                </w:tcPr>
                <w:p w14:paraId="51525F3F" w14:textId="77777777" w:rsidR="00A42312" w:rsidRPr="000939E3" w:rsidRDefault="00A42312" w:rsidP="00D62879">
                  <w:pPr>
                    <w:framePr w:hSpace="141" w:wrap="around" w:vAnchor="text" w:hAnchor="margin" w:y="77"/>
                    <w:contextualSpacing/>
                    <w:cnfStyle w:val="000000000000" w:firstRow="0" w:lastRow="0" w:firstColumn="0" w:lastColumn="0" w:oddVBand="0" w:evenVBand="0" w:oddHBand="0" w:evenHBand="0" w:firstRowFirstColumn="0" w:firstRowLastColumn="0" w:lastRowFirstColumn="0" w:lastRowLastColumn="0"/>
                    <w:rPr>
                      <w:sz w:val="20"/>
                    </w:rPr>
                  </w:pPr>
                </w:p>
              </w:tc>
            </w:tr>
            <w:tr w:rsidR="00A42312" w:rsidRPr="000939E3" w14:paraId="0C34C21A" w14:textId="77777777" w:rsidTr="00A53E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4D9F9823" w14:textId="77777777" w:rsidR="00A42312" w:rsidRPr="000939E3" w:rsidRDefault="00A42312" w:rsidP="00D62879">
                  <w:pPr>
                    <w:framePr w:hSpace="141" w:wrap="around" w:vAnchor="text" w:hAnchor="margin" w:y="77"/>
                    <w:contextualSpacing/>
                    <w:rPr>
                      <w:sz w:val="20"/>
                      <w:szCs w:val="20"/>
                    </w:rPr>
                  </w:pPr>
                  <w:r w:rsidRPr="000939E3">
                    <w:rPr>
                      <w:sz w:val="20"/>
                    </w:rPr>
                    <w:t>MK SR</w:t>
                  </w:r>
                </w:p>
              </w:tc>
              <w:tc>
                <w:tcPr>
                  <w:tcW w:w="1192" w:type="dxa"/>
                  <w:noWrap/>
                  <w:vAlign w:val="center"/>
                  <w:hideMark/>
                </w:tcPr>
                <w:p w14:paraId="7E9C4E9A" w14:textId="77777777" w:rsidR="00A42312" w:rsidRPr="000939E3" w:rsidRDefault="00A42312" w:rsidP="00D62879">
                  <w:pPr>
                    <w:framePr w:hSpace="141" w:wrap="around" w:vAnchor="text" w:hAnchor="margin" w:y="77"/>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0939E3">
                    <w:rPr>
                      <w:sz w:val="20"/>
                    </w:rPr>
                    <w:t>Áno (2008)</w:t>
                  </w:r>
                </w:p>
              </w:tc>
              <w:tc>
                <w:tcPr>
                  <w:tcW w:w="3061" w:type="dxa"/>
                  <w:noWrap/>
                  <w:vAlign w:val="center"/>
                </w:tcPr>
                <w:p w14:paraId="4D806C9F" w14:textId="77777777" w:rsidR="00A42312" w:rsidRPr="000939E3" w:rsidRDefault="00A42312" w:rsidP="00D62879">
                  <w:pPr>
                    <w:framePr w:hSpace="141" w:wrap="around" w:vAnchor="text" w:hAnchor="margin" w:y="77"/>
                    <w:contextualSpacing/>
                    <w:cnfStyle w:val="000000100000" w:firstRow="0" w:lastRow="0" w:firstColumn="0" w:lastColumn="0" w:oddVBand="0" w:evenVBand="0" w:oddHBand="1" w:evenHBand="0" w:firstRowFirstColumn="0" w:firstRowLastColumn="0" w:lastRowFirstColumn="0" w:lastRowLastColumn="0"/>
                    <w:rPr>
                      <w:sz w:val="20"/>
                    </w:rPr>
                  </w:pPr>
                  <w:r w:rsidRPr="000939E3">
                    <w:rPr>
                      <w:sz w:val="20"/>
                    </w:rPr>
                    <w:t>Zníženie o 906 FTE (25 % ) v kapitole</w:t>
                  </w:r>
                </w:p>
                <w:p w14:paraId="52D3E135" w14:textId="77777777" w:rsidR="00A42312" w:rsidRPr="000939E3" w:rsidRDefault="00A42312" w:rsidP="00D62879">
                  <w:pPr>
                    <w:framePr w:hSpace="141" w:wrap="around" w:vAnchor="text" w:hAnchor="margin" w:y="77"/>
                    <w:contextualSpacing/>
                    <w:cnfStyle w:val="000000100000" w:firstRow="0" w:lastRow="0" w:firstColumn="0" w:lastColumn="0" w:oddVBand="0" w:evenVBand="0" w:oddHBand="1" w:evenHBand="0" w:firstRowFirstColumn="0" w:firstRowLastColumn="0" w:lastRowFirstColumn="0" w:lastRowLastColumn="0"/>
                    <w:rPr>
                      <w:sz w:val="20"/>
                    </w:rPr>
                  </w:pPr>
                  <w:r w:rsidRPr="000939E3">
                    <w:rPr>
                      <w:sz w:val="20"/>
                    </w:rPr>
                    <w:t xml:space="preserve"> </w:t>
                  </w:r>
                </w:p>
                <w:p w14:paraId="2573991B" w14:textId="77777777" w:rsidR="00A42312" w:rsidRPr="000939E3" w:rsidRDefault="00A42312" w:rsidP="00D62879">
                  <w:pPr>
                    <w:framePr w:hSpace="141" w:wrap="around" w:vAnchor="text" w:hAnchor="margin" w:y="77"/>
                    <w:contextualSpacing/>
                    <w:cnfStyle w:val="000000100000" w:firstRow="0" w:lastRow="0" w:firstColumn="0" w:lastColumn="0" w:oddVBand="0" w:evenVBand="0" w:oddHBand="1" w:evenHBand="0" w:firstRowFirstColumn="0" w:firstRowLastColumn="0" w:lastRowFirstColumn="0" w:lastRowLastColumn="0"/>
                    <w:rPr>
                      <w:sz w:val="20"/>
                    </w:rPr>
                  </w:pPr>
                  <w:r w:rsidRPr="000939E3">
                    <w:rPr>
                      <w:sz w:val="20"/>
                    </w:rPr>
                    <w:t xml:space="preserve">Tvorba centier podporných služieb </w:t>
                  </w:r>
                </w:p>
              </w:tc>
              <w:tc>
                <w:tcPr>
                  <w:tcW w:w="3403" w:type="dxa"/>
                </w:tcPr>
                <w:p w14:paraId="5EC55508" w14:textId="77777777" w:rsidR="00A42312" w:rsidRPr="000939E3" w:rsidRDefault="00A42312" w:rsidP="00D62879">
                  <w:pPr>
                    <w:framePr w:hSpace="141" w:wrap="around" w:vAnchor="text" w:hAnchor="margin" w:y="77"/>
                    <w:contextualSpacing/>
                    <w:cnfStyle w:val="000000100000" w:firstRow="0" w:lastRow="0" w:firstColumn="0" w:lastColumn="0" w:oddVBand="0" w:evenVBand="0" w:oddHBand="1" w:evenHBand="0" w:firstRowFirstColumn="0" w:firstRowLastColumn="0" w:lastRowFirstColumn="0" w:lastRowLastColumn="0"/>
                    <w:rPr>
                      <w:sz w:val="20"/>
                    </w:rPr>
                  </w:pPr>
                  <w:r w:rsidRPr="000939E3">
                    <w:rPr>
                      <w:sz w:val="20"/>
                    </w:rPr>
                    <w:t>Čiastočne implementované (zníženie o 9,3 % FTE), úspora</w:t>
                  </w:r>
                  <w:r w:rsidRPr="000939E3">
                    <w:t xml:space="preserve"> </w:t>
                  </w:r>
                  <w:r w:rsidRPr="000939E3">
                    <w:rPr>
                      <w:sz w:val="20"/>
                    </w:rPr>
                    <w:t xml:space="preserve">dosiahnutá v dôsledku základnej a procesnej optimalizácie. </w:t>
                  </w:r>
                </w:p>
                <w:p w14:paraId="535C04E6" w14:textId="77777777" w:rsidR="00A42312" w:rsidRPr="000939E3" w:rsidRDefault="00A42312" w:rsidP="00D62879">
                  <w:pPr>
                    <w:framePr w:hSpace="141" w:wrap="around" w:vAnchor="text" w:hAnchor="margin" w:y="77"/>
                    <w:contextualSpacing/>
                    <w:cnfStyle w:val="000000100000" w:firstRow="0" w:lastRow="0" w:firstColumn="0" w:lastColumn="0" w:oddVBand="0" w:evenVBand="0" w:oddHBand="1" w:evenHBand="0" w:firstRowFirstColumn="0" w:firstRowLastColumn="0" w:lastRowFirstColumn="0" w:lastRowLastColumn="0"/>
                    <w:rPr>
                      <w:sz w:val="20"/>
                    </w:rPr>
                  </w:pPr>
                  <w:r w:rsidRPr="000939E3">
                    <w:rPr>
                      <w:sz w:val="20"/>
                    </w:rPr>
                    <w:t>Centrá podporných služieb neboli vytvorené.</w:t>
                  </w:r>
                </w:p>
              </w:tc>
            </w:tr>
            <w:tr w:rsidR="00A42312" w:rsidRPr="000939E3" w14:paraId="1F445851" w14:textId="77777777" w:rsidTr="00A53E86">
              <w:trPr>
                <w:trHeight w:val="20"/>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5F070B0D" w14:textId="77777777" w:rsidR="00A42312" w:rsidRPr="000939E3" w:rsidRDefault="00A42312" w:rsidP="00D62879">
                  <w:pPr>
                    <w:framePr w:hSpace="141" w:wrap="around" w:vAnchor="text" w:hAnchor="margin" w:y="77"/>
                    <w:rPr>
                      <w:sz w:val="20"/>
                    </w:rPr>
                  </w:pPr>
                  <w:r w:rsidRPr="000939E3">
                    <w:rPr>
                      <w:sz w:val="20"/>
                    </w:rPr>
                    <w:lastRenderedPageBreak/>
                    <w:t xml:space="preserve">MV SR </w:t>
                  </w:r>
                </w:p>
              </w:tc>
              <w:tc>
                <w:tcPr>
                  <w:tcW w:w="1192" w:type="dxa"/>
                  <w:noWrap/>
                  <w:vAlign w:val="center"/>
                </w:tcPr>
                <w:p w14:paraId="2C3FE6FD" w14:textId="08CF43AB" w:rsidR="00A42312" w:rsidRPr="000939E3" w:rsidRDefault="00A42312" w:rsidP="00D62879">
                  <w:pPr>
                    <w:framePr w:hSpace="141" w:wrap="around" w:vAnchor="text" w:hAnchor="margin" w:y="77"/>
                    <w:jc w:val="center"/>
                    <w:cnfStyle w:val="000000000000" w:firstRow="0" w:lastRow="0" w:firstColumn="0" w:lastColumn="0" w:oddVBand="0" w:evenVBand="0" w:oddHBand="0" w:evenHBand="0" w:firstRowFirstColumn="0" w:firstRowLastColumn="0" w:lastRowFirstColumn="0" w:lastRowLastColumn="0"/>
                    <w:rPr>
                      <w:sz w:val="20"/>
                    </w:rPr>
                  </w:pPr>
                  <w:r w:rsidRPr="000939E3">
                    <w:rPr>
                      <w:sz w:val="20"/>
                    </w:rPr>
                    <w:t>Čiastočne (2018)</w:t>
                  </w:r>
                </w:p>
              </w:tc>
              <w:tc>
                <w:tcPr>
                  <w:tcW w:w="3061" w:type="dxa"/>
                  <w:noWrap/>
                  <w:vAlign w:val="center"/>
                </w:tcPr>
                <w:p w14:paraId="6E837014" w14:textId="5FA5BF01" w:rsidR="00A42312" w:rsidRPr="000939E3" w:rsidRDefault="00A42312" w:rsidP="00D62879">
                  <w:pPr>
                    <w:framePr w:hSpace="141" w:wrap="around" w:vAnchor="text" w:hAnchor="margin" w:y="77"/>
                    <w:cnfStyle w:val="000000000000" w:firstRow="0" w:lastRow="0" w:firstColumn="0" w:lastColumn="0" w:oddVBand="0" w:evenVBand="0" w:oddHBand="0" w:evenHBand="0" w:firstRowFirstColumn="0" w:firstRowLastColumn="0" w:lastRowFirstColumn="0" w:lastRowLastColumn="0"/>
                    <w:rPr>
                      <w:sz w:val="20"/>
                    </w:rPr>
                  </w:pPr>
                  <w:r w:rsidRPr="000939E3">
                    <w:t xml:space="preserve"> </w:t>
                  </w:r>
                </w:p>
                <w:p w14:paraId="2A8D35A7" w14:textId="0403DCE8" w:rsidR="00226669" w:rsidRPr="000939E3" w:rsidRDefault="00A55961" w:rsidP="00D62879">
                  <w:pPr>
                    <w:framePr w:hSpace="141" w:wrap="around" w:vAnchor="text" w:hAnchor="margin" w:y="77"/>
                    <w:cnfStyle w:val="000000000000" w:firstRow="0" w:lastRow="0" w:firstColumn="0" w:lastColumn="0" w:oddVBand="0" w:evenVBand="0" w:oddHBand="0" w:evenHBand="0" w:firstRowFirstColumn="0" w:firstRowLastColumn="0" w:lastRowFirstColumn="0" w:lastRowLastColumn="0"/>
                    <w:rPr>
                      <w:sz w:val="20"/>
                    </w:rPr>
                  </w:pPr>
                  <w:r>
                    <w:rPr>
                      <w:sz w:val="20"/>
                    </w:rPr>
                    <w:t xml:space="preserve">MV SR </w:t>
                  </w:r>
                  <w:r w:rsidR="00226669" w:rsidRPr="000939E3">
                    <w:rPr>
                      <w:sz w:val="20"/>
                    </w:rPr>
                    <w:t>plánovalo realizovať interný audit vybraných civilných sekcii MV SR. Cieľom auditu bolo preskúmať súčasné procesy vrátane ich náročnosti na zdroje a navrhnúť optimalizačné opatrenia.</w:t>
                  </w:r>
                </w:p>
              </w:tc>
              <w:tc>
                <w:tcPr>
                  <w:tcW w:w="3403" w:type="dxa"/>
                </w:tcPr>
                <w:p w14:paraId="13602AE5" w14:textId="77777777" w:rsidR="00226669" w:rsidRPr="000939E3" w:rsidRDefault="00A42312" w:rsidP="00D62879">
                  <w:pPr>
                    <w:framePr w:hSpace="141" w:wrap="around" w:vAnchor="text" w:hAnchor="margin" w:y="77"/>
                    <w:cnfStyle w:val="000000000000" w:firstRow="0" w:lastRow="0" w:firstColumn="0" w:lastColumn="0" w:oddVBand="0" w:evenVBand="0" w:oddHBand="0" w:evenHBand="0" w:firstRowFirstColumn="0" w:firstRowLastColumn="0" w:lastRowFirstColumn="0" w:lastRowLastColumn="0"/>
                    <w:rPr>
                      <w:sz w:val="20"/>
                    </w:rPr>
                  </w:pPr>
                  <w:r w:rsidRPr="000939E3">
                    <w:rPr>
                      <w:sz w:val="20"/>
                    </w:rPr>
                    <w:t>Audit neukončený.</w:t>
                  </w:r>
                  <w:r w:rsidR="00226669" w:rsidRPr="000939E3">
                    <w:rPr>
                      <w:sz w:val="20"/>
                    </w:rPr>
                    <w:t xml:space="preserve"> </w:t>
                  </w:r>
                </w:p>
                <w:p w14:paraId="493F5FA0" w14:textId="0C37C2D5" w:rsidR="00A42312" w:rsidRPr="000939E3" w:rsidRDefault="00226669" w:rsidP="00D62879">
                  <w:pPr>
                    <w:framePr w:hSpace="141" w:wrap="around" w:vAnchor="text" w:hAnchor="margin" w:y="77"/>
                    <w:cnfStyle w:val="000000000000" w:firstRow="0" w:lastRow="0" w:firstColumn="0" w:lastColumn="0" w:oddVBand="0" w:evenVBand="0" w:oddHBand="0" w:evenHBand="0" w:firstRowFirstColumn="0" w:firstRowLastColumn="0" w:lastRowFirstColumn="0" w:lastRowLastColumn="0"/>
                    <w:rPr>
                      <w:sz w:val="20"/>
                    </w:rPr>
                  </w:pPr>
                  <w:r w:rsidRPr="000939E3">
                    <w:rPr>
                      <w:sz w:val="20"/>
                    </w:rPr>
                    <w:t>Aktivita stále prebieha</w:t>
                  </w:r>
                  <w:r w:rsidR="005F5CB8" w:rsidRPr="000939E3">
                    <w:rPr>
                      <w:sz w:val="20"/>
                    </w:rPr>
                    <w:t>.</w:t>
                  </w:r>
                  <w:r w:rsidRPr="000939E3">
                    <w:rPr>
                      <w:sz w:val="20"/>
                    </w:rPr>
                    <w:t xml:space="preserve"> </w:t>
                  </w:r>
                  <w:r w:rsidR="005F5CB8" w:rsidRPr="000939E3">
                    <w:rPr>
                      <w:sz w:val="20"/>
                    </w:rPr>
                    <w:t>B</w:t>
                  </w:r>
                  <w:r w:rsidRPr="000939E3">
                    <w:rPr>
                      <w:sz w:val="20"/>
                    </w:rPr>
                    <w:t>ol zrealizovaný audit okresných úradov čo predstavuje najväčšiu časť civilnej agendy rezortu, následne sa pokračovalo v centrách podpory a Integrovanom záchrannom systéme v rámci sekcie krízového riadenia. Zvyšné časti sa plánujú realizovať v</w:t>
                  </w:r>
                  <w:r w:rsidR="00813E6B">
                    <w:rPr>
                      <w:sz w:val="20"/>
                    </w:rPr>
                    <w:t> </w:t>
                  </w:r>
                  <w:r w:rsidRPr="000939E3">
                    <w:rPr>
                      <w:sz w:val="20"/>
                    </w:rPr>
                    <w:t>nasledujúcom období.</w:t>
                  </w:r>
                </w:p>
              </w:tc>
            </w:tr>
            <w:tr w:rsidR="00A42312" w:rsidRPr="000939E3" w14:paraId="69F0B925" w14:textId="77777777" w:rsidTr="00A53E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1BFCD114" w14:textId="77777777" w:rsidR="00A42312" w:rsidRPr="000939E3" w:rsidRDefault="00A42312" w:rsidP="00D62879">
                  <w:pPr>
                    <w:framePr w:hSpace="141" w:wrap="around" w:vAnchor="text" w:hAnchor="margin" w:y="77"/>
                    <w:rPr>
                      <w:sz w:val="20"/>
                    </w:rPr>
                  </w:pPr>
                  <w:r w:rsidRPr="000939E3">
                    <w:rPr>
                      <w:sz w:val="20"/>
                    </w:rPr>
                    <w:t>ÚV SR</w:t>
                  </w:r>
                </w:p>
              </w:tc>
              <w:tc>
                <w:tcPr>
                  <w:tcW w:w="1192" w:type="dxa"/>
                  <w:noWrap/>
                  <w:vAlign w:val="center"/>
                </w:tcPr>
                <w:p w14:paraId="4CEDA1D7" w14:textId="77777777" w:rsidR="00A42312" w:rsidRPr="000939E3" w:rsidRDefault="00A42312" w:rsidP="00D62879">
                  <w:pPr>
                    <w:framePr w:hSpace="141" w:wrap="around" w:vAnchor="text" w:hAnchor="margin" w:y="77"/>
                    <w:jc w:val="center"/>
                    <w:cnfStyle w:val="000000100000" w:firstRow="0" w:lastRow="0" w:firstColumn="0" w:lastColumn="0" w:oddVBand="0" w:evenVBand="0" w:oddHBand="1" w:evenHBand="0" w:firstRowFirstColumn="0" w:firstRowLastColumn="0" w:lastRowFirstColumn="0" w:lastRowLastColumn="0"/>
                    <w:rPr>
                      <w:sz w:val="20"/>
                    </w:rPr>
                  </w:pPr>
                  <w:r w:rsidRPr="000939E3">
                    <w:rPr>
                      <w:sz w:val="20"/>
                    </w:rPr>
                    <w:t>Áno (2019)</w:t>
                  </w:r>
                </w:p>
              </w:tc>
              <w:tc>
                <w:tcPr>
                  <w:tcW w:w="3061" w:type="dxa"/>
                  <w:noWrap/>
                  <w:vAlign w:val="center"/>
                </w:tcPr>
                <w:p w14:paraId="53668A13" w14:textId="77777777" w:rsidR="00A42312" w:rsidRPr="000939E3" w:rsidRDefault="00A42312" w:rsidP="00D62879">
                  <w:pPr>
                    <w:framePr w:hSpace="141" w:wrap="around" w:vAnchor="text" w:hAnchor="margin" w:y="77"/>
                    <w:cnfStyle w:val="000000100000" w:firstRow="0" w:lastRow="0" w:firstColumn="0" w:lastColumn="0" w:oddVBand="0" w:evenVBand="0" w:oddHBand="1" w:evenHBand="0" w:firstRowFirstColumn="0" w:firstRowLastColumn="0" w:lastRowFirstColumn="0" w:lastRowLastColumn="0"/>
                    <w:rPr>
                      <w:sz w:val="20"/>
                    </w:rPr>
                  </w:pPr>
                  <w:r w:rsidRPr="000939E3">
                    <w:rPr>
                      <w:sz w:val="20"/>
                    </w:rPr>
                    <w:t>Zníženie o 45 FTE (8 %)</w:t>
                  </w:r>
                </w:p>
                <w:p w14:paraId="1FCBD3FF" w14:textId="77777777" w:rsidR="00A42312" w:rsidRPr="000939E3" w:rsidRDefault="00A42312" w:rsidP="00D62879">
                  <w:pPr>
                    <w:framePr w:hSpace="141" w:wrap="around" w:vAnchor="text" w:hAnchor="margin" w:y="77"/>
                    <w:cnfStyle w:val="000000100000" w:firstRow="0" w:lastRow="0" w:firstColumn="0" w:lastColumn="0" w:oddVBand="0" w:evenVBand="0" w:oddHBand="1" w:evenHBand="0" w:firstRowFirstColumn="0" w:firstRowLastColumn="0" w:lastRowFirstColumn="0" w:lastRowLastColumn="0"/>
                    <w:rPr>
                      <w:sz w:val="20"/>
                    </w:rPr>
                  </w:pPr>
                  <w:r w:rsidRPr="000939E3">
                    <w:rPr>
                      <w:sz w:val="20"/>
                    </w:rPr>
                    <w:t>Odčlenenie útvarov servisného resp. výkonového charakteru</w:t>
                  </w:r>
                </w:p>
              </w:tc>
              <w:tc>
                <w:tcPr>
                  <w:tcW w:w="3403" w:type="dxa"/>
                </w:tcPr>
                <w:p w14:paraId="69908FFC" w14:textId="68835185" w:rsidR="00A42312" w:rsidRPr="000939E3" w:rsidRDefault="00A42312" w:rsidP="00D62879">
                  <w:pPr>
                    <w:framePr w:hSpace="141" w:wrap="around" w:vAnchor="text" w:hAnchor="margin" w:y="77"/>
                    <w:cnfStyle w:val="000000100000" w:firstRow="0" w:lastRow="0" w:firstColumn="0" w:lastColumn="0" w:oddVBand="0" w:evenVBand="0" w:oddHBand="1" w:evenHBand="0" w:firstRowFirstColumn="0" w:firstRowLastColumn="0" w:lastRowFirstColumn="0" w:lastRowLastColumn="0"/>
                    <w:rPr>
                      <w:sz w:val="20"/>
                    </w:rPr>
                  </w:pPr>
                  <w:r w:rsidRPr="000939E3">
                    <w:rPr>
                      <w:sz w:val="20"/>
                    </w:rPr>
                    <w:t>O implementácii opatrení nebolo v dobe písania revízie (2020) rozhodnuté.</w:t>
                  </w:r>
                </w:p>
              </w:tc>
            </w:tr>
            <w:tr w:rsidR="00A42312" w:rsidRPr="000939E3" w14:paraId="1CCD0621" w14:textId="77777777" w:rsidTr="00A53E86">
              <w:trPr>
                <w:trHeight w:val="20"/>
              </w:trPr>
              <w:tc>
                <w:tcPr>
                  <w:cnfStyle w:val="001000000000" w:firstRow="0" w:lastRow="0" w:firstColumn="1" w:lastColumn="0" w:oddVBand="0" w:evenVBand="0" w:oddHBand="0" w:evenHBand="0" w:firstRowFirstColumn="0" w:firstRowLastColumn="0" w:lastRowFirstColumn="0" w:lastRowLastColumn="0"/>
                  <w:tcW w:w="8932" w:type="dxa"/>
                  <w:gridSpan w:val="4"/>
                  <w:noWrap/>
                  <w:vAlign w:val="center"/>
                </w:tcPr>
                <w:p w14:paraId="52FBB148" w14:textId="77777777" w:rsidR="00A42312" w:rsidRPr="00824A98" w:rsidRDefault="00A42312" w:rsidP="00D62879">
                  <w:pPr>
                    <w:framePr w:hSpace="141" w:wrap="around" w:vAnchor="text" w:hAnchor="margin" w:y="77"/>
                    <w:rPr>
                      <w:b w:val="0"/>
                      <w:i/>
                      <w:sz w:val="16"/>
                      <w:szCs w:val="16"/>
                    </w:rPr>
                  </w:pPr>
                  <w:r w:rsidRPr="00824A98">
                    <w:rPr>
                      <w:b w:val="0"/>
                      <w:i/>
                      <w:sz w:val="18"/>
                      <w:szCs w:val="16"/>
                      <w:vertAlign w:val="superscript"/>
                    </w:rPr>
                    <w:t>1</w:t>
                  </w:r>
                  <w:r w:rsidRPr="00824A98">
                    <w:rPr>
                      <w:b w:val="0"/>
                      <w:i/>
                      <w:sz w:val="18"/>
                      <w:szCs w:val="16"/>
                    </w:rPr>
                    <w:t xml:space="preserve"> MH SR, MPaRV SR, MZVaEZ SR, MŽP SR neposkytli informácie o realizácii mzdovo-procesných auditov; na MPSVaR SR a MS SR nebol realizovaný mzdovo-organizačný audit. </w:t>
                  </w:r>
                </w:p>
              </w:tc>
            </w:tr>
          </w:tbl>
          <w:p w14:paraId="0070D3D8" w14:textId="77777777" w:rsidR="00A42312" w:rsidRPr="000939E3" w:rsidRDefault="00A42312" w:rsidP="00A53E86"/>
        </w:tc>
      </w:tr>
    </w:tbl>
    <w:p w14:paraId="7B2FBF90" w14:textId="6FD0A35C" w:rsidR="008E4B7A" w:rsidRPr="000939E3" w:rsidRDefault="008A5973" w:rsidP="008E4B7A">
      <w:pPr>
        <w:pStyle w:val="Odsekzoznamu"/>
        <w:numPr>
          <w:ilvl w:val="0"/>
          <w:numId w:val="30"/>
        </w:numPr>
        <w:tabs>
          <w:tab w:val="left" w:pos="284"/>
        </w:tabs>
        <w:spacing w:before="160"/>
        <w:ind w:left="0" w:firstLine="0"/>
        <w:jc w:val="both"/>
      </w:pPr>
      <w:r w:rsidRPr="000939E3">
        <w:rPr>
          <w:b/>
        </w:rPr>
        <w:lastRenderedPageBreak/>
        <w:t xml:space="preserve">Centralizácia podporných a prierezových činností do rezortných servisných centier </w:t>
      </w:r>
      <w:r w:rsidRPr="000939E3">
        <w:t>kombinuje optimalizáciu procesov so zásadnejšími zmenami vyžadujúcimi spoluprácu viacerých organizácií. Podľa skúseností zo zahraničia</w:t>
      </w:r>
      <w:r w:rsidRPr="000939E3">
        <w:rPr>
          <w:vertAlign w:val="superscript"/>
        </w:rPr>
        <w:footnoteReference w:id="107"/>
      </w:r>
      <w:r w:rsidRPr="000939E3">
        <w:t xml:space="preserve"> má potenciál znížiť náklady o 15-20 % voči stavu pred optimalizáciou. Podobné výsledky potvrdzujú aj príklady centralizácie podporných činností zo súkromného sektora v Česku a na Slovensku</w:t>
      </w:r>
      <w:r w:rsidRPr="000939E3">
        <w:rPr>
          <w:rStyle w:val="Odkaznapoznmkupodiarou"/>
        </w:rPr>
        <w:footnoteReference w:id="108"/>
      </w:r>
      <w:r w:rsidRPr="000939E3">
        <w:t>. Súčasťou tohto potenciálu je úspora už dosiahnutá optimalizáciou na úradoch samotných. Postupný presun výkonu vybraných činností podriadených organizácií na úrady v rámci rezortu by okrem úspor z rozsahu priniesol zvýšenie efektivity a kvality poskytovaných služieb. Medzi činnosti s predpokladom na centralizáciu</w:t>
      </w:r>
      <w:r w:rsidRPr="000939E3">
        <w:rPr>
          <w:vertAlign w:val="superscript"/>
        </w:rPr>
        <w:footnoteReference w:id="109"/>
      </w:r>
      <w:r w:rsidRPr="000939E3">
        <w:t xml:space="preserve"> patria činnosti z ľudských zdrojov, financovania, práva, verejného obstarávania, vnútornej správy a IT. </w:t>
      </w:r>
    </w:p>
    <w:tbl>
      <w:tblPr>
        <w:tblStyle w:val="Mriekatabuky1"/>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CellMar>
          <w:left w:w="70" w:type="dxa"/>
          <w:right w:w="70" w:type="dxa"/>
        </w:tblCellMar>
        <w:tblLook w:val="04A0" w:firstRow="1" w:lastRow="0" w:firstColumn="1" w:lastColumn="0" w:noHBand="0" w:noVBand="1"/>
      </w:tblPr>
      <w:tblGrid>
        <w:gridCol w:w="9072"/>
      </w:tblGrid>
      <w:tr w:rsidR="008A5973" w:rsidRPr="000939E3" w14:paraId="1F5062E7" w14:textId="77777777" w:rsidTr="0040330D">
        <w:trPr>
          <w:trHeight w:val="1276"/>
        </w:trPr>
        <w:tc>
          <w:tcPr>
            <w:tcW w:w="0" w:type="auto"/>
            <w:shd w:val="clear" w:color="auto" w:fill="BDD6EE" w:themeFill="accent1" w:themeFillTint="66"/>
          </w:tcPr>
          <w:p w14:paraId="7440EADD" w14:textId="43800498" w:rsidR="003547B4" w:rsidRPr="000939E3" w:rsidRDefault="008A5973" w:rsidP="00B5257A">
            <w:pPr>
              <w:rPr>
                <w:b/>
                <w:lang w:eastAsia="sk-SK"/>
              </w:rPr>
            </w:pPr>
            <w:r w:rsidRPr="000939E3">
              <w:rPr>
                <w:b/>
                <w:lang w:eastAsia="sk-SK"/>
              </w:rPr>
              <w:t xml:space="preserve">Box </w:t>
            </w:r>
            <w:r w:rsidRPr="000939E3">
              <w:rPr>
                <w:b/>
                <w:lang w:eastAsia="sk-SK"/>
              </w:rPr>
              <w:fldChar w:fldCharType="begin"/>
            </w:r>
            <w:r w:rsidRPr="000939E3">
              <w:rPr>
                <w:b/>
                <w:lang w:eastAsia="sk-SK"/>
              </w:rPr>
              <w:instrText xml:space="preserve"> SEQ Box \* ARABIC </w:instrText>
            </w:r>
            <w:r w:rsidRPr="000939E3">
              <w:rPr>
                <w:b/>
                <w:lang w:eastAsia="sk-SK"/>
              </w:rPr>
              <w:fldChar w:fldCharType="separate"/>
            </w:r>
            <w:r w:rsidR="00BF69CA">
              <w:rPr>
                <w:b/>
                <w:noProof/>
                <w:lang w:eastAsia="sk-SK"/>
              </w:rPr>
              <w:t>12</w:t>
            </w:r>
            <w:r w:rsidRPr="000939E3">
              <w:rPr>
                <w:b/>
                <w:lang w:eastAsia="sk-SK"/>
              </w:rPr>
              <w:fldChar w:fldCharType="end"/>
            </w:r>
            <w:r w:rsidRPr="000939E3">
              <w:rPr>
                <w:b/>
                <w:lang w:eastAsia="sk-SK"/>
              </w:rPr>
              <w:t xml:space="preserve">: </w:t>
            </w:r>
            <w:r w:rsidRPr="000939E3">
              <w:rPr>
                <w:b/>
              </w:rPr>
              <w:t>Uskutočnená centralizácia podporných a prierezových činností na Slovensku</w:t>
            </w:r>
          </w:p>
          <w:p w14:paraId="34A27394" w14:textId="7EA1EF16" w:rsidR="00A27C40" w:rsidRPr="000939E3" w:rsidRDefault="00A27C40" w:rsidP="00B5257A">
            <w:r w:rsidRPr="000939E3">
              <w:rPr>
                <w:b/>
              </w:rPr>
              <w:t xml:space="preserve">Centralizácia úradov finančného zabezpečenia ministerstva obrany viedla k zníženiu nákladov </w:t>
            </w:r>
            <w:r w:rsidRPr="000939E3">
              <w:rPr>
                <w:b/>
              </w:rPr>
              <w:br/>
              <w:t>a poklesu chybovosti pri finančnom výkazníctve.</w:t>
            </w:r>
            <w:r w:rsidRPr="000939E3">
              <w:t xml:space="preserve"> Ide o jeden z prvých pokusov centralizácie podporných služieb. V roku 1997 ministerstvo zriadilo úrady finančného zabezpečenia, z 20 úradov vznikol jeden a tri pobočky. Úrad vykonáva činnosti účtovníctva pre celé MO SR. Z 300 zamestnancov sa postupom času znížil počet na 120, z toho približne 44 % pracuje mimo Bratislavy. </w:t>
            </w:r>
          </w:p>
          <w:p w14:paraId="34F46841" w14:textId="77777777" w:rsidR="008A5973" w:rsidRPr="000939E3" w:rsidRDefault="008A5973" w:rsidP="008A5973">
            <w:r w:rsidRPr="000939E3">
              <w:rPr>
                <w:b/>
              </w:rPr>
              <w:t>Takmer tretinový pokles zamestnancov priniesla centralizácia podporných služieb MV SR</w:t>
            </w:r>
            <w:r w:rsidRPr="000939E3">
              <w:t>, vytvorením Centier podpory v roku 2015. Centrá podpory majú krajskú pôsobnosť a vykonávajú podporné činnosti ako sú personalistika, účtovníctvo, rozpočtovanie, alebo materiálno-technické zabezpečenie pre útvary policajného, hasičského a záchranného zboru, okresné úrady a zariadenia ministerstva vnútra. Okrem zníženia počtu zamestnancov priniesla centralizácia aj ďalšie synergické efekty v oblasti obstarávania tovarov a služieb, účtovníctva a finančného manažmentu.</w:t>
            </w:r>
          </w:p>
        </w:tc>
      </w:tr>
    </w:tbl>
    <w:p w14:paraId="7A634B43" w14:textId="27A2BDB6" w:rsidR="003D414F" w:rsidRPr="000939E3" w:rsidRDefault="008A5973" w:rsidP="00B5257A">
      <w:pPr>
        <w:pStyle w:val="Odsekzoznamu"/>
        <w:numPr>
          <w:ilvl w:val="0"/>
          <w:numId w:val="30"/>
        </w:numPr>
        <w:tabs>
          <w:tab w:val="left" w:pos="284"/>
        </w:tabs>
        <w:spacing w:before="240"/>
        <w:ind w:left="0" w:firstLine="0"/>
        <w:jc w:val="both"/>
      </w:pPr>
      <w:r w:rsidRPr="000939E3">
        <w:rPr>
          <w:b/>
        </w:rPr>
        <w:t xml:space="preserve">Vytvorenie spoločných centier podporných a prierezových činností v rámci štátu </w:t>
      </w:r>
      <w:r w:rsidRPr="000939E3">
        <w:t>by podľa skúseností zo</w:t>
      </w:r>
      <w:r w:rsidR="00820790" w:rsidRPr="000939E3">
        <w:t> </w:t>
      </w:r>
      <w:r w:rsidRPr="000939E3">
        <w:t>zahraničia</w:t>
      </w:r>
      <w:r w:rsidRPr="000939E3">
        <w:rPr>
          <w:vertAlign w:val="superscript"/>
        </w:rPr>
        <w:footnoteReference w:id="110"/>
      </w:r>
      <w:r w:rsidRPr="000939E3">
        <w:t xml:space="preserve"> umožnilo ušetriť až tretinu nákladov na činnosti s predpoklado</w:t>
      </w:r>
      <w:r w:rsidR="00820790" w:rsidRPr="000939E3">
        <w:t xml:space="preserve">m na centralizáciu. Podobne ako </w:t>
      </w:r>
      <w:r w:rsidR="00820790" w:rsidRPr="000939E3">
        <w:lastRenderedPageBreak/>
        <w:t>v </w:t>
      </w:r>
      <w:r w:rsidR="008F3937" w:rsidRPr="000939E3">
        <w:t>prípade </w:t>
      </w:r>
      <w:r w:rsidRPr="000939E3">
        <w:t xml:space="preserve">rezortných centier, </w:t>
      </w:r>
      <w:r w:rsidR="008F3937" w:rsidRPr="000939E3">
        <w:t>aj pri</w:t>
      </w:r>
      <w:r w:rsidRPr="000939E3">
        <w:t xml:space="preserve"> štátnej centralizáci</w:t>
      </w:r>
      <w:r w:rsidR="008F3937" w:rsidRPr="000939E3">
        <w:t>i</w:t>
      </w:r>
      <w:r w:rsidRPr="000939E3">
        <w:t xml:space="preserve"> sa dajú očakávať úspory z</w:t>
      </w:r>
      <w:r w:rsidR="00A27C40" w:rsidRPr="000939E3">
        <w:t> </w:t>
      </w:r>
      <w:r w:rsidRPr="000939E3">
        <w:t>rozsahu</w:t>
      </w:r>
      <w:r w:rsidR="00A27C40" w:rsidRPr="000939E3">
        <w:t xml:space="preserve"> a</w:t>
      </w:r>
      <w:r w:rsidRPr="000939E3">
        <w:t xml:space="preserve"> zlepšenie kvality poskytovaných služieb. Zabezpečovanie podporných služieb prostredníctvom štátnych servisných centier by prinieslo dodatočné zvýšenie efektivity prostredníctvom štandardizácie procesov, zvýšenia transparentnosti výdavkov a lepšieho zberu údajov pre manažérske rozhodnutia. Pilotným projektom by mohla byť centralizácia podporných a prierezových činností troch ministerstiev s najvyššími relatívnymi nákladmi na ministerstvo financií.</w:t>
      </w:r>
      <w:r w:rsidR="003D414F" w:rsidRPr="000939E3">
        <w:t xml:space="preserve"> </w:t>
      </w:r>
    </w:p>
    <w:p w14:paraId="28F92513" w14:textId="660AB2F3" w:rsidR="003D414F" w:rsidRPr="000939E3" w:rsidRDefault="003D414F" w:rsidP="003D414F">
      <w:r w:rsidRPr="000939E3">
        <w:t>Jedným z prvých krokov k centralizácii kritických a náročných činností je centralizácia komplexných právnych sporov vedených proti SR na jednom centrálnom štátnom orgáne. Predpokladom pre uvedené je uznesenie vlády</w:t>
      </w:r>
      <w:r w:rsidRPr="000939E3">
        <w:rPr>
          <w:rStyle w:val="Odkaznapoznmkupodiarou"/>
        </w:rPr>
        <w:footnoteReference w:id="111"/>
      </w:r>
      <w:r w:rsidRPr="000939E3">
        <w:t>, ktorým bola MF SR určená úloha zanalyzovať právne spory vedené proti SR. Údaje získané prostredníctvom pripravovanej analýzy budú základom pre vytvorenie centrálnej evidencie právnych sporov, s</w:t>
      </w:r>
      <w:r w:rsidR="00B5257A" w:rsidRPr="000939E3">
        <w:t> </w:t>
      </w:r>
      <w:r w:rsidRPr="000939E3">
        <w:t>cieľom lepšej koordinácie a včasnej identifikácie náročných sporov. Zo záverov pripravovanej úlohy budú určené aj navrhované riešenia pre konkrétnu formu centralizácie v riaden</w:t>
      </w:r>
      <w:r w:rsidR="00264DFC" w:rsidRPr="000939E3">
        <w:t>í</w:t>
      </w:r>
      <w:r w:rsidRPr="000939E3">
        <w:t xml:space="preserve"> a prevenci</w:t>
      </w:r>
      <w:r w:rsidR="00264DFC" w:rsidRPr="000939E3">
        <w:t>i</w:t>
      </w:r>
      <w:r w:rsidRPr="000939E3">
        <w:t xml:space="preserve"> právnych sporov proti SR.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062"/>
      </w:tblGrid>
      <w:tr w:rsidR="008A5973" w:rsidRPr="000939E3" w14:paraId="72144A46" w14:textId="77777777" w:rsidTr="0040330D">
        <w:tc>
          <w:tcPr>
            <w:tcW w:w="9062" w:type="dxa"/>
            <w:shd w:val="clear" w:color="auto" w:fill="BDD6EE" w:themeFill="accent1" w:themeFillTint="66"/>
          </w:tcPr>
          <w:p w14:paraId="0E9B29ED" w14:textId="77777777" w:rsidR="008A5973" w:rsidRPr="000939E3" w:rsidRDefault="008A5973" w:rsidP="008A5973">
            <w:pPr>
              <w:rPr>
                <w:b/>
                <w:lang w:eastAsia="sk-SK"/>
              </w:rPr>
            </w:pPr>
            <w:bookmarkStart w:id="262" w:name="_Ref5994569"/>
            <w:r w:rsidRPr="000939E3">
              <w:rPr>
                <w:b/>
                <w:lang w:eastAsia="sk-SK"/>
              </w:rPr>
              <w:t xml:space="preserve">Box </w:t>
            </w:r>
            <w:r w:rsidRPr="000939E3">
              <w:rPr>
                <w:b/>
                <w:lang w:eastAsia="sk-SK"/>
              </w:rPr>
              <w:fldChar w:fldCharType="begin"/>
            </w:r>
            <w:r w:rsidRPr="000939E3">
              <w:rPr>
                <w:b/>
                <w:lang w:eastAsia="sk-SK"/>
              </w:rPr>
              <w:instrText xml:space="preserve"> SEQ Box \* ARABIC </w:instrText>
            </w:r>
            <w:r w:rsidRPr="000939E3">
              <w:rPr>
                <w:b/>
                <w:lang w:eastAsia="sk-SK"/>
              </w:rPr>
              <w:fldChar w:fldCharType="separate"/>
            </w:r>
            <w:r w:rsidR="00BF69CA">
              <w:rPr>
                <w:b/>
                <w:noProof/>
                <w:lang w:eastAsia="sk-SK"/>
              </w:rPr>
              <w:t>13</w:t>
            </w:r>
            <w:r w:rsidRPr="000939E3">
              <w:rPr>
                <w:b/>
                <w:lang w:eastAsia="sk-SK"/>
              </w:rPr>
              <w:fldChar w:fldCharType="end"/>
            </w:r>
            <w:bookmarkEnd w:id="262"/>
            <w:r w:rsidRPr="000939E3">
              <w:rPr>
                <w:b/>
                <w:lang w:eastAsia="sk-SK"/>
              </w:rPr>
              <w:t>: Centralizácia podporných a prierezových činností v zahraničí</w:t>
            </w:r>
          </w:p>
          <w:p w14:paraId="71A42231" w14:textId="276B54B6" w:rsidR="008A5973" w:rsidRPr="000939E3" w:rsidRDefault="008A5973" w:rsidP="008A5973">
            <w:r w:rsidRPr="000939E3">
              <w:rPr>
                <w:b/>
              </w:rPr>
              <w:t>Znižovanie výdavkov</w:t>
            </w:r>
            <w:r w:rsidRPr="000939E3" w:rsidDel="00B16899">
              <w:rPr>
                <w:b/>
              </w:rPr>
              <w:t xml:space="preserve"> </w:t>
            </w:r>
            <w:r w:rsidRPr="000939E3">
              <w:rPr>
                <w:b/>
              </w:rPr>
              <w:t xml:space="preserve">podporných a prierezových činností je možné centralizáciou služieb. </w:t>
            </w:r>
            <w:r w:rsidR="00A27C40" w:rsidRPr="000939E3">
              <w:t xml:space="preserve">Vytváranie </w:t>
            </w:r>
            <w:r w:rsidRPr="000939E3">
              <w:t>centier zdieľaných služieb vo verejnom sektore realizovalo niekoľko krajín, napr. Estónsko, Bulharsko, Veľká Británia alebo Holandsko. Centralizácia však mení organizačnú štruktúru</w:t>
            </w:r>
            <w:r w:rsidR="00A27C40" w:rsidRPr="000939E3">
              <w:t xml:space="preserve"> a</w:t>
            </w:r>
            <w:r w:rsidRPr="000939E3">
              <w:t xml:space="preserve"> presúva niektoré kompetencie mimo ministerstvo.</w:t>
            </w:r>
          </w:p>
          <w:p w14:paraId="40C09B60" w14:textId="77777777" w:rsidR="008A5973" w:rsidRPr="000939E3" w:rsidRDefault="008A5973" w:rsidP="008A5973">
            <w:r w:rsidRPr="000939E3">
              <w:rPr>
                <w:b/>
              </w:rPr>
              <w:t xml:space="preserve">Takmer tretinu výdavkov od roku 2013 ušetrilo Estónsko centralizáciou dvoch agend. </w:t>
            </w:r>
            <w:r w:rsidRPr="000939E3">
              <w:t>Mzdové účtovníctvo a administrácia ľudských zdrojov bolo centralizované v roku 2013. Odvtedy Estónsko znížilo výdavky o 30 % a získalo lepšie informácie o zamestnancoch. Motiváciou centralizácie bolo zvýšenie transparentnosti výdavkov na zamestnancov, zníženie výdavkov na podporné služby a zjednotenie a zvýšenie kvality poskytovaných služieb.</w:t>
            </w:r>
          </w:p>
          <w:p w14:paraId="3815892B" w14:textId="1B062DA7" w:rsidR="008A5973" w:rsidRPr="000939E3" w:rsidRDefault="008A5973" w:rsidP="008A5973">
            <w:r w:rsidRPr="000939E3">
              <w:rPr>
                <w:b/>
              </w:rPr>
              <w:t>Centralizácia sa začala zjednotením informačného systému, plošné riešenie bolo zavedené až po</w:t>
            </w:r>
            <w:r w:rsidR="00813E6B">
              <w:rPr>
                <w:b/>
              </w:rPr>
              <w:t> </w:t>
            </w:r>
            <w:r w:rsidRPr="000939E3">
              <w:rPr>
                <w:b/>
              </w:rPr>
              <w:t>validácii benefitov.</w:t>
            </w:r>
            <w:r w:rsidRPr="000939E3">
              <w:t xml:space="preserve"> Po zlúčení IT systémov nasledovalo zlučovanie odborných </w:t>
            </w:r>
            <w:r w:rsidR="00B5257A" w:rsidRPr="000939E3">
              <w:t>služieb v rámci ministerstiev a </w:t>
            </w:r>
            <w:r w:rsidRPr="000939E3">
              <w:t>následne ich zdieľanie. Na začiatku boli zapojené štyri rezorty, pre ostatné ministerstvá bolo využívanie dobrovoľné. Po validácii benefitov a kvality služieb je zapojenie povinné pre všetky ministerstvá.</w:t>
            </w:r>
          </w:p>
          <w:p w14:paraId="2D3C018D" w14:textId="456EF04D" w:rsidR="008A5973" w:rsidRPr="000939E3" w:rsidRDefault="008A5973" w:rsidP="00A27C40">
            <w:r w:rsidRPr="000939E3">
              <w:rPr>
                <w:b/>
              </w:rPr>
              <w:t>Estónsko využilo časť ušetrených výdavkov na zlepšenie pracovných podmienok a zvýšenie miezd zamestnancov.</w:t>
            </w:r>
            <w:r w:rsidRPr="000939E3">
              <w:t xml:space="preserve"> Estónsko má už centralizované aj iné podporné činnosti v štátnej správe (časť IT a správa majetku). Výhľadovo sa uvažuje </w:t>
            </w:r>
            <w:r w:rsidR="00A27C40" w:rsidRPr="000939E3">
              <w:t>o centralizácii</w:t>
            </w:r>
            <w:r w:rsidRPr="000939E3">
              <w:t xml:space="preserve"> obstarávania a tréningu zamestnancov. Až 60 % zamestnancov centier zdieľaných služieb štátu je zamestnaných mimo hlavného mesta s nižšími nákladmi práce.</w:t>
            </w:r>
            <w:r w:rsidRPr="000939E3">
              <w:rPr>
                <w:vertAlign w:val="superscript"/>
              </w:rPr>
              <w:footnoteReference w:id="112"/>
            </w:r>
          </w:p>
        </w:tc>
      </w:tr>
    </w:tbl>
    <w:p w14:paraId="4ADC370A" w14:textId="65582E94" w:rsidR="008A5973" w:rsidRPr="000939E3" w:rsidRDefault="008A5973" w:rsidP="00824A98">
      <w:pPr>
        <w:spacing w:before="160"/>
      </w:pPr>
      <w:r w:rsidRPr="000939E3">
        <w:rPr>
          <w:b/>
        </w:rPr>
        <w:t>Organizácie, ktoré si prešli centralizáciou sa zhodujú, že jedným zo základných predpokladov pre úspech centralizácie je štandardizácia procesov a zjednotenie informačných systémov.</w:t>
      </w:r>
      <w:r w:rsidRPr="000939E3">
        <w:t xml:space="preserve"> Na Slovensku by túto úlohu mohol zohrať projekt reformy podpornej ekonomickej agendy štátu MF SR - Centrálny ekonomický systém (CES). Projekt CES predpokladá centralizáciu servisne poskytovaných služieb, jeho cieľom je zjednotenie činností ministerstiev a podriadených organizácií najmä v ekonomickej agende. Je tak významným predpokladom pre centralizáciu ďalších činností v štáte (</w:t>
      </w:r>
      <w:r w:rsidR="007F515E" w:rsidRPr="000939E3">
        <w:fldChar w:fldCharType="begin"/>
      </w:r>
      <w:r w:rsidR="007F515E" w:rsidRPr="000939E3">
        <w:instrText xml:space="preserve"> REF _Ref5996038 \h  \* MERGEFORMAT </w:instrText>
      </w:r>
      <w:r w:rsidR="007F515E" w:rsidRPr="000939E3">
        <w:fldChar w:fldCharType="separate"/>
      </w:r>
      <w:r w:rsidR="00BF69CA" w:rsidRPr="00BF69CA">
        <w:t>Príloha 16</w:t>
      </w:r>
      <w:r w:rsidR="007F515E" w:rsidRPr="000939E3">
        <w:fldChar w:fldCharType="end"/>
      </w:r>
      <w:r w:rsidRPr="000939E3">
        <w:t>).</w:t>
      </w:r>
      <w:r w:rsidRPr="000939E3" w:rsidDel="00D159C3">
        <w:t xml:space="preserve"> </w:t>
      </w:r>
      <w:r w:rsidRPr="000939E3">
        <w:t>Centrálny informačný systém štátnej služby, prepojený s CES taktiež prinesie zjednodušenie činností. Prispeje k štandardizácii procesov časti podporných a prierezových činností ako napríklad evidencie zamestnancov alebo výberových konaní.</w:t>
      </w:r>
    </w:p>
    <w:tbl>
      <w:tblPr>
        <w:tblW w:w="5000" w:type="pct"/>
        <w:tblLayout w:type="fixed"/>
        <w:tblCellMar>
          <w:left w:w="70" w:type="dxa"/>
          <w:right w:w="70" w:type="dxa"/>
        </w:tblCellMar>
        <w:tblLook w:val="04A0" w:firstRow="1" w:lastRow="0" w:firstColumn="1" w:lastColumn="0" w:noHBand="0" w:noVBand="1"/>
      </w:tblPr>
      <w:tblGrid>
        <w:gridCol w:w="1419"/>
        <w:gridCol w:w="2551"/>
        <w:gridCol w:w="2551"/>
        <w:gridCol w:w="2551"/>
      </w:tblGrid>
      <w:tr w:rsidR="008A5973" w:rsidRPr="000939E3" w14:paraId="6BBB8E58" w14:textId="77777777" w:rsidTr="00B5257A">
        <w:trPr>
          <w:trHeight w:val="20"/>
          <w:tblHeader/>
        </w:trPr>
        <w:tc>
          <w:tcPr>
            <w:tcW w:w="5000" w:type="pct"/>
            <w:gridSpan w:val="4"/>
            <w:tcBorders>
              <w:left w:val="nil"/>
              <w:bottom w:val="single" w:sz="4" w:space="0" w:color="auto"/>
              <w:right w:val="nil"/>
            </w:tcBorders>
            <w:shd w:val="clear" w:color="auto" w:fill="auto"/>
            <w:vAlign w:val="center"/>
          </w:tcPr>
          <w:p w14:paraId="2E2565B5" w14:textId="77777777" w:rsidR="008A5973" w:rsidRPr="000939E3" w:rsidRDefault="008A5973" w:rsidP="008A5973">
            <w:pPr>
              <w:spacing w:after="0" w:line="240" w:lineRule="auto"/>
              <w:contextualSpacing/>
              <w:rPr>
                <w:rFonts w:eastAsia="Times New Roman" w:cs="Times New Roman"/>
                <w:b/>
                <w:bCs/>
                <w:color w:val="000000"/>
                <w:sz w:val="20"/>
                <w:szCs w:val="20"/>
                <w:lang w:eastAsia="sk-SK"/>
              </w:rPr>
            </w:pPr>
            <w:bookmarkStart w:id="263" w:name="_Toc34226945"/>
            <w:r w:rsidRPr="000939E3">
              <w:rPr>
                <w:b/>
                <w:sz w:val="20"/>
                <w:szCs w:val="20"/>
              </w:rPr>
              <w:lastRenderedPageBreak/>
              <w:t xml:space="preserve">Tabuľka </w:t>
            </w:r>
            <w:r w:rsidRPr="000939E3">
              <w:rPr>
                <w:b/>
                <w:sz w:val="20"/>
                <w:szCs w:val="20"/>
              </w:rPr>
              <w:fldChar w:fldCharType="begin"/>
            </w:r>
            <w:r w:rsidRPr="000939E3">
              <w:rPr>
                <w:b/>
                <w:sz w:val="20"/>
                <w:szCs w:val="20"/>
              </w:rPr>
              <w:instrText xml:space="preserve"> SEQ Tabuľka \* ARABIC </w:instrText>
            </w:r>
            <w:r w:rsidRPr="000939E3">
              <w:rPr>
                <w:b/>
                <w:sz w:val="20"/>
                <w:szCs w:val="20"/>
              </w:rPr>
              <w:fldChar w:fldCharType="separate"/>
            </w:r>
            <w:r w:rsidR="00BF69CA">
              <w:rPr>
                <w:b/>
                <w:noProof/>
                <w:sz w:val="20"/>
                <w:szCs w:val="20"/>
              </w:rPr>
              <w:t>12</w:t>
            </w:r>
            <w:r w:rsidRPr="000939E3">
              <w:rPr>
                <w:b/>
                <w:sz w:val="20"/>
                <w:szCs w:val="20"/>
              </w:rPr>
              <w:fldChar w:fldCharType="end"/>
            </w:r>
            <w:r w:rsidRPr="000939E3">
              <w:rPr>
                <w:b/>
                <w:sz w:val="20"/>
                <w:szCs w:val="20"/>
              </w:rPr>
              <w:t>:</w:t>
            </w:r>
            <w:r w:rsidRPr="000939E3">
              <w:rPr>
                <w:rFonts w:eastAsia="Times New Roman" w:cs="Times New Roman"/>
                <w:b/>
                <w:bCs/>
                <w:sz w:val="20"/>
                <w:szCs w:val="20"/>
                <w:lang w:eastAsia="sk-SK"/>
              </w:rPr>
              <w:t xml:space="preserve"> </w:t>
            </w:r>
            <w:r w:rsidRPr="000939E3">
              <w:rPr>
                <w:rFonts w:eastAsia="Times New Roman" w:cs="Times New Roman"/>
                <w:b/>
                <w:bCs/>
                <w:color w:val="000000"/>
                <w:sz w:val="20"/>
                <w:szCs w:val="20"/>
                <w:lang w:eastAsia="sk-SK"/>
              </w:rPr>
              <w:t>Možnosti optimalizácie podporných a prierezových činností</w:t>
            </w:r>
            <w:bookmarkEnd w:id="263"/>
          </w:p>
        </w:tc>
      </w:tr>
      <w:tr w:rsidR="008A5973" w:rsidRPr="000939E3" w14:paraId="5B644C46" w14:textId="77777777" w:rsidTr="00B5257A">
        <w:trPr>
          <w:trHeight w:val="20"/>
          <w:tblHeader/>
        </w:trPr>
        <w:tc>
          <w:tcPr>
            <w:tcW w:w="782" w:type="pct"/>
            <w:tcBorders>
              <w:top w:val="single" w:sz="4" w:space="0" w:color="auto"/>
              <w:left w:val="nil"/>
              <w:bottom w:val="single" w:sz="4" w:space="0" w:color="auto"/>
              <w:right w:val="nil"/>
            </w:tcBorders>
            <w:shd w:val="clear" w:color="auto" w:fill="auto"/>
            <w:vAlign w:val="center"/>
            <w:hideMark/>
          </w:tcPr>
          <w:p w14:paraId="1550ABA6" w14:textId="77777777" w:rsidR="008A5973" w:rsidRPr="000939E3" w:rsidRDefault="008A5973" w:rsidP="00B5257A">
            <w:pPr>
              <w:spacing w:after="0"/>
              <w:contextualSpacing/>
              <w:jc w:val="center"/>
              <w:rPr>
                <w:rFonts w:eastAsia="Times New Roman" w:cs="Times New Roman"/>
                <w:b/>
                <w:bCs/>
                <w:color w:val="000000"/>
                <w:sz w:val="20"/>
                <w:szCs w:val="20"/>
                <w:lang w:eastAsia="sk-SK"/>
              </w:rPr>
            </w:pPr>
          </w:p>
        </w:tc>
        <w:tc>
          <w:tcPr>
            <w:tcW w:w="1406" w:type="pct"/>
            <w:tcBorders>
              <w:top w:val="single" w:sz="4" w:space="0" w:color="auto"/>
              <w:left w:val="nil"/>
              <w:bottom w:val="single" w:sz="4" w:space="0" w:color="auto"/>
              <w:right w:val="nil"/>
            </w:tcBorders>
            <w:shd w:val="clear" w:color="auto" w:fill="auto"/>
            <w:noWrap/>
            <w:vAlign w:val="center"/>
            <w:hideMark/>
          </w:tcPr>
          <w:p w14:paraId="52D5C583" w14:textId="77777777" w:rsidR="008A5973" w:rsidRPr="000939E3" w:rsidRDefault="008A5973" w:rsidP="00B5257A">
            <w:pPr>
              <w:spacing w:after="0"/>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Optimalizácia: súčasné organizačné nastavenie</w:t>
            </w:r>
          </w:p>
        </w:tc>
        <w:tc>
          <w:tcPr>
            <w:tcW w:w="1406" w:type="pct"/>
            <w:tcBorders>
              <w:top w:val="single" w:sz="4" w:space="0" w:color="auto"/>
              <w:left w:val="nil"/>
              <w:bottom w:val="single" w:sz="4" w:space="0" w:color="auto"/>
              <w:right w:val="nil"/>
            </w:tcBorders>
            <w:shd w:val="clear" w:color="auto" w:fill="auto"/>
            <w:noWrap/>
            <w:vAlign w:val="center"/>
            <w:hideMark/>
          </w:tcPr>
          <w:p w14:paraId="6E0713FE" w14:textId="77777777" w:rsidR="008A5973" w:rsidRPr="000939E3" w:rsidRDefault="008A5973" w:rsidP="00B5257A">
            <w:pPr>
              <w:spacing w:after="0"/>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Rezortné servisné centrá</w:t>
            </w:r>
          </w:p>
        </w:tc>
        <w:tc>
          <w:tcPr>
            <w:tcW w:w="1406" w:type="pct"/>
            <w:tcBorders>
              <w:top w:val="single" w:sz="4" w:space="0" w:color="auto"/>
              <w:left w:val="nil"/>
              <w:bottom w:val="single" w:sz="4" w:space="0" w:color="auto"/>
              <w:right w:val="nil"/>
            </w:tcBorders>
            <w:shd w:val="clear" w:color="auto" w:fill="auto"/>
            <w:noWrap/>
            <w:vAlign w:val="center"/>
            <w:hideMark/>
          </w:tcPr>
          <w:p w14:paraId="2096FC93" w14:textId="77777777" w:rsidR="008A5973" w:rsidRPr="000939E3" w:rsidRDefault="008A5973" w:rsidP="00B5257A">
            <w:pPr>
              <w:spacing w:after="0"/>
              <w:contextualSpacing/>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Štátne servisné centrá</w:t>
            </w:r>
          </w:p>
        </w:tc>
      </w:tr>
      <w:tr w:rsidR="008A5973" w:rsidRPr="000939E3" w14:paraId="47EFA092" w14:textId="77777777" w:rsidTr="00B5257A">
        <w:trPr>
          <w:trHeight w:val="20"/>
        </w:trPr>
        <w:tc>
          <w:tcPr>
            <w:tcW w:w="782" w:type="pct"/>
            <w:tcBorders>
              <w:top w:val="single" w:sz="4" w:space="0" w:color="auto"/>
              <w:left w:val="nil"/>
              <w:bottom w:val="single" w:sz="4" w:space="0" w:color="auto"/>
              <w:right w:val="nil"/>
            </w:tcBorders>
            <w:shd w:val="clear" w:color="auto" w:fill="auto"/>
            <w:noWrap/>
            <w:vAlign w:val="center"/>
          </w:tcPr>
          <w:p w14:paraId="31CEEE1A" w14:textId="77777777" w:rsidR="008A5973" w:rsidRPr="000939E3" w:rsidRDefault="008A5973" w:rsidP="00B5257A">
            <w:pPr>
              <w:spacing w:after="0"/>
              <w:contextualSpacing/>
              <w:jc w:val="left"/>
              <w:rPr>
                <w:b/>
                <w:color w:val="000000"/>
                <w:sz w:val="20"/>
              </w:rPr>
            </w:pPr>
            <w:r w:rsidRPr="000939E3">
              <w:rPr>
                <w:b/>
                <w:color w:val="000000"/>
                <w:sz w:val="20"/>
              </w:rPr>
              <w:t>Doba a náročnosť implementácie</w:t>
            </w:r>
          </w:p>
        </w:tc>
        <w:tc>
          <w:tcPr>
            <w:tcW w:w="1406" w:type="pct"/>
            <w:tcBorders>
              <w:top w:val="single" w:sz="4" w:space="0" w:color="auto"/>
              <w:left w:val="nil"/>
              <w:bottom w:val="single" w:sz="4" w:space="0" w:color="auto"/>
              <w:right w:val="nil"/>
            </w:tcBorders>
            <w:shd w:val="clear" w:color="auto" w:fill="auto"/>
            <w:noWrap/>
            <w:vAlign w:val="center"/>
          </w:tcPr>
          <w:p w14:paraId="6A9118A9" w14:textId="185ACFCE" w:rsidR="008A5973" w:rsidRPr="000939E3" w:rsidRDefault="008A5973" w:rsidP="00B5257A">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xml:space="preserve">1 rok </w:t>
            </w:r>
            <w:r w:rsidRPr="000939E3">
              <w:rPr>
                <w:rFonts w:eastAsia="Times New Roman" w:cs="Times New Roman"/>
                <w:color w:val="000000"/>
                <w:sz w:val="20"/>
                <w:szCs w:val="20"/>
                <w:lang w:eastAsia="sk-SK"/>
              </w:rPr>
              <w:br/>
              <w:t>Nižšia náročnosť</w:t>
            </w:r>
          </w:p>
        </w:tc>
        <w:tc>
          <w:tcPr>
            <w:tcW w:w="1406" w:type="pct"/>
            <w:tcBorders>
              <w:top w:val="single" w:sz="4" w:space="0" w:color="auto"/>
              <w:left w:val="nil"/>
              <w:bottom w:val="single" w:sz="4" w:space="0" w:color="auto"/>
              <w:right w:val="nil"/>
            </w:tcBorders>
            <w:shd w:val="clear" w:color="auto" w:fill="auto"/>
            <w:noWrap/>
            <w:vAlign w:val="center"/>
          </w:tcPr>
          <w:p w14:paraId="5B6BF498" w14:textId="0DF770E5" w:rsidR="008A5973" w:rsidRPr="000939E3" w:rsidRDefault="008A5973" w:rsidP="00B5257A">
            <w:pPr>
              <w:spacing w:after="0"/>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2-3 roky</w:t>
            </w:r>
            <w:r w:rsidRPr="000939E3">
              <w:rPr>
                <w:rFonts w:eastAsia="Times New Roman" w:cs="Times New Roman"/>
                <w:color w:val="000000"/>
                <w:sz w:val="20"/>
                <w:szCs w:val="20"/>
                <w:lang w:eastAsia="sk-SK"/>
              </w:rPr>
              <w:br/>
              <w:t>Stredná náročnosť</w:t>
            </w:r>
          </w:p>
        </w:tc>
        <w:tc>
          <w:tcPr>
            <w:tcW w:w="1406" w:type="pct"/>
            <w:tcBorders>
              <w:top w:val="single" w:sz="4" w:space="0" w:color="auto"/>
              <w:left w:val="nil"/>
              <w:bottom w:val="single" w:sz="4" w:space="0" w:color="auto"/>
              <w:right w:val="nil"/>
            </w:tcBorders>
            <w:shd w:val="clear" w:color="auto" w:fill="auto"/>
            <w:noWrap/>
            <w:vAlign w:val="center"/>
          </w:tcPr>
          <w:p w14:paraId="579345F5" w14:textId="77777777" w:rsidR="008A5973" w:rsidRPr="000939E3" w:rsidRDefault="008A5973" w:rsidP="00B5257A">
            <w:pPr>
              <w:spacing w:after="0"/>
              <w:contextualSpacing/>
              <w:jc w:val="center"/>
              <w:rPr>
                <w:color w:val="000000"/>
                <w:sz w:val="20"/>
              </w:rPr>
            </w:pPr>
            <w:r w:rsidRPr="000939E3">
              <w:rPr>
                <w:color w:val="000000"/>
                <w:sz w:val="20"/>
              </w:rPr>
              <w:t>3-5 rokov</w:t>
            </w:r>
            <w:r w:rsidRPr="000939E3">
              <w:rPr>
                <w:color w:val="000000"/>
                <w:sz w:val="20"/>
              </w:rPr>
              <w:br/>
              <w:t>Vyššia náročnosť</w:t>
            </w:r>
          </w:p>
        </w:tc>
      </w:tr>
      <w:tr w:rsidR="008A5973" w:rsidRPr="000939E3" w14:paraId="7B14F890" w14:textId="77777777" w:rsidTr="00B5257A">
        <w:trPr>
          <w:trHeight w:val="20"/>
        </w:trPr>
        <w:tc>
          <w:tcPr>
            <w:tcW w:w="782" w:type="pct"/>
            <w:vMerge w:val="restart"/>
            <w:tcBorders>
              <w:top w:val="single" w:sz="4" w:space="0" w:color="auto"/>
              <w:left w:val="nil"/>
              <w:right w:val="nil"/>
            </w:tcBorders>
            <w:shd w:val="clear" w:color="auto" w:fill="auto"/>
            <w:noWrap/>
            <w:vAlign w:val="center"/>
          </w:tcPr>
          <w:p w14:paraId="4EEFCF57" w14:textId="77777777" w:rsidR="008A5973" w:rsidRPr="000939E3" w:rsidRDefault="008A5973" w:rsidP="00B5257A">
            <w:pPr>
              <w:spacing w:after="0"/>
              <w:contextualSpacing/>
              <w:rPr>
                <w:b/>
                <w:color w:val="000000"/>
                <w:sz w:val="20"/>
              </w:rPr>
            </w:pPr>
            <w:r w:rsidRPr="000939E3">
              <w:rPr>
                <w:b/>
                <w:color w:val="000000"/>
                <w:sz w:val="20"/>
              </w:rPr>
              <w:t>Potrebná investícia</w:t>
            </w:r>
          </w:p>
        </w:tc>
        <w:tc>
          <w:tcPr>
            <w:tcW w:w="1406" w:type="pct"/>
            <w:tcBorders>
              <w:top w:val="single" w:sz="4" w:space="0" w:color="auto"/>
              <w:left w:val="nil"/>
              <w:bottom w:val="dashed" w:sz="4" w:space="0" w:color="BFBFBF" w:themeColor="background1" w:themeShade="BF"/>
              <w:right w:val="nil"/>
            </w:tcBorders>
            <w:shd w:val="clear" w:color="auto" w:fill="auto"/>
            <w:noWrap/>
          </w:tcPr>
          <w:p w14:paraId="60F20F53" w14:textId="08DABDE8" w:rsidR="008A5973" w:rsidRPr="000939E3" w:rsidRDefault="008A5973" w:rsidP="00B5257A">
            <w:pPr>
              <w:spacing w:after="0"/>
              <w:contextualSpacing/>
              <w:jc w:val="left"/>
              <w:rPr>
                <w:rFonts w:eastAsia="Times New Roman" w:cs="Times New Roman"/>
                <w:color w:val="000000"/>
                <w:sz w:val="20"/>
                <w:szCs w:val="20"/>
                <w:lang w:eastAsia="sk-SK"/>
              </w:rPr>
            </w:pPr>
          </w:p>
        </w:tc>
        <w:tc>
          <w:tcPr>
            <w:tcW w:w="1406" w:type="pct"/>
            <w:tcBorders>
              <w:top w:val="single" w:sz="4" w:space="0" w:color="auto"/>
              <w:left w:val="nil"/>
              <w:bottom w:val="dashed" w:sz="4" w:space="0" w:color="BFBFBF" w:themeColor="background1" w:themeShade="BF"/>
              <w:right w:val="nil"/>
            </w:tcBorders>
            <w:shd w:val="clear" w:color="auto" w:fill="auto"/>
            <w:noWrap/>
          </w:tcPr>
          <w:p w14:paraId="4142D15F" w14:textId="77777777" w:rsidR="008A5973" w:rsidRPr="000939E3" w:rsidRDefault="008A5973" w:rsidP="00B5257A">
            <w:pPr>
              <w:spacing w:after="0"/>
              <w:contextualSpacing/>
              <w:jc w:val="left"/>
              <w:rPr>
                <w:rFonts w:eastAsia="Times New Roman" w:cs="Times New Roman"/>
                <w:color w:val="000000"/>
                <w:sz w:val="20"/>
                <w:szCs w:val="20"/>
                <w:lang w:eastAsia="sk-SK"/>
              </w:rPr>
            </w:pPr>
            <w:r w:rsidRPr="000939E3">
              <w:rPr>
                <w:rFonts w:eastAsia="Times New Roman" w:cs="Times New Roman"/>
                <w:color w:val="000000"/>
                <w:sz w:val="20"/>
                <w:szCs w:val="20"/>
                <w:lang w:eastAsia="sk-SK"/>
              </w:rPr>
              <w:t>Potreba hĺbkovej analýzy procesov</w:t>
            </w:r>
          </w:p>
        </w:tc>
        <w:tc>
          <w:tcPr>
            <w:tcW w:w="1406" w:type="pct"/>
            <w:tcBorders>
              <w:top w:val="single" w:sz="4" w:space="0" w:color="auto"/>
              <w:left w:val="nil"/>
              <w:bottom w:val="dashed" w:sz="4" w:space="0" w:color="BFBFBF" w:themeColor="background1" w:themeShade="BF"/>
              <w:right w:val="nil"/>
            </w:tcBorders>
            <w:shd w:val="clear" w:color="auto" w:fill="auto"/>
            <w:noWrap/>
          </w:tcPr>
          <w:p w14:paraId="3B670AC5" w14:textId="77777777" w:rsidR="008A5973" w:rsidRPr="000939E3" w:rsidRDefault="008A5973" w:rsidP="00B5257A">
            <w:pPr>
              <w:spacing w:after="0"/>
              <w:contextualSpacing/>
              <w:jc w:val="left"/>
              <w:rPr>
                <w:color w:val="000000"/>
                <w:sz w:val="20"/>
              </w:rPr>
            </w:pPr>
            <w:r w:rsidRPr="000939E3">
              <w:rPr>
                <w:rFonts w:eastAsia="Times New Roman" w:cs="Times New Roman"/>
                <w:color w:val="000000"/>
                <w:sz w:val="20"/>
                <w:szCs w:val="20"/>
                <w:lang w:eastAsia="sk-SK"/>
              </w:rPr>
              <w:t>Potreba hĺbkovej analýzy procesov</w:t>
            </w:r>
          </w:p>
        </w:tc>
      </w:tr>
      <w:tr w:rsidR="008A5973" w:rsidRPr="000939E3" w14:paraId="28AA3538" w14:textId="77777777" w:rsidTr="00B5257A">
        <w:trPr>
          <w:trHeight w:val="20"/>
        </w:trPr>
        <w:tc>
          <w:tcPr>
            <w:tcW w:w="782" w:type="pct"/>
            <w:vMerge/>
            <w:tcBorders>
              <w:left w:val="nil"/>
              <w:right w:val="nil"/>
            </w:tcBorders>
            <w:shd w:val="clear" w:color="auto" w:fill="auto"/>
            <w:noWrap/>
            <w:vAlign w:val="center"/>
          </w:tcPr>
          <w:p w14:paraId="6E9093B6" w14:textId="77777777" w:rsidR="008A5973" w:rsidRPr="000939E3" w:rsidRDefault="008A5973" w:rsidP="00B5257A">
            <w:pPr>
              <w:spacing w:after="0"/>
              <w:contextualSpacing/>
              <w:rPr>
                <w:b/>
                <w:color w:val="000000"/>
                <w:sz w:val="20"/>
              </w:rPr>
            </w:pPr>
          </w:p>
        </w:tc>
        <w:tc>
          <w:tcPr>
            <w:tcW w:w="1406" w:type="pct"/>
            <w:tcBorders>
              <w:top w:val="dashed" w:sz="4" w:space="0" w:color="BFBFBF" w:themeColor="background1" w:themeShade="BF"/>
              <w:left w:val="nil"/>
              <w:bottom w:val="dashed" w:sz="4" w:space="0" w:color="BFBFBF" w:themeColor="background1" w:themeShade="BF"/>
              <w:right w:val="nil"/>
            </w:tcBorders>
            <w:shd w:val="clear" w:color="auto" w:fill="auto"/>
            <w:noWrap/>
          </w:tcPr>
          <w:p w14:paraId="3B7FA06F" w14:textId="1219A1AC" w:rsidR="008A5973" w:rsidRPr="000939E3" w:rsidRDefault="008A5973" w:rsidP="00B5257A">
            <w:pPr>
              <w:spacing w:after="0"/>
              <w:contextualSpacing/>
              <w:jc w:val="left"/>
              <w:rPr>
                <w:rFonts w:eastAsia="Times New Roman" w:cs="Times New Roman"/>
                <w:color w:val="000000"/>
                <w:sz w:val="20"/>
                <w:szCs w:val="20"/>
                <w:lang w:eastAsia="sk-SK"/>
              </w:rPr>
            </w:pPr>
          </w:p>
        </w:tc>
        <w:tc>
          <w:tcPr>
            <w:tcW w:w="1406" w:type="pct"/>
            <w:tcBorders>
              <w:top w:val="dashed" w:sz="4" w:space="0" w:color="BFBFBF" w:themeColor="background1" w:themeShade="BF"/>
              <w:left w:val="nil"/>
              <w:bottom w:val="dashed" w:sz="4" w:space="0" w:color="BFBFBF" w:themeColor="background1" w:themeShade="BF"/>
              <w:right w:val="nil"/>
            </w:tcBorders>
            <w:shd w:val="clear" w:color="auto" w:fill="auto"/>
            <w:noWrap/>
          </w:tcPr>
          <w:p w14:paraId="2A3A8AC8" w14:textId="77777777" w:rsidR="008A5973" w:rsidRPr="000939E3" w:rsidRDefault="008A5973" w:rsidP="00B5257A">
            <w:pPr>
              <w:spacing w:after="0"/>
              <w:contextualSpacing/>
              <w:jc w:val="left"/>
              <w:rPr>
                <w:rFonts w:eastAsia="Times New Roman" w:cs="Times New Roman"/>
                <w:color w:val="000000"/>
                <w:sz w:val="20"/>
                <w:szCs w:val="20"/>
                <w:lang w:eastAsia="sk-SK"/>
              </w:rPr>
            </w:pPr>
            <w:r w:rsidRPr="000939E3">
              <w:rPr>
                <w:rFonts w:eastAsia="Times New Roman" w:cs="Times New Roman"/>
                <w:color w:val="000000"/>
                <w:sz w:val="20"/>
                <w:szCs w:val="20"/>
                <w:lang w:eastAsia="sk-SK"/>
              </w:rPr>
              <w:t>Zjednotenie IT systémov</w:t>
            </w:r>
          </w:p>
        </w:tc>
        <w:tc>
          <w:tcPr>
            <w:tcW w:w="1406" w:type="pct"/>
            <w:tcBorders>
              <w:top w:val="dashed" w:sz="4" w:space="0" w:color="BFBFBF" w:themeColor="background1" w:themeShade="BF"/>
              <w:left w:val="nil"/>
              <w:bottom w:val="dashed" w:sz="4" w:space="0" w:color="BFBFBF" w:themeColor="background1" w:themeShade="BF"/>
              <w:right w:val="nil"/>
            </w:tcBorders>
            <w:shd w:val="clear" w:color="auto" w:fill="auto"/>
            <w:noWrap/>
          </w:tcPr>
          <w:p w14:paraId="22EAE6EF" w14:textId="77777777" w:rsidR="008A5973" w:rsidRPr="000939E3" w:rsidRDefault="008A5973" w:rsidP="00B5257A">
            <w:pPr>
              <w:spacing w:after="0"/>
              <w:contextualSpacing/>
              <w:jc w:val="left"/>
              <w:rPr>
                <w:color w:val="000000"/>
                <w:sz w:val="20"/>
              </w:rPr>
            </w:pPr>
            <w:r w:rsidRPr="000939E3">
              <w:rPr>
                <w:rFonts w:eastAsia="Times New Roman" w:cs="Times New Roman"/>
                <w:color w:val="000000"/>
                <w:sz w:val="20"/>
                <w:szCs w:val="20"/>
                <w:lang w:eastAsia="sk-SK"/>
              </w:rPr>
              <w:t>Zjednotenie IT systémov</w:t>
            </w:r>
          </w:p>
        </w:tc>
      </w:tr>
      <w:tr w:rsidR="008A5973" w:rsidRPr="000939E3" w14:paraId="2FBB3CB1" w14:textId="77777777" w:rsidTr="00B5257A">
        <w:trPr>
          <w:trHeight w:val="20"/>
        </w:trPr>
        <w:tc>
          <w:tcPr>
            <w:tcW w:w="782" w:type="pct"/>
            <w:vMerge/>
            <w:tcBorders>
              <w:left w:val="nil"/>
              <w:right w:val="nil"/>
            </w:tcBorders>
            <w:shd w:val="clear" w:color="auto" w:fill="auto"/>
            <w:noWrap/>
            <w:vAlign w:val="center"/>
          </w:tcPr>
          <w:p w14:paraId="24C86961" w14:textId="77777777" w:rsidR="008A5973" w:rsidRPr="000939E3" w:rsidRDefault="008A5973" w:rsidP="00B5257A">
            <w:pPr>
              <w:spacing w:after="0"/>
              <w:contextualSpacing/>
              <w:rPr>
                <w:b/>
                <w:color w:val="000000"/>
                <w:sz w:val="20"/>
              </w:rPr>
            </w:pPr>
          </w:p>
        </w:tc>
        <w:tc>
          <w:tcPr>
            <w:tcW w:w="1406" w:type="pct"/>
            <w:tcBorders>
              <w:top w:val="dashed" w:sz="4" w:space="0" w:color="BFBFBF" w:themeColor="background1" w:themeShade="BF"/>
              <w:left w:val="nil"/>
              <w:bottom w:val="dashed" w:sz="4" w:space="0" w:color="BFBFBF" w:themeColor="background1" w:themeShade="BF"/>
              <w:right w:val="nil"/>
            </w:tcBorders>
            <w:shd w:val="clear" w:color="auto" w:fill="auto"/>
            <w:noWrap/>
          </w:tcPr>
          <w:p w14:paraId="377F8561" w14:textId="77777777" w:rsidR="008A5973" w:rsidRPr="000939E3" w:rsidRDefault="008A5973" w:rsidP="00B5257A">
            <w:pPr>
              <w:spacing w:after="0"/>
              <w:contextualSpacing/>
              <w:jc w:val="left"/>
              <w:rPr>
                <w:rFonts w:eastAsia="Times New Roman" w:cs="Times New Roman"/>
                <w:color w:val="000000"/>
                <w:sz w:val="20"/>
                <w:szCs w:val="20"/>
                <w:lang w:eastAsia="sk-SK"/>
              </w:rPr>
            </w:pPr>
          </w:p>
        </w:tc>
        <w:tc>
          <w:tcPr>
            <w:tcW w:w="1406" w:type="pct"/>
            <w:tcBorders>
              <w:top w:val="dashed" w:sz="4" w:space="0" w:color="BFBFBF" w:themeColor="background1" w:themeShade="BF"/>
              <w:left w:val="nil"/>
              <w:bottom w:val="dashed" w:sz="4" w:space="0" w:color="BFBFBF" w:themeColor="background1" w:themeShade="BF"/>
              <w:right w:val="nil"/>
            </w:tcBorders>
            <w:shd w:val="clear" w:color="auto" w:fill="auto"/>
            <w:noWrap/>
          </w:tcPr>
          <w:p w14:paraId="322CBD98" w14:textId="77777777" w:rsidR="008A5973" w:rsidRPr="000939E3" w:rsidRDefault="008A5973" w:rsidP="00B5257A">
            <w:pPr>
              <w:spacing w:after="0"/>
              <w:contextualSpacing/>
              <w:jc w:val="left"/>
              <w:rPr>
                <w:rFonts w:eastAsia="Times New Roman" w:cs="Times New Roman"/>
                <w:color w:val="000000"/>
                <w:sz w:val="20"/>
                <w:szCs w:val="20"/>
                <w:lang w:eastAsia="sk-SK"/>
              </w:rPr>
            </w:pPr>
            <w:r w:rsidRPr="000939E3">
              <w:rPr>
                <w:rFonts w:eastAsia="Times New Roman" w:cs="Times New Roman"/>
                <w:color w:val="000000"/>
                <w:sz w:val="20"/>
                <w:szCs w:val="20"/>
                <w:lang w:eastAsia="sk-SK"/>
              </w:rPr>
              <w:t>Zaškolenie personálu</w:t>
            </w:r>
          </w:p>
        </w:tc>
        <w:tc>
          <w:tcPr>
            <w:tcW w:w="1406" w:type="pct"/>
            <w:tcBorders>
              <w:top w:val="dashed" w:sz="4" w:space="0" w:color="BFBFBF" w:themeColor="background1" w:themeShade="BF"/>
              <w:left w:val="nil"/>
              <w:bottom w:val="dashed" w:sz="4" w:space="0" w:color="BFBFBF" w:themeColor="background1" w:themeShade="BF"/>
              <w:right w:val="nil"/>
            </w:tcBorders>
            <w:shd w:val="clear" w:color="auto" w:fill="auto"/>
            <w:noWrap/>
          </w:tcPr>
          <w:p w14:paraId="79724483" w14:textId="77777777" w:rsidR="008A5973" w:rsidRPr="000939E3" w:rsidRDefault="008A5973" w:rsidP="00B5257A">
            <w:pPr>
              <w:spacing w:after="0"/>
              <w:contextualSpacing/>
              <w:jc w:val="left"/>
              <w:rPr>
                <w:color w:val="000000"/>
                <w:sz w:val="20"/>
              </w:rPr>
            </w:pPr>
            <w:r w:rsidRPr="000939E3">
              <w:rPr>
                <w:rFonts w:eastAsia="Times New Roman" w:cs="Times New Roman"/>
                <w:color w:val="000000"/>
                <w:sz w:val="20"/>
                <w:szCs w:val="20"/>
                <w:lang w:eastAsia="sk-SK"/>
              </w:rPr>
              <w:t>Zaškolenie personálu</w:t>
            </w:r>
          </w:p>
        </w:tc>
      </w:tr>
      <w:tr w:rsidR="008A5973" w:rsidRPr="000939E3" w14:paraId="3DF3E848" w14:textId="77777777" w:rsidTr="00B5257A">
        <w:trPr>
          <w:trHeight w:val="20"/>
        </w:trPr>
        <w:tc>
          <w:tcPr>
            <w:tcW w:w="782" w:type="pct"/>
            <w:vMerge/>
            <w:tcBorders>
              <w:left w:val="nil"/>
              <w:bottom w:val="single" w:sz="4" w:space="0" w:color="auto"/>
              <w:right w:val="nil"/>
            </w:tcBorders>
            <w:shd w:val="clear" w:color="auto" w:fill="auto"/>
            <w:noWrap/>
            <w:vAlign w:val="center"/>
          </w:tcPr>
          <w:p w14:paraId="3D1429BE" w14:textId="77777777" w:rsidR="008A5973" w:rsidRPr="000939E3" w:rsidRDefault="008A5973" w:rsidP="00B5257A">
            <w:pPr>
              <w:spacing w:after="0"/>
              <w:contextualSpacing/>
              <w:rPr>
                <w:b/>
                <w:color w:val="000000"/>
                <w:sz w:val="20"/>
              </w:rPr>
            </w:pPr>
          </w:p>
        </w:tc>
        <w:tc>
          <w:tcPr>
            <w:tcW w:w="1406" w:type="pct"/>
            <w:tcBorders>
              <w:top w:val="dashed" w:sz="4" w:space="0" w:color="BFBFBF" w:themeColor="background1" w:themeShade="BF"/>
              <w:left w:val="nil"/>
              <w:bottom w:val="single" w:sz="4" w:space="0" w:color="auto"/>
              <w:right w:val="nil"/>
            </w:tcBorders>
            <w:shd w:val="clear" w:color="auto" w:fill="auto"/>
            <w:noWrap/>
          </w:tcPr>
          <w:p w14:paraId="499236E3" w14:textId="77777777" w:rsidR="008A5973" w:rsidRPr="000939E3" w:rsidRDefault="008A5973" w:rsidP="00B5257A">
            <w:pPr>
              <w:spacing w:after="0"/>
              <w:contextualSpacing/>
              <w:jc w:val="left"/>
              <w:rPr>
                <w:rFonts w:eastAsia="Times New Roman" w:cs="Times New Roman"/>
                <w:color w:val="000000"/>
                <w:sz w:val="20"/>
                <w:szCs w:val="20"/>
                <w:lang w:eastAsia="sk-SK"/>
              </w:rPr>
            </w:pPr>
          </w:p>
        </w:tc>
        <w:tc>
          <w:tcPr>
            <w:tcW w:w="1406" w:type="pct"/>
            <w:tcBorders>
              <w:top w:val="dashed" w:sz="4" w:space="0" w:color="BFBFBF" w:themeColor="background1" w:themeShade="BF"/>
              <w:left w:val="nil"/>
              <w:bottom w:val="single" w:sz="4" w:space="0" w:color="auto"/>
              <w:right w:val="nil"/>
            </w:tcBorders>
            <w:shd w:val="clear" w:color="auto" w:fill="auto"/>
            <w:noWrap/>
          </w:tcPr>
          <w:p w14:paraId="09508CA4" w14:textId="77777777" w:rsidR="008A5973" w:rsidRPr="000939E3" w:rsidRDefault="008A5973" w:rsidP="00B5257A">
            <w:pPr>
              <w:spacing w:after="0"/>
              <w:contextualSpacing/>
              <w:jc w:val="left"/>
              <w:rPr>
                <w:rFonts w:eastAsia="Times New Roman" w:cs="Times New Roman"/>
                <w:color w:val="000000"/>
                <w:sz w:val="20"/>
                <w:szCs w:val="20"/>
                <w:lang w:eastAsia="sk-SK"/>
              </w:rPr>
            </w:pPr>
            <w:r w:rsidRPr="000939E3">
              <w:rPr>
                <w:rFonts w:eastAsia="Times New Roman" w:cs="Times New Roman"/>
                <w:color w:val="000000"/>
                <w:sz w:val="20"/>
                <w:szCs w:val="20"/>
                <w:lang w:eastAsia="sk-SK"/>
              </w:rPr>
              <w:t>Zabezpečenie priestorov</w:t>
            </w:r>
          </w:p>
        </w:tc>
        <w:tc>
          <w:tcPr>
            <w:tcW w:w="1406" w:type="pct"/>
            <w:tcBorders>
              <w:top w:val="dashed" w:sz="4" w:space="0" w:color="BFBFBF" w:themeColor="background1" w:themeShade="BF"/>
              <w:left w:val="nil"/>
              <w:bottom w:val="single" w:sz="4" w:space="0" w:color="auto"/>
              <w:right w:val="nil"/>
            </w:tcBorders>
            <w:shd w:val="clear" w:color="auto" w:fill="auto"/>
            <w:noWrap/>
          </w:tcPr>
          <w:p w14:paraId="723031D0" w14:textId="77777777" w:rsidR="008A5973" w:rsidRPr="000939E3" w:rsidRDefault="008A5973" w:rsidP="00B5257A">
            <w:pPr>
              <w:spacing w:after="0"/>
              <w:contextualSpacing/>
              <w:jc w:val="left"/>
              <w:rPr>
                <w:color w:val="000000"/>
                <w:sz w:val="20"/>
              </w:rPr>
            </w:pPr>
            <w:r w:rsidRPr="000939E3">
              <w:rPr>
                <w:rFonts w:eastAsia="Times New Roman" w:cs="Times New Roman"/>
                <w:color w:val="000000"/>
                <w:sz w:val="20"/>
                <w:szCs w:val="20"/>
                <w:lang w:eastAsia="sk-SK"/>
              </w:rPr>
              <w:t>Zabezpečenie priestorov</w:t>
            </w:r>
          </w:p>
        </w:tc>
      </w:tr>
      <w:tr w:rsidR="008A5973" w:rsidRPr="000939E3" w14:paraId="0AE08A6A" w14:textId="77777777" w:rsidTr="00B5257A">
        <w:trPr>
          <w:trHeight w:val="20"/>
        </w:trPr>
        <w:tc>
          <w:tcPr>
            <w:tcW w:w="782" w:type="pct"/>
            <w:vMerge w:val="restart"/>
            <w:tcBorders>
              <w:top w:val="single" w:sz="4" w:space="0" w:color="auto"/>
              <w:left w:val="nil"/>
              <w:right w:val="nil"/>
            </w:tcBorders>
            <w:shd w:val="clear" w:color="auto" w:fill="auto"/>
            <w:noWrap/>
            <w:vAlign w:val="center"/>
          </w:tcPr>
          <w:p w14:paraId="5122E567" w14:textId="77777777" w:rsidR="008A5973" w:rsidRPr="000939E3" w:rsidRDefault="008A5973" w:rsidP="00B5257A">
            <w:pPr>
              <w:spacing w:after="0"/>
              <w:contextualSpacing/>
              <w:rPr>
                <w:b/>
                <w:color w:val="000000"/>
                <w:sz w:val="20"/>
              </w:rPr>
            </w:pPr>
            <w:r w:rsidRPr="000939E3">
              <w:rPr>
                <w:b/>
                <w:color w:val="000000"/>
                <w:sz w:val="20"/>
              </w:rPr>
              <w:t>Predpoklady</w:t>
            </w:r>
          </w:p>
        </w:tc>
        <w:tc>
          <w:tcPr>
            <w:tcW w:w="1406" w:type="pct"/>
            <w:tcBorders>
              <w:top w:val="single" w:sz="4" w:space="0" w:color="auto"/>
              <w:left w:val="nil"/>
              <w:bottom w:val="dashed" w:sz="4" w:space="0" w:color="BFBFBF" w:themeColor="background1" w:themeShade="BF"/>
              <w:right w:val="nil"/>
            </w:tcBorders>
            <w:shd w:val="clear" w:color="auto" w:fill="auto"/>
            <w:noWrap/>
          </w:tcPr>
          <w:p w14:paraId="42C772B0" w14:textId="77777777" w:rsidR="008A5973" w:rsidRPr="000939E3" w:rsidRDefault="008A5973" w:rsidP="00B5257A">
            <w:pPr>
              <w:spacing w:after="0"/>
              <w:contextualSpacing/>
              <w:jc w:val="left"/>
              <w:rPr>
                <w:rFonts w:eastAsia="Times New Roman" w:cs="Times New Roman"/>
                <w:color w:val="000000"/>
                <w:sz w:val="20"/>
                <w:szCs w:val="20"/>
                <w:lang w:eastAsia="sk-SK"/>
              </w:rPr>
            </w:pPr>
            <w:r w:rsidRPr="000939E3">
              <w:rPr>
                <w:rFonts w:eastAsia="Times New Roman" w:cs="Times New Roman"/>
                <w:color w:val="000000"/>
                <w:sz w:val="20"/>
                <w:szCs w:val="20"/>
                <w:lang w:eastAsia="sk-SK"/>
              </w:rPr>
              <w:t>Identifikácia možností optimalizácie (audit)</w:t>
            </w:r>
          </w:p>
        </w:tc>
        <w:tc>
          <w:tcPr>
            <w:tcW w:w="1406" w:type="pct"/>
            <w:tcBorders>
              <w:top w:val="single" w:sz="4" w:space="0" w:color="auto"/>
              <w:left w:val="nil"/>
              <w:bottom w:val="dashed" w:sz="4" w:space="0" w:color="BFBFBF" w:themeColor="background1" w:themeShade="BF"/>
              <w:right w:val="nil"/>
            </w:tcBorders>
            <w:shd w:val="clear" w:color="auto" w:fill="auto"/>
            <w:noWrap/>
          </w:tcPr>
          <w:p w14:paraId="7887B4B5" w14:textId="77777777" w:rsidR="008A5973" w:rsidRPr="000939E3" w:rsidRDefault="008A5973" w:rsidP="00B5257A">
            <w:pPr>
              <w:spacing w:after="0"/>
              <w:contextualSpacing/>
              <w:jc w:val="left"/>
              <w:rPr>
                <w:rFonts w:eastAsia="Times New Roman" w:cs="Times New Roman"/>
                <w:color w:val="000000"/>
                <w:sz w:val="20"/>
                <w:szCs w:val="20"/>
                <w:lang w:eastAsia="sk-SK"/>
              </w:rPr>
            </w:pPr>
            <w:r w:rsidRPr="000939E3">
              <w:rPr>
                <w:rFonts w:eastAsia="Times New Roman" w:cs="Times New Roman"/>
                <w:color w:val="000000"/>
                <w:sz w:val="20"/>
                <w:szCs w:val="20"/>
                <w:lang w:eastAsia="sk-SK"/>
              </w:rPr>
              <w:t>Optimalizácia a štandardizácia podporných činností v rámci rezortu</w:t>
            </w:r>
          </w:p>
        </w:tc>
        <w:tc>
          <w:tcPr>
            <w:tcW w:w="1406" w:type="pct"/>
            <w:tcBorders>
              <w:top w:val="single" w:sz="4" w:space="0" w:color="auto"/>
              <w:left w:val="nil"/>
              <w:bottom w:val="dashed" w:sz="4" w:space="0" w:color="BFBFBF" w:themeColor="background1" w:themeShade="BF"/>
              <w:right w:val="nil"/>
            </w:tcBorders>
            <w:shd w:val="clear" w:color="auto" w:fill="auto"/>
            <w:noWrap/>
          </w:tcPr>
          <w:p w14:paraId="092C7DBE" w14:textId="77777777" w:rsidR="008A5973" w:rsidRPr="000939E3" w:rsidRDefault="008A5973" w:rsidP="00B5257A">
            <w:pPr>
              <w:spacing w:after="0"/>
              <w:contextualSpacing/>
              <w:jc w:val="left"/>
              <w:rPr>
                <w:color w:val="000000"/>
                <w:sz w:val="20"/>
              </w:rPr>
            </w:pPr>
            <w:r w:rsidRPr="000939E3">
              <w:rPr>
                <w:color w:val="000000"/>
                <w:sz w:val="20"/>
              </w:rPr>
              <w:t>Optimalizácia a štandardizácia podporných činností</w:t>
            </w:r>
          </w:p>
        </w:tc>
      </w:tr>
      <w:tr w:rsidR="008A5973" w:rsidRPr="000939E3" w14:paraId="1EF1AE5B" w14:textId="77777777" w:rsidTr="00B5257A">
        <w:trPr>
          <w:trHeight w:val="20"/>
        </w:trPr>
        <w:tc>
          <w:tcPr>
            <w:tcW w:w="782" w:type="pct"/>
            <w:vMerge/>
            <w:tcBorders>
              <w:left w:val="nil"/>
              <w:right w:val="nil"/>
            </w:tcBorders>
            <w:shd w:val="clear" w:color="auto" w:fill="auto"/>
            <w:noWrap/>
            <w:vAlign w:val="center"/>
          </w:tcPr>
          <w:p w14:paraId="632AB44F" w14:textId="77777777" w:rsidR="008A5973" w:rsidRPr="000939E3" w:rsidRDefault="008A5973" w:rsidP="00B5257A">
            <w:pPr>
              <w:spacing w:after="0"/>
              <w:contextualSpacing/>
              <w:rPr>
                <w:b/>
                <w:color w:val="000000"/>
                <w:sz w:val="20"/>
              </w:rPr>
            </w:pPr>
          </w:p>
        </w:tc>
        <w:tc>
          <w:tcPr>
            <w:tcW w:w="1406" w:type="pct"/>
            <w:tcBorders>
              <w:top w:val="dashed" w:sz="4" w:space="0" w:color="BFBFBF" w:themeColor="background1" w:themeShade="BF"/>
              <w:left w:val="nil"/>
              <w:bottom w:val="dashed" w:sz="4" w:space="0" w:color="BFBFBF" w:themeColor="background1" w:themeShade="BF"/>
              <w:right w:val="nil"/>
            </w:tcBorders>
            <w:shd w:val="clear" w:color="auto" w:fill="auto"/>
            <w:noWrap/>
          </w:tcPr>
          <w:p w14:paraId="7854368D" w14:textId="77777777" w:rsidR="008A5973" w:rsidRPr="000939E3" w:rsidRDefault="008A5973" w:rsidP="00B5257A">
            <w:pPr>
              <w:spacing w:after="0"/>
              <w:contextualSpacing/>
              <w:jc w:val="left"/>
              <w:rPr>
                <w:rFonts w:eastAsia="Times New Roman" w:cs="Times New Roman"/>
                <w:color w:val="000000"/>
                <w:sz w:val="20"/>
                <w:szCs w:val="20"/>
                <w:lang w:eastAsia="sk-SK"/>
              </w:rPr>
            </w:pPr>
            <w:r w:rsidRPr="000939E3">
              <w:rPr>
                <w:rFonts w:eastAsia="Times New Roman" w:cs="Times New Roman"/>
                <w:color w:val="000000"/>
                <w:sz w:val="20"/>
                <w:szCs w:val="20"/>
                <w:lang w:eastAsia="sk-SK"/>
              </w:rPr>
              <w:t xml:space="preserve">Rozhodnutie o spôsobe zníženia nákladov v kompetencii úradov </w:t>
            </w:r>
          </w:p>
        </w:tc>
        <w:tc>
          <w:tcPr>
            <w:tcW w:w="1406" w:type="pct"/>
            <w:tcBorders>
              <w:top w:val="dashed" w:sz="4" w:space="0" w:color="BFBFBF" w:themeColor="background1" w:themeShade="BF"/>
              <w:left w:val="nil"/>
              <w:bottom w:val="dashed" w:sz="4" w:space="0" w:color="BFBFBF" w:themeColor="background1" w:themeShade="BF"/>
              <w:right w:val="nil"/>
            </w:tcBorders>
            <w:shd w:val="clear" w:color="auto" w:fill="auto"/>
            <w:noWrap/>
          </w:tcPr>
          <w:p w14:paraId="51BDC917" w14:textId="77777777" w:rsidR="008A5973" w:rsidRPr="000939E3" w:rsidRDefault="008A5973" w:rsidP="00B5257A">
            <w:pPr>
              <w:spacing w:after="0"/>
              <w:contextualSpacing/>
              <w:jc w:val="left"/>
              <w:rPr>
                <w:rFonts w:eastAsia="Times New Roman" w:cs="Times New Roman"/>
                <w:color w:val="000000"/>
                <w:sz w:val="20"/>
                <w:szCs w:val="20"/>
                <w:lang w:eastAsia="sk-SK"/>
              </w:rPr>
            </w:pPr>
          </w:p>
        </w:tc>
        <w:tc>
          <w:tcPr>
            <w:tcW w:w="1406" w:type="pct"/>
            <w:tcBorders>
              <w:top w:val="dashed" w:sz="4" w:space="0" w:color="BFBFBF" w:themeColor="background1" w:themeShade="BF"/>
              <w:left w:val="nil"/>
              <w:bottom w:val="dashed" w:sz="4" w:space="0" w:color="BFBFBF" w:themeColor="background1" w:themeShade="BF"/>
              <w:right w:val="nil"/>
            </w:tcBorders>
            <w:shd w:val="clear" w:color="auto" w:fill="auto"/>
            <w:noWrap/>
          </w:tcPr>
          <w:p w14:paraId="78D85995" w14:textId="77777777" w:rsidR="008A5973" w:rsidRPr="000939E3" w:rsidRDefault="008A5973" w:rsidP="00B5257A">
            <w:pPr>
              <w:spacing w:after="0"/>
              <w:contextualSpacing/>
              <w:jc w:val="left"/>
              <w:rPr>
                <w:color w:val="000000"/>
                <w:sz w:val="20"/>
              </w:rPr>
            </w:pPr>
            <w:r w:rsidRPr="000939E3">
              <w:rPr>
                <w:color w:val="000000"/>
                <w:sz w:val="20"/>
              </w:rPr>
              <w:t>Zjednotenie podporných procesov a informačného systému pre vybrané činnosti (CES)</w:t>
            </w:r>
          </w:p>
        </w:tc>
      </w:tr>
      <w:tr w:rsidR="008A5973" w:rsidRPr="000939E3" w14:paraId="283B562B" w14:textId="77777777" w:rsidTr="00B5257A">
        <w:trPr>
          <w:trHeight w:val="20"/>
        </w:trPr>
        <w:tc>
          <w:tcPr>
            <w:tcW w:w="782" w:type="pct"/>
            <w:vMerge/>
            <w:tcBorders>
              <w:left w:val="nil"/>
              <w:bottom w:val="single" w:sz="4" w:space="0" w:color="auto"/>
              <w:right w:val="nil"/>
            </w:tcBorders>
            <w:shd w:val="clear" w:color="auto" w:fill="auto"/>
            <w:noWrap/>
            <w:vAlign w:val="center"/>
          </w:tcPr>
          <w:p w14:paraId="38BA8B09" w14:textId="77777777" w:rsidR="008A5973" w:rsidRPr="000939E3" w:rsidRDefault="008A5973" w:rsidP="00B5257A">
            <w:pPr>
              <w:spacing w:after="0"/>
              <w:contextualSpacing/>
              <w:rPr>
                <w:b/>
                <w:color w:val="000000"/>
                <w:sz w:val="20"/>
              </w:rPr>
            </w:pPr>
          </w:p>
        </w:tc>
        <w:tc>
          <w:tcPr>
            <w:tcW w:w="1406" w:type="pct"/>
            <w:tcBorders>
              <w:top w:val="dashed" w:sz="4" w:space="0" w:color="BFBFBF" w:themeColor="background1" w:themeShade="BF"/>
              <w:left w:val="nil"/>
              <w:bottom w:val="single" w:sz="4" w:space="0" w:color="auto"/>
              <w:right w:val="nil"/>
            </w:tcBorders>
            <w:shd w:val="clear" w:color="auto" w:fill="auto"/>
            <w:noWrap/>
          </w:tcPr>
          <w:p w14:paraId="6774B807" w14:textId="77777777" w:rsidR="008A5973" w:rsidRPr="000939E3" w:rsidRDefault="008A5973" w:rsidP="00B5257A">
            <w:pPr>
              <w:spacing w:after="0"/>
              <w:contextualSpacing/>
              <w:jc w:val="left"/>
              <w:rPr>
                <w:rFonts w:eastAsia="Times New Roman" w:cs="Times New Roman"/>
                <w:color w:val="000000"/>
                <w:sz w:val="20"/>
                <w:szCs w:val="20"/>
                <w:lang w:eastAsia="sk-SK"/>
              </w:rPr>
            </w:pPr>
          </w:p>
        </w:tc>
        <w:tc>
          <w:tcPr>
            <w:tcW w:w="1406" w:type="pct"/>
            <w:tcBorders>
              <w:top w:val="dashed" w:sz="4" w:space="0" w:color="BFBFBF" w:themeColor="background1" w:themeShade="BF"/>
              <w:left w:val="nil"/>
              <w:bottom w:val="single" w:sz="4" w:space="0" w:color="auto"/>
              <w:right w:val="nil"/>
            </w:tcBorders>
            <w:shd w:val="clear" w:color="auto" w:fill="auto"/>
            <w:noWrap/>
          </w:tcPr>
          <w:p w14:paraId="03C4C3A2" w14:textId="77777777" w:rsidR="008A5973" w:rsidRPr="000939E3" w:rsidRDefault="008A5973" w:rsidP="00B5257A">
            <w:pPr>
              <w:spacing w:after="0"/>
              <w:contextualSpacing/>
              <w:jc w:val="left"/>
              <w:rPr>
                <w:rFonts w:eastAsia="Times New Roman" w:cs="Times New Roman"/>
                <w:color w:val="000000"/>
                <w:sz w:val="20"/>
                <w:szCs w:val="20"/>
                <w:lang w:eastAsia="sk-SK"/>
              </w:rPr>
            </w:pPr>
          </w:p>
        </w:tc>
        <w:tc>
          <w:tcPr>
            <w:tcW w:w="1406" w:type="pct"/>
            <w:tcBorders>
              <w:top w:val="dashed" w:sz="4" w:space="0" w:color="BFBFBF" w:themeColor="background1" w:themeShade="BF"/>
              <w:left w:val="nil"/>
              <w:bottom w:val="single" w:sz="4" w:space="0" w:color="auto"/>
              <w:right w:val="nil"/>
            </w:tcBorders>
            <w:shd w:val="clear" w:color="auto" w:fill="auto"/>
            <w:noWrap/>
          </w:tcPr>
          <w:p w14:paraId="2E91BE39" w14:textId="77777777" w:rsidR="008A5973" w:rsidRPr="000939E3" w:rsidRDefault="008A5973" w:rsidP="00B5257A">
            <w:pPr>
              <w:spacing w:after="0"/>
              <w:contextualSpacing/>
              <w:jc w:val="left"/>
              <w:rPr>
                <w:color w:val="000000"/>
                <w:sz w:val="20"/>
              </w:rPr>
            </w:pPr>
            <w:r w:rsidRPr="000939E3">
              <w:rPr>
                <w:color w:val="000000"/>
                <w:sz w:val="20"/>
              </w:rPr>
              <w:t>Nutnosť určiť zodpovednú organizáciu</w:t>
            </w:r>
          </w:p>
        </w:tc>
      </w:tr>
      <w:tr w:rsidR="008A5973" w:rsidRPr="000939E3" w14:paraId="491D5223" w14:textId="77777777" w:rsidTr="00B5257A">
        <w:trPr>
          <w:trHeight w:val="20"/>
        </w:trPr>
        <w:tc>
          <w:tcPr>
            <w:tcW w:w="782" w:type="pct"/>
            <w:vMerge w:val="restart"/>
            <w:tcBorders>
              <w:top w:val="single" w:sz="4" w:space="0" w:color="auto"/>
              <w:left w:val="nil"/>
              <w:right w:val="nil"/>
            </w:tcBorders>
            <w:shd w:val="clear" w:color="auto" w:fill="auto"/>
            <w:noWrap/>
            <w:vAlign w:val="center"/>
          </w:tcPr>
          <w:p w14:paraId="076571B6" w14:textId="77777777" w:rsidR="008A5973" w:rsidRPr="000939E3" w:rsidRDefault="008A5973" w:rsidP="00B5257A">
            <w:pPr>
              <w:spacing w:after="0"/>
              <w:contextualSpacing/>
              <w:rPr>
                <w:b/>
                <w:color w:val="000000"/>
                <w:sz w:val="20"/>
              </w:rPr>
            </w:pPr>
            <w:r w:rsidRPr="000939E3">
              <w:rPr>
                <w:b/>
                <w:color w:val="000000"/>
                <w:sz w:val="20"/>
              </w:rPr>
              <w:t>Nevýhody</w:t>
            </w:r>
          </w:p>
        </w:tc>
        <w:tc>
          <w:tcPr>
            <w:tcW w:w="1406" w:type="pct"/>
            <w:tcBorders>
              <w:top w:val="single" w:sz="4" w:space="0" w:color="auto"/>
              <w:left w:val="nil"/>
              <w:bottom w:val="dashed" w:sz="4" w:space="0" w:color="BFBFBF" w:themeColor="background1" w:themeShade="BF"/>
              <w:right w:val="nil"/>
            </w:tcBorders>
            <w:shd w:val="clear" w:color="auto" w:fill="auto"/>
            <w:noWrap/>
          </w:tcPr>
          <w:p w14:paraId="59C80E89" w14:textId="77777777" w:rsidR="008A5973" w:rsidRPr="000939E3" w:rsidRDefault="008A5973" w:rsidP="00B5257A">
            <w:pPr>
              <w:spacing w:after="0"/>
              <w:contextualSpacing/>
              <w:jc w:val="left"/>
              <w:rPr>
                <w:rFonts w:eastAsia="Times New Roman" w:cs="Times New Roman"/>
                <w:color w:val="000000"/>
                <w:sz w:val="20"/>
                <w:szCs w:val="20"/>
                <w:lang w:eastAsia="sk-SK"/>
              </w:rPr>
            </w:pPr>
            <w:r w:rsidRPr="000939E3">
              <w:rPr>
                <w:rFonts w:eastAsia="Times New Roman" w:cs="Times New Roman"/>
                <w:color w:val="000000"/>
                <w:sz w:val="20"/>
                <w:szCs w:val="20"/>
                <w:lang w:eastAsia="sk-SK"/>
              </w:rPr>
              <w:t xml:space="preserve">Bez zefektívnenia poskytovaných služieb </w:t>
            </w:r>
            <w:r w:rsidRPr="000939E3">
              <w:rPr>
                <w:rFonts w:eastAsia="Times New Roman" w:cs="Times New Roman"/>
                <w:color w:val="000000"/>
                <w:sz w:val="20"/>
                <w:szCs w:val="20"/>
                <w:lang w:eastAsia="sk-SK"/>
              </w:rPr>
              <w:br/>
              <w:t>(v prípade optimalizácie bez úpravy procesov)</w:t>
            </w:r>
          </w:p>
        </w:tc>
        <w:tc>
          <w:tcPr>
            <w:tcW w:w="1406" w:type="pct"/>
            <w:tcBorders>
              <w:top w:val="single" w:sz="4" w:space="0" w:color="auto"/>
              <w:left w:val="nil"/>
              <w:bottom w:val="dashed" w:sz="4" w:space="0" w:color="BFBFBF" w:themeColor="background1" w:themeShade="BF"/>
              <w:right w:val="nil"/>
            </w:tcBorders>
            <w:shd w:val="clear" w:color="auto" w:fill="auto"/>
            <w:noWrap/>
          </w:tcPr>
          <w:p w14:paraId="6AE2792E" w14:textId="77777777" w:rsidR="008A5973" w:rsidRPr="000939E3" w:rsidRDefault="008A5973" w:rsidP="00B5257A">
            <w:pPr>
              <w:spacing w:after="0"/>
              <w:contextualSpacing/>
              <w:jc w:val="left"/>
              <w:rPr>
                <w:rFonts w:eastAsia="Times New Roman" w:cs="Times New Roman"/>
                <w:color w:val="000000"/>
                <w:sz w:val="20"/>
                <w:szCs w:val="20"/>
                <w:lang w:eastAsia="sk-SK"/>
              </w:rPr>
            </w:pPr>
            <w:r w:rsidRPr="000939E3">
              <w:rPr>
                <w:rFonts w:eastAsia="Times New Roman" w:cs="Times New Roman"/>
                <w:color w:val="000000"/>
                <w:sz w:val="20"/>
                <w:szCs w:val="20"/>
                <w:lang w:eastAsia="sk-SK"/>
              </w:rPr>
              <w:t>Kultúrna náročnosť zmeny</w:t>
            </w:r>
          </w:p>
        </w:tc>
        <w:tc>
          <w:tcPr>
            <w:tcW w:w="1406" w:type="pct"/>
            <w:tcBorders>
              <w:top w:val="single" w:sz="4" w:space="0" w:color="auto"/>
              <w:left w:val="nil"/>
              <w:bottom w:val="dashed" w:sz="4" w:space="0" w:color="BFBFBF" w:themeColor="background1" w:themeShade="BF"/>
              <w:right w:val="nil"/>
            </w:tcBorders>
            <w:shd w:val="clear" w:color="auto" w:fill="auto"/>
            <w:noWrap/>
          </w:tcPr>
          <w:p w14:paraId="0D4FCAA2" w14:textId="77777777" w:rsidR="008A5973" w:rsidRPr="000939E3" w:rsidRDefault="008A5973" w:rsidP="00B5257A">
            <w:pPr>
              <w:spacing w:after="0"/>
              <w:contextualSpacing/>
              <w:jc w:val="left"/>
              <w:rPr>
                <w:color w:val="000000"/>
                <w:sz w:val="20"/>
              </w:rPr>
            </w:pPr>
            <w:r w:rsidRPr="000939E3">
              <w:rPr>
                <w:color w:val="000000"/>
                <w:sz w:val="20"/>
              </w:rPr>
              <w:t>Kultúrna náročnosť zmeny</w:t>
            </w:r>
          </w:p>
        </w:tc>
      </w:tr>
      <w:tr w:rsidR="008A5973" w:rsidRPr="000939E3" w14:paraId="3C1C9392" w14:textId="77777777" w:rsidTr="00B5257A">
        <w:trPr>
          <w:trHeight w:val="20"/>
        </w:trPr>
        <w:tc>
          <w:tcPr>
            <w:tcW w:w="782" w:type="pct"/>
            <w:vMerge/>
            <w:tcBorders>
              <w:left w:val="nil"/>
              <w:bottom w:val="single" w:sz="4" w:space="0" w:color="auto"/>
              <w:right w:val="nil"/>
            </w:tcBorders>
            <w:shd w:val="clear" w:color="auto" w:fill="auto"/>
            <w:noWrap/>
            <w:vAlign w:val="center"/>
          </w:tcPr>
          <w:p w14:paraId="04E4E5C8" w14:textId="77777777" w:rsidR="008A5973" w:rsidRPr="000939E3" w:rsidRDefault="008A5973" w:rsidP="00B5257A">
            <w:pPr>
              <w:spacing w:after="0"/>
              <w:contextualSpacing/>
              <w:rPr>
                <w:b/>
                <w:color w:val="000000"/>
                <w:sz w:val="20"/>
              </w:rPr>
            </w:pPr>
          </w:p>
        </w:tc>
        <w:tc>
          <w:tcPr>
            <w:tcW w:w="1406" w:type="pct"/>
            <w:tcBorders>
              <w:top w:val="dashed" w:sz="4" w:space="0" w:color="BFBFBF" w:themeColor="background1" w:themeShade="BF"/>
              <w:left w:val="nil"/>
              <w:bottom w:val="single" w:sz="4" w:space="0" w:color="auto"/>
              <w:right w:val="nil"/>
            </w:tcBorders>
            <w:shd w:val="clear" w:color="auto" w:fill="auto"/>
            <w:noWrap/>
          </w:tcPr>
          <w:p w14:paraId="5C4FCDB2" w14:textId="77777777" w:rsidR="008A5973" w:rsidRPr="000939E3" w:rsidRDefault="008A5973" w:rsidP="00B5257A">
            <w:pPr>
              <w:spacing w:after="0"/>
              <w:contextualSpacing/>
              <w:jc w:val="left"/>
              <w:rPr>
                <w:rFonts w:eastAsia="Times New Roman" w:cs="Times New Roman"/>
                <w:color w:val="000000"/>
                <w:sz w:val="20"/>
                <w:szCs w:val="20"/>
                <w:lang w:eastAsia="sk-SK"/>
              </w:rPr>
            </w:pPr>
          </w:p>
        </w:tc>
        <w:tc>
          <w:tcPr>
            <w:tcW w:w="1406" w:type="pct"/>
            <w:tcBorders>
              <w:top w:val="dashed" w:sz="4" w:space="0" w:color="BFBFBF" w:themeColor="background1" w:themeShade="BF"/>
              <w:left w:val="nil"/>
              <w:bottom w:val="single" w:sz="4" w:space="0" w:color="auto"/>
              <w:right w:val="nil"/>
            </w:tcBorders>
            <w:shd w:val="clear" w:color="auto" w:fill="auto"/>
            <w:noWrap/>
          </w:tcPr>
          <w:p w14:paraId="7C930DA9" w14:textId="77777777" w:rsidR="008A5973" w:rsidRPr="000939E3" w:rsidRDefault="008A5973" w:rsidP="00B5257A">
            <w:pPr>
              <w:spacing w:after="0"/>
              <w:contextualSpacing/>
              <w:jc w:val="left"/>
              <w:rPr>
                <w:rFonts w:eastAsia="Times New Roman" w:cs="Times New Roman"/>
                <w:color w:val="000000"/>
                <w:sz w:val="20"/>
                <w:szCs w:val="20"/>
                <w:lang w:eastAsia="sk-SK"/>
              </w:rPr>
            </w:pPr>
          </w:p>
        </w:tc>
        <w:tc>
          <w:tcPr>
            <w:tcW w:w="1406" w:type="pct"/>
            <w:tcBorders>
              <w:top w:val="dashed" w:sz="4" w:space="0" w:color="BFBFBF" w:themeColor="background1" w:themeShade="BF"/>
              <w:left w:val="nil"/>
              <w:bottom w:val="single" w:sz="4" w:space="0" w:color="auto"/>
              <w:right w:val="nil"/>
            </w:tcBorders>
            <w:shd w:val="clear" w:color="auto" w:fill="auto"/>
            <w:noWrap/>
          </w:tcPr>
          <w:p w14:paraId="30801118" w14:textId="77777777" w:rsidR="008A5973" w:rsidRPr="000939E3" w:rsidRDefault="008A5973" w:rsidP="00B5257A">
            <w:pPr>
              <w:spacing w:after="0"/>
              <w:contextualSpacing/>
              <w:jc w:val="left"/>
              <w:rPr>
                <w:color w:val="000000"/>
                <w:sz w:val="20"/>
              </w:rPr>
            </w:pPr>
            <w:r w:rsidRPr="000939E3">
              <w:rPr>
                <w:color w:val="000000"/>
                <w:sz w:val="20"/>
              </w:rPr>
              <w:t>Náročnosť transformácie</w:t>
            </w:r>
          </w:p>
        </w:tc>
      </w:tr>
      <w:tr w:rsidR="008A5973" w:rsidRPr="000939E3" w14:paraId="0B50DF5D" w14:textId="77777777" w:rsidTr="00B5257A">
        <w:trPr>
          <w:trHeight w:val="20"/>
        </w:trPr>
        <w:tc>
          <w:tcPr>
            <w:tcW w:w="782" w:type="pct"/>
            <w:vMerge w:val="restart"/>
            <w:tcBorders>
              <w:top w:val="single" w:sz="4" w:space="0" w:color="auto"/>
              <w:left w:val="nil"/>
              <w:right w:val="nil"/>
            </w:tcBorders>
            <w:shd w:val="clear" w:color="auto" w:fill="auto"/>
            <w:noWrap/>
            <w:vAlign w:val="center"/>
          </w:tcPr>
          <w:p w14:paraId="2F561751" w14:textId="77777777" w:rsidR="008A5973" w:rsidRPr="000939E3" w:rsidRDefault="008A5973" w:rsidP="00B5257A">
            <w:pPr>
              <w:spacing w:after="0"/>
              <w:contextualSpacing/>
              <w:rPr>
                <w:b/>
                <w:color w:val="000000"/>
                <w:sz w:val="20"/>
              </w:rPr>
            </w:pPr>
            <w:r w:rsidRPr="000939E3">
              <w:rPr>
                <w:b/>
                <w:color w:val="000000"/>
                <w:sz w:val="20"/>
              </w:rPr>
              <w:t>Prínosy</w:t>
            </w:r>
          </w:p>
        </w:tc>
        <w:tc>
          <w:tcPr>
            <w:tcW w:w="1406" w:type="pct"/>
            <w:tcBorders>
              <w:top w:val="single" w:sz="4" w:space="0" w:color="auto"/>
              <w:left w:val="nil"/>
              <w:bottom w:val="dashed" w:sz="4" w:space="0" w:color="BFBFBF" w:themeColor="background1" w:themeShade="BF"/>
              <w:right w:val="nil"/>
            </w:tcBorders>
            <w:shd w:val="clear" w:color="auto" w:fill="auto"/>
            <w:noWrap/>
          </w:tcPr>
          <w:p w14:paraId="14C938A6" w14:textId="77777777" w:rsidR="008A5973" w:rsidRPr="000939E3" w:rsidRDefault="008A5973" w:rsidP="00B5257A">
            <w:pPr>
              <w:spacing w:after="0"/>
              <w:contextualSpacing/>
              <w:jc w:val="left"/>
              <w:rPr>
                <w:rFonts w:eastAsia="Times New Roman" w:cs="Times New Roman"/>
                <w:color w:val="000000"/>
                <w:sz w:val="20"/>
                <w:szCs w:val="20"/>
                <w:lang w:eastAsia="sk-SK"/>
              </w:rPr>
            </w:pPr>
            <w:r w:rsidRPr="000939E3">
              <w:rPr>
                <w:rFonts w:eastAsia="Times New Roman" w:cs="Times New Roman"/>
                <w:b/>
                <w:color w:val="000000"/>
                <w:sz w:val="20"/>
                <w:szCs w:val="20"/>
                <w:lang w:eastAsia="sk-SK"/>
              </w:rPr>
              <w:t>Zníženie nákladov</w:t>
            </w:r>
            <w:r w:rsidRPr="000939E3">
              <w:rPr>
                <w:rFonts w:eastAsia="Times New Roman" w:cs="Times New Roman"/>
                <w:color w:val="000000"/>
                <w:sz w:val="20"/>
                <w:szCs w:val="20"/>
                <w:lang w:eastAsia="sk-SK"/>
              </w:rPr>
              <w:t xml:space="preserve"> (12-27 %)</w:t>
            </w:r>
          </w:p>
        </w:tc>
        <w:tc>
          <w:tcPr>
            <w:tcW w:w="1406" w:type="pct"/>
            <w:tcBorders>
              <w:top w:val="single" w:sz="4" w:space="0" w:color="auto"/>
              <w:left w:val="nil"/>
              <w:bottom w:val="dashed" w:sz="4" w:space="0" w:color="BFBFBF" w:themeColor="background1" w:themeShade="BF"/>
              <w:right w:val="nil"/>
            </w:tcBorders>
            <w:shd w:val="clear" w:color="auto" w:fill="auto"/>
            <w:noWrap/>
          </w:tcPr>
          <w:p w14:paraId="068EF0F4" w14:textId="77777777" w:rsidR="008A5973" w:rsidRPr="000939E3" w:rsidRDefault="008A5973" w:rsidP="00B5257A">
            <w:pPr>
              <w:spacing w:after="0"/>
              <w:contextualSpacing/>
              <w:jc w:val="left"/>
              <w:rPr>
                <w:rFonts w:eastAsia="Times New Roman" w:cs="Times New Roman"/>
                <w:color w:val="000000"/>
                <w:sz w:val="20"/>
                <w:szCs w:val="20"/>
                <w:lang w:eastAsia="sk-SK"/>
              </w:rPr>
            </w:pPr>
            <w:r w:rsidRPr="000939E3">
              <w:rPr>
                <w:rFonts w:eastAsia="Times New Roman" w:cs="Times New Roman"/>
                <w:b/>
                <w:color w:val="000000"/>
                <w:sz w:val="20"/>
                <w:szCs w:val="20"/>
                <w:lang w:eastAsia="sk-SK"/>
              </w:rPr>
              <w:t>Zníženie nákladov</w:t>
            </w:r>
            <w:r w:rsidRPr="000939E3">
              <w:rPr>
                <w:rFonts w:eastAsia="Times New Roman" w:cs="Times New Roman"/>
                <w:color w:val="000000"/>
                <w:sz w:val="20"/>
                <w:szCs w:val="20"/>
                <w:lang w:eastAsia="sk-SK"/>
              </w:rPr>
              <w:t xml:space="preserve"> (10-20 %)</w:t>
            </w:r>
            <w:r w:rsidRPr="000939E3">
              <w:rPr>
                <w:rFonts w:eastAsia="Times New Roman" w:cs="Times New Roman"/>
                <w:color w:val="000000"/>
                <w:sz w:val="20"/>
                <w:szCs w:val="20"/>
                <w:lang w:eastAsia="sk-SK"/>
              </w:rPr>
              <w:br/>
              <w:t>-redukcia počtu zamestnancov</w:t>
            </w:r>
            <w:r w:rsidRPr="000939E3">
              <w:rPr>
                <w:rFonts w:eastAsia="Times New Roman" w:cs="Times New Roman"/>
                <w:color w:val="000000"/>
                <w:sz w:val="20"/>
                <w:szCs w:val="20"/>
                <w:lang w:eastAsia="sk-SK"/>
              </w:rPr>
              <w:br/>
              <w:t>-úspory z rozsahu</w:t>
            </w:r>
            <w:r w:rsidRPr="000939E3">
              <w:rPr>
                <w:rFonts w:eastAsia="Times New Roman" w:cs="Times New Roman"/>
                <w:color w:val="000000"/>
                <w:sz w:val="20"/>
                <w:szCs w:val="20"/>
                <w:lang w:eastAsia="sk-SK"/>
              </w:rPr>
              <w:br/>
              <w:t>možnosť umiestniť centrá mimo hlavného mesta do oblasti s nižšími nákladmi práce</w:t>
            </w:r>
          </w:p>
        </w:tc>
        <w:tc>
          <w:tcPr>
            <w:tcW w:w="1406" w:type="pct"/>
            <w:tcBorders>
              <w:top w:val="single" w:sz="4" w:space="0" w:color="auto"/>
              <w:left w:val="nil"/>
              <w:bottom w:val="dashed" w:sz="4" w:space="0" w:color="BFBFBF" w:themeColor="background1" w:themeShade="BF"/>
              <w:right w:val="nil"/>
            </w:tcBorders>
            <w:shd w:val="clear" w:color="auto" w:fill="auto"/>
            <w:noWrap/>
          </w:tcPr>
          <w:p w14:paraId="34BE8068" w14:textId="77777777" w:rsidR="008A5973" w:rsidRPr="000939E3" w:rsidRDefault="008A5973" w:rsidP="00B5257A">
            <w:pPr>
              <w:spacing w:after="0"/>
              <w:contextualSpacing/>
              <w:jc w:val="left"/>
              <w:rPr>
                <w:color w:val="000000"/>
                <w:sz w:val="20"/>
              </w:rPr>
            </w:pPr>
            <w:r w:rsidRPr="000939E3">
              <w:rPr>
                <w:rFonts w:eastAsia="Times New Roman" w:cs="Times New Roman"/>
                <w:b/>
                <w:color w:val="000000"/>
                <w:sz w:val="20"/>
                <w:szCs w:val="20"/>
                <w:lang w:eastAsia="sk-SK"/>
              </w:rPr>
              <w:t>Zníženie nákladov</w:t>
            </w:r>
            <w:r w:rsidRPr="000939E3">
              <w:rPr>
                <w:rFonts w:eastAsia="Times New Roman" w:cs="Times New Roman"/>
                <w:color w:val="000000"/>
                <w:sz w:val="20"/>
                <w:szCs w:val="20"/>
                <w:lang w:eastAsia="sk-SK"/>
              </w:rPr>
              <w:t xml:space="preserve"> (30 %)</w:t>
            </w:r>
            <w:r w:rsidRPr="000939E3">
              <w:rPr>
                <w:rFonts w:eastAsia="Times New Roman" w:cs="Times New Roman"/>
                <w:color w:val="000000"/>
                <w:sz w:val="20"/>
                <w:szCs w:val="20"/>
                <w:lang w:eastAsia="sk-SK"/>
              </w:rPr>
              <w:br/>
              <w:t>-redukcia počtu zamestnancov</w:t>
            </w:r>
            <w:r w:rsidRPr="000939E3">
              <w:rPr>
                <w:rFonts w:eastAsia="Times New Roman" w:cs="Times New Roman"/>
                <w:color w:val="000000"/>
                <w:sz w:val="20"/>
                <w:szCs w:val="20"/>
                <w:lang w:eastAsia="sk-SK"/>
              </w:rPr>
              <w:br/>
              <w:t>-úspory z rozsahu</w:t>
            </w:r>
            <w:r w:rsidRPr="000939E3">
              <w:rPr>
                <w:rFonts w:eastAsia="Times New Roman" w:cs="Times New Roman"/>
                <w:color w:val="000000"/>
                <w:sz w:val="20"/>
                <w:szCs w:val="20"/>
                <w:lang w:eastAsia="sk-SK"/>
              </w:rPr>
              <w:br/>
              <w:t>možnosť umiestniť centrá mimo hlavného mesta do oblasti s nižšími nákladmi práce</w:t>
            </w:r>
          </w:p>
        </w:tc>
      </w:tr>
      <w:tr w:rsidR="008A5973" w:rsidRPr="000939E3" w14:paraId="25A5D8A8" w14:textId="77777777" w:rsidTr="00B5257A">
        <w:trPr>
          <w:trHeight w:val="20"/>
        </w:trPr>
        <w:tc>
          <w:tcPr>
            <w:tcW w:w="782" w:type="pct"/>
            <w:vMerge/>
            <w:tcBorders>
              <w:left w:val="nil"/>
              <w:right w:val="nil"/>
            </w:tcBorders>
            <w:shd w:val="clear" w:color="auto" w:fill="auto"/>
            <w:noWrap/>
            <w:vAlign w:val="center"/>
          </w:tcPr>
          <w:p w14:paraId="3895B480" w14:textId="77777777" w:rsidR="008A5973" w:rsidRPr="000939E3" w:rsidRDefault="008A5973" w:rsidP="00B5257A">
            <w:pPr>
              <w:spacing w:after="0"/>
              <w:contextualSpacing/>
              <w:rPr>
                <w:b/>
                <w:color w:val="000000"/>
                <w:sz w:val="20"/>
              </w:rPr>
            </w:pPr>
          </w:p>
        </w:tc>
        <w:tc>
          <w:tcPr>
            <w:tcW w:w="1406" w:type="pct"/>
            <w:tcBorders>
              <w:top w:val="dashed" w:sz="4" w:space="0" w:color="BFBFBF" w:themeColor="background1" w:themeShade="BF"/>
              <w:left w:val="nil"/>
              <w:bottom w:val="dashed" w:sz="4" w:space="0" w:color="BFBFBF" w:themeColor="background1" w:themeShade="BF"/>
              <w:right w:val="nil"/>
            </w:tcBorders>
            <w:shd w:val="clear" w:color="auto" w:fill="auto"/>
            <w:noWrap/>
          </w:tcPr>
          <w:p w14:paraId="623A5170" w14:textId="77777777" w:rsidR="008A5973" w:rsidRPr="000939E3" w:rsidRDefault="008A5973" w:rsidP="00B5257A">
            <w:pPr>
              <w:spacing w:after="0"/>
              <w:contextualSpacing/>
              <w:jc w:val="left"/>
              <w:rPr>
                <w:rFonts w:eastAsia="Times New Roman" w:cs="Times New Roman"/>
                <w:b/>
                <w:color w:val="000000"/>
                <w:sz w:val="20"/>
                <w:szCs w:val="20"/>
                <w:lang w:eastAsia="sk-SK"/>
              </w:rPr>
            </w:pPr>
            <w:r w:rsidRPr="000939E3">
              <w:rPr>
                <w:rFonts w:eastAsia="Times New Roman" w:cs="Times New Roman"/>
                <w:b/>
                <w:color w:val="000000"/>
                <w:sz w:val="20"/>
                <w:szCs w:val="20"/>
                <w:lang w:eastAsia="sk-SK"/>
              </w:rPr>
              <w:t>Rýchlosť realizácie</w:t>
            </w:r>
          </w:p>
        </w:tc>
        <w:tc>
          <w:tcPr>
            <w:tcW w:w="1406" w:type="pct"/>
            <w:tcBorders>
              <w:top w:val="dashed" w:sz="4" w:space="0" w:color="BFBFBF" w:themeColor="background1" w:themeShade="BF"/>
              <w:left w:val="nil"/>
              <w:bottom w:val="dashed" w:sz="4" w:space="0" w:color="BFBFBF" w:themeColor="background1" w:themeShade="BF"/>
              <w:right w:val="nil"/>
            </w:tcBorders>
            <w:shd w:val="clear" w:color="auto" w:fill="auto"/>
            <w:noWrap/>
          </w:tcPr>
          <w:p w14:paraId="725325B4" w14:textId="77777777" w:rsidR="008A5973" w:rsidRPr="000939E3" w:rsidRDefault="008A5973" w:rsidP="00B5257A">
            <w:pPr>
              <w:spacing w:after="0"/>
              <w:contextualSpacing/>
              <w:jc w:val="left"/>
              <w:rPr>
                <w:rFonts w:eastAsia="Times New Roman" w:cs="Times New Roman"/>
                <w:color w:val="000000"/>
                <w:sz w:val="20"/>
                <w:szCs w:val="20"/>
                <w:lang w:eastAsia="sk-SK"/>
              </w:rPr>
            </w:pPr>
            <w:r w:rsidRPr="000939E3">
              <w:rPr>
                <w:rFonts w:eastAsia="Times New Roman" w:cs="Times New Roman"/>
                <w:b/>
                <w:color w:val="000000"/>
                <w:sz w:val="20"/>
                <w:szCs w:val="20"/>
                <w:lang w:eastAsia="sk-SK"/>
              </w:rPr>
              <w:t>Zvýšenie efektivity a kvality poskytovaných služieb</w:t>
            </w:r>
            <w:r w:rsidRPr="000939E3">
              <w:rPr>
                <w:rFonts w:eastAsia="Times New Roman" w:cs="Times New Roman"/>
                <w:color w:val="000000"/>
                <w:sz w:val="20"/>
                <w:szCs w:val="20"/>
                <w:lang w:eastAsia="sk-SK"/>
              </w:rPr>
              <w:br/>
              <w:t>-odstránenie duplicitných činností</w:t>
            </w:r>
            <w:r w:rsidRPr="000939E3">
              <w:rPr>
                <w:rFonts w:eastAsia="Times New Roman" w:cs="Times New Roman"/>
                <w:color w:val="000000"/>
                <w:sz w:val="20"/>
                <w:szCs w:val="20"/>
                <w:lang w:eastAsia="sk-SK"/>
              </w:rPr>
              <w:br/>
              <w:t>-koncentrácia inovácií, skúsených zamestnancov, manažmentu</w:t>
            </w:r>
            <w:r w:rsidRPr="000939E3">
              <w:rPr>
                <w:rFonts w:eastAsia="Times New Roman" w:cs="Times New Roman"/>
                <w:color w:val="000000"/>
                <w:sz w:val="20"/>
                <w:szCs w:val="20"/>
                <w:lang w:eastAsia="sk-SK"/>
              </w:rPr>
              <w:br/>
              <w:t>-koncentrácia na výkon hlavných činností organizácie</w:t>
            </w:r>
          </w:p>
        </w:tc>
        <w:tc>
          <w:tcPr>
            <w:tcW w:w="1406" w:type="pct"/>
            <w:tcBorders>
              <w:top w:val="dashed" w:sz="4" w:space="0" w:color="BFBFBF" w:themeColor="background1" w:themeShade="BF"/>
              <w:left w:val="nil"/>
              <w:bottom w:val="dashed" w:sz="4" w:space="0" w:color="BFBFBF" w:themeColor="background1" w:themeShade="BF"/>
              <w:right w:val="nil"/>
            </w:tcBorders>
            <w:shd w:val="clear" w:color="auto" w:fill="auto"/>
            <w:noWrap/>
          </w:tcPr>
          <w:p w14:paraId="7ADA596E" w14:textId="77777777" w:rsidR="008A5973" w:rsidRPr="000939E3" w:rsidRDefault="008A5973" w:rsidP="00B5257A">
            <w:pPr>
              <w:spacing w:after="0"/>
              <w:contextualSpacing/>
              <w:jc w:val="left"/>
              <w:rPr>
                <w:color w:val="000000"/>
                <w:sz w:val="20"/>
              </w:rPr>
            </w:pPr>
            <w:r w:rsidRPr="000939E3">
              <w:rPr>
                <w:rFonts w:eastAsia="Times New Roman" w:cs="Times New Roman"/>
                <w:b/>
                <w:color w:val="000000"/>
                <w:sz w:val="20"/>
                <w:szCs w:val="20"/>
                <w:lang w:eastAsia="sk-SK"/>
              </w:rPr>
              <w:t>Zvýšenie efektivity a kvality poskytovaných služieb</w:t>
            </w:r>
            <w:r w:rsidRPr="000939E3">
              <w:rPr>
                <w:rFonts w:eastAsia="Times New Roman" w:cs="Times New Roman"/>
                <w:color w:val="000000"/>
                <w:sz w:val="20"/>
                <w:szCs w:val="20"/>
                <w:lang w:eastAsia="sk-SK"/>
              </w:rPr>
              <w:br/>
              <w:t>-odstránenie duplicitných činností</w:t>
            </w:r>
            <w:r w:rsidRPr="000939E3">
              <w:rPr>
                <w:rFonts w:eastAsia="Times New Roman" w:cs="Times New Roman"/>
                <w:color w:val="000000"/>
                <w:sz w:val="20"/>
                <w:szCs w:val="20"/>
                <w:lang w:eastAsia="sk-SK"/>
              </w:rPr>
              <w:br/>
              <w:t>-koncentrácia inovácií, skúsených zamestnancov, manažmentu</w:t>
            </w:r>
            <w:r w:rsidRPr="000939E3">
              <w:rPr>
                <w:rFonts w:eastAsia="Times New Roman" w:cs="Times New Roman"/>
                <w:color w:val="000000"/>
                <w:sz w:val="20"/>
                <w:szCs w:val="20"/>
                <w:lang w:eastAsia="sk-SK"/>
              </w:rPr>
              <w:br/>
              <w:t>-koncentrácia na výkon hlavných činností organizácie</w:t>
            </w:r>
            <w:r w:rsidRPr="000939E3">
              <w:rPr>
                <w:rFonts w:eastAsia="Times New Roman" w:cs="Times New Roman"/>
                <w:color w:val="000000"/>
                <w:sz w:val="20"/>
                <w:szCs w:val="20"/>
                <w:lang w:eastAsia="sk-SK"/>
              </w:rPr>
              <w:br/>
              <w:t>-štandardizácia procesov</w:t>
            </w:r>
          </w:p>
        </w:tc>
      </w:tr>
      <w:tr w:rsidR="008A5973" w:rsidRPr="000939E3" w14:paraId="20986AE7" w14:textId="77777777" w:rsidTr="00B5257A">
        <w:trPr>
          <w:trHeight w:val="20"/>
        </w:trPr>
        <w:tc>
          <w:tcPr>
            <w:tcW w:w="782" w:type="pct"/>
            <w:vMerge/>
            <w:tcBorders>
              <w:left w:val="nil"/>
              <w:bottom w:val="single" w:sz="4" w:space="0" w:color="auto"/>
              <w:right w:val="nil"/>
            </w:tcBorders>
            <w:shd w:val="clear" w:color="auto" w:fill="auto"/>
            <w:noWrap/>
            <w:vAlign w:val="center"/>
          </w:tcPr>
          <w:p w14:paraId="66757D12" w14:textId="77777777" w:rsidR="008A5973" w:rsidRPr="000939E3" w:rsidRDefault="008A5973" w:rsidP="00B5257A">
            <w:pPr>
              <w:spacing w:after="0"/>
              <w:contextualSpacing/>
              <w:rPr>
                <w:b/>
                <w:color w:val="000000"/>
                <w:sz w:val="20"/>
              </w:rPr>
            </w:pPr>
          </w:p>
        </w:tc>
        <w:tc>
          <w:tcPr>
            <w:tcW w:w="1406" w:type="pct"/>
            <w:tcBorders>
              <w:top w:val="dashed" w:sz="4" w:space="0" w:color="BFBFBF" w:themeColor="background1" w:themeShade="BF"/>
              <w:left w:val="nil"/>
              <w:bottom w:val="single" w:sz="4" w:space="0" w:color="auto"/>
              <w:right w:val="nil"/>
            </w:tcBorders>
            <w:shd w:val="clear" w:color="auto" w:fill="auto"/>
            <w:noWrap/>
          </w:tcPr>
          <w:p w14:paraId="444C05CA" w14:textId="77777777" w:rsidR="008A5973" w:rsidRPr="000939E3" w:rsidRDefault="008A5973" w:rsidP="00B5257A">
            <w:pPr>
              <w:spacing w:after="0"/>
              <w:contextualSpacing/>
              <w:jc w:val="left"/>
              <w:rPr>
                <w:rFonts w:eastAsia="Times New Roman" w:cs="Times New Roman"/>
                <w:color w:val="000000"/>
                <w:sz w:val="20"/>
                <w:szCs w:val="20"/>
                <w:lang w:eastAsia="sk-SK"/>
              </w:rPr>
            </w:pPr>
          </w:p>
        </w:tc>
        <w:tc>
          <w:tcPr>
            <w:tcW w:w="1406" w:type="pct"/>
            <w:tcBorders>
              <w:top w:val="dashed" w:sz="4" w:space="0" w:color="BFBFBF" w:themeColor="background1" w:themeShade="BF"/>
              <w:left w:val="nil"/>
              <w:bottom w:val="single" w:sz="4" w:space="0" w:color="auto"/>
              <w:right w:val="nil"/>
            </w:tcBorders>
            <w:shd w:val="clear" w:color="auto" w:fill="auto"/>
            <w:noWrap/>
          </w:tcPr>
          <w:p w14:paraId="3386DF97" w14:textId="77777777" w:rsidR="008A5973" w:rsidRPr="000939E3" w:rsidRDefault="008A5973" w:rsidP="00B5257A">
            <w:pPr>
              <w:spacing w:after="0"/>
              <w:contextualSpacing/>
              <w:jc w:val="left"/>
              <w:rPr>
                <w:rFonts w:eastAsia="Times New Roman" w:cs="Times New Roman"/>
                <w:color w:val="000000"/>
                <w:sz w:val="20"/>
                <w:szCs w:val="20"/>
                <w:lang w:eastAsia="sk-SK"/>
              </w:rPr>
            </w:pPr>
          </w:p>
        </w:tc>
        <w:tc>
          <w:tcPr>
            <w:tcW w:w="1406" w:type="pct"/>
            <w:tcBorders>
              <w:top w:val="dashed" w:sz="4" w:space="0" w:color="BFBFBF" w:themeColor="background1" w:themeShade="BF"/>
              <w:left w:val="nil"/>
              <w:bottom w:val="single" w:sz="4" w:space="0" w:color="auto"/>
              <w:right w:val="nil"/>
            </w:tcBorders>
            <w:shd w:val="clear" w:color="auto" w:fill="auto"/>
            <w:noWrap/>
          </w:tcPr>
          <w:p w14:paraId="583C6917" w14:textId="77777777" w:rsidR="008A5973" w:rsidRPr="000939E3" w:rsidRDefault="008A5973" w:rsidP="00B5257A">
            <w:pPr>
              <w:spacing w:after="0"/>
              <w:contextualSpacing/>
              <w:jc w:val="left"/>
              <w:rPr>
                <w:color w:val="000000"/>
                <w:sz w:val="20"/>
              </w:rPr>
            </w:pPr>
            <w:r w:rsidRPr="000939E3">
              <w:rPr>
                <w:b/>
                <w:color w:val="000000"/>
                <w:sz w:val="20"/>
              </w:rPr>
              <w:t>Lepší zber dát</w:t>
            </w:r>
            <w:r w:rsidRPr="000939E3">
              <w:rPr>
                <w:b/>
                <w:color w:val="000000"/>
                <w:sz w:val="20"/>
              </w:rPr>
              <w:br/>
            </w:r>
            <w:r w:rsidRPr="000939E3">
              <w:rPr>
                <w:color w:val="000000"/>
                <w:sz w:val="20"/>
              </w:rPr>
              <w:t xml:space="preserve">-zvýšenie transparentnosti výdavkov </w:t>
            </w:r>
            <w:r w:rsidRPr="000939E3">
              <w:rPr>
                <w:color w:val="000000"/>
                <w:sz w:val="20"/>
              </w:rPr>
              <w:br/>
              <w:t>-vyššia kvalita údajov pre manažérske rozhodnutia</w:t>
            </w:r>
          </w:p>
        </w:tc>
      </w:tr>
      <w:tr w:rsidR="008A5973" w:rsidRPr="000939E3" w14:paraId="384A9851" w14:textId="77777777" w:rsidTr="00B5257A">
        <w:trPr>
          <w:trHeight w:val="20"/>
        </w:trPr>
        <w:tc>
          <w:tcPr>
            <w:tcW w:w="5000" w:type="pct"/>
            <w:gridSpan w:val="4"/>
            <w:tcBorders>
              <w:top w:val="single" w:sz="4" w:space="0" w:color="auto"/>
              <w:left w:val="nil"/>
              <w:right w:val="nil"/>
            </w:tcBorders>
            <w:shd w:val="clear" w:color="auto" w:fill="auto"/>
            <w:noWrap/>
            <w:vAlign w:val="center"/>
          </w:tcPr>
          <w:p w14:paraId="1249E7B4" w14:textId="6F408CFD" w:rsidR="008A5973" w:rsidRPr="000939E3" w:rsidRDefault="008A5973" w:rsidP="00B5257A">
            <w:pPr>
              <w:spacing w:after="0"/>
              <w:contextualSpacing/>
              <w:jc w:val="right"/>
              <w:rPr>
                <w:i/>
                <w:color w:val="000000"/>
                <w:sz w:val="18"/>
                <w:szCs w:val="18"/>
              </w:rPr>
            </w:pPr>
            <w:r w:rsidRPr="000939E3">
              <w:rPr>
                <w:i/>
                <w:color w:val="000000"/>
                <w:sz w:val="18"/>
                <w:szCs w:val="18"/>
              </w:rPr>
              <w:t>Zdroj: spracovanie ÚHP na základe:</w:t>
            </w:r>
            <w:r w:rsidR="00B5257A" w:rsidRPr="000939E3">
              <w:rPr>
                <w:i/>
                <w:color w:val="000000"/>
                <w:sz w:val="18"/>
                <w:szCs w:val="18"/>
              </w:rPr>
              <w:t xml:space="preserve"> </w:t>
            </w:r>
            <w:r w:rsidRPr="000939E3">
              <w:rPr>
                <w:i/>
                <w:color w:val="000000"/>
                <w:sz w:val="18"/>
                <w:szCs w:val="18"/>
              </w:rPr>
              <w:t>Deloit</w:t>
            </w:r>
            <w:r w:rsidR="00346A60" w:rsidRPr="000939E3">
              <w:rPr>
                <w:i/>
                <w:color w:val="000000"/>
                <w:sz w:val="18"/>
                <w:szCs w:val="18"/>
              </w:rPr>
              <w:t>te</w:t>
            </w:r>
            <w:r w:rsidR="00525B21" w:rsidRPr="000939E3">
              <w:rPr>
                <w:i/>
                <w:color w:val="000000"/>
                <w:sz w:val="18"/>
                <w:szCs w:val="18"/>
              </w:rPr>
              <w:t>(</w:t>
            </w:r>
            <w:r w:rsidRPr="000939E3">
              <w:rPr>
                <w:i/>
                <w:color w:val="000000"/>
                <w:sz w:val="18"/>
                <w:szCs w:val="18"/>
              </w:rPr>
              <w:t>2015</w:t>
            </w:r>
            <w:r w:rsidR="00346A60" w:rsidRPr="000939E3">
              <w:rPr>
                <w:i/>
                <w:color w:val="000000"/>
                <w:sz w:val="18"/>
                <w:szCs w:val="18"/>
              </w:rPr>
              <w:t>)</w:t>
            </w:r>
            <w:r w:rsidR="00525B21" w:rsidRPr="000939E3">
              <w:rPr>
                <w:i/>
                <w:color w:val="000000"/>
                <w:sz w:val="18"/>
                <w:szCs w:val="18"/>
              </w:rPr>
              <w:t xml:space="preserve">, </w:t>
            </w:r>
            <w:r w:rsidRPr="000939E3">
              <w:rPr>
                <w:i/>
                <w:color w:val="000000"/>
                <w:sz w:val="18"/>
                <w:szCs w:val="18"/>
              </w:rPr>
              <w:t>Optimalizácia podporných činností MV SR;</w:t>
            </w:r>
            <w:r w:rsidRPr="000939E3">
              <w:rPr>
                <w:i/>
                <w:sz w:val="18"/>
                <w:szCs w:val="18"/>
              </w:rPr>
              <w:t xml:space="preserve"> </w:t>
            </w:r>
            <w:r w:rsidRPr="000939E3">
              <w:rPr>
                <w:i/>
                <w:color w:val="000000"/>
                <w:sz w:val="18"/>
                <w:szCs w:val="18"/>
              </w:rPr>
              <w:t>Shared Service Centre Republic of Estonia;</w:t>
            </w:r>
            <w:r w:rsidRPr="000939E3">
              <w:rPr>
                <w:i/>
                <w:sz w:val="18"/>
                <w:szCs w:val="18"/>
              </w:rPr>
              <w:t xml:space="preserve"> </w:t>
            </w:r>
            <w:r w:rsidRPr="000939E3">
              <w:rPr>
                <w:i/>
                <w:color w:val="000000"/>
                <w:sz w:val="18"/>
                <w:szCs w:val="18"/>
              </w:rPr>
              <w:t xml:space="preserve">Bulgaria Shared </w:t>
            </w:r>
            <w:r w:rsidR="00346A60" w:rsidRPr="000939E3">
              <w:rPr>
                <w:i/>
                <w:color w:val="000000"/>
                <w:sz w:val="18"/>
                <w:szCs w:val="18"/>
              </w:rPr>
              <w:t>Service Centre; Paagman (</w:t>
            </w:r>
            <w:r w:rsidR="004B45B2" w:rsidRPr="000939E3">
              <w:rPr>
                <w:i/>
                <w:color w:val="000000"/>
                <w:sz w:val="18"/>
                <w:szCs w:val="18"/>
              </w:rPr>
              <w:t>2012</w:t>
            </w:r>
            <w:r w:rsidR="00346A60" w:rsidRPr="000939E3">
              <w:rPr>
                <w:i/>
                <w:color w:val="000000"/>
                <w:sz w:val="18"/>
                <w:szCs w:val="18"/>
              </w:rPr>
              <w:t>)</w:t>
            </w:r>
            <w:r w:rsidR="004B45B2" w:rsidRPr="000939E3">
              <w:rPr>
                <w:i/>
                <w:color w:val="000000"/>
                <w:sz w:val="18"/>
                <w:szCs w:val="18"/>
              </w:rPr>
              <w:t xml:space="preserve">; </w:t>
            </w:r>
            <w:r w:rsidR="00346A60" w:rsidRPr="000939E3">
              <w:rPr>
                <w:i/>
                <w:color w:val="000000"/>
                <w:sz w:val="18"/>
                <w:szCs w:val="18"/>
              </w:rPr>
              <w:t>PwC (</w:t>
            </w:r>
            <w:r w:rsidRPr="000939E3">
              <w:rPr>
                <w:i/>
                <w:color w:val="000000"/>
                <w:sz w:val="18"/>
                <w:szCs w:val="18"/>
              </w:rPr>
              <w:t>2019</w:t>
            </w:r>
            <w:r w:rsidR="00346A60" w:rsidRPr="000939E3">
              <w:rPr>
                <w:i/>
                <w:color w:val="000000"/>
                <w:sz w:val="18"/>
                <w:szCs w:val="18"/>
              </w:rPr>
              <w:t>)</w:t>
            </w:r>
          </w:p>
        </w:tc>
      </w:tr>
    </w:tbl>
    <w:p w14:paraId="69B60B85" w14:textId="3B282A56" w:rsidR="00F947D4" w:rsidRPr="000939E3" w:rsidRDefault="00F947D4" w:rsidP="00F947D4">
      <w:pPr>
        <w:pStyle w:val="Nadpis2"/>
        <w:rPr>
          <w:rStyle w:val="Siln"/>
          <w:b w:val="0"/>
          <w:bCs w:val="0"/>
        </w:rPr>
      </w:pPr>
      <w:bookmarkStart w:id="264" w:name="_Toc34050711"/>
      <w:r w:rsidRPr="000939E3">
        <w:lastRenderedPageBreak/>
        <w:t>Školstvo</w:t>
      </w:r>
      <w:bookmarkEnd w:id="264"/>
    </w:p>
    <w:p w14:paraId="6886483A" w14:textId="7C74604B" w:rsidR="00C41D81" w:rsidRPr="000939E3" w:rsidRDefault="00C41D81" w:rsidP="00B41924">
      <w:pPr>
        <w:pStyle w:val="Odsekzoznamu"/>
        <w:numPr>
          <w:ilvl w:val="0"/>
          <w:numId w:val="12"/>
        </w:numPr>
        <w:ind w:left="426" w:hanging="426"/>
        <w:jc w:val="both"/>
      </w:pPr>
      <w:r w:rsidRPr="000939E3">
        <w:rPr>
          <w:rStyle w:val="Siln"/>
          <w:rFonts w:cs="Segoe UI"/>
          <w:bdr w:val="none" w:sz="0" w:space="0" w:color="auto" w:frame="1"/>
        </w:rPr>
        <w:t xml:space="preserve">Platy učiteľov sa za ostatné roky zvyšujú rýchlejšie ako </w:t>
      </w:r>
      <w:r w:rsidR="00C42FDA" w:rsidRPr="000939E3">
        <w:rPr>
          <w:rStyle w:val="Siln"/>
          <w:rFonts w:cs="Segoe UI"/>
          <w:bdr w:val="none" w:sz="0" w:space="0" w:color="auto" w:frame="1"/>
        </w:rPr>
        <w:t xml:space="preserve">iných </w:t>
      </w:r>
      <w:r w:rsidRPr="000939E3">
        <w:rPr>
          <w:rStyle w:val="Siln"/>
          <w:rFonts w:cs="Segoe UI"/>
          <w:bdr w:val="none" w:sz="0" w:space="0" w:color="auto" w:frame="1"/>
        </w:rPr>
        <w:t>verejný</w:t>
      </w:r>
      <w:r w:rsidR="00C42FDA" w:rsidRPr="000939E3">
        <w:rPr>
          <w:rStyle w:val="Siln"/>
          <w:rFonts w:cs="Segoe UI"/>
          <w:bdr w:val="none" w:sz="0" w:space="0" w:color="auto" w:frame="1"/>
        </w:rPr>
        <w:t>ch</w:t>
      </w:r>
      <w:r w:rsidRPr="000939E3">
        <w:rPr>
          <w:rStyle w:val="Siln"/>
          <w:rFonts w:cs="Segoe UI"/>
          <w:bdr w:val="none" w:sz="0" w:space="0" w:color="auto" w:frame="1"/>
        </w:rPr>
        <w:t xml:space="preserve"> zamestnanco</w:t>
      </w:r>
      <w:r w:rsidR="00C42FDA" w:rsidRPr="000939E3">
        <w:rPr>
          <w:rStyle w:val="Siln"/>
          <w:rFonts w:cs="Segoe UI"/>
          <w:bdr w:val="none" w:sz="0" w:space="0" w:color="auto" w:frame="1"/>
        </w:rPr>
        <w:t>v</w:t>
      </w:r>
      <w:r w:rsidRPr="000939E3">
        <w:rPr>
          <w:rStyle w:val="Siln"/>
          <w:rFonts w:cs="Segoe UI"/>
          <w:bdr w:val="none" w:sz="0" w:space="0" w:color="auto" w:frame="1"/>
        </w:rPr>
        <w:t xml:space="preserve">, stále však zaostávajú za medzinárodným štandardom. </w:t>
      </w:r>
      <w:r w:rsidRPr="000939E3">
        <w:rPr>
          <w:b/>
        </w:rPr>
        <w:t>Najviac zaostávajú mzdy mladých učiteľov</w:t>
      </w:r>
      <w:r w:rsidR="00B93383" w:rsidRPr="000939E3">
        <w:rPr>
          <w:b/>
        </w:rPr>
        <w:t xml:space="preserve"> </w:t>
      </w:r>
      <w:r w:rsidRPr="000939E3">
        <w:rPr>
          <w:b/>
        </w:rPr>
        <w:t>a učiteľov na</w:t>
      </w:r>
      <w:r w:rsidR="000E7169" w:rsidRPr="000939E3">
        <w:rPr>
          <w:b/>
        </w:rPr>
        <w:t> </w:t>
      </w:r>
      <w:r w:rsidRPr="000939E3">
        <w:rPr>
          <w:b/>
        </w:rPr>
        <w:t>gymnáziách.</w:t>
      </w:r>
    </w:p>
    <w:p w14:paraId="028DD861" w14:textId="51B714F1" w:rsidR="00C41D81" w:rsidRPr="000939E3" w:rsidRDefault="00C41D81" w:rsidP="00B41924">
      <w:pPr>
        <w:pStyle w:val="Odsekzoznamu"/>
        <w:numPr>
          <w:ilvl w:val="0"/>
          <w:numId w:val="12"/>
        </w:numPr>
        <w:ind w:left="426" w:hanging="426"/>
        <w:jc w:val="both"/>
        <w:rPr>
          <w:rStyle w:val="Siln"/>
          <w:b w:val="0"/>
          <w:bCs w:val="0"/>
        </w:rPr>
      </w:pPr>
      <w:r w:rsidRPr="000939E3">
        <w:rPr>
          <w:b/>
          <w:bCs/>
        </w:rPr>
        <w:t xml:space="preserve">Sieť škôl je menej efektívna ako v minulosti </w:t>
      </w:r>
      <w:r w:rsidRPr="000939E3">
        <w:rPr>
          <w:rFonts w:eastAsia="Calibri"/>
          <w:b/>
        </w:rPr>
        <w:t xml:space="preserve">a veľký počet malých škôl </w:t>
      </w:r>
      <w:r w:rsidRPr="000939E3">
        <w:rPr>
          <w:rStyle w:val="Siln"/>
          <w:rFonts w:eastAsia="Times New Roman" w:cs="Segoe UI"/>
          <w:bdr w:val="none" w:sz="0" w:space="0" w:color="auto" w:frame="1"/>
          <w:lang w:eastAsia="sk-SK"/>
        </w:rPr>
        <w:t>viaže finančné prostriedky a vedie k nižšej kvalifikovanosti výučby. Optimalizácia si</w:t>
      </w:r>
      <w:r w:rsidR="00C13312" w:rsidRPr="000939E3">
        <w:rPr>
          <w:rStyle w:val="Siln"/>
          <w:rFonts w:eastAsia="Times New Roman" w:cs="Segoe UI"/>
          <w:bdr w:val="none" w:sz="0" w:space="0" w:color="auto" w:frame="1"/>
          <w:lang w:eastAsia="sk-SK"/>
        </w:rPr>
        <w:t xml:space="preserve">ete môže regionálnemu školstvu </w:t>
      </w:r>
      <w:r w:rsidRPr="000939E3">
        <w:rPr>
          <w:rStyle w:val="Siln"/>
          <w:rFonts w:eastAsia="Times New Roman" w:cs="Segoe UI"/>
          <w:bdr w:val="none" w:sz="0" w:space="0" w:color="auto" w:frame="1"/>
          <w:lang w:eastAsia="sk-SK"/>
        </w:rPr>
        <w:t xml:space="preserve">uvoľniť </w:t>
      </w:r>
      <w:r w:rsidR="006D1B3E" w:rsidRPr="000939E3">
        <w:rPr>
          <w:rStyle w:val="Siln"/>
          <w:rFonts w:eastAsia="Times New Roman" w:cs="Segoe UI"/>
          <w:bdr w:val="none" w:sz="0" w:space="0" w:color="auto" w:frame="1"/>
          <w:lang w:eastAsia="sk-SK"/>
        </w:rPr>
        <w:t>1</w:t>
      </w:r>
      <w:r w:rsidR="00FB0B10" w:rsidRPr="000939E3">
        <w:rPr>
          <w:rStyle w:val="Siln"/>
          <w:rFonts w:eastAsia="Times New Roman" w:cs="Segoe UI"/>
          <w:bdr w:val="none" w:sz="0" w:space="0" w:color="auto" w:frame="1"/>
          <w:lang w:eastAsia="sk-SK"/>
        </w:rPr>
        <w:t>7</w:t>
      </w:r>
      <w:r w:rsidR="006D1B3E" w:rsidRPr="000939E3">
        <w:rPr>
          <w:rStyle w:val="Siln"/>
          <w:rFonts w:eastAsia="Times New Roman" w:cs="Segoe UI"/>
          <w:bdr w:val="none" w:sz="0" w:space="0" w:color="auto" w:frame="1"/>
          <w:lang w:eastAsia="sk-SK"/>
        </w:rPr>
        <w:t> </w:t>
      </w:r>
      <w:r w:rsidRPr="000939E3">
        <w:rPr>
          <w:rStyle w:val="Siln"/>
          <w:rFonts w:eastAsia="Times New Roman" w:cs="Segoe UI"/>
          <w:bdr w:val="none" w:sz="0" w:space="0" w:color="auto" w:frame="1"/>
          <w:lang w:eastAsia="sk-SK"/>
        </w:rPr>
        <w:t>mil. eur ročne,</w:t>
      </w:r>
      <w:r w:rsidR="00B93383" w:rsidRPr="000939E3">
        <w:rPr>
          <w:rStyle w:val="Siln"/>
          <w:rFonts w:eastAsia="Times New Roman" w:cs="Segoe UI"/>
          <w:bdr w:val="none" w:sz="0" w:space="0" w:color="auto" w:frame="1"/>
          <w:lang w:eastAsia="sk-SK"/>
        </w:rPr>
        <w:t xml:space="preserve"> </w:t>
      </w:r>
      <w:r w:rsidRPr="000939E3">
        <w:rPr>
          <w:rStyle w:val="Siln"/>
          <w:rFonts w:eastAsia="Times New Roman" w:cs="Segoe UI"/>
          <w:bdr w:val="none" w:sz="0" w:space="0" w:color="auto" w:frame="1"/>
          <w:lang w:eastAsia="sk-SK"/>
        </w:rPr>
        <w:t xml:space="preserve">z toho približne </w:t>
      </w:r>
      <w:r w:rsidR="00FB0B10" w:rsidRPr="000939E3">
        <w:rPr>
          <w:rStyle w:val="Siln"/>
          <w:rFonts w:eastAsia="Times New Roman" w:cs="Segoe UI"/>
          <w:bdr w:val="none" w:sz="0" w:space="0" w:color="auto" w:frame="1"/>
          <w:lang w:eastAsia="sk-SK"/>
        </w:rPr>
        <w:t xml:space="preserve">87 </w:t>
      </w:r>
      <w:r w:rsidRPr="000939E3">
        <w:rPr>
          <w:rStyle w:val="Siln"/>
          <w:rFonts w:eastAsia="Times New Roman" w:cs="Segoe UI"/>
          <w:bdr w:val="none" w:sz="0" w:space="0" w:color="auto" w:frame="1"/>
          <w:lang w:eastAsia="sk-SK"/>
        </w:rPr>
        <w:t>% tvoria mzdy.</w:t>
      </w:r>
    </w:p>
    <w:p w14:paraId="16B2A5A8" w14:textId="77777777" w:rsidR="00C41D81" w:rsidRPr="000939E3" w:rsidRDefault="00C41D81" w:rsidP="00B41924">
      <w:pPr>
        <w:pStyle w:val="Odsekzoznamu"/>
        <w:numPr>
          <w:ilvl w:val="0"/>
          <w:numId w:val="12"/>
        </w:numPr>
        <w:ind w:left="426" w:hanging="426"/>
        <w:jc w:val="both"/>
        <w:rPr>
          <w:rStyle w:val="Siln"/>
          <w:b w:val="0"/>
          <w:bCs w:val="0"/>
        </w:rPr>
      </w:pPr>
      <w:r w:rsidRPr="000939E3">
        <w:rPr>
          <w:rStyle w:val="Siln"/>
          <w:rFonts w:eastAsia="Times New Roman" w:cs="Segoe UI"/>
          <w:bdr w:val="none" w:sz="0" w:space="0" w:color="auto" w:frame="1"/>
          <w:lang w:eastAsia="sk-SK"/>
        </w:rPr>
        <w:t xml:space="preserve">Odmeňovanie pedagogických zamestnancov je naďalej slabo naviazané na kvalitu výučby. Opatrenia revízie výdavkov na vzdelávanie v tejto oblasti neboli doteraz naplnené. </w:t>
      </w:r>
    </w:p>
    <w:p w14:paraId="5E89DC26" w14:textId="37D2DCA4" w:rsidR="00C41D81" w:rsidRPr="000939E3" w:rsidRDefault="00C41D81" w:rsidP="00B41924">
      <w:pPr>
        <w:pStyle w:val="Odsekzoznamu"/>
        <w:numPr>
          <w:ilvl w:val="0"/>
          <w:numId w:val="12"/>
        </w:numPr>
        <w:ind w:left="426" w:hanging="426"/>
        <w:jc w:val="both"/>
      </w:pPr>
      <w:r w:rsidRPr="000939E3">
        <w:rPr>
          <w:b/>
        </w:rPr>
        <w:t xml:space="preserve">Vysokoškolských učiteľov je v medzinárodnom porovnaní veľa. Ich počet spolu </w:t>
      </w:r>
      <w:r w:rsidR="00B93383" w:rsidRPr="000939E3">
        <w:rPr>
          <w:b/>
        </w:rPr>
        <w:t>s </w:t>
      </w:r>
      <w:r w:rsidRPr="000939E3">
        <w:rPr>
          <w:b/>
        </w:rPr>
        <w:t>počtom ostatných zamestnancov VŠ sa len pomaly prispôsobuje klesajúcemu počtu študentov. Vysoké školy by mali využiť priaznivú situáciu na trhu práce na prispôsobenie počtu zamestnancov nižšiemu počtu študentov.</w:t>
      </w:r>
    </w:p>
    <w:p w14:paraId="69CF7E89" w14:textId="77AB4A99" w:rsidR="00C41D81" w:rsidRPr="000939E3" w:rsidRDefault="00C41D81" w:rsidP="00B41924">
      <w:pPr>
        <w:pStyle w:val="Odsekzoznamu"/>
        <w:numPr>
          <w:ilvl w:val="0"/>
          <w:numId w:val="12"/>
        </w:numPr>
        <w:ind w:left="426" w:hanging="426"/>
        <w:jc w:val="both"/>
      </w:pPr>
      <w:r w:rsidRPr="000939E3">
        <w:rPr>
          <w:b/>
        </w:rPr>
        <w:t xml:space="preserve">Dosiahnutie úrovne </w:t>
      </w:r>
      <w:r w:rsidR="00C5375D" w:rsidRPr="000939E3">
        <w:rPr>
          <w:b/>
        </w:rPr>
        <w:t xml:space="preserve">počtu učiteľov na študenta ako v ČR </w:t>
      </w:r>
      <w:r w:rsidRPr="000939E3">
        <w:rPr>
          <w:b/>
        </w:rPr>
        <w:t xml:space="preserve">a prispôsobenie počtu neučiteľov počtu študentov by umožnilo vysokým školám uvoľniť približne </w:t>
      </w:r>
      <w:r w:rsidR="003E1E1F" w:rsidRPr="000939E3">
        <w:rPr>
          <w:b/>
        </w:rPr>
        <w:t xml:space="preserve">91 </w:t>
      </w:r>
      <w:r w:rsidRPr="000939E3">
        <w:rPr>
          <w:b/>
        </w:rPr>
        <w:t>mil. eur ročne.</w:t>
      </w:r>
    </w:p>
    <w:p w14:paraId="1419DCAD" w14:textId="59D9A4AB" w:rsidR="000B0EF7" w:rsidRPr="000939E3" w:rsidRDefault="00C41D81" w:rsidP="000426BB">
      <w:pPr>
        <w:pStyle w:val="Normlnywebov"/>
        <w:shd w:val="clear" w:color="auto" w:fill="FFFFFF"/>
        <w:spacing w:before="0" w:beforeAutospacing="0" w:after="240" w:afterAutospacing="0" w:line="276" w:lineRule="auto"/>
        <w:jc w:val="both"/>
        <w:textAlignment w:val="baseline"/>
        <w:rPr>
          <w:rFonts w:ascii="Arial Narrow" w:hAnsi="Arial Narrow"/>
          <w:sz w:val="22"/>
          <w:szCs w:val="22"/>
        </w:rPr>
      </w:pPr>
      <w:r w:rsidRPr="000939E3">
        <w:rPr>
          <w:rStyle w:val="Siln"/>
          <w:rFonts w:ascii="Arial Narrow" w:hAnsi="Arial Narrow" w:cs="Segoe UI"/>
          <w:sz w:val="22"/>
          <w:szCs w:val="22"/>
          <w:bdr w:val="none" w:sz="0" w:space="0" w:color="auto" w:frame="1"/>
        </w:rPr>
        <w:t xml:space="preserve">Školstvo zamestnáva približne každého tretieho zamestnanca verejného sektora a vyplatí asi tretinu verejných výdavkov na mzdy. </w:t>
      </w:r>
      <w:r w:rsidRPr="000939E3">
        <w:rPr>
          <w:rStyle w:val="Siln"/>
          <w:rFonts w:ascii="Arial Narrow" w:hAnsi="Arial Narrow" w:cs="Segoe UI"/>
          <w:b w:val="0"/>
          <w:sz w:val="22"/>
          <w:szCs w:val="22"/>
          <w:bdr w:val="none" w:sz="0" w:space="0" w:color="auto" w:frame="1"/>
        </w:rPr>
        <w:t xml:space="preserve">V roku </w:t>
      </w:r>
      <w:r w:rsidR="00F118F8" w:rsidRPr="000939E3">
        <w:rPr>
          <w:rStyle w:val="Siln"/>
          <w:rFonts w:ascii="Arial Narrow" w:hAnsi="Arial Narrow" w:cs="Segoe UI"/>
          <w:b w:val="0"/>
          <w:sz w:val="22"/>
          <w:szCs w:val="22"/>
          <w:bdr w:val="none" w:sz="0" w:space="0" w:color="auto" w:frame="1"/>
        </w:rPr>
        <w:t xml:space="preserve">2018 </w:t>
      </w:r>
      <w:r w:rsidRPr="000939E3">
        <w:rPr>
          <w:rStyle w:val="Siln"/>
          <w:rFonts w:ascii="Arial Narrow" w:hAnsi="Arial Narrow" w:cs="Segoe UI"/>
          <w:b w:val="0"/>
          <w:sz w:val="22"/>
          <w:szCs w:val="22"/>
          <w:bdr w:val="none" w:sz="0" w:space="0" w:color="auto" w:frame="1"/>
        </w:rPr>
        <w:t>zamestnávalo vyše 90 tisíc pedagogických a odborných zamestnancov, 10 tisíc vysokoškolských učiteľov a výskumníkov a 50 tisíc nepedagogických pracovníkov.</w:t>
      </w:r>
      <w:r w:rsidR="006455B6" w:rsidRPr="000939E3">
        <w:rPr>
          <w:rStyle w:val="Siln"/>
          <w:rFonts w:ascii="Arial Narrow" w:hAnsi="Arial Narrow" w:cs="Segoe UI"/>
          <w:b w:val="0"/>
          <w:sz w:val="22"/>
          <w:szCs w:val="22"/>
          <w:bdr w:val="none" w:sz="0" w:space="0" w:color="auto" w:frame="1"/>
        </w:rPr>
        <w:t xml:space="preserve"> </w:t>
      </w:r>
      <w:r w:rsidRPr="000939E3">
        <w:rPr>
          <w:rStyle w:val="Siln"/>
          <w:rFonts w:ascii="Arial Narrow" w:hAnsi="Arial Narrow" w:cs="Segoe UI"/>
          <w:b w:val="0"/>
          <w:sz w:val="22"/>
          <w:szCs w:val="22"/>
          <w:bdr w:val="none" w:sz="0" w:space="0" w:color="auto" w:frame="1"/>
        </w:rPr>
        <w:t>Zamestnanosť v celom sektore vzdelávania je z medzinárodného hľadiska priemerná (</w:t>
      </w:r>
      <w:r w:rsidR="006455B6" w:rsidRPr="000939E3">
        <w:rPr>
          <w:rStyle w:val="Siln"/>
          <w:rFonts w:ascii="Arial Narrow" w:hAnsi="Arial Narrow" w:cs="Segoe UI"/>
          <w:b w:val="0"/>
          <w:sz w:val="22"/>
          <w:szCs w:val="22"/>
          <w:bdr w:val="none" w:sz="0" w:space="0" w:color="auto" w:frame="1"/>
        </w:rPr>
        <w:fldChar w:fldCharType="begin"/>
      </w:r>
      <w:r w:rsidR="006455B6" w:rsidRPr="000939E3">
        <w:rPr>
          <w:rStyle w:val="Siln"/>
          <w:rFonts w:ascii="Arial Narrow" w:hAnsi="Arial Narrow" w:cs="Segoe UI"/>
          <w:b w:val="0"/>
          <w:sz w:val="22"/>
          <w:szCs w:val="22"/>
          <w:bdr w:val="none" w:sz="0" w:space="0" w:color="auto" w:frame="1"/>
        </w:rPr>
        <w:instrText xml:space="preserve"> REF _Ref532829937 \h  \* MERGEFORMAT </w:instrText>
      </w:r>
      <w:r w:rsidR="006455B6" w:rsidRPr="000939E3">
        <w:rPr>
          <w:rStyle w:val="Siln"/>
          <w:rFonts w:ascii="Arial Narrow" w:hAnsi="Arial Narrow" w:cs="Segoe UI"/>
          <w:b w:val="0"/>
          <w:sz w:val="22"/>
          <w:szCs w:val="22"/>
          <w:bdr w:val="none" w:sz="0" w:space="0" w:color="auto" w:frame="1"/>
        </w:rPr>
      </w:r>
      <w:r w:rsidR="006455B6" w:rsidRPr="000939E3">
        <w:rPr>
          <w:rStyle w:val="Siln"/>
          <w:rFonts w:ascii="Arial Narrow" w:hAnsi="Arial Narrow" w:cs="Segoe UI"/>
          <w:b w:val="0"/>
          <w:sz w:val="22"/>
          <w:szCs w:val="22"/>
          <w:bdr w:val="none" w:sz="0" w:space="0" w:color="auto" w:frame="1"/>
        </w:rPr>
        <w:fldChar w:fldCharType="separate"/>
      </w:r>
      <w:r w:rsidR="00BF69CA" w:rsidRPr="00BF69CA">
        <w:rPr>
          <w:rStyle w:val="Siln"/>
          <w:rFonts w:ascii="Arial Narrow" w:hAnsi="Arial Narrow" w:cs="Segoe UI"/>
          <w:b w:val="0"/>
          <w:sz w:val="22"/>
          <w:szCs w:val="22"/>
          <w:bdr w:val="none" w:sz="0" w:space="0" w:color="auto" w:frame="1"/>
        </w:rPr>
        <w:t>Graf 11</w:t>
      </w:r>
      <w:r w:rsidR="006455B6" w:rsidRPr="000939E3">
        <w:rPr>
          <w:rStyle w:val="Siln"/>
          <w:rFonts w:ascii="Arial Narrow" w:hAnsi="Arial Narrow" w:cs="Segoe UI"/>
          <w:b w:val="0"/>
          <w:sz w:val="22"/>
          <w:szCs w:val="22"/>
          <w:bdr w:val="none" w:sz="0" w:space="0" w:color="auto" w:frame="1"/>
        </w:rPr>
        <w:fldChar w:fldCharType="end"/>
      </w:r>
      <w:r w:rsidRPr="000939E3">
        <w:rPr>
          <w:rStyle w:val="Siln"/>
          <w:rFonts w:ascii="Arial Narrow" w:hAnsi="Arial Narrow" w:cs="Segoe UI"/>
          <w:b w:val="0"/>
          <w:sz w:val="22"/>
          <w:szCs w:val="22"/>
          <w:bdr w:val="none" w:sz="0" w:space="0" w:color="auto" w:frame="1"/>
        </w:rPr>
        <w:t>), odlišné je rozdelenie na jednotlivé stupne vzdelávania. Menej žiakov na učiteľa má Slovensko v porovnaní s krajinami</w:t>
      </w:r>
      <w:r w:rsidRPr="000939E3">
        <w:rPr>
          <w:rFonts w:ascii="Arial Narrow" w:hAnsi="Arial Narrow"/>
          <w:sz w:val="22"/>
          <w:szCs w:val="22"/>
        </w:rPr>
        <w:t xml:space="preserve"> OECD najmä na vysokých školách, výrazne viac v primárnom vzdelávaní</w:t>
      </w:r>
      <w:r w:rsidRPr="000939E3">
        <w:rPr>
          <w:rFonts w:ascii="Arial Narrow" w:hAnsi="Arial Narrow"/>
          <w:b/>
          <w:sz w:val="22"/>
          <w:szCs w:val="22"/>
        </w:rPr>
        <w:t xml:space="preserve"> </w:t>
      </w:r>
      <w:r w:rsidRPr="000939E3">
        <w:rPr>
          <w:rFonts w:ascii="Arial Narrow" w:hAnsi="Arial Narrow"/>
          <w:sz w:val="22"/>
          <w:szCs w:val="22"/>
        </w:rPr>
        <w:t>(p</w:t>
      </w:r>
      <w:r w:rsidR="000E05CF" w:rsidRPr="000939E3">
        <w:rPr>
          <w:rFonts w:ascii="Arial Narrow" w:hAnsi="Arial Narrow"/>
          <w:sz w:val="22"/>
          <w:szCs w:val="22"/>
        </w:rPr>
        <w:t>rvý stupeň ZŠ) a na gymnáziách</w:t>
      </w:r>
      <w:r w:rsidR="00C031A3" w:rsidRPr="000939E3">
        <w:rPr>
          <w:rFonts w:ascii="Arial Narrow" w:hAnsi="Arial Narrow"/>
          <w:sz w:val="22"/>
          <w:szCs w:val="22"/>
        </w:rPr>
        <w:t xml:space="preserve"> (vyššie sekundárne všeobecné)</w:t>
      </w:r>
      <w:r w:rsidR="00241879" w:rsidRPr="000939E3">
        <w:rPr>
          <w:rFonts w:ascii="Arial Narrow" w:hAnsi="Arial Narrow"/>
          <w:sz w:val="22"/>
          <w:szCs w:val="22"/>
        </w:rPr>
        <w:t xml:space="preserve"> (</w:t>
      </w:r>
      <w:r w:rsidR="00241879" w:rsidRPr="000939E3">
        <w:rPr>
          <w:rFonts w:ascii="Arial Narrow" w:hAnsi="Arial Narrow"/>
          <w:sz w:val="22"/>
          <w:szCs w:val="22"/>
        </w:rPr>
        <w:fldChar w:fldCharType="begin"/>
      </w:r>
      <w:r w:rsidR="00241879" w:rsidRPr="000939E3">
        <w:rPr>
          <w:rFonts w:ascii="Arial Narrow" w:hAnsi="Arial Narrow"/>
          <w:sz w:val="22"/>
          <w:szCs w:val="22"/>
        </w:rPr>
        <w:instrText xml:space="preserve"> REF _Ref532898302 \h  \* MERGEFORMAT </w:instrText>
      </w:r>
      <w:r w:rsidR="00241879" w:rsidRPr="000939E3">
        <w:rPr>
          <w:rFonts w:ascii="Arial Narrow" w:hAnsi="Arial Narrow"/>
          <w:sz w:val="22"/>
          <w:szCs w:val="22"/>
        </w:rPr>
      </w:r>
      <w:r w:rsidR="00241879" w:rsidRPr="000939E3">
        <w:rPr>
          <w:rFonts w:ascii="Arial Narrow" w:hAnsi="Arial Narrow"/>
          <w:sz w:val="22"/>
          <w:szCs w:val="22"/>
        </w:rPr>
        <w:fldChar w:fldCharType="separate"/>
      </w:r>
      <w:r w:rsidR="00BF69CA" w:rsidRPr="00BF69CA">
        <w:rPr>
          <w:rFonts w:ascii="Arial Narrow" w:hAnsi="Arial Narrow"/>
          <w:sz w:val="22"/>
          <w:szCs w:val="22"/>
        </w:rPr>
        <w:t xml:space="preserve">Graf </w:t>
      </w:r>
      <w:r w:rsidR="00BF69CA" w:rsidRPr="00BF69CA">
        <w:rPr>
          <w:rFonts w:ascii="Arial Narrow" w:hAnsi="Arial Narrow"/>
          <w:noProof/>
          <w:sz w:val="22"/>
          <w:szCs w:val="22"/>
        </w:rPr>
        <w:t>50</w:t>
      </w:r>
      <w:r w:rsidR="00241879" w:rsidRPr="000939E3">
        <w:rPr>
          <w:rFonts w:ascii="Arial Narrow" w:hAnsi="Arial Narrow"/>
          <w:sz w:val="22"/>
          <w:szCs w:val="22"/>
        </w:rPr>
        <w:fldChar w:fldCharType="end"/>
      </w:r>
      <w:r w:rsidR="00241879" w:rsidRPr="000939E3">
        <w:rPr>
          <w:rFonts w:ascii="Arial Narrow" w:hAnsi="Arial Narrow"/>
          <w:sz w:val="22"/>
          <w:szCs w:val="22"/>
        </w:rPr>
        <w:t>)</w:t>
      </w:r>
      <w:r w:rsidR="000E05CF" w:rsidRPr="000939E3">
        <w:rPr>
          <w:rFonts w:ascii="Arial Narrow" w:hAnsi="Arial Narrow"/>
          <w:sz w:val="22"/>
          <w:szCs w:val="22"/>
        </w:rPr>
        <w:t>.</w:t>
      </w:r>
    </w:p>
    <w:tbl>
      <w:tblPr>
        <w:tblpPr w:leftFromText="141" w:rightFromText="141" w:vertAnchor="text" w:horzAnchor="margin" w:tblpY="-22"/>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202"/>
        <w:gridCol w:w="1473"/>
        <w:gridCol w:w="397"/>
      </w:tblGrid>
      <w:tr w:rsidR="00D94011" w:rsidRPr="000939E3" w14:paraId="499B5B14" w14:textId="77777777" w:rsidTr="00824A98">
        <w:trPr>
          <w:trHeight w:val="20"/>
        </w:trPr>
        <w:tc>
          <w:tcPr>
            <w:tcW w:w="4781" w:type="pct"/>
            <w:gridSpan w:val="2"/>
            <w:tcBorders>
              <w:top w:val="nil"/>
              <w:bottom w:val="single" w:sz="4" w:space="0" w:color="auto"/>
            </w:tcBorders>
          </w:tcPr>
          <w:p w14:paraId="079014E9" w14:textId="0D8F1FA6" w:rsidR="00D94011" w:rsidRPr="000939E3" w:rsidRDefault="000B0EF7" w:rsidP="00D94011">
            <w:pPr>
              <w:keepNext/>
              <w:spacing w:after="0"/>
              <w:rPr>
                <w:rFonts w:eastAsia="Times New Roman" w:cs="Arial"/>
                <w:color w:val="000000"/>
                <w:sz w:val="20"/>
                <w:szCs w:val="20"/>
                <w:lang w:eastAsia="sk-SK"/>
              </w:rPr>
            </w:pPr>
            <w:bookmarkStart w:id="265" w:name="_Ref532898302"/>
            <w:bookmarkStart w:id="266" w:name="_Toc34226921"/>
            <w:r w:rsidRPr="000939E3">
              <w:rPr>
                <w:b/>
                <w:sz w:val="20"/>
              </w:rPr>
              <w:t xml:space="preserve">Graf </w:t>
            </w:r>
            <w:r w:rsidRPr="000939E3">
              <w:rPr>
                <w:b/>
                <w:sz w:val="20"/>
              </w:rPr>
              <w:fldChar w:fldCharType="begin"/>
            </w:r>
            <w:r w:rsidRPr="000939E3">
              <w:rPr>
                <w:b/>
                <w:sz w:val="20"/>
              </w:rPr>
              <w:instrText xml:space="preserve"> SEQ Graf \* ARABIC </w:instrText>
            </w:r>
            <w:r w:rsidRPr="000939E3">
              <w:rPr>
                <w:b/>
                <w:sz w:val="20"/>
              </w:rPr>
              <w:fldChar w:fldCharType="separate"/>
            </w:r>
            <w:r w:rsidR="00BF69CA">
              <w:rPr>
                <w:b/>
                <w:noProof/>
                <w:sz w:val="20"/>
              </w:rPr>
              <w:t>50</w:t>
            </w:r>
            <w:r w:rsidRPr="000939E3">
              <w:rPr>
                <w:b/>
                <w:sz w:val="20"/>
              </w:rPr>
              <w:fldChar w:fldCharType="end"/>
            </w:r>
            <w:bookmarkEnd w:id="265"/>
            <w:r w:rsidR="00D94011" w:rsidRPr="000939E3">
              <w:rPr>
                <w:rFonts w:eastAsia="Times New Roman" w:cs="Times New Roman"/>
                <w:b/>
                <w:sz w:val="20"/>
                <w:szCs w:val="20"/>
                <w:lang w:eastAsia="sk-SK"/>
              </w:rPr>
              <w:t>: Počet žiakov na učiteľa, medzinárodné porovnanie (201</w:t>
            </w:r>
            <w:r w:rsidR="00973F1B" w:rsidRPr="000939E3">
              <w:rPr>
                <w:rFonts w:eastAsia="Times New Roman" w:cs="Times New Roman"/>
                <w:b/>
                <w:sz w:val="20"/>
                <w:szCs w:val="20"/>
                <w:lang w:eastAsia="sk-SK"/>
              </w:rPr>
              <w:t>7</w:t>
            </w:r>
            <w:r w:rsidR="00D94011" w:rsidRPr="000939E3">
              <w:rPr>
                <w:rFonts w:eastAsia="Times New Roman" w:cs="Times New Roman"/>
                <w:b/>
                <w:sz w:val="20"/>
                <w:szCs w:val="20"/>
                <w:lang w:eastAsia="sk-SK"/>
              </w:rPr>
              <w:t>)</w:t>
            </w:r>
            <w:bookmarkEnd w:id="266"/>
          </w:p>
        </w:tc>
        <w:tc>
          <w:tcPr>
            <w:tcW w:w="219" w:type="pct"/>
            <w:tcBorders>
              <w:top w:val="nil"/>
              <w:bottom w:val="single" w:sz="4" w:space="0" w:color="auto"/>
            </w:tcBorders>
          </w:tcPr>
          <w:p w14:paraId="3D7EEEC9" w14:textId="77777777" w:rsidR="00D94011" w:rsidRPr="000939E3" w:rsidRDefault="00D94011" w:rsidP="00D94011">
            <w:pPr>
              <w:keepNext/>
              <w:spacing w:after="0"/>
              <w:rPr>
                <w:b/>
                <w:sz w:val="20"/>
                <w:szCs w:val="20"/>
              </w:rPr>
            </w:pPr>
          </w:p>
        </w:tc>
      </w:tr>
      <w:tr w:rsidR="00D94011" w:rsidRPr="000939E3" w14:paraId="2B3DD07A" w14:textId="77777777" w:rsidTr="00824A98">
        <w:tblPrEx>
          <w:tblCellMar>
            <w:left w:w="108" w:type="dxa"/>
            <w:right w:w="108" w:type="dxa"/>
          </w:tblCellMar>
        </w:tblPrEx>
        <w:trPr>
          <w:trHeight w:val="20"/>
        </w:trPr>
        <w:tc>
          <w:tcPr>
            <w:tcW w:w="5000" w:type="pct"/>
            <w:gridSpan w:val="3"/>
            <w:tcBorders>
              <w:top w:val="single" w:sz="4" w:space="0" w:color="auto"/>
              <w:bottom w:val="single" w:sz="4" w:space="0" w:color="auto"/>
            </w:tcBorders>
            <w:shd w:val="clear" w:color="auto" w:fill="auto"/>
            <w:noWrap/>
            <w:vAlign w:val="bottom"/>
          </w:tcPr>
          <w:p w14:paraId="6801E1BC" w14:textId="659B07D1" w:rsidR="00D94011" w:rsidRPr="000939E3" w:rsidRDefault="004B6324" w:rsidP="00D94011">
            <w:pPr>
              <w:keepNext/>
              <w:spacing w:after="0"/>
              <w:jc w:val="right"/>
              <w:rPr>
                <w:rStyle w:val="Jemnodkaz"/>
                <w:rFonts w:eastAsiaTheme="minorHAnsi"/>
              </w:rPr>
            </w:pPr>
            <w:r w:rsidRPr="000939E3">
              <w:rPr>
                <w:noProof/>
                <w:lang w:eastAsia="sk-SK"/>
              </w:rPr>
              <w:drawing>
                <wp:inline distT="0" distB="0" distL="0" distR="0" wp14:anchorId="0787BDF6" wp14:editId="1432A874">
                  <wp:extent cx="5573638" cy="1886585"/>
                  <wp:effectExtent l="0" t="0" r="0" b="0"/>
                  <wp:docPr id="255" name="Graf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616229" w:rsidRPr="000939E3" w14:paraId="55763AE4" w14:textId="77777777" w:rsidTr="00824A98">
        <w:trPr>
          <w:trHeight w:val="20"/>
        </w:trPr>
        <w:tc>
          <w:tcPr>
            <w:tcW w:w="3969" w:type="pct"/>
            <w:tcBorders>
              <w:top w:val="single" w:sz="4" w:space="0" w:color="auto"/>
              <w:bottom w:val="nil"/>
            </w:tcBorders>
            <w:shd w:val="clear" w:color="auto" w:fill="auto"/>
            <w:noWrap/>
            <w:vAlign w:val="bottom"/>
          </w:tcPr>
          <w:p w14:paraId="33D0C504" w14:textId="6D061A2D" w:rsidR="00616229" w:rsidRPr="000939E3" w:rsidRDefault="00616229" w:rsidP="00093832">
            <w:pPr>
              <w:keepNext/>
              <w:spacing w:after="0"/>
              <w:jc w:val="left"/>
              <w:rPr>
                <w:noProof/>
                <w:lang w:eastAsia="sk-SK"/>
              </w:rPr>
            </w:pPr>
            <w:r w:rsidRPr="000939E3">
              <w:rPr>
                <w:rStyle w:val="Jemnodkaz"/>
                <w:rFonts w:eastAsiaTheme="minorHAnsi"/>
              </w:rPr>
              <w:t>Pozn: pre VŠ ide o počet študentov na akademického pracovníka</w:t>
            </w:r>
          </w:p>
        </w:tc>
        <w:tc>
          <w:tcPr>
            <w:tcW w:w="1031" w:type="pct"/>
            <w:gridSpan w:val="2"/>
            <w:tcBorders>
              <w:top w:val="single" w:sz="4" w:space="0" w:color="auto"/>
              <w:bottom w:val="nil"/>
            </w:tcBorders>
            <w:shd w:val="clear" w:color="auto" w:fill="auto"/>
            <w:vAlign w:val="bottom"/>
          </w:tcPr>
          <w:p w14:paraId="7D73905D" w14:textId="46BDC985" w:rsidR="00616229" w:rsidRPr="000939E3" w:rsidRDefault="00616229" w:rsidP="000F1B03">
            <w:pPr>
              <w:keepNext/>
              <w:spacing w:after="0"/>
              <w:jc w:val="right"/>
              <w:rPr>
                <w:noProof/>
                <w:lang w:eastAsia="sk-SK"/>
              </w:rPr>
            </w:pPr>
            <w:r w:rsidRPr="000939E3">
              <w:rPr>
                <w:rStyle w:val="Jemnodkaz"/>
                <w:rFonts w:eastAsiaTheme="minorHAnsi"/>
              </w:rPr>
              <w:t xml:space="preserve">Zdroj: </w:t>
            </w:r>
            <w:r w:rsidRPr="000939E3">
              <w:rPr>
                <w:rFonts w:eastAsia="Times New Roman" w:cs="Arial"/>
                <w:i/>
                <w:color w:val="000000"/>
                <w:sz w:val="16"/>
                <w:szCs w:val="16"/>
                <w:lang w:eastAsia="sk-SK"/>
              </w:rPr>
              <w:t xml:space="preserve">OECD </w:t>
            </w:r>
            <w:r w:rsidR="000F1B03" w:rsidRPr="000939E3">
              <w:rPr>
                <w:rFonts w:eastAsia="Times New Roman" w:cs="Arial"/>
                <w:i/>
                <w:color w:val="000000"/>
                <w:sz w:val="16"/>
                <w:szCs w:val="16"/>
                <w:lang w:eastAsia="sk-SK"/>
              </w:rPr>
              <w:t>2019</w:t>
            </w:r>
          </w:p>
        </w:tc>
      </w:tr>
    </w:tbl>
    <w:p w14:paraId="6F34482C" w14:textId="79E8BF37" w:rsidR="00BD7076" w:rsidRDefault="00C41D81" w:rsidP="00824A98">
      <w:pPr>
        <w:spacing w:before="240"/>
      </w:pPr>
      <w:r w:rsidRPr="000939E3">
        <w:t xml:space="preserve">Mzdy slovenských učiteľov sa v posledných rokoch zvyšujú, stále sú však v medzinárodnom porovnaní nízke. </w:t>
      </w:r>
      <w:r w:rsidR="005034A1" w:rsidRPr="000939E3">
        <w:t>Tarifné mzdy učiteľov rástli na Slovensku rýchlejšie ako v krajinách EÚ, od roku 20</w:t>
      </w:r>
      <w:r w:rsidR="00223567" w:rsidRPr="000939E3">
        <w:t>12</w:t>
      </w:r>
      <w:r w:rsidR="005034A1" w:rsidRPr="000939E3">
        <w:t xml:space="preserve"> </w:t>
      </w:r>
      <w:r w:rsidR="00F118F8" w:rsidRPr="000939E3">
        <w:t xml:space="preserve">do 2017 </w:t>
      </w:r>
      <w:r w:rsidR="005034A1" w:rsidRPr="000939E3">
        <w:t xml:space="preserve">sa zvýšili o približne </w:t>
      </w:r>
      <w:r w:rsidR="00223567" w:rsidRPr="000939E3">
        <w:t>44</w:t>
      </w:r>
      <w:r w:rsidR="005034A1" w:rsidRPr="000939E3">
        <w:t> %. Priemer krajín EÚ s dostupnými údajmi bol 1</w:t>
      </w:r>
      <w:r w:rsidR="00223567" w:rsidRPr="000939E3">
        <w:t>2</w:t>
      </w:r>
      <w:r w:rsidR="005034A1" w:rsidRPr="000939E3">
        <w:t xml:space="preserve"> %. Na Slovensku </w:t>
      </w:r>
      <w:r w:rsidR="00F2445C" w:rsidRPr="000939E3">
        <w:t>v rovnakom období vzrástli mzdy VŠ vzdelaných zamestnancov o približne 2</w:t>
      </w:r>
      <w:r w:rsidR="00223567" w:rsidRPr="000939E3">
        <w:t xml:space="preserve">0 </w:t>
      </w:r>
      <w:r w:rsidR="00F2445C" w:rsidRPr="000939E3">
        <w:t>%</w:t>
      </w:r>
      <w:r w:rsidR="005034A1" w:rsidRPr="000939E3">
        <w:t>, a tak v</w:t>
      </w:r>
      <w:r w:rsidRPr="000939E3">
        <w:t xml:space="preserve"> pomere k platom vysokoškolsky vzdelaných zamestnancov dosahujú mzdy na </w:t>
      </w:r>
      <w:r w:rsidR="005034A1" w:rsidRPr="000939E3">
        <w:t xml:space="preserve">slovenských </w:t>
      </w:r>
      <w:r w:rsidRPr="000939E3">
        <w:t>základný</w:t>
      </w:r>
      <w:r w:rsidR="000D23B6" w:rsidRPr="000939E3">
        <w:t xml:space="preserve">ch a stredných školách </w:t>
      </w:r>
      <w:r w:rsidR="005B5273" w:rsidRPr="000939E3">
        <w:t>65 </w:t>
      </w:r>
      <w:r w:rsidR="000D23B6" w:rsidRPr="000939E3">
        <w:t>%. P</w:t>
      </w:r>
      <w:r w:rsidRPr="000939E3">
        <w:t>o navýšení miezd o</w:t>
      </w:r>
      <w:r w:rsidR="005B5273" w:rsidRPr="000939E3">
        <w:t> </w:t>
      </w:r>
      <w:r w:rsidRPr="000939E3">
        <w:t>10</w:t>
      </w:r>
      <w:r w:rsidR="005B5273" w:rsidRPr="000939E3">
        <w:t> </w:t>
      </w:r>
      <w:r w:rsidRPr="000939E3">
        <w:t>% v rokoch 2019 a 2020 by mal</w:t>
      </w:r>
      <w:r w:rsidR="00947BA5" w:rsidRPr="000939E3">
        <w:t xml:space="preserve"> celoslovenský priemer </w:t>
      </w:r>
      <w:r w:rsidRPr="000939E3">
        <w:t>dosiahnuť približne 68</w:t>
      </w:r>
      <w:r w:rsidR="003E3A38" w:rsidRPr="000939E3">
        <w:t xml:space="preserve"> </w:t>
      </w:r>
      <w:r w:rsidRPr="000939E3">
        <w:t>% miezd VŠ vzdelaných zamestnancov. Pedagógovia v krajinách V3 zarobia v priemere cez 70 % a v </w:t>
      </w:r>
      <w:r w:rsidR="005B5273" w:rsidRPr="000939E3">
        <w:t>krajinách OECD a EÚ22 až 85-100 </w:t>
      </w:r>
      <w:r w:rsidRPr="000939E3">
        <w:t>% miezd VŠ vzdelaných zamestnancov, pričom tento pomer v posledných rokoch v kraj</w:t>
      </w:r>
      <w:r w:rsidR="00B93383" w:rsidRPr="000939E3">
        <w:t>inách V3, OECD aj EÚ22 rastie.</w:t>
      </w:r>
    </w:p>
    <w:p w14:paraId="76468A72" w14:textId="77777777" w:rsidR="00AE534A" w:rsidRPr="000939E3" w:rsidRDefault="00AE534A" w:rsidP="000939E3">
      <w:pPr>
        <w:contextualSpacing/>
      </w:pP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2"/>
      </w:tblGrid>
      <w:tr w:rsidR="00EC0CA7" w:rsidRPr="000939E3" w14:paraId="7C7514F9" w14:textId="77777777" w:rsidTr="00824A98">
        <w:trPr>
          <w:trHeight w:val="20"/>
        </w:trPr>
        <w:tc>
          <w:tcPr>
            <w:tcW w:w="5000" w:type="pct"/>
            <w:tcBorders>
              <w:top w:val="nil"/>
              <w:left w:val="nil"/>
              <w:bottom w:val="single" w:sz="4" w:space="0" w:color="auto"/>
              <w:right w:val="nil"/>
            </w:tcBorders>
            <w:vAlign w:val="bottom"/>
            <w:hideMark/>
          </w:tcPr>
          <w:p w14:paraId="11978279" w14:textId="70FCA141" w:rsidR="00EC0CA7" w:rsidRPr="00AE534A" w:rsidRDefault="00B93383" w:rsidP="000939E3">
            <w:pPr>
              <w:contextualSpacing/>
              <w:rPr>
                <w:b/>
                <w:noProof/>
                <w:sz w:val="20"/>
                <w:szCs w:val="20"/>
              </w:rPr>
            </w:pPr>
            <w:r w:rsidRPr="00AE534A">
              <w:rPr>
                <w:b/>
                <w:sz w:val="20"/>
                <w:szCs w:val="20"/>
              </w:rPr>
              <w:lastRenderedPageBreak/>
              <w:t xml:space="preserve"> </w:t>
            </w:r>
            <w:bookmarkStart w:id="267" w:name="_Ref12532370"/>
            <w:bookmarkStart w:id="268" w:name="_Toc34226922"/>
            <w:r w:rsidR="00EC0CA7" w:rsidRPr="00AE534A">
              <w:rPr>
                <w:b/>
                <w:sz w:val="20"/>
                <w:szCs w:val="20"/>
              </w:rPr>
              <w:t xml:space="preserve">Graf </w:t>
            </w:r>
            <w:r w:rsidR="00EC0CA7" w:rsidRPr="00AE534A">
              <w:rPr>
                <w:b/>
                <w:sz w:val="20"/>
                <w:szCs w:val="20"/>
              </w:rPr>
              <w:fldChar w:fldCharType="begin"/>
            </w:r>
            <w:r w:rsidR="00EC0CA7" w:rsidRPr="00AE534A">
              <w:rPr>
                <w:b/>
                <w:noProof/>
                <w:sz w:val="20"/>
                <w:szCs w:val="20"/>
              </w:rPr>
              <w:instrText xml:space="preserve"> SEQ Graf \* ARABIC </w:instrText>
            </w:r>
            <w:r w:rsidR="00EC0CA7" w:rsidRPr="00AE534A">
              <w:rPr>
                <w:b/>
                <w:sz w:val="20"/>
                <w:szCs w:val="20"/>
              </w:rPr>
              <w:fldChar w:fldCharType="separate"/>
            </w:r>
            <w:r w:rsidR="00BF69CA">
              <w:rPr>
                <w:b/>
                <w:noProof/>
                <w:sz w:val="20"/>
                <w:szCs w:val="20"/>
              </w:rPr>
              <w:t>51</w:t>
            </w:r>
            <w:r w:rsidR="00EC0CA7" w:rsidRPr="00AE534A">
              <w:rPr>
                <w:b/>
                <w:sz w:val="20"/>
                <w:szCs w:val="20"/>
              </w:rPr>
              <w:fldChar w:fldCharType="end"/>
            </w:r>
            <w:bookmarkEnd w:id="267"/>
            <w:r w:rsidR="007567CA" w:rsidRPr="00AE534A">
              <w:rPr>
                <w:b/>
                <w:sz w:val="20"/>
                <w:szCs w:val="20"/>
              </w:rPr>
              <w:t xml:space="preserve">: </w:t>
            </w:r>
            <w:r w:rsidR="00EC0CA7" w:rsidRPr="00AE534A">
              <w:rPr>
                <w:rStyle w:val="Bodytext295pt"/>
                <w:b/>
                <w:szCs w:val="20"/>
              </w:rPr>
              <w:t>Rast tarifných miezd učiteľov v krajinách EÚ</w:t>
            </w:r>
            <w:bookmarkEnd w:id="268"/>
          </w:p>
        </w:tc>
      </w:tr>
      <w:tr w:rsidR="00EC0CA7" w:rsidRPr="000939E3" w14:paraId="094E39F0" w14:textId="77777777" w:rsidTr="00824A98">
        <w:tblPrEx>
          <w:tblCellMar>
            <w:left w:w="108" w:type="dxa"/>
            <w:right w:w="108" w:type="dxa"/>
          </w:tblCellMar>
        </w:tblPrEx>
        <w:trPr>
          <w:trHeight w:val="20"/>
        </w:trPr>
        <w:tc>
          <w:tcPr>
            <w:tcW w:w="5000" w:type="pct"/>
            <w:tcBorders>
              <w:top w:val="single" w:sz="4" w:space="0" w:color="auto"/>
              <w:left w:val="nil"/>
              <w:bottom w:val="single" w:sz="4" w:space="0" w:color="auto"/>
              <w:right w:val="nil"/>
            </w:tcBorders>
            <w:hideMark/>
          </w:tcPr>
          <w:p w14:paraId="32B29D6D" w14:textId="23ACBC22" w:rsidR="00EC0CA7" w:rsidRPr="000939E3" w:rsidRDefault="00223567" w:rsidP="0081546B">
            <w:pPr>
              <w:spacing w:after="0" w:line="240" w:lineRule="auto"/>
              <w:contextualSpacing/>
              <w:jc w:val="left"/>
            </w:pPr>
            <w:r w:rsidRPr="000939E3">
              <w:rPr>
                <w:noProof/>
                <w:lang w:eastAsia="sk-SK"/>
              </w:rPr>
              <w:drawing>
                <wp:inline distT="0" distB="0" distL="0" distR="0" wp14:anchorId="34BA1881" wp14:editId="598FB347">
                  <wp:extent cx="5513070" cy="1978925"/>
                  <wp:effectExtent l="0" t="0" r="0" b="2540"/>
                  <wp:docPr id="230" name="Graf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EC0CA7" w:rsidRPr="000939E3" w14:paraId="4CF9D2A0" w14:textId="77777777" w:rsidTr="00824A98">
        <w:trPr>
          <w:trHeight w:val="20"/>
        </w:trPr>
        <w:tc>
          <w:tcPr>
            <w:tcW w:w="5000" w:type="pct"/>
            <w:tcBorders>
              <w:top w:val="single" w:sz="4" w:space="0" w:color="auto"/>
              <w:left w:val="nil"/>
              <w:bottom w:val="nil"/>
              <w:right w:val="nil"/>
            </w:tcBorders>
            <w:tcMar>
              <w:top w:w="0" w:type="dxa"/>
              <w:left w:w="108" w:type="dxa"/>
              <w:bottom w:w="0" w:type="dxa"/>
              <w:right w:w="108" w:type="dxa"/>
            </w:tcMar>
            <w:hideMark/>
          </w:tcPr>
          <w:p w14:paraId="19116FC7" w14:textId="77777777" w:rsidR="00EC0CA7" w:rsidRPr="000939E3" w:rsidRDefault="00EC0CA7">
            <w:pPr>
              <w:spacing w:after="0" w:line="240" w:lineRule="auto"/>
              <w:contextualSpacing/>
              <w:jc w:val="right"/>
              <w:rPr>
                <w:rStyle w:val="Jemnodkaz"/>
                <w:rFonts w:eastAsiaTheme="minorHAnsi"/>
              </w:rPr>
            </w:pPr>
            <w:r w:rsidRPr="000939E3">
              <w:rPr>
                <w:rStyle w:val="Jemnodkaz"/>
                <w:rFonts w:eastAsiaTheme="minorHAnsi"/>
              </w:rPr>
              <w:t>Zdroj: OECD</w:t>
            </w:r>
          </w:p>
        </w:tc>
      </w:tr>
    </w:tbl>
    <w:p w14:paraId="1D30CD96" w14:textId="1DB51055" w:rsidR="00DA30C9" w:rsidRPr="000939E3" w:rsidRDefault="00DA30C9" w:rsidP="00DA30C9">
      <w:pPr>
        <w:pStyle w:val="Odsekzoznamu"/>
        <w:spacing w:before="240"/>
        <w:ind w:left="0"/>
        <w:jc w:val="both"/>
      </w:pPr>
      <w:r w:rsidRPr="000939E3">
        <w:t>Medzinárodný rozdiel v platoch pedagógov je najvýraznejší pri učiteľoch v predprimárnom vzdelávaní (</w:t>
      </w:r>
      <w:r w:rsidRPr="000939E3">
        <w:fldChar w:fldCharType="begin"/>
      </w:r>
      <w:r w:rsidRPr="000939E3">
        <w:instrText xml:space="preserve"> REF _Ref4152824 \h  \* MERGEFORMAT </w:instrText>
      </w:r>
      <w:r w:rsidRPr="000939E3">
        <w:fldChar w:fldCharType="separate"/>
      </w:r>
      <w:r w:rsidR="00BF69CA" w:rsidRPr="00BF69CA">
        <w:rPr>
          <w:rFonts w:eastAsia="Times New Roman" w:cs="Times New Roman"/>
          <w:lang w:eastAsia="sk-SK"/>
        </w:rPr>
        <w:t xml:space="preserve">Graf </w:t>
      </w:r>
      <w:r w:rsidR="00BF69CA" w:rsidRPr="00BF69CA">
        <w:rPr>
          <w:rFonts w:eastAsia="Times New Roman" w:cs="Times New Roman"/>
          <w:noProof/>
          <w:lang w:eastAsia="sk-SK"/>
        </w:rPr>
        <w:t>52</w:t>
      </w:r>
      <w:r w:rsidRPr="000939E3">
        <w:fldChar w:fldCharType="end"/>
      </w:r>
      <w:r w:rsidRPr="000939E3">
        <w:t>), tí však majú vo väčšine krajín vyšší požadovaný stupeň vzdelania (minimálne vysokoškolské prvého stupňa, na</w:t>
      </w:r>
      <w:r w:rsidR="000E7169" w:rsidRPr="000939E3">
        <w:t> </w:t>
      </w:r>
      <w:r w:rsidRPr="000939E3">
        <w:t xml:space="preserve">Slovensku iba stredoškolské). Detailné medzinárodné porovnanie miezd vysokoškolských učiteľov neexistuje, </w:t>
      </w:r>
      <w:r w:rsidR="003673F3" w:rsidRPr="000939E3">
        <w:t>P</w:t>
      </w:r>
      <w:r w:rsidRPr="000939E3">
        <w:t>rieskum</w:t>
      </w:r>
      <w:r w:rsidR="003673F3" w:rsidRPr="000939E3">
        <w:t xml:space="preserve"> Eurostatu</w:t>
      </w:r>
      <w:r w:rsidRPr="000939E3">
        <w:t xml:space="preserve"> o štruktúre miezd </w:t>
      </w:r>
      <w:r w:rsidR="00FF28A0" w:rsidRPr="000939E3">
        <w:t>(Structure of Earning</w:t>
      </w:r>
      <w:r w:rsidR="002D68CE" w:rsidRPr="000939E3">
        <w:t>s</w:t>
      </w:r>
      <w:r w:rsidR="00FF28A0" w:rsidRPr="000939E3">
        <w:t xml:space="preserve"> Survey) </w:t>
      </w:r>
      <w:r w:rsidRPr="000939E3">
        <w:t>však ukazuj</w:t>
      </w:r>
      <w:r w:rsidR="003673F3" w:rsidRPr="000939E3">
        <w:t>e</w:t>
      </w:r>
      <w:r w:rsidRPr="000939E3">
        <w:t xml:space="preserve"> zaostávanie aj na tomto stupni vzdelávania. </w:t>
      </w:r>
    </w:p>
    <w:tbl>
      <w:tblPr>
        <w:tblpPr w:leftFromText="141" w:rightFromText="141" w:vertAnchor="text" w:horzAnchor="margin" w:tblpY="10"/>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8675"/>
        <w:gridCol w:w="397"/>
      </w:tblGrid>
      <w:tr w:rsidR="00307839" w:rsidRPr="000939E3" w14:paraId="4E325065" w14:textId="77777777" w:rsidTr="00824A98">
        <w:trPr>
          <w:trHeight w:val="20"/>
        </w:trPr>
        <w:tc>
          <w:tcPr>
            <w:tcW w:w="4781" w:type="pct"/>
            <w:tcBorders>
              <w:top w:val="nil"/>
              <w:bottom w:val="single" w:sz="4" w:space="0" w:color="auto"/>
            </w:tcBorders>
          </w:tcPr>
          <w:p w14:paraId="7C59C3B5" w14:textId="22D3AF0C" w:rsidR="00307839" w:rsidRPr="000939E3" w:rsidRDefault="00307839" w:rsidP="00307839">
            <w:pPr>
              <w:keepNext/>
              <w:spacing w:after="0"/>
              <w:rPr>
                <w:rFonts w:eastAsia="Times New Roman" w:cs="Arial"/>
                <w:color w:val="000000"/>
                <w:sz w:val="20"/>
                <w:szCs w:val="20"/>
                <w:lang w:eastAsia="sk-SK"/>
              </w:rPr>
            </w:pPr>
            <w:bookmarkStart w:id="269" w:name="_Ref4152824"/>
            <w:bookmarkStart w:id="270" w:name="_Toc528916068"/>
            <w:bookmarkStart w:id="271" w:name="_Toc526690467"/>
            <w:bookmarkStart w:id="272" w:name="_Toc34226923"/>
            <w:r w:rsidRPr="000939E3">
              <w:rPr>
                <w:rFonts w:eastAsia="Times New Roman" w:cs="Times New Roman"/>
                <w:b/>
                <w:sz w:val="20"/>
                <w:szCs w:val="20"/>
                <w:lang w:eastAsia="sk-SK"/>
              </w:rPr>
              <w:t xml:space="preserve">Graf </w:t>
            </w:r>
            <w:r w:rsidRPr="000939E3">
              <w:rPr>
                <w:rFonts w:eastAsia="Times New Roman" w:cs="Times New Roman"/>
                <w:b/>
                <w:sz w:val="20"/>
                <w:szCs w:val="20"/>
                <w:lang w:eastAsia="sk-SK"/>
              </w:rPr>
              <w:fldChar w:fldCharType="begin"/>
            </w:r>
            <w:r w:rsidRPr="000939E3">
              <w:rPr>
                <w:rFonts w:eastAsia="Times New Roman" w:cs="Times New Roman"/>
                <w:b/>
                <w:sz w:val="20"/>
                <w:szCs w:val="20"/>
                <w:lang w:eastAsia="sk-SK"/>
              </w:rPr>
              <w:instrText xml:space="preserve"> SEQ Graf \* ARABIC </w:instrText>
            </w:r>
            <w:r w:rsidRPr="000939E3">
              <w:rPr>
                <w:rFonts w:eastAsia="Times New Roman" w:cs="Times New Roman"/>
                <w:b/>
                <w:sz w:val="20"/>
                <w:szCs w:val="20"/>
                <w:lang w:eastAsia="sk-SK"/>
              </w:rPr>
              <w:fldChar w:fldCharType="separate"/>
            </w:r>
            <w:r w:rsidR="00BF69CA">
              <w:rPr>
                <w:rFonts w:eastAsia="Times New Roman" w:cs="Times New Roman"/>
                <w:b/>
                <w:noProof/>
                <w:sz w:val="20"/>
                <w:szCs w:val="20"/>
                <w:lang w:eastAsia="sk-SK"/>
              </w:rPr>
              <w:t>52</w:t>
            </w:r>
            <w:r w:rsidRPr="000939E3">
              <w:rPr>
                <w:rFonts w:eastAsia="Times New Roman" w:cs="Times New Roman"/>
                <w:b/>
                <w:sz w:val="20"/>
                <w:szCs w:val="20"/>
                <w:lang w:eastAsia="sk-SK"/>
              </w:rPr>
              <w:fldChar w:fldCharType="end"/>
            </w:r>
            <w:bookmarkEnd w:id="269"/>
            <w:r w:rsidRPr="000939E3">
              <w:rPr>
                <w:rFonts w:eastAsia="Times New Roman" w:cs="Times New Roman"/>
                <w:b/>
                <w:sz w:val="20"/>
                <w:szCs w:val="20"/>
                <w:lang w:eastAsia="sk-SK"/>
              </w:rPr>
              <w:t>:</w:t>
            </w:r>
            <w:r w:rsidRPr="000939E3">
              <w:rPr>
                <w:rStyle w:val="Bodytext295pt"/>
              </w:rPr>
              <w:t xml:space="preserve"> </w:t>
            </w:r>
            <w:r w:rsidRPr="000939E3">
              <w:rPr>
                <w:rFonts w:eastAsia="Times New Roman" w:cs="Times New Roman"/>
                <w:b/>
                <w:sz w:val="20"/>
                <w:szCs w:val="20"/>
                <w:lang w:eastAsia="sk-SK"/>
              </w:rPr>
              <w:t>Mzdy učiteľov v pomere ku mzdám VŠ vzdelaných zamestnancov</w:t>
            </w:r>
            <w:bookmarkEnd w:id="270"/>
            <w:r w:rsidRPr="000939E3">
              <w:rPr>
                <w:rFonts w:eastAsia="Times New Roman" w:cs="Times New Roman"/>
                <w:b/>
                <w:sz w:val="20"/>
                <w:szCs w:val="20"/>
                <w:lang w:eastAsia="sk-SK"/>
              </w:rPr>
              <w:t xml:space="preserve"> </w:t>
            </w:r>
            <w:bookmarkEnd w:id="271"/>
            <w:r w:rsidRPr="000939E3">
              <w:rPr>
                <w:rFonts w:eastAsia="Times New Roman" w:cs="Times New Roman"/>
                <w:b/>
                <w:sz w:val="20"/>
                <w:szCs w:val="20"/>
                <w:lang w:eastAsia="sk-SK"/>
              </w:rPr>
              <w:t>(2017</w:t>
            </w:r>
            <w:r w:rsidR="003F4AD6" w:rsidRPr="000939E3">
              <w:rPr>
                <w:rFonts w:eastAsia="Times New Roman" w:cs="Times New Roman"/>
                <w:b/>
                <w:sz w:val="20"/>
                <w:szCs w:val="20"/>
                <w:lang w:eastAsia="sk-SK"/>
              </w:rPr>
              <w:t>, VŠ 2014</w:t>
            </w:r>
            <w:r w:rsidRPr="000939E3">
              <w:rPr>
                <w:rFonts w:eastAsia="Times New Roman" w:cs="Times New Roman"/>
                <w:b/>
                <w:sz w:val="20"/>
                <w:szCs w:val="20"/>
                <w:lang w:eastAsia="sk-SK"/>
              </w:rPr>
              <w:t>)</w:t>
            </w:r>
            <w:bookmarkEnd w:id="272"/>
          </w:p>
        </w:tc>
        <w:tc>
          <w:tcPr>
            <w:tcW w:w="219" w:type="pct"/>
            <w:tcBorders>
              <w:top w:val="nil"/>
              <w:bottom w:val="single" w:sz="4" w:space="0" w:color="auto"/>
            </w:tcBorders>
          </w:tcPr>
          <w:p w14:paraId="1AB5DED5" w14:textId="77777777" w:rsidR="00307839" w:rsidRPr="000939E3" w:rsidRDefault="00307839" w:rsidP="00307839">
            <w:pPr>
              <w:keepNext/>
              <w:spacing w:after="0"/>
              <w:rPr>
                <w:b/>
                <w:sz w:val="20"/>
                <w:szCs w:val="20"/>
              </w:rPr>
            </w:pPr>
          </w:p>
        </w:tc>
      </w:tr>
      <w:tr w:rsidR="00307839" w:rsidRPr="000939E3" w14:paraId="54E2FEFC" w14:textId="77777777" w:rsidTr="00824A98">
        <w:tblPrEx>
          <w:tblCellMar>
            <w:left w:w="108" w:type="dxa"/>
            <w:right w:w="108" w:type="dxa"/>
          </w:tblCellMar>
        </w:tblPrEx>
        <w:trPr>
          <w:trHeight w:val="20"/>
        </w:trPr>
        <w:tc>
          <w:tcPr>
            <w:tcW w:w="5000" w:type="pct"/>
            <w:gridSpan w:val="2"/>
            <w:tcBorders>
              <w:top w:val="single" w:sz="4" w:space="0" w:color="auto"/>
              <w:bottom w:val="single" w:sz="4" w:space="0" w:color="auto"/>
            </w:tcBorders>
            <w:shd w:val="clear" w:color="auto" w:fill="auto"/>
            <w:noWrap/>
            <w:vAlign w:val="bottom"/>
          </w:tcPr>
          <w:p w14:paraId="7B430350" w14:textId="5954722B" w:rsidR="00307839" w:rsidRPr="000939E3" w:rsidRDefault="00F118F8" w:rsidP="00307839">
            <w:pPr>
              <w:keepNext/>
              <w:spacing w:after="0"/>
              <w:ind w:left="-108"/>
              <w:jc w:val="center"/>
              <w:rPr>
                <w:rStyle w:val="Jemnodkaz"/>
                <w:rFonts w:eastAsiaTheme="minorHAnsi"/>
              </w:rPr>
            </w:pPr>
            <w:r w:rsidRPr="000939E3">
              <w:rPr>
                <w:noProof/>
                <w:lang w:eastAsia="sk-SK"/>
              </w:rPr>
              <w:drawing>
                <wp:inline distT="0" distB="0" distL="0" distR="0" wp14:anchorId="17ACB64A" wp14:editId="0230D8E3">
                  <wp:extent cx="5567049" cy="2533650"/>
                  <wp:effectExtent l="0" t="0" r="0" b="0"/>
                  <wp:docPr id="240" name="Graf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307839" w:rsidRPr="000939E3" w14:paraId="3EB71130" w14:textId="77777777" w:rsidTr="00824A98">
        <w:trPr>
          <w:trHeight w:val="20"/>
        </w:trPr>
        <w:tc>
          <w:tcPr>
            <w:tcW w:w="5000" w:type="pct"/>
            <w:gridSpan w:val="2"/>
            <w:tcBorders>
              <w:top w:val="single" w:sz="4" w:space="0" w:color="auto"/>
              <w:bottom w:val="nil"/>
            </w:tcBorders>
            <w:shd w:val="clear" w:color="auto" w:fill="auto"/>
            <w:noWrap/>
            <w:vAlign w:val="bottom"/>
          </w:tcPr>
          <w:p w14:paraId="235CEB2E" w14:textId="464044B3" w:rsidR="00307839" w:rsidRPr="000939E3" w:rsidRDefault="00307839" w:rsidP="00307839">
            <w:pPr>
              <w:keepNext/>
              <w:spacing w:after="0"/>
              <w:jc w:val="right"/>
              <w:rPr>
                <w:noProof/>
                <w:lang w:eastAsia="sk-SK"/>
              </w:rPr>
            </w:pPr>
            <w:r w:rsidRPr="000939E3">
              <w:rPr>
                <w:rStyle w:val="Jemnodkaz"/>
                <w:rFonts w:eastAsiaTheme="minorHAnsi"/>
              </w:rPr>
              <w:t>Zdroj: *</w:t>
            </w:r>
            <w:r w:rsidRPr="000939E3">
              <w:rPr>
                <w:rFonts w:eastAsia="Times New Roman" w:cs="Arial"/>
                <w:i/>
                <w:color w:val="000000"/>
                <w:sz w:val="16"/>
                <w:szCs w:val="16"/>
                <w:lang w:eastAsia="sk-SK"/>
              </w:rPr>
              <w:t xml:space="preserve">OECD, 2019, **Prieskum o štruktúre miezd SES </w:t>
            </w:r>
          </w:p>
        </w:tc>
      </w:tr>
    </w:tbl>
    <w:p w14:paraId="6B2C5A00" w14:textId="77777777" w:rsidR="00307839" w:rsidRPr="000939E3" w:rsidRDefault="00307839" w:rsidP="00DA30C9">
      <w:pPr>
        <w:rPr>
          <w:rStyle w:val="Siln"/>
          <w:rFonts w:cs="Segoe UI"/>
          <w:bdr w:val="none" w:sz="0" w:space="0" w:color="auto" w:frame="1"/>
        </w:rPr>
      </w:pPr>
    </w:p>
    <w:p w14:paraId="55118BE6" w14:textId="17247E6D" w:rsidR="00DA30C9" w:rsidRPr="000939E3" w:rsidRDefault="00DA30C9" w:rsidP="00DA30C9">
      <w:pPr>
        <w:rPr>
          <w:rFonts w:cs="Segoe UI"/>
          <w:bCs/>
          <w:bdr w:val="none" w:sz="0" w:space="0" w:color="auto" w:frame="1"/>
        </w:rPr>
      </w:pPr>
      <w:r w:rsidRPr="000939E3">
        <w:rPr>
          <w:rStyle w:val="Siln"/>
          <w:rFonts w:cs="Segoe UI"/>
          <w:bdr w:val="none" w:sz="0" w:space="0" w:color="auto" w:frame="1"/>
        </w:rPr>
        <w:t>Úspešné krajiny v poslednom testovaní PISA, napríklad Estónsko, Fínsko či Poľsko, platia svojich učiteľov lepšie ako Slovensko (</w:t>
      </w:r>
      <w:r w:rsidRPr="000939E3">
        <w:rPr>
          <w:rStyle w:val="Siln"/>
          <w:rFonts w:cs="Segoe UI"/>
          <w:bdr w:val="none" w:sz="0" w:space="0" w:color="auto" w:frame="1"/>
        </w:rPr>
        <w:fldChar w:fldCharType="begin"/>
      </w:r>
      <w:r w:rsidRPr="000939E3">
        <w:rPr>
          <w:rStyle w:val="Siln"/>
          <w:rFonts w:cs="Segoe UI"/>
          <w:bdr w:val="none" w:sz="0" w:space="0" w:color="auto" w:frame="1"/>
        </w:rPr>
        <w:instrText xml:space="preserve"> REF _Ref528580009 \h  \* MERGEFORMAT </w:instrText>
      </w:r>
      <w:r w:rsidRPr="000939E3">
        <w:rPr>
          <w:rStyle w:val="Siln"/>
          <w:rFonts w:cs="Segoe UI"/>
          <w:bdr w:val="none" w:sz="0" w:space="0" w:color="auto" w:frame="1"/>
        </w:rPr>
      </w:r>
      <w:r w:rsidRPr="000939E3">
        <w:rPr>
          <w:rStyle w:val="Siln"/>
          <w:rFonts w:cs="Segoe UI"/>
          <w:bdr w:val="none" w:sz="0" w:space="0" w:color="auto" w:frame="1"/>
        </w:rPr>
        <w:fldChar w:fldCharType="separate"/>
      </w:r>
      <w:r w:rsidR="00BF69CA" w:rsidRPr="00BF69CA">
        <w:rPr>
          <w:b/>
        </w:rPr>
        <w:t xml:space="preserve">Graf </w:t>
      </w:r>
      <w:r w:rsidR="00BF69CA" w:rsidRPr="00BF69CA">
        <w:rPr>
          <w:b/>
          <w:noProof/>
        </w:rPr>
        <w:t>53</w:t>
      </w:r>
      <w:r w:rsidRPr="000939E3">
        <w:rPr>
          <w:rStyle w:val="Siln"/>
          <w:rFonts w:cs="Segoe UI"/>
          <w:bdr w:val="none" w:sz="0" w:space="0" w:color="auto" w:frame="1"/>
        </w:rPr>
        <w:fldChar w:fldCharType="end"/>
      </w:r>
      <w:r w:rsidRPr="000939E3">
        <w:rPr>
          <w:rStyle w:val="Siln"/>
          <w:rFonts w:cs="Segoe UI"/>
          <w:bdr w:val="none" w:sz="0" w:space="0" w:color="auto" w:frame="1"/>
        </w:rPr>
        <w:t>).</w:t>
      </w:r>
      <w:r w:rsidRPr="000939E3">
        <w:rPr>
          <w:rStyle w:val="Siln"/>
          <w:rFonts w:cs="Segoe UI"/>
          <w:b w:val="0"/>
          <w:bdr w:val="none" w:sz="0" w:space="0" w:color="auto" w:frame="1"/>
        </w:rPr>
        <w:t xml:space="preserve"> Slovenskí učitelia mzdami ostatných VŠ vzdelaných zamestnancov dobiehajú, avšak pomalým tempom (</w:t>
      </w:r>
      <w:r w:rsidRPr="000939E3">
        <w:rPr>
          <w:rStyle w:val="Siln"/>
          <w:rFonts w:cs="Segoe UI"/>
          <w:b w:val="0"/>
          <w:bdr w:val="none" w:sz="0" w:space="0" w:color="auto" w:frame="1"/>
        </w:rPr>
        <w:fldChar w:fldCharType="begin"/>
      </w:r>
      <w:r w:rsidRPr="000939E3">
        <w:rPr>
          <w:rStyle w:val="Siln"/>
          <w:rFonts w:cs="Segoe UI"/>
          <w:b w:val="0"/>
          <w:bdr w:val="none" w:sz="0" w:space="0" w:color="auto" w:frame="1"/>
        </w:rPr>
        <w:instrText xml:space="preserve"> REF _Ref529522343 \h  \* MERGEFORMAT </w:instrText>
      </w:r>
      <w:r w:rsidRPr="000939E3">
        <w:rPr>
          <w:rStyle w:val="Siln"/>
          <w:rFonts w:cs="Segoe UI"/>
          <w:b w:val="0"/>
          <w:bdr w:val="none" w:sz="0" w:space="0" w:color="auto" w:frame="1"/>
        </w:rPr>
      </w:r>
      <w:r w:rsidRPr="000939E3">
        <w:rPr>
          <w:rStyle w:val="Siln"/>
          <w:rFonts w:cs="Segoe UI"/>
          <w:b w:val="0"/>
          <w:bdr w:val="none" w:sz="0" w:space="0" w:color="auto" w:frame="1"/>
        </w:rPr>
        <w:fldChar w:fldCharType="separate"/>
      </w:r>
      <w:r w:rsidR="00BF69CA" w:rsidRPr="00BF69CA">
        <w:rPr>
          <w:rStyle w:val="Siln"/>
          <w:rFonts w:cs="Segoe UI"/>
          <w:b w:val="0"/>
          <w:bdr w:val="none" w:sz="0" w:space="0" w:color="auto" w:frame="1"/>
        </w:rPr>
        <w:t>Graf 39</w:t>
      </w:r>
      <w:r w:rsidRPr="000939E3">
        <w:rPr>
          <w:rStyle w:val="Siln"/>
          <w:rFonts w:cs="Segoe UI"/>
          <w:b w:val="0"/>
          <w:bdr w:val="none" w:sz="0" w:space="0" w:color="auto" w:frame="1"/>
        </w:rPr>
        <w:fldChar w:fldCharType="end"/>
      </w:r>
      <w:r w:rsidRPr="000939E3">
        <w:rPr>
          <w:rStyle w:val="Siln"/>
          <w:rFonts w:cs="Segoe UI"/>
          <w:b w:val="0"/>
          <w:bdr w:val="none" w:sz="0" w:space="0" w:color="auto" w:frame="1"/>
        </w:rPr>
        <w:t>). Medzi rokmi 2010 a </w:t>
      </w:r>
      <w:r w:rsidR="003F4AD6" w:rsidRPr="000939E3">
        <w:rPr>
          <w:rStyle w:val="Siln"/>
          <w:rFonts w:cs="Segoe UI"/>
          <w:b w:val="0"/>
          <w:bdr w:val="none" w:sz="0" w:space="0" w:color="auto" w:frame="1"/>
        </w:rPr>
        <w:t xml:space="preserve">2018 </w:t>
      </w:r>
      <w:r w:rsidRPr="000939E3">
        <w:rPr>
          <w:rStyle w:val="Siln"/>
          <w:rFonts w:cs="Segoe UI"/>
          <w:b w:val="0"/>
          <w:bdr w:val="none" w:sz="0" w:space="0" w:color="auto" w:frame="1"/>
        </w:rPr>
        <w:t>vzrástli mzdy pedagogických zamestnancov v regionálnom školstve o </w:t>
      </w:r>
      <w:r w:rsidR="00AB16BD" w:rsidRPr="000939E3">
        <w:rPr>
          <w:rStyle w:val="Siln"/>
          <w:rFonts w:cs="Segoe UI"/>
          <w:b w:val="0"/>
          <w:bdr w:val="none" w:sz="0" w:space="0" w:color="auto" w:frame="1"/>
        </w:rPr>
        <w:t xml:space="preserve">približne </w:t>
      </w:r>
      <w:r w:rsidR="003F4AD6" w:rsidRPr="000939E3">
        <w:rPr>
          <w:rStyle w:val="Siln"/>
          <w:rFonts w:cs="Segoe UI"/>
          <w:b w:val="0"/>
          <w:bdr w:val="none" w:sz="0" w:space="0" w:color="auto" w:frame="1"/>
        </w:rPr>
        <w:t xml:space="preserve">47 </w:t>
      </w:r>
      <w:r w:rsidRPr="000939E3">
        <w:rPr>
          <w:rStyle w:val="Siln"/>
          <w:rFonts w:cs="Segoe UI"/>
          <w:b w:val="0"/>
          <w:bdr w:val="none" w:sz="0" w:space="0" w:color="auto" w:frame="1"/>
        </w:rPr>
        <w:t>%, vo vysokom o </w:t>
      </w:r>
      <w:r w:rsidR="003F4AD6" w:rsidRPr="000939E3">
        <w:rPr>
          <w:rStyle w:val="Siln"/>
          <w:rFonts w:cs="Segoe UI"/>
          <w:b w:val="0"/>
          <w:bdr w:val="none" w:sz="0" w:space="0" w:color="auto" w:frame="1"/>
        </w:rPr>
        <w:t xml:space="preserve">39 </w:t>
      </w:r>
      <w:r w:rsidRPr="000939E3">
        <w:rPr>
          <w:rStyle w:val="Siln"/>
          <w:rFonts w:cs="Segoe UI"/>
          <w:b w:val="0"/>
          <w:bdr w:val="none" w:sz="0" w:space="0" w:color="auto" w:frame="1"/>
        </w:rPr>
        <w:t xml:space="preserve">%. Platy </w:t>
      </w:r>
      <w:r w:rsidR="00201356" w:rsidRPr="000939E3">
        <w:rPr>
          <w:rStyle w:val="Siln"/>
          <w:rFonts w:cs="Segoe UI"/>
          <w:b w:val="0"/>
          <w:bdr w:val="none" w:sz="0" w:space="0" w:color="auto" w:frame="1"/>
        </w:rPr>
        <w:t xml:space="preserve">vysokoškolsky </w:t>
      </w:r>
      <w:r w:rsidR="0081546B" w:rsidRPr="000939E3">
        <w:rPr>
          <w:rStyle w:val="Siln"/>
          <w:rFonts w:cs="Segoe UI"/>
          <w:b w:val="0"/>
          <w:bdr w:val="none" w:sz="0" w:space="0" w:color="auto" w:frame="1"/>
        </w:rPr>
        <w:t>vzdelaných zamestnancov na </w:t>
      </w:r>
      <w:r w:rsidRPr="000939E3">
        <w:rPr>
          <w:rStyle w:val="Siln"/>
          <w:rFonts w:cs="Segoe UI"/>
          <w:b w:val="0"/>
          <w:bdr w:val="none" w:sz="0" w:space="0" w:color="auto" w:frame="1"/>
        </w:rPr>
        <w:t>Slovensku v rovnakom období vzrástli o </w:t>
      </w:r>
      <w:r w:rsidR="003F4AD6" w:rsidRPr="000939E3">
        <w:rPr>
          <w:rStyle w:val="Siln"/>
          <w:rFonts w:cs="Segoe UI"/>
          <w:b w:val="0"/>
          <w:bdr w:val="none" w:sz="0" w:space="0" w:color="auto" w:frame="1"/>
        </w:rPr>
        <w:t xml:space="preserve">30 </w:t>
      </w:r>
      <w:r w:rsidRPr="000939E3">
        <w:rPr>
          <w:rStyle w:val="Siln"/>
          <w:rFonts w:cs="Segoe UI"/>
          <w:b w:val="0"/>
          <w:bdr w:val="none" w:sz="0" w:space="0" w:color="auto" w:frame="1"/>
        </w:rPr>
        <w:t>%. Výsledky slovenských študentov v testovaní PISA sa, naopak, zhoršujú. Ako však naznačujú príklady z Argentíny (Galiani et al., 2002), či ďalších k</w:t>
      </w:r>
      <w:r w:rsidR="0081546B" w:rsidRPr="000939E3">
        <w:rPr>
          <w:rStyle w:val="Siln"/>
          <w:rFonts w:cs="Segoe UI"/>
          <w:b w:val="0"/>
          <w:bdr w:val="none" w:sz="0" w:space="0" w:color="auto" w:frame="1"/>
        </w:rPr>
        <w:t>rajín (Gillies, 2010), zmeny vo </w:t>
      </w:r>
      <w:r w:rsidRPr="000939E3">
        <w:rPr>
          <w:rStyle w:val="Siln"/>
          <w:rFonts w:cs="Segoe UI"/>
          <w:b w:val="0"/>
          <w:bdr w:val="none" w:sz="0" w:space="0" w:color="auto" w:frame="1"/>
        </w:rPr>
        <w:t>vzdelávacích systémoch sa často vo výsledkoch prejavia až na neskorších kohortách žiakov.</w:t>
      </w:r>
    </w:p>
    <w:p w14:paraId="7660CB17" w14:textId="3D3E834A" w:rsidR="00241879" w:rsidRPr="000939E3" w:rsidRDefault="00241879" w:rsidP="00DA30C9">
      <w:pPr>
        <w:pStyle w:val="Normlnywebov"/>
        <w:spacing w:before="240" w:beforeAutospacing="0" w:after="120" w:afterAutospacing="0" w:line="276" w:lineRule="auto"/>
        <w:jc w:val="both"/>
        <w:textAlignment w:val="baseline"/>
        <w:rPr>
          <w:rFonts w:ascii="Arial Narrow" w:hAnsi="Arial Narrow"/>
          <w:sz w:val="22"/>
          <w:szCs w:val="22"/>
        </w:rPr>
      </w:pPr>
      <w:r w:rsidRPr="000939E3">
        <w:rPr>
          <w:rStyle w:val="Siln"/>
          <w:rFonts w:ascii="Arial Narrow" w:hAnsi="Arial Narrow" w:cs="Segoe UI"/>
          <w:sz w:val="22"/>
          <w:szCs w:val="22"/>
          <w:bdr w:val="none" w:sz="0" w:space="0" w:color="auto" w:frame="1"/>
        </w:rPr>
        <w:t xml:space="preserve">Platy mladých učiteľov zaostávajú za platmi </w:t>
      </w:r>
      <w:r w:rsidR="00201356" w:rsidRPr="000939E3">
        <w:rPr>
          <w:rStyle w:val="Siln"/>
          <w:rFonts w:ascii="Arial Narrow" w:hAnsi="Arial Narrow" w:cs="Segoe UI"/>
          <w:sz w:val="22"/>
          <w:szCs w:val="22"/>
          <w:bdr w:val="none" w:sz="0" w:space="0" w:color="auto" w:frame="1"/>
        </w:rPr>
        <w:t xml:space="preserve">vysokoškolsky </w:t>
      </w:r>
      <w:r w:rsidRPr="000939E3">
        <w:rPr>
          <w:rStyle w:val="Siln"/>
          <w:rFonts w:ascii="Arial Narrow" w:hAnsi="Arial Narrow" w:cs="Segoe UI"/>
          <w:sz w:val="22"/>
          <w:szCs w:val="22"/>
          <w:bdr w:val="none" w:sz="0" w:space="0" w:color="auto" w:frame="1"/>
        </w:rPr>
        <w:t xml:space="preserve">vzdelaných rovesníkov viac ako v zahraničí. Vo veku 25 – 34 rokov zarábajú v priemere len </w:t>
      </w:r>
      <w:r w:rsidR="00307839" w:rsidRPr="000939E3">
        <w:rPr>
          <w:rStyle w:val="Siln"/>
          <w:rFonts w:ascii="Arial Narrow" w:hAnsi="Arial Narrow" w:cs="Segoe UI"/>
          <w:sz w:val="22"/>
          <w:szCs w:val="22"/>
          <w:bdr w:val="none" w:sz="0" w:space="0" w:color="auto" w:frame="1"/>
        </w:rPr>
        <w:t xml:space="preserve">64 </w:t>
      </w:r>
      <w:r w:rsidRPr="000939E3">
        <w:rPr>
          <w:rStyle w:val="Siln"/>
          <w:rFonts w:ascii="Arial Narrow" w:hAnsi="Arial Narrow" w:cs="Segoe UI"/>
          <w:sz w:val="22"/>
          <w:szCs w:val="22"/>
          <w:bdr w:val="none" w:sz="0" w:space="0" w:color="auto" w:frame="1"/>
        </w:rPr>
        <w:t xml:space="preserve">% platu vysokoškolsky vzdelaných rovesníkov, v OECD </w:t>
      </w:r>
      <w:r w:rsidRPr="000939E3">
        <w:rPr>
          <w:rStyle w:val="Siln"/>
          <w:rFonts w:ascii="Arial Narrow" w:hAnsi="Arial Narrow" w:cs="Segoe UI"/>
          <w:sz w:val="22"/>
          <w:szCs w:val="22"/>
          <w:bdr w:val="none" w:sz="0" w:space="0" w:color="auto" w:frame="1"/>
        </w:rPr>
        <w:lastRenderedPageBreak/>
        <w:t xml:space="preserve">je to </w:t>
      </w:r>
      <w:r w:rsidR="00307839" w:rsidRPr="000939E3">
        <w:rPr>
          <w:rStyle w:val="Siln"/>
          <w:rFonts w:ascii="Arial Narrow" w:hAnsi="Arial Narrow" w:cs="Segoe UI"/>
          <w:sz w:val="22"/>
          <w:szCs w:val="22"/>
          <w:bdr w:val="none" w:sz="0" w:space="0" w:color="auto" w:frame="1"/>
        </w:rPr>
        <w:t xml:space="preserve">94 </w:t>
      </w:r>
      <w:r w:rsidRPr="000939E3">
        <w:rPr>
          <w:rStyle w:val="Siln"/>
          <w:rFonts w:ascii="Arial Narrow" w:hAnsi="Arial Narrow" w:cs="Segoe UI"/>
          <w:sz w:val="22"/>
          <w:szCs w:val="22"/>
          <w:bdr w:val="none" w:sz="0" w:space="0" w:color="auto" w:frame="1"/>
        </w:rPr>
        <w:t>%</w:t>
      </w:r>
      <w:r w:rsidR="00086A7B" w:rsidRPr="000939E3">
        <w:rPr>
          <w:rStyle w:val="Siln"/>
          <w:rFonts w:ascii="Arial Narrow" w:hAnsi="Arial Narrow" w:cs="Segoe UI"/>
          <w:sz w:val="22"/>
          <w:szCs w:val="22"/>
          <w:bdr w:val="none" w:sz="0" w:space="0" w:color="auto" w:frame="1"/>
        </w:rPr>
        <w:t xml:space="preserve"> (</w:t>
      </w:r>
      <w:r w:rsidR="00086A7B" w:rsidRPr="000939E3">
        <w:rPr>
          <w:rStyle w:val="Siln"/>
          <w:rFonts w:ascii="Arial Narrow" w:hAnsi="Arial Narrow" w:cs="Segoe UI"/>
          <w:sz w:val="22"/>
          <w:szCs w:val="22"/>
          <w:bdr w:val="none" w:sz="0" w:space="0" w:color="auto" w:frame="1"/>
        </w:rPr>
        <w:fldChar w:fldCharType="begin"/>
      </w:r>
      <w:r w:rsidR="00086A7B" w:rsidRPr="000939E3">
        <w:rPr>
          <w:rStyle w:val="Siln"/>
          <w:rFonts w:ascii="Arial Narrow" w:hAnsi="Arial Narrow" w:cs="Segoe UI"/>
          <w:sz w:val="22"/>
          <w:szCs w:val="22"/>
          <w:bdr w:val="none" w:sz="0" w:space="0" w:color="auto" w:frame="1"/>
        </w:rPr>
        <w:instrText xml:space="preserve"> REF _Ref528580402 \h  \* MERGEFORMAT </w:instrText>
      </w:r>
      <w:r w:rsidR="00086A7B" w:rsidRPr="000939E3">
        <w:rPr>
          <w:rStyle w:val="Siln"/>
          <w:rFonts w:ascii="Arial Narrow" w:hAnsi="Arial Narrow" w:cs="Segoe UI"/>
          <w:sz w:val="22"/>
          <w:szCs w:val="22"/>
          <w:bdr w:val="none" w:sz="0" w:space="0" w:color="auto" w:frame="1"/>
        </w:rPr>
      </w:r>
      <w:r w:rsidR="00086A7B" w:rsidRPr="000939E3">
        <w:rPr>
          <w:rStyle w:val="Siln"/>
          <w:rFonts w:ascii="Arial Narrow" w:hAnsi="Arial Narrow" w:cs="Segoe UI"/>
          <w:sz w:val="22"/>
          <w:szCs w:val="22"/>
          <w:bdr w:val="none" w:sz="0" w:space="0" w:color="auto" w:frame="1"/>
        </w:rPr>
        <w:fldChar w:fldCharType="separate"/>
      </w:r>
      <w:r w:rsidR="00BF69CA" w:rsidRPr="00BF69CA">
        <w:rPr>
          <w:rFonts w:ascii="Arial Narrow" w:hAnsi="Arial Narrow"/>
          <w:b/>
          <w:sz w:val="22"/>
          <w:szCs w:val="22"/>
        </w:rPr>
        <w:t xml:space="preserve">Graf </w:t>
      </w:r>
      <w:r w:rsidR="00BF69CA" w:rsidRPr="00BF69CA">
        <w:rPr>
          <w:rFonts w:ascii="Arial Narrow" w:hAnsi="Arial Narrow"/>
          <w:b/>
          <w:noProof/>
          <w:sz w:val="22"/>
          <w:szCs w:val="22"/>
        </w:rPr>
        <w:t>54</w:t>
      </w:r>
      <w:r w:rsidR="00086A7B" w:rsidRPr="000939E3">
        <w:rPr>
          <w:rStyle w:val="Siln"/>
          <w:rFonts w:ascii="Arial Narrow" w:hAnsi="Arial Narrow" w:cs="Segoe UI"/>
          <w:sz w:val="22"/>
          <w:szCs w:val="22"/>
          <w:bdr w:val="none" w:sz="0" w:space="0" w:color="auto" w:frame="1"/>
        </w:rPr>
        <w:fldChar w:fldCharType="end"/>
      </w:r>
      <w:r w:rsidR="00086A7B" w:rsidRPr="000939E3">
        <w:rPr>
          <w:rStyle w:val="Siln"/>
          <w:rFonts w:ascii="Arial Narrow" w:hAnsi="Arial Narrow" w:cs="Segoe UI"/>
          <w:sz w:val="22"/>
          <w:szCs w:val="22"/>
          <w:bdr w:val="none" w:sz="0" w:space="0" w:color="auto" w:frame="1"/>
        </w:rPr>
        <w:t>)</w:t>
      </w:r>
      <w:r w:rsidRPr="000939E3">
        <w:rPr>
          <w:rStyle w:val="Siln"/>
          <w:rFonts w:ascii="Arial Narrow" w:hAnsi="Arial Narrow" w:cs="Segoe UI"/>
          <w:sz w:val="22"/>
          <w:szCs w:val="22"/>
          <w:bdr w:val="none" w:sz="0" w:space="0" w:color="auto" w:frame="1"/>
        </w:rPr>
        <w:t xml:space="preserve">. </w:t>
      </w:r>
      <w:r w:rsidRPr="000939E3">
        <w:rPr>
          <w:rFonts w:ascii="Arial Narrow" w:hAnsi="Arial Narrow"/>
          <w:bCs/>
          <w:sz w:val="22"/>
          <w:szCs w:val="22"/>
        </w:rPr>
        <w:t>Nízke platy ako najväčšiu prekážku atraktivity profesie uvádzajú aj respondenti prieskumu</w:t>
      </w:r>
      <w:r w:rsidRPr="000939E3">
        <w:rPr>
          <w:rStyle w:val="Odkaznapoznmkupodiarou"/>
          <w:rFonts w:ascii="Arial Narrow" w:eastAsiaTheme="majorEastAsia" w:hAnsi="Arial Narrow"/>
          <w:sz w:val="22"/>
          <w:szCs w:val="22"/>
        </w:rPr>
        <w:footnoteReference w:id="113"/>
      </w:r>
      <w:r w:rsidRPr="000939E3">
        <w:rPr>
          <w:rFonts w:ascii="Arial Narrow" w:hAnsi="Arial Narrow"/>
          <w:bCs/>
          <w:sz w:val="22"/>
          <w:szCs w:val="22"/>
        </w:rPr>
        <w:t xml:space="preserve"> medzi </w:t>
      </w:r>
      <w:r w:rsidRPr="000939E3">
        <w:rPr>
          <w:rFonts w:ascii="Arial Narrow" w:hAnsi="Arial Narrow"/>
          <w:sz w:val="22"/>
          <w:szCs w:val="22"/>
        </w:rPr>
        <w:t>stredoškolskými a vysokoškolskými študentmi a tiež súčasným</w:t>
      </w:r>
      <w:r w:rsidR="00DA30C9" w:rsidRPr="000939E3">
        <w:rPr>
          <w:rFonts w:ascii="Arial Narrow" w:hAnsi="Arial Narrow"/>
          <w:sz w:val="22"/>
          <w:szCs w:val="22"/>
        </w:rPr>
        <w:t xml:space="preserve">i pedagogickými zamestnancami. </w:t>
      </w:r>
    </w:p>
    <w:p w14:paraId="028662FF" w14:textId="4FEF0F3F" w:rsidR="0089781E" w:rsidRPr="000939E3" w:rsidRDefault="0089781E" w:rsidP="0089781E">
      <w:pPr>
        <w:pStyle w:val="Normlnywebov"/>
        <w:spacing w:before="120" w:beforeAutospacing="0" w:after="120" w:afterAutospacing="0" w:line="276" w:lineRule="auto"/>
        <w:jc w:val="both"/>
        <w:textAlignment w:val="baseline"/>
        <w:rPr>
          <w:rFonts w:ascii="Arial Narrow" w:hAnsi="Arial Narrow"/>
          <w:sz w:val="22"/>
          <w:szCs w:val="22"/>
        </w:rPr>
      </w:pPr>
      <w:r w:rsidRPr="000939E3">
        <w:rPr>
          <w:rStyle w:val="Siln"/>
          <w:rFonts w:ascii="Arial Narrow" w:hAnsi="Arial Narrow" w:cs="Segoe UI"/>
          <w:sz w:val="22"/>
          <w:szCs w:val="22"/>
          <w:bdr w:val="none" w:sz="0" w:space="0" w:color="auto" w:frame="1"/>
        </w:rPr>
        <w:t xml:space="preserve">Platové ohodnotenie začínajúcich učiteľov sa od septembra 2019 </w:t>
      </w:r>
      <w:r w:rsidR="003F4AD6" w:rsidRPr="000939E3">
        <w:rPr>
          <w:rStyle w:val="Siln"/>
          <w:rFonts w:ascii="Arial Narrow" w:hAnsi="Arial Narrow" w:cs="Segoe UI"/>
          <w:sz w:val="22"/>
          <w:szCs w:val="22"/>
          <w:bdr w:val="none" w:sz="0" w:space="0" w:color="auto" w:frame="1"/>
        </w:rPr>
        <w:t>zvýšilo</w:t>
      </w:r>
      <w:r w:rsidRPr="000939E3">
        <w:rPr>
          <w:rStyle w:val="Siln"/>
          <w:rFonts w:ascii="Arial Narrow" w:hAnsi="Arial Narrow" w:cs="Segoe UI"/>
          <w:sz w:val="22"/>
          <w:szCs w:val="22"/>
          <w:bdr w:val="none" w:sz="0" w:space="0" w:color="auto" w:frame="1"/>
        </w:rPr>
        <w:t xml:space="preserve">. </w:t>
      </w:r>
      <w:r w:rsidRPr="000939E3">
        <w:rPr>
          <w:rStyle w:val="Siln"/>
          <w:rFonts w:ascii="Arial Narrow" w:hAnsi="Arial Narrow" w:cs="Segoe UI"/>
          <w:b w:val="0"/>
          <w:sz w:val="22"/>
          <w:szCs w:val="22"/>
          <w:bdr w:val="none" w:sz="0" w:space="0" w:color="auto" w:frame="1"/>
        </w:rPr>
        <w:t>R</w:t>
      </w:r>
      <w:r w:rsidRPr="000939E3">
        <w:rPr>
          <w:rFonts w:ascii="Arial Narrow" w:hAnsi="Arial Narrow"/>
          <w:sz w:val="22"/>
          <w:szCs w:val="22"/>
        </w:rPr>
        <w:t xml:space="preserve">evízia výdavkov na vzdelávanie (ďalej len Revízia) odporučila výraznejšie zvýšiť mzdy mladým učiteľom (IVP, ÚHP, 2017). Opatrenie </w:t>
      </w:r>
      <w:r w:rsidR="003F4AD6" w:rsidRPr="000939E3">
        <w:rPr>
          <w:rFonts w:ascii="Arial Narrow" w:hAnsi="Arial Narrow"/>
          <w:sz w:val="22"/>
          <w:szCs w:val="22"/>
        </w:rPr>
        <w:t xml:space="preserve">bolo </w:t>
      </w:r>
      <w:r w:rsidRPr="000939E3">
        <w:rPr>
          <w:rFonts w:ascii="Arial Narrow" w:hAnsi="Arial Narrow"/>
          <w:sz w:val="22"/>
          <w:szCs w:val="22"/>
        </w:rPr>
        <w:t xml:space="preserve">realizované od septembra 2019, aj potom však budú mladí učitelia zaostávať za rovesníkmi v zahraničí viac ako iné vekové skupiny. </w:t>
      </w:r>
    </w:p>
    <w:p w14:paraId="18DD72B6" w14:textId="62FCD6FA" w:rsidR="0089781E" w:rsidRPr="000939E3" w:rsidRDefault="0089781E" w:rsidP="0089781E">
      <w:pPr>
        <w:rPr>
          <w:rStyle w:val="Siln"/>
          <w:b w:val="0"/>
          <w:bCs w:val="0"/>
        </w:rPr>
      </w:pPr>
      <w:r w:rsidRPr="000939E3">
        <w:rPr>
          <w:b/>
        </w:rPr>
        <w:t xml:space="preserve">Prilákanie kvalitných mladých absolventov bude pritom pre udržateľnosť systému dôležité, kvôli starnutiu učiteľskej populácie. </w:t>
      </w:r>
      <w:r w:rsidRPr="000939E3">
        <w:t>Do roku 2030 bude potrebné nahradiť zhruba 25 tisíc učiteľov v regionálnom školstve, ktorí odídu do dôchodku, aj po zohľadnení klesajúceho počtu žiakov (</w:t>
      </w:r>
      <w:r w:rsidRPr="000939E3">
        <w:fldChar w:fldCharType="begin"/>
      </w:r>
      <w:r w:rsidRPr="000939E3">
        <w:instrText xml:space="preserve"> REF _Ref3813771 \h  \* MERGEFORMAT </w:instrText>
      </w:r>
      <w:r w:rsidRPr="000939E3">
        <w:fldChar w:fldCharType="separate"/>
      </w:r>
      <w:r w:rsidR="00BF69CA" w:rsidRPr="00BF69CA">
        <w:t xml:space="preserve">Graf </w:t>
      </w:r>
      <w:r w:rsidR="00BF69CA" w:rsidRPr="00BF69CA">
        <w:rPr>
          <w:noProof/>
        </w:rPr>
        <w:t>16</w:t>
      </w:r>
      <w:r w:rsidRPr="000939E3">
        <w:fldChar w:fldCharType="end"/>
      </w:r>
      <w:r w:rsidRPr="000939E3">
        <w:t>).</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74"/>
        <w:gridCol w:w="236"/>
        <w:gridCol w:w="4362"/>
      </w:tblGrid>
      <w:tr w:rsidR="00C41D81" w:rsidRPr="000939E3" w14:paraId="4CF3254A" w14:textId="77777777" w:rsidTr="00824A98">
        <w:trPr>
          <w:trHeight w:val="605"/>
        </w:trPr>
        <w:tc>
          <w:tcPr>
            <w:tcW w:w="2466" w:type="pct"/>
            <w:tcBorders>
              <w:bottom w:val="single" w:sz="4" w:space="0" w:color="auto"/>
            </w:tcBorders>
            <w:hideMark/>
          </w:tcPr>
          <w:p w14:paraId="7AB6735C" w14:textId="05B482AF" w:rsidR="00C41D81" w:rsidRPr="000939E3" w:rsidRDefault="00C41D81" w:rsidP="003F041D">
            <w:pPr>
              <w:spacing w:after="0"/>
              <w:rPr>
                <w:b/>
                <w:sz w:val="20"/>
                <w:szCs w:val="20"/>
              </w:rPr>
            </w:pPr>
            <w:bookmarkStart w:id="273" w:name="_Ref528580009"/>
            <w:bookmarkStart w:id="274" w:name="_Toc528916069"/>
            <w:bookmarkStart w:id="275" w:name="_Toc34226924"/>
            <w:r w:rsidRPr="000939E3">
              <w:rPr>
                <w:b/>
                <w:sz w:val="20"/>
                <w:szCs w:val="20"/>
              </w:rPr>
              <w:t xml:space="preserve">Graf </w:t>
            </w:r>
            <w:r w:rsidR="000B0EF7" w:rsidRPr="000939E3">
              <w:rPr>
                <w:b/>
                <w:sz w:val="20"/>
                <w:szCs w:val="20"/>
              </w:rPr>
              <w:fldChar w:fldCharType="begin"/>
            </w:r>
            <w:r w:rsidR="000B0EF7" w:rsidRPr="000939E3">
              <w:rPr>
                <w:b/>
                <w:sz w:val="20"/>
                <w:szCs w:val="20"/>
              </w:rPr>
              <w:instrText xml:space="preserve"> SEQ Graf \* ARABIC </w:instrText>
            </w:r>
            <w:r w:rsidR="000B0EF7" w:rsidRPr="000939E3">
              <w:rPr>
                <w:b/>
                <w:sz w:val="20"/>
                <w:szCs w:val="20"/>
              </w:rPr>
              <w:fldChar w:fldCharType="separate"/>
            </w:r>
            <w:r w:rsidR="00BF69CA">
              <w:rPr>
                <w:b/>
                <w:noProof/>
                <w:sz w:val="20"/>
                <w:szCs w:val="20"/>
              </w:rPr>
              <w:t>53</w:t>
            </w:r>
            <w:r w:rsidR="000B0EF7" w:rsidRPr="000939E3">
              <w:rPr>
                <w:b/>
                <w:sz w:val="20"/>
                <w:szCs w:val="20"/>
              </w:rPr>
              <w:fldChar w:fldCharType="end"/>
            </w:r>
            <w:bookmarkEnd w:id="273"/>
            <w:r w:rsidRPr="000939E3">
              <w:rPr>
                <w:b/>
                <w:sz w:val="20"/>
                <w:szCs w:val="20"/>
              </w:rPr>
              <w:t xml:space="preserve">: </w:t>
            </w:r>
            <w:r w:rsidR="00241879" w:rsidRPr="000939E3">
              <w:rPr>
                <w:b/>
                <w:sz w:val="20"/>
                <w:szCs w:val="20"/>
              </w:rPr>
              <w:t>Mzdy učiteľov (</w:t>
            </w:r>
            <w:r w:rsidR="003F041D" w:rsidRPr="000939E3">
              <w:rPr>
                <w:b/>
                <w:sz w:val="20"/>
                <w:szCs w:val="20"/>
              </w:rPr>
              <w:t>2017</w:t>
            </w:r>
            <w:r w:rsidR="00241879" w:rsidRPr="000939E3">
              <w:rPr>
                <w:b/>
                <w:sz w:val="20"/>
                <w:szCs w:val="20"/>
              </w:rPr>
              <w:t>) a priemerné dosiahnuté skóre v PISA (</w:t>
            </w:r>
            <w:r w:rsidR="003F041D" w:rsidRPr="000939E3">
              <w:rPr>
                <w:b/>
                <w:sz w:val="20"/>
                <w:szCs w:val="20"/>
              </w:rPr>
              <w:t>2018</w:t>
            </w:r>
            <w:r w:rsidR="00241879" w:rsidRPr="000939E3">
              <w:rPr>
                <w:b/>
                <w:sz w:val="20"/>
                <w:szCs w:val="20"/>
              </w:rPr>
              <w:t>)</w:t>
            </w:r>
            <w:bookmarkEnd w:id="274"/>
            <w:bookmarkEnd w:id="275"/>
          </w:p>
        </w:tc>
        <w:tc>
          <w:tcPr>
            <w:tcW w:w="130" w:type="pct"/>
          </w:tcPr>
          <w:p w14:paraId="447492A6" w14:textId="77777777" w:rsidR="00C41D81" w:rsidRPr="000939E3" w:rsidRDefault="00C41D81" w:rsidP="00C41D81">
            <w:pPr>
              <w:pStyle w:val="Popis"/>
              <w:spacing w:line="276" w:lineRule="auto"/>
              <w:rPr>
                <w:sz w:val="18"/>
              </w:rPr>
            </w:pPr>
          </w:p>
        </w:tc>
        <w:tc>
          <w:tcPr>
            <w:tcW w:w="2404" w:type="pct"/>
            <w:tcBorders>
              <w:bottom w:val="single" w:sz="4" w:space="0" w:color="auto"/>
            </w:tcBorders>
          </w:tcPr>
          <w:p w14:paraId="472AB874" w14:textId="7CF5254E" w:rsidR="00C41D81" w:rsidRPr="000939E3" w:rsidRDefault="00C41D81" w:rsidP="003F041D">
            <w:pPr>
              <w:pStyle w:val="Popis"/>
              <w:spacing w:line="276" w:lineRule="auto"/>
            </w:pPr>
            <w:bookmarkStart w:id="276" w:name="_Ref528580402"/>
            <w:bookmarkStart w:id="277" w:name="_Toc528916070"/>
            <w:bookmarkStart w:id="278" w:name="_Toc34226925"/>
            <w:r w:rsidRPr="000939E3">
              <w:t xml:space="preserve">Graf </w:t>
            </w:r>
            <w:r w:rsidR="00E30BD2" w:rsidRPr="000939E3">
              <w:rPr>
                <w:noProof/>
              </w:rPr>
              <w:fldChar w:fldCharType="begin"/>
            </w:r>
            <w:r w:rsidR="00E30BD2" w:rsidRPr="000939E3">
              <w:rPr>
                <w:noProof/>
              </w:rPr>
              <w:instrText xml:space="preserve"> SEQ Graf \* ARABIC </w:instrText>
            </w:r>
            <w:r w:rsidR="00E30BD2" w:rsidRPr="000939E3">
              <w:rPr>
                <w:noProof/>
              </w:rPr>
              <w:fldChar w:fldCharType="separate"/>
            </w:r>
            <w:r w:rsidR="00BF69CA">
              <w:rPr>
                <w:noProof/>
              </w:rPr>
              <w:t>54</w:t>
            </w:r>
            <w:r w:rsidR="00E30BD2" w:rsidRPr="000939E3">
              <w:rPr>
                <w:noProof/>
              </w:rPr>
              <w:fldChar w:fldCharType="end"/>
            </w:r>
            <w:bookmarkEnd w:id="276"/>
            <w:r w:rsidRPr="000939E3">
              <w:rPr>
                <w:noProof/>
              </w:rPr>
              <w:t>:</w:t>
            </w:r>
            <w:r w:rsidRPr="000939E3">
              <w:t xml:space="preserve"> </w:t>
            </w:r>
            <w:r w:rsidR="00241879" w:rsidRPr="000939E3">
              <w:rPr>
                <w:bCs/>
                <w:color w:val="000000" w:themeColor="text1"/>
              </w:rPr>
              <w:t>Pomer plat</w:t>
            </w:r>
            <w:r w:rsidR="0081546B" w:rsidRPr="000939E3">
              <w:rPr>
                <w:bCs/>
                <w:color w:val="000000" w:themeColor="text1"/>
              </w:rPr>
              <w:t>ov učiteľov ZŠ a zamestnancov s </w:t>
            </w:r>
            <w:r w:rsidR="00241879" w:rsidRPr="000939E3">
              <w:rPr>
                <w:bCs/>
                <w:color w:val="000000" w:themeColor="text1"/>
              </w:rPr>
              <w:t xml:space="preserve">vysokoškolským vzdelaním podľa veku (%, </w:t>
            </w:r>
            <w:r w:rsidR="003F041D" w:rsidRPr="000939E3">
              <w:rPr>
                <w:bCs/>
                <w:color w:val="000000" w:themeColor="text1"/>
              </w:rPr>
              <w:t>2017</w:t>
            </w:r>
            <w:r w:rsidR="00241879" w:rsidRPr="000939E3">
              <w:rPr>
                <w:bCs/>
                <w:color w:val="000000" w:themeColor="text1"/>
              </w:rPr>
              <w:t>)</w:t>
            </w:r>
            <w:bookmarkEnd w:id="277"/>
            <w:bookmarkEnd w:id="278"/>
          </w:p>
        </w:tc>
      </w:tr>
      <w:tr w:rsidR="00C41D81" w:rsidRPr="000939E3" w14:paraId="3FD3F1DB" w14:textId="77777777" w:rsidTr="00824A98">
        <w:trPr>
          <w:trHeight w:val="17"/>
        </w:trPr>
        <w:tc>
          <w:tcPr>
            <w:tcW w:w="2466" w:type="pct"/>
            <w:tcBorders>
              <w:top w:val="single" w:sz="4" w:space="0" w:color="auto"/>
              <w:bottom w:val="single" w:sz="4" w:space="0" w:color="auto"/>
            </w:tcBorders>
            <w:hideMark/>
          </w:tcPr>
          <w:p w14:paraId="26EA57FC" w14:textId="19859633" w:rsidR="00C41D81" w:rsidRPr="000939E3" w:rsidRDefault="003F041D" w:rsidP="003F041D">
            <w:pPr>
              <w:spacing w:after="0"/>
              <w:ind w:left="-108"/>
            </w:pPr>
            <w:r w:rsidRPr="000939E3">
              <w:rPr>
                <w:noProof/>
                <w:lang w:eastAsia="sk-SK"/>
              </w:rPr>
              <w:drawing>
                <wp:inline distT="0" distB="0" distL="0" distR="0" wp14:anchorId="34DFDBA0" wp14:editId="71FE6A68">
                  <wp:extent cx="2768600" cy="2289810"/>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130" w:type="pct"/>
          </w:tcPr>
          <w:p w14:paraId="073E18B2" w14:textId="77777777" w:rsidR="00C41D81" w:rsidRPr="000939E3" w:rsidRDefault="00C41D81" w:rsidP="00C41D81">
            <w:pPr>
              <w:spacing w:after="0"/>
              <w:jc w:val="center"/>
              <w:rPr>
                <w:noProof/>
                <w:sz w:val="12"/>
                <w:lang w:eastAsia="sk-SK"/>
              </w:rPr>
            </w:pPr>
          </w:p>
        </w:tc>
        <w:tc>
          <w:tcPr>
            <w:tcW w:w="2404" w:type="pct"/>
            <w:tcBorders>
              <w:top w:val="single" w:sz="4" w:space="0" w:color="auto"/>
              <w:bottom w:val="single" w:sz="4" w:space="0" w:color="auto"/>
            </w:tcBorders>
          </w:tcPr>
          <w:p w14:paraId="74461657" w14:textId="694D1E17" w:rsidR="00C41D81" w:rsidRPr="000939E3" w:rsidRDefault="003F041D" w:rsidP="00C41D81">
            <w:pPr>
              <w:spacing w:after="0"/>
              <w:jc w:val="center"/>
              <w:rPr>
                <w:noProof/>
                <w:lang w:eastAsia="sk-SK"/>
              </w:rPr>
            </w:pPr>
            <w:r w:rsidRPr="000939E3">
              <w:rPr>
                <w:noProof/>
                <w:lang w:eastAsia="sk-SK"/>
              </w:rPr>
              <w:drawing>
                <wp:inline distT="0" distB="0" distL="0" distR="0" wp14:anchorId="4E883AA9" wp14:editId="5C2E2997">
                  <wp:extent cx="2632075" cy="2289810"/>
                  <wp:effectExtent l="0" t="0" r="0" b="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C41D81" w:rsidRPr="000939E3" w14:paraId="457518FC" w14:textId="77777777" w:rsidTr="00824A98">
        <w:trPr>
          <w:trHeight w:val="17"/>
        </w:trPr>
        <w:tc>
          <w:tcPr>
            <w:tcW w:w="2466" w:type="pct"/>
            <w:tcBorders>
              <w:top w:val="single" w:sz="4" w:space="0" w:color="auto"/>
            </w:tcBorders>
          </w:tcPr>
          <w:p w14:paraId="40F227EA" w14:textId="157D4C34" w:rsidR="00C41D81" w:rsidRPr="000939E3" w:rsidRDefault="00241879" w:rsidP="006455B6">
            <w:pPr>
              <w:spacing w:after="0"/>
              <w:jc w:val="right"/>
              <w:rPr>
                <w:i/>
                <w:noProof/>
                <w:sz w:val="18"/>
                <w:lang w:eastAsia="sk-SK"/>
              </w:rPr>
            </w:pPr>
            <w:r w:rsidRPr="000939E3">
              <w:rPr>
                <w:i/>
                <w:noProof/>
                <w:sz w:val="18"/>
                <w:lang w:eastAsia="sk-SK"/>
              </w:rPr>
              <w:t>Zdroj: OECD, spracovanie ÚHP</w:t>
            </w:r>
          </w:p>
        </w:tc>
        <w:tc>
          <w:tcPr>
            <w:tcW w:w="130" w:type="pct"/>
            <w:hideMark/>
          </w:tcPr>
          <w:p w14:paraId="24F20F2E" w14:textId="77777777" w:rsidR="00C41D81" w:rsidRPr="000939E3" w:rsidRDefault="00C41D81" w:rsidP="00C41D81">
            <w:pPr>
              <w:spacing w:after="0"/>
              <w:jc w:val="right"/>
              <w:rPr>
                <w:i/>
                <w:noProof/>
                <w:sz w:val="18"/>
                <w:lang w:eastAsia="sk-SK"/>
              </w:rPr>
            </w:pPr>
          </w:p>
        </w:tc>
        <w:tc>
          <w:tcPr>
            <w:tcW w:w="2404" w:type="pct"/>
            <w:tcBorders>
              <w:top w:val="single" w:sz="4" w:space="0" w:color="auto"/>
            </w:tcBorders>
          </w:tcPr>
          <w:p w14:paraId="753D2303" w14:textId="63A5128D" w:rsidR="00C41D81" w:rsidRPr="000939E3" w:rsidRDefault="00241879" w:rsidP="003F041D">
            <w:pPr>
              <w:spacing w:after="0"/>
              <w:jc w:val="right"/>
              <w:rPr>
                <w:i/>
                <w:noProof/>
                <w:sz w:val="18"/>
                <w:lang w:eastAsia="sk-SK"/>
              </w:rPr>
            </w:pPr>
            <w:r w:rsidRPr="000939E3">
              <w:rPr>
                <w:i/>
                <w:noProof/>
                <w:sz w:val="18"/>
                <w:lang w:eastAsia="sk-SK"/>
              </w:rPr>
              <w:t xml:space="preserve">Zdroj: </w:t>
            </w:r>
            <w:r w:rsidRPr="000939E3">
              <w:rPr>
                <w:rFonts w:eastAsia="Times New Roman" w:cs="Arial"/>
                <w:i/>
                <w:color w:val="000000"/>
                <w:sz w:val="16"/>
                <w:szCs w:val="16"/>
                <w:lang w:eastAsia="sk-SK"/>
              </w:rPr>
              <w:t xml:space="preserve">OECD, </w:t>
            </w:r>
            <w:r w:rsidR="003F041D" w:rsidRPr="000939E3">
              <w:rPr>
                <w:rFonts w:eastAsia="Times New Roman" w:cs="Arial"/>
                <w:i/>
                <w:color w:val="000000"/>
                <w:sz w:val="16"/>
                <w:szCs w:val="16"/>
                <w:lang w:eastAsia="sk-SK"/>
              </w:rPr>
              <w:t>2019</w:t>
            </w:r>
            <w:r w:rsidRPr="000939E3">
              <w:rPr>
                <w:rFonts w:eastAsia="Times New Roman" w:cs="Arial"/>
                <w:i/>
                <w:color w:val="000000"/>
                <w:sz w:val="16"/>
                <w:szCs w:val="16"/>
                <w:lang w:eastAsia="sk-SK"/>
              </w:rPr>
              <w:t>, IVP</w:t>
            </w:r>
          </w:p>
        </w:tc>
      </w:tr>
    </w:tbl>
    <w:p w14:paraId="6518D303" w14:textId="77777777" w:rsidR="00C41D81" w:rsidRPr="000939E3" w:rsidRDefault="00C41D81" w:rsidP="00346A60">
      <w:pPr>
        <w:spacing w:before="240"/>
        <w:rPr>
          <w:color w:val="0070C0"/>
        </w:rPr>
      </w:pPr>
      <w:r w:rsidRPr="000939E3">
        <w:rPr>
          <w:color w:val="0070C0"/>
        </w:rPr>
        <w:t xml:space="preserve">Regionálne školstvo </w:t>
      </w:r>
    </w:p>
    <w:p w14:paraId="35073C0F" w14:textId="171592BD" w:rsidR="000B0EF7" w:rsidRPr="000939E3" w:rsidRDefault="00C41D81" w:rsidP="00800F89">
      <w:r w:rsidRPr="000939E3">
        <w:rPr>
          <w:rFonts w:eastAsia="Calibri"/>
          <w:b/>
        </w:rPr>
        <w:t xml:space="preserve">V dôsledku negatívneho demografického vývoja a ochrany malých škôl je sieť základných škôl menej efektívna ako v minulosti. Kým počet </w:t>
      </w:r>
      <w:r w:rsidRPr="000939E3">
        <w:rPr>
          <w:b/>
        </w:rPr>
        <w:t>žiakov základných škôl od roku 2000 klesol o </w:t>
      </w:r>
      <w:r w:rsidR="003F4AD6" w:rsidRPr="000939E3">
        <w:rPr>
          <w:b/>
        </w:rPr>
        <w:t>31 </w:t>
      </w:r>
      <w:r w:rsidRPr="000939E3">
        <w:rPr>
          <w:b/>
        </w:rPr>
        <w:t xml:space="preserve">%, počet učiteľov sa znížil o približne </w:t>
      </w:r>
      <w:r w:rsidR="003F4AD6" w:rsidRPr="000939E3">
        <w:rPr>
          <w:b/>
        </w:rPr>
        <w:t>21 </w:t>
      </w:r>
      <w:r w:rsidRPr="000939E3">
        <w:rPr>
          <w:b/>
        </w:rPr>
        <w:t>%. Sieť stredných škôl sa prispôsobila lepšie, počet učiteľov klesol takmer rovnako ako počet žiakov</w:t>
      </w:r>
      <w:r w:rsidR="00843888" w:rsidRPr="000939E3">
        <w:rPr>
          <w:b/>
        </w:rPr>
        <w:t xml:space="preserve"> (</w:t>
      </w:r>
      <w:r w:rsidR="00843888" w:rsidRPr="000939E3">
        <w:rPr>
          <w:b/>
        </w:rPr>
        <w:fldChar w:fldCharType="begin"/>
      </w:r>
      <w:r w:rsidR="00843888" w:rsidRPr="000939E3">
        <w:rPr>
          <w:b/>
        </w:rPr>
        <w:instrText xml:space="preserve"> REF _Ref4154410 \h  \* MERGEFORMAT </w:instrText>
      </w:r>
      <w:r w:rsidR="00843888" w:rsidRPr="000939E3">
        <w:rPr>
          <w:b/>
        </w:rPr>
      </w:r>
      <w:r w:rsidR="00843888" w:rsidRPr="000939E3">
        <w:rPr>
          <w:b/>
        </w:rPr>
        <w:fldChar w:fldCharType="separate"/>
      </w:r>
      <w:r w:rsidR="00BF69CA" w:rsidRPr="00BF69CA">
        <w:rPr>
          <w:b/>
        </w:rPr>
        <w:t xml:space="preserve">Graf </w:t>
      </w:r>
      <w:r w:rsidR="00BF69CA" w:rsidRPr="00BF69CA">
        <w:rPr>
          <w:b/>
          <w:noProof/>
        </w:rPr>
        <w:t>55</w:t>
      </w:r>
      <w:r w:rsidR="00843888" w:rsidRPr="000939E3">
        <w:rPr>
          <w:b/>
        </w:rPr>
        <w:fldChar w:fldCharType="end"/>
      </w:r>
      <w:r w:rsidR="00843888" w:rsidRPr="000939E3">
        <w:rPr>
          <w:b/>
        </w:rPr>
        <w:t>)</w:t>
      </w:r>
      <w:r w:rsidRPr="000939E3">
        <w:rPr>
          <w:b/>
        </w:rPr>
        <w:t xml:space="preserve">. </w:t>
      </w:r>
      <w:r w:rsidRPr="000939E3">
        <w:t>Jedným z dôvodov nerovnakého poklesu je zníženie maximálneho limitu na počet žiakov v triedach základných škôl a ochrana malých škôl navýšením normatívov. Efektivitu by mali zlepšovať minimálne limity na veľkosť školy pri zaraďovaní do siete či na počet žiakov v triede</w:t>
      </w:r>
      <w:r w:rsidRPr="000939E3">
        <w:rPr>
          <w:rStyle w:val="Odkaznapoznmkupodiarou"/>
        </w:rPr>
        <w:footnoteReference w:id="114"/>
      </w:r>
      <w:r w:rsidRPr="000939E3">
        <w:t xml:space="preserve">, existuje však voľný systém výnimiek a chýbajú sankcie. </w:t>
      </w:r>
      <w:r w:rsidRPr="000939E3">
        <w:rPr>
          <w:color w:val="000000"/>
        </w:rPr>
        <w:t>V blízkej budúcnosti o</w:t>
      </w:r>
      <w:r w:rsidRPr="000939E3">
        <w:t>čakávaný nárast počtu žiakov sieť čiastočne zefektívni</w:t>
      </w:r>
      <w:r w:rsidRPr="000939E3">
        <w:rPr>
          <w:rStyle w:val="Odkaznapoznmkupodiarou"/>
        </w:rPr>
        <w:footnoteReference w:id="115"/>
      </w:r>
      <w:r w:rsidRPr="000939E3">
        <w:t>.</w:t>
      </w:r>
    </w:p>
    <w:tbl>
      <w:tblPr>
        <w:tblpPr w:leftFromText="141" w:rightFromText="141" w:vertAnchor="text" w:horzAnchor="margin" w:tblpY="-22"/>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8675"/>
        <w:gridCol w:w="397"/>
      </w:tblGrid>
      <w:tr w:rsidR="00B14195" w:rsidRPr="000939E3" w14:paraId="2B3F526C" w14:textId="77777777" w:rsidTr="000939E3">
        <w:trPr>
          <w:trHeight w:val="20"/>
        </w:trPr>
        <w:tc>
          <w:tcPr>
            <w:tcW w:w="4781" w:type="pct"/>
            <w:tcBorders>
              <w:top w:val="nil"/>
              <w:bottom w:val="single" w:sz="4" w:space="0" w:color="auto"/>
            </w:tcBorders>
          </w:tcPr>
          <w:p w14:paraId="37304111" w14:textId="678A5CE2" w:rsidR="00B14195" w:rsidRPr="000939E3" w:rsidRDefault="000B0EF7" w:rsidP="00DA30C9">
            <w:pPr>
              <w:keepNext/>
              <w:spacing w:after="0"/>
              <w:rPr>
                <w:rFonts w:eastAsia="Times New Roman" w:cs="Arial"/>
                <w:b/>
                <w:color w:val="000000"/>
                <w:sz w:val="20"/>
                <w:szCs w:val="20"/>
                <w:lang w:eastAsia="sk-SK"/>
              </w:rPr>
            </w:pPr>
            <w:bookmarkStart w:id="279" w:name="_Ref4154410"/>
            <w:bookmarkStart w:id="280" w:name="_Toc34226926"/>
            <w:r w:rsidRPr="000939E3">
              <w:rPr>
                <w:b/>
                <w:sz w:val="20"/>
                <w:szCs w:val="20"/>
              </w:rPr>
              <w:lastRenderedPageBreak/>
              <w:t xml:space="preserve">Graf </w:t>
            </w:r>
            <w:r w:rsidRPr="000939E3">
              <w:rPr>
                <w:b/>
                <w:sz w:val="20"/>
                <w:szCs w:val="20"/>
              </w:rPr>
              <w:fldChar w:fldCharType="begin"/>
            </w:r>
            <w:r w:rsidRPr="000939E3">
              <w:rPr>
                <w:b/>
                <w:sz w:val="20"/>
                <w:szCs w:val="20"/>
              </w:rPr>
              <w:instrText xml:space="preserve"> SEQ Graf \* ARABIC </w:instrText>
            </w:r>
            <w:r w:rsidRPr="000939E3">
              <w:rPr>
                <w:b/>
                <w:sz w:val="20"/>
                <w:szCs w:val="20"/>
              </w:rPr>
              <w:fldChar w:fldCharType="separate"/>
            </w:r>
            <w:r w:rsidR="00BF69CA">
              <w:rPr>
                <w:b/>
                <w:noProof/>
                <w:sz w:val="20"/>
                <w:szCs w:val="20"/>
              </w:rPr>
              <w:t>55</w:t>
            </w:r>
            <w:r w:rsidRPr="000939E3">
              <w:rPr>
                <w:b/>
                <w:sz w:val="20"/>
                <w:szCs w:val="20"/>
              </w:rPr>
              <w:fldChar w:fldCharType="end"/>
            </w:r>
            <w:bookmarkEnd w:id="279"/>
            <w:r w:rsidR="00B14195" w:rsidRPr="000939E3">
              <w:rPr>
                <w:rFonts w:eastAsia="Times New Roman" w:cs="Times New Roman"/>
                <w:b/>
                <w:sz w:val="20"/>
                <w:szCs w:val="20"/>
                <w:lang w:eastAsia="sk-SK"/>
              </w:rPr>
              <w:t>: Vývoj počtu žiakov a učiteľov na ZŠ a SŠ (2000=100 %)</w:t>
            </w:r>
            <w:bookmarkEnd w:id="280"/>
          </w:p>
        </w:tc>
        <w:tc>
          <w:tcPr>
            <w:tcW w:w="219" w:type="pct"/>
            <w:tcBorders>
              <w:top w:val="nil"/>
              <w:bottom w:val="single" w:sz="4" w:space="0" w:color="auto"/>
            </w:tcBorders>
          </w:tcPr>
          <w:p w14:paraId="513CF993" w14:textId="77777777" w:rsidR="00B14195" w:rsidRPr="000939E3" w:rsidRDefault="00B14195" w:rsidP="00DA30C9">
            <w:pPr>
              <w:keepNext/>
              <w:spacing w:after="0"/>
              <w:rPr>
                <w:b/>
                <w:sz w:val="20"/>
                <w:szCs w:val="20"/>
              </w:rPr>
            </w:pPr>
          </w:p>
        </w:tc>
      </w:tr>
      <w:tr w:rsidR="00B14195" w:rsidRPr="000939E3" w14:paraId="2375F122" w14:textId="77777777" w:rsidTr="000939E3">
        <w:tblPrEx>
          <w:tblCellMar>
            <w:left w:w="108" w:type="dxa"/>
            <w:right w:w="108" w:type="dxa"/>
          </w:tblCellMar>
        </w:tblPrEx>
        <w:trPr>
          <w:trHeight w:val="20"/>
        </w:trPr>
        <w:tc>
          <w:tcPr>
            <w:tcW w:w="5000" w:type="pct"/>
            <w:gridSpan w:val="2"/>
            <w:tcBorders>
              <w:top w:val="single" w:sz="4" w:space="0" w:color="auto"/>
              <w:bottom w:val="single" w:sz="4" w:space="0" w:color="auto"/>
            </w:tcBorders>
            <w:shd w:val="clear" w:color="auto" w:fill="auto"/>
            <w:noWrap/>
            <w:vAlign w:val="bottom"/>
          </w:tcPr>
          <w:p w14:paraId="3749C0CB" w14:textId="7485077E" w:rsidR="00B14195" w:rsidRPr="000939E3" w:rsidRDefault="006707CF" w:rsidP="00307839">
            <w:pPr>
              <w:keepNext/>
              <w:spacing w:after="0"/>
              <w:ind w:left="-108"/>
              <w:jc w:val="right"/>
              <w:rPr>
                <w:rStyle w:val="Jemnodkaz"/>
                <w:rFonts w:eastAsiaTheme="minorHAnsi"/>
              </w:rPr>
            </w:pPr>
            <w:r w:rsidRPr="000939E3">
              <w:rPr>
                <w:noProof/>
                <w:lang w:eastAsia="sk-SK"/>
              </w:rPr>
              <w:drawing>
                <wp:inline distT="0" distB="0" distL="0" distR="0" wp14:anchorId="2E7D69E8" wp14:editId="2C8FB893">
                  <wp:extent cx="5673635" cy="2797810"/>
                  <wp:effectExtent l="0" t="0" r="3810" b="0"/>
                  <wp:docPr id="224" name="Graf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B14195" w:rsidRPr="000939E3" w14:paraId="4F71C17F" w14:textId="77777777" w:rsidTr="000939E3">
        <w:trPr>
          <w:trHeight w:val="20"/>
        </w:trPr>
        <w:tc>
          <w:tcPr>
            <w:tcW w:w="5000" w:type="pct"/>
            <w:gridSpan w:val="2"/>
            <w:tcBorders>
              <w:top w:val="single" w:sz="4" w:space="0" w:color="auto"/>
              <w:bottom w:val="nil"/>
            </w:tcBorders>
            <w:shd w:val="clear" w:color="auto" w:fill="auto"/>
            <w:noWrap/>
            <w:vAlign w:val="bottom"/>
          </w:tcPr>
          <w:p w14:paraId="7EB06077" w14:textId="17C42125" w:rsidR="00B14195" w:rsidRPr="000939E3" w:rsidRDefault="00B14195" w:rsidP="00BA54D0">
            <w:pPr>
              <w:keepNext/>
              <w:spacing w:after="0"/>
              <w:jc w:val="right"/>
              <w:rPr>
                <w:noProof/>
                <w:lang w:eastAsia="sk-SK"/>
              </w:rPr>
            </w:pPr>
            <w:r w:rsidRPr="000939E3">
              <w:rPr>
                <w:rStyle w:val="Jemnodkaz"/>
                <w:rFonts w:eastAsiaTheme="minorHAnsi"/>
              </w:rPr>
              <w:t>Zdroj: CVTI SR</w:t>
            </w:r>
            <w:r w:rsidR="002E18CD" w:rsidRPr="000939E3">
              <w:rPr>
                <w:rStyle w:val="Jemnodkaz"/>
                <w:rFonts w:eastAsiaTheme="minorHAnsi"/>
              </w:rPr>
              <w:t>, prepočty ÚHP</w:t>
            </w:r>
          </w:p>
        </w:tc>
      </w:tr>
    </w:tbl>
    <w:p w14:paraId="15737B55" w14:textId="7C3E32BF" w:rsidR="00800F89" w:rsidRPr="000939E3" w:rsidRDefault="00800F89" w:rsidP="00DA30C9">
      <w:pPr>
        <w:spacing w:before="200" w:after="120"/>
      </w:pPr>
      <w:r w:rsidRPr="000939E3">
        <w:rPr>
          <w:b/>
        </w:rPr>
        <w:t>Malé základné školy</w:t>
      </w:r>
      <w:r w:rsidRPr="000939E3">
        <w:rPr>
          <w:rStyle w:val="Odkaznapoznmkupodiarou"/>
          <w:b/>
        </w:rPr>
        <w:footnoteReference w:id="116"/>
      </w:r>
      <w:r w:rsidRPr="000939E3">
        <w:rPr>
          <w:b/>
        </w:rPr>
        <w:t xml:space="preserve"> štát chráni kompenzačným príspevkom</w:t>
      </w:r>
      <w:r w:rsidRPr="000939E3">
        <w:t>, pričom prispieva rovnako na žiakov prvého aj druhého stupňa. Dostupnosť vzdelávania v podobe blízkosti fyzickej infraštruktúry však zohráva dôležitejšiu úlohu v prípade mladších žiakov. Opodstatnenosť opatrenia je otázna pri starších žiakoch, obzvlášť ak malé školy majú na druhom stupni nižšiu odbornosť výučby (IVP, 2016b). Problém môžu nepriamo indikovať aj horšie výsledky žiakov malých škôl v testovaniach v niektorých rokoch, aj keď testovania nezohľadňujú napríklad socioekonomické zázemie žiakov (IVP, ÚHP, 2017).</w:t>
      </w:r>
      <w:r w:rsidRPr="000939E3" w:rsidDel="002F1FEC">
        <w:t xml:space="preserve"> </w:t>
      </w:r>
    </w:p>
    <w:p w14:paraId="0D6158BC" w14:textId="545BFF66" w:rsidR="00DA30C9" w:rsidRPr="000939E3" w:rsidRDefault="00DA30C9" w:rsidP="00DA30C9">
      <w:pPr>
        <w:spacing w:before="200" w:after="120"/>
      </w:pPr>
      <w:r w:rsidRPr="000939E3">
        <w:rPr>
          <w:b/>
        </w:rPr>
        <w:t xml:space="preserve">Racionalizácia školskej siete môže zlepšiť kvalitu vzdelávania, zároveň uvoľniť približne 14 mil. eur. </w:t>
      </w:r>
      <w:r w:rsidRPr="000939E3">
        <w:t xml:space="preserve">Revízia odporúčala MŠVVaŠ prijať opatrenia na podporu racionalizácie siete. Inštitút vzdelávacej politiky odhadol maximálnu kumulatívnu úsporu na približne 14 mil. eur, z toho cca 85 % výdavkov (cca 12 mil. eur) je zvyčajne použitých na mzdy. Podľa </w:t>
      </w:r>
      <w:r w:rsidR="00DC2B0C" w:rsidRPr="000939E3">
        <w:t>Súhrnnej</w:t>
      </w:r>
      <w:r w:rsidRPr="000939E3">
        <w:t xml:space="preserve"> implementačnej správy za rok 2018 (IJ, 201</w:t>
      </w:r>
      <w:r w:rsidR="00CA2FD4" w:rsidRPr="000939E3">
        <w:t>9</w:t>
      </w:r>
      <w:r w:rsidR="004D5307" w:rsidRPr="000939E3">
        <w:t>b</w:t>
      </w:r>
      <w:r w:rsidRPr="000939E3">
        <w:t>) MŠVVaŠ zatiaľ v tejto oblasti nepokročilo.</w:t>
      </w:r>
    </w:p>
    <w:p w14:paraId="49A0A189" w14:textId="0DE24DB0" w:rsidR="00BD7076" w:rsidRPr="000939E3" w:rsidRDefault="00C41D81" w:rsidP="009924AF">
      <w:pPr>
        <w:spacing w:after="0"/>
      </w:pPr>
      <w:r w:rsidRPr="000939E3">
        <w:rPr>
          <w:b/>
          <w:bCs/>
        </w:rPr>
        <w:t xml:space="preserve">Nízky počet žiakov na učiteľa pritom neznamená nutne lepšie výsledky žiakov. </w:t>
      </w:r>
      <w:r w:rsidRPr="000939E3">
        <w:rPr>
          <w:bCs/>
        </w:rPr>
        <w:t>Aj krajiny s vyšším počtom žiakov na učiteľa dokážu dosahovať nadpriemerné výsledky</w:t>
      </w:r>
      <w:r w:rsidR="00581643" w:rsidRPr="000939E3">
        <w:rPr>
          <w:bCs/>
        </w:rPr>
        <w:t xml:space="preserve"> v testovaní PISA</w:t>
      </w:r>
      <w:r w:rsidR="00581643" w:rsidRPr="000939E3">
        <w:rPr>
          <w:rStyle w:val="Odkaznapoznmkupodiarou"/>
          <w:bCs/>
        </w:rPr>
        <w:footnoteReference w:id="117"/>
      </w:r>
      <w:r w:rsidR="00581643" w:rsidRPr="000939E3">
        <w:rPr>
          <w:bCs/>
        </w:rPr>
        <w:t xml:space="preserve"> (</w:t>
      </w:r>
      <w:r w:rsidR="00581643" w:rsidRPr="000939E3">
        <w:rPr>
          <w:bCs/>
        </w:rPr>
        <w:fldChar w:fldCharType="begin"/>
      </w:r>
      <w:r w:rsidR="00581643" w:rsidRPr="000939E3">
        <w:rPr>
          <w:bCs/>
        </w:rPr>
        <w:instrText xml:space="preserve"> REF _Ref4154556 \h </w:instrText>
      </w:r>
      <w:r w:rsidR="00DC481D" w:rsidRPr="000939E3">
        <w:rPr>
          <w:bCs/>
        </w:rPr>
        <w:instrText xml:space="preserve"> \* MERGEFORMAT </w:instrText>
      </w:r>
      <w:r w:rsidR="00581643" w:rsidRPr="000939E3">
        <w:rPr>
          <w:bCs/>
        </w:rPr>
      </w:r>
      <w:r w:rsidR="00581643" w:rsidRPr="000939E3">
        <w:rPr>
          <w:bCs/>
        </w:rPr>
        <w:fldChar w:fldCharType="separate"/>
      </w:r>
      <w:r w:rsidR="00BF69CA" w:rsidRPr="000939E3">
        <w:t xml:space="preserve">Graf </w:t>
      </w:r>
      <w:r w:rsidR="00BF69CA">
        <w:rPr>
          <w:noProof/>
        </w:rPr>
        <w:t>56</w:t>
      </w:r>
      <w:r w:rsidR="00581643" w:rsidRPr="000939E3">
        <w:rPr>
          <w:bCs/>
        </w:rPr>
        <w:fldChar w:fldCharType="end"/>
      </w:r>
      <w:r w:rsidR="00581643" w:rsidRPr="000939E3">
        <w:rPr>
          <w:bCs/>
        </w:rPr>
        <w:t>).</w:t>
      </w:r>
      <w:r w:rsidRPr="000939E3">
        <w:rPr>
          <w:bCs/>
        </w:rPr>
        <w:t xml:space="preserve"> </w:t>
      </w:r>
      <w:r w:rsidR="00581643" w:rsidRPr="000939E3">
        <w:rPr>
          <w:bCs/>
        </w:rPr>
        <w:t>V</w:t>
      </w:r>
      <w:r w:rsidRPr="000939E3">
        <w:rPr>
          <w:bCs/>
        </w:rPr>
        <w:t xml:space="preserve">iac žiakov na učiteľa nezvyšuje ani podiel žiakov so zlými výsledkami. </w:t>
      </w:r>
      <w:r w:rsidR="00285EDD" w:rsidRPr="000939E3">
        <w:t>Podľa OECD</w:t>
      </w:r>
      <w:r w:rsidR="007A4FCA" w:rsidRPr="000939E3">
        <w:t xml:space="preserve"> </w:t>
      </w:r>
      <w:r w:rsidR="00285EDD" w:rsidRPr="000939E3">
        <w:t>je nad istú minimálnu úroveň celkových zdrojov viac ako celkový objem financií dôležitý spôsob prerozdelenia dodatočných výdavkov (OECD</w:t>
      </w:r>
      <w:r w:rsidR="007A4FCA" w:rsidRPr="000939E3">
        <w:t>,</w:t>
      </w:r>
      <w:r w:rsidR="00285EDD" w:rsidRPr="000939E3">
        <w:t xml:space="preserve"> 2012</w:t>
      </w:r>
      <w:r w:rsidR="00E81119" w:rsidRPr="000939E3">
        <w:t>a</w:t>
      </w:r>
      <w:r w:rsidR="00285EDD" w:rsidRPr="000939E3">
        <w:t>). Ďalšie zdroje do</w:t>
      </w:r>
      <w:r w:rsidR="000E7169" w:rsidRPr="000939E3">
        <w:t> </w:t>
      </w:r>
      <w:r w:rsidR="00285EDD" w:rsidRPr="000939E3">
        <w:t>školstva by preto mali byť podmienené plnením reformných opatrení, ktoré popri náraste miezd zabezpečia aj zlepšovanie výsledkov.</w:t>
      </w:r>
    </w:p>
    <w:p w14:paraId="1B025490" w14:textId="4045D383" w:rsidR="00C41D81" w:rsidRPr="000939E3" w:rsidRDefault="00BD7076" w:rsidP="00AE534A">
      <w:pPr>
        <w:spacing w:after="160" w:line="259" w:lineRule="auto"/>
        <w:jc w:val="left"/>
      </w:pPr>
      <w:r w:rsidRPr="000939E3">
        <w:br w:type="page"/>
      </w:r>
    </w:p>
    <w:tbl>
      <w:tblPr>
        <w:tblStyle w:val="Mriekatabuky"/>
        <w:tblpPr w:leftFromText="142" w:rightFromText="142" w:horzAnchor="margin" w:tblpYSpec="top"/>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2"/>
      </w:tblGrid>
      <w:tr w:rsidR="00C41D81" w:rsidRPr="000939E3" w14:paraId="54131B51" w14:textId="77777777" w:rsidTr="007E0AB1">
        <w:trPr>
          <w:trHeight w:val="20"/>
        </w:trPr>
        <w:tc>
          <w:tcPr>
            <w:tcW w:w="5000" w:type="pct"/>
            <w:tcBorders>
              <w:bottom w:val="single" w:sz="4" w:space="0" w:color="auto"/>
            </w:tcBorders>
            <w:vAlign w:val="bottom"/>
          </w:tcPr>
          <w:p w14:paraId="2A27CDE9" w14:textId="542AC393" w:rsidR="00C41D81" w:rsidRPr="000939E3" w:rsidRDefault="00C41D81" w:rsidP="007E0AB1">
            <w:pPr>
              <w:pStyle w:val="Popis"/>
              <w:keepNext/>
              <w:spacing w:line="276" w:lineRule="auto"/>
              <w:rPr>
                <w:rFonts w:eastAsia="Arial" w:cs="Arial"/>
                <w:color w:val="000000"/>
                <w:lang w:val="fr-FR" w:eastAsia="fr-FR" w:bidi="fr-FR"/>
              </w:rPr>
            </w:pPr>
            <w:bookmarkStart w:id="281" w:name="_Ref4154556"/>
            <w:bookmarkStart w:id="282" w:name="_Toc526690471"/>
            <w:bookmarkStart w:id="283" w:name="_Toc528916074"/>
            <w:bookmarkStart w:id="284" w:name="_Toc34226927"/>
            <w:r w:rsidRPr="000939E3">
              <w:lastRenderedPageBreak/>
              <w:t xml:space="preserve">Graf </w:t>
            </w:r>
            <w:r w:rsidR="00E30BD2" w:rsidRPr="000939E3">
              <w:rPr>
                <w:noProof/>
              </w:rPr>
              <w:fldChar w:fldCharType="begin"/>
            </w:r>
            <w:r w:rsidR="00E30BD2" w:rsidRPr="000939E3">
              <w:rPr>
                <w:noProof/>
              </w:rPr>
              <w:instrText xml:space="preserve"> SEQ Graf \* ARABIC </w:instrText>
            </w:r>
            <w:r w:rsidR="00E30BD2" w:rsidRPr="000939E3">
              <w:rPr>
                <w:noProof/>
              </w:rPr>
              <w:fldChar w:fldCharType="separate"/>
            </w:r>
            <w:r w:rsidR="00BF69CA">
              <w:rPr>
                <w:noProof/>
              </w:rPr>
              <w:t>56</w:t>
            </w:r>
            <w:r w:rsidR="00E30BD2" w:rsidRPr="000939E3">
              <w:rPr>
                <w:noProof/>
              </w:rPr>
              <w:fldChar w:fldCharType="end"/>
            </w:r>
            <w:bookmarkEnd w:id="281"/>
            <w:r w:rsidRPr="000939E3">
              <w:rPr>
                <w:noProof/>
              </w:rPr>
              <w:t>:</w:t>
            </w:r>
            <w:r w:rsidRPr="000939E3">
              <w:rPr>
                <w:rStyle w:val="Bodytext295pt"/>
              </w:rPr>
              <w:t xml:space="preserve"> Počet žiakov na učiteľa v krajine </w:t>
            </w:r>
            <w:r w:rsidR="00F12995" w:rsidRPr="000939E3">
              <w:rPr>
                <w:rStyle w:val="Bodytext295pt"/>
              </w:rPr>
              <w:t xml:space="preserve">(2017) </w:t>
            </w:r>
            <w:r w:rsidRPr="000939E3">
              <w:rPr>
                <w:rStyle w:val="Bodytext295pt"/>
              </w:rPr>
              <w:t>a výsledky v testovaní PISA</w:t>
            </w:r>
            <w:bookmarkEnd w:id="282"/>
            <w:r w:rsidRPr="000939E3">
              <w:rPr>
                <w:rStyle w:val="Bodytext295pt"/>
              </w:rPr>
              <w:t xml:space="preserve"> (</w:t>
            </w:r>
            <w:r w:rsidR="00F12995" w:rsidRPr="000939E3">
              <w:rPr>
                <w:rStyle w:val="Bodytext295pt"/>
              </w:rPr>
              <w:t>2018</w:t>
            </w:r>
            <w:r w:rsidRPr="000939E3">
              <w:rPr>
                <w:rStyle w:val="Bodytext295pt"/>
              </w:rPr>
              <w:t>)</w:t>
            </w:r>
            <w:bookmarkEnd w:id="283"/>
            <w:bookmarkEnd w:id="284"/>
          </w:p>
        </w:tc>
      </w:tr>
      <w:tr w:rsidR="00581643" w:rsidRPr="000939E3" w14:paraId="40DF6E8E" w14:textId="77777777" w:rsidTr="007E0AB1">
        <w:tblPrEx>
          <w:tblCellMar>
            <w:left w:w="108" w:type="dxa"/>
            <w:right w:w="108" w:type="dxa"/>
          </w:tblCellMar>
        </w:tblPrEx>
        <w:trPr>
          <w:trHeight w:val="20"/>
        </w:trPr>
        <w:tc>
          <w:tcPr>
            <w:tcW w:w="5000" w:type="pct"/>
            <w:tcBorders>
              <w:top w:val="single" w:sz="4" w:space="0" w:color="auto"/>
            </w:tcBorders>
          </w:tcPr>
          <w:p w14:paraId="0F40B7FF" w14:textId="701B70C2" w:rsidR="00581643" w:rsidRPr="000939E3" w:rsidRDefault="00307839" w:rsidP="007E0AB1">
            <w:pPr>
              <w:spacing w:after="0"/>
              <w:ind w:left="-108"/>
              <w:jc w:val="left"/>
              <w:rPr>
                <w:rStyle w:val="Jemnodkaz"/>
                <w:rFonts w:eastAsiaTheme="minorHAnsi"/>
              </w:rPr>
            </w:pPr>
            <w:r w:rsidRPr="000939E3">
              <w:rPr>
                <w:noProof/>
                <w:lang w:eastAsia="sk-SK"/>
              </w:rPr>
              <w:drawing>
                <wp:inline distT="0" distB="0" distL="0" distR="0" wp14:anchorId="67C1A3F5" wp14:editId="32406F15">
                  <wp:extent cx="5778500" cy="2938766"/>
                  <wp:effectExtent l="0" t="0" r="0" b="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C41D81" w:rsidRPr="000939E3" w14:paraId="40C9A49E" w14:textId="77777777" w:rsidTr="007E0AB1">
        <w:tblPrEx>
          <w:tblCellMar>
            <w:left w:w="108" w:type="dxa"/>
            <w:right w:w="108" w:type="dxa"/>
          </w:tblCellMar>
        </w:tblPrEx>
        <w:trPr>
          <w:trHeight w:val="20"/>
        </w:trPr>
        <w:tc>
          <w:tcPr>
            <w:tcW w:w="5000" w:type="pct"/>
            <w:tcBorders>
              <w:top w:val="single" w:sz="4" w:space="0" w:color="auto"/>
            </w:tcBorders>
          </w:tcPr>
          <w:p w14:paraId="1FDB72A3" w14:textId="601754EB" w:rsidR="00C41D81" w:rsidRPr="000939E3" w:rsidRDefault="00C41D81" w:rsidP="007E0AB1">
            <w:pPr>
              <w:spacing w:after="0"/>
              <w:jc w:val="right"/>
              <w:rPr>
                <w:rStyle w:val="Jemnodkaz"/>
                <w:rFonts w:eastAsiaTheme="minorHAnsi"/>
              </w:rPr>
            </w:pPr>
            <w:r w:rsidRPr="000939E3">
              <w:rPr>
                <w:rStyle w:val="Jemnodkaz"/>
                <w:rFonts w:eastAsiaTheme="minorHAnsi"/>
              </w:rPr>
              <w:t xml:space="preserve">Zdroj: OECD, </w:t>
            </w:r>
            <w:r w:rsidR="00EC335E" w:rsidRPr="000939E3">
              <w:rPr>
                <w:rStyle w:val="Jemnodkaz"/>
                <w:rFonts w:eastAsiaTheme="minorHAnsi"/>
              </w:rPr>
              <w:t>spracovanie</w:t>
            </w:r>
            <w:r w:rsidRPr="000939E3">
              <w:rPr>
                <w:rStyle w:val="Jemnodkaz"/>
                <w:rFonts w:eastAsiaTheme="minorHAnsi"/>
              </w:rPr>
              <w:t xml:space="preserve"> ÚHP</w:t>
            </w:r>
          </w:p>
        </w:tc>
      </w:tr>
    </w:tbl>
    <w:p w14:paraId="1F7E9F37" w14:textId="3017CF66" w:rsidR="00C41D81" w:rsidRPr="000939E3" w:rsidRDefault="00C41D81" w:rsidP="00C1597F">
      <w:pPr>
        <w:spacing w:before="240" w:after="160"/>
        <w:rPr>
          <w:b/>
        </w:rPr>
      </w:pPr>
      <w:r w:rsidRPr="000939E3">
        <w:rPr>
          <w:rStyle w:val="Siln"/>
          <w:rFonts w:eastAsia="Times New Roman" w:cs="Segoe UI"/>
          <w:bdr w:val="none" w:sz="0" w:space="0" w:color="auto" w:frame="1"/>
          <w:lang w:eastAsia="sk-SK"/>
        </w:rPr>
        <w:t xml:space="preserve">Menej efektívna sieť a výsledný vyšší počet zamestnancov oproti minulosti viaže finančné prostriedky, ktoré by mohli slúžiť na odmeňovanie kvality. Aj v súčasnosti sa systém odmeňovania snaží zohľadňovať kvalitu pedagógov, podľa záverov revízie výdavkov na vzdelávanie sa to však nedarí. </w:t>
      </w:r>
      <w:r w:rsidRPr="000939E3">
        <w:rPr>
          <w:rStyle w:val="Siln"/>
          <w:rFonts w:eastAsia="Times New Roman" w:cs="Segoe UI"/>
          <w:b w:val="0"/>
          <w:bdr w:val="none" w:sz="0" w:space="0" w:color="auto" w:frame="1"/>
          <w:lang w:eastAsia="sk-SK"/>
        </w:rPr>
        <w:t xml:space="preserve">Jedným zo súčasných spôsobov naviazania odmeňovania učiteľov na ich kvalitu je zaradenie učiteľov do platových tried podľa nadobudnutého kariérneho stupňa, druhým sú kreditové príplatky. </w:t>
      </w:r>
    </w:p>
    <w:p w14:paraId="57AED606" w14:textId="77777777" w:rsidR="004E731B" w:rsidRPr="000939E3" w:rsidRDefault="004E731B" w:rsidP="004E731B">
      <w:pPr>
        <w:spacing w:after="160"/>
        <w:rPr>
          <w:rFonts w:cs="Times New Roman"/>
          <w:b/>
        </w:rPr>
      </w:pPr>
      <w:r w:rsidRPr="000939E3">
        <w:rPr>
          <w:b/>
        </w:rPr>
        <w:t>Spôsob vykonávania atestácií je naďalej formalistický a nedokáže dostatočne posúdiť úroveň profesijných kompetencií pedagógov.</w:t>
      </w:r>
      <w:r w:rsidRPr="000939E3">
        <w:t xml:space="preserve"> Významným problémom je podľa Revízie aj nedostatočne zabezpečená kvalita inštitúcií poskytujúcich atestácie. Vysoké školy s právom realizovať atestácie majú rozdielnu úroveň</w:t>
      </w:r>
      <w:r w:rsidRPr="000939E3">
        <w:rPr>
          <w:rStyle w:val="Odkaznapoznmkupodiarou"/>
        </w:rPr>
        <w:footnoteReference w:id="118"/>
      </w:r>
      <w:r w:rsidRPr="000939E3">
        <w:t>, Metodicko-pedagogické centrum v súčasnosti akreditácii nepodlieha. Jej zavedenie pre poskytovateľov kontinuálneho vzdelávania však odporúča Národný program reforiem (MF SR 2018).</w:t>
      </w:r>
      <w:r w:rsidRPr="000939E3">
        <w:rPr>
          <w:rFonts w:cs="Times New Roman"/>
          <w:b/>
        </w:rPr>
        <w:t xml:space="preserve"> </w:t>
      </w:r>
    </w:p>
    <w:p w14:paraId="32291693" w14:textId="6F88B52A" w:rsidR="00E37FE5" w:rsidRPr="000939E3" w:rsidRDefault="004E731B" w:rsidP="004E731B">
      <w:r w:rsidRPr="000939E3">
        <w:rPr>
          <w:b/>
        </w:rPr>
        <w:t>K</w:t>
      </w:r>
      <w:r w:rsidR="003F4AD6" w:rsidRPr="000939E3">
        <w:rPr>
          <w:b/>
        </w:rPr>
        <w:t xml:space="preserve"> zásadným </w:t>
      </w:r>
      <w:r w:rsidRPr="000939E3">
        <w:rPr>
          <w:b/>
        </w:rPr>
        <w:t>zmenám neprišlo ani pri kreditovom príplatku, ďalšom nástroji navi</w:t>
      </w:r>
      <w:r w:rsidR="00B14195" w:rsidRPr="000939E3">
        <w:rPr>
          <w:b/>
        </w:rPr>
        <w:t>azania odmeňovania pedagógov na </w:t>
      </w:r>
      <w:r w:rsidRPr="000939E3">
        <w:rPr>
          <w:b/>
        </w:rPr>
        <w:t>kvalitu</w:t>
      </w:r>
      <w:r w:rsidRPr="000939E3">
        <w:rPr>
          <w:rStyle w:val="Odkaznapoznmkupodiarou"/>
        </w:rPr>
        <w:footnoteReference w:id="119"/>
      </w:r>
      <w:r w:rsidRPr="000939E3">
        <w:t xml:space="preserve">. V roku 2017 ho poberalo 65 % pedagogických zamestnancov, ročné náklady tvorili vyše 51 miliónov eur a v priemere tvoril </w:t>
      </w:r>
      <w:r w:rsidR="00A27C40" w:rsidRPr="000939E3">
        <w:t xml:space="preserve">kreditový príplatok </w:t>
      </w:r>
      <w:r w:rsidRPr="000939E3">
        <w:t>približne 3,5 % priemernej mzdy pedagogických zamestnancov</w:t>
      </w:r>
      <w:r w:rsidRPr="000939E3">
        <w:rPr>
          <w:rStyle w:val="Odkaznapoznmkupodiarou"/>
        </w:rPr>
        <w:footnoteReference w:id="120"/>
      </w:r>
      <w:r w:rsidRPr="000939E3">
        <w:t xml:space="preserve">. </w:t>
      </w:r>
      <w:r w:rsidRPr="000939E3">
        <w:rPr>
          <w:b/>
        </w:rPr>
        <w:t>Revízia však konštatovala, že kreditový príplatok sa viaže na samotné absolvovanie vzdelávacích programov a neposudzuje sa, ako tieto programy prispeli k</w:t>
      </w:r>
      <w:r w:rsidR="00A27C40" w:rsidRPr="000939E3">
        <w:rPr>
          <w:b/>
        </w:rPr>
        <w:t>u</w:t>
      </w:r>
      <w:r w:rsidRPr="000939E3">
        <w:rPr>
          <w:b/>
        </w:rPr>
        <w:t> skvalitneniu práce pedagóga.</w:t>
      </w:r>
      <w:r w:rsidRPr="000939E3">
        <w:t xml:space="preserve"> Podľa prieskumu Slovenskej komory učiteľov (SKU, 2014) a projekt</w:t>
      </w:r>
      <w:r w:rsidR="00C13312" w:rsidRPr="000939E3">
        <w:t xml:space="preserve">u To dá rozum (Miškolci, 2018) </w:t>
      </w:r>
      <w:r w:rsidR="00813E6B">
        <w:t>je jednou z </w:t>
      </w:r>
      <w:r w:rsidRPr="000939E3">
        <w:t xml:space="preserve">dvoch dominantných motivácií pre absolvovanie vzdelávania zisk kreditov </w:t>
      </w:r>
      <w:r w:rsidR="00324611" w:rsidRPr="000939E3">
        <w:t xml:space="preserve">na </w:t>
      </w:r>
      <w:r w:rsidRPr="000939E3">
        <w:t>vyplácanie kreditového príplatku, resp. zvýšenie platu</w:t>
      </w:r>
      <w:r w:rsidRPr="000939E3">
        <w:rPr>
          <w:b/>
        </w:rPr>
        <w:t xml:space="preserve">. </w:t>
      </w:r>
      <w:r w:rsidR="006B2913" w:rsidRPr="000939E3">
        <w:t>Kvalitné kontinuálne vzdelávanie pre učiteľov je pritom dôležitou súčasťou systému, jeho naviazanie na</w:t>
      </w:r>
      <w:r w:rsidR="000E7169" w:rsidRPr="000939E3">
        <w:t> </w:t>
      </w:r>
      <w:r w:rsidR="006B2913" w:rsidRPr="000939E3">
        <w:t>odmeňovanie je však spojené s viacerými rizikami a problémami</w:t>
      </w:r>
      <w:r w:rsidRPr="000939E3">
        <w:rPr>
          <w:rStyle w:val="Odkaznapoznmkupodiarou"/>
        </w:rPr>
        <w:footnoteReference w:id="121"/>
      </w:r>
      <w:r w:rsidRPr="000939E3">
        <w:t xml:space="preserve">. </w:t>
      </w:r>
    </w:p>
    <w:p w14:paraId="10BEECC2" w14:textId="77B923A8" w:rsidR="004E731B" w:rsidRPr="000939E3" w:rsidRDefault="00E37FE5" w:rsidP="004E731B">
      <w:r w:rsidRPr="000939E3">
        <w:rPr>
          <w:b/>
        </w:rPr>
        <w:t>Kreditový príplatok bol zmenený</w:t>
      </w:r>
      <w:r w:rsidRPr="000939E3">
        <w:t xml:space="preserve"> </w:t>
      </w:r>
      <w:r w:rsidRPr="000939E3">
        <w:rPr>
          <w:b/>
        </w:rPr>
        <w:t>na príplatok za profesijný rozvoj</w:t>
      </w:r>
      <w:r w:rsidRPr="000939E3">
        <w:rPr>
          <w:rStyle w:val="Odkaznapoznmkupodiarou"/>
          <w:b/>
        </w:rPr>
        <w:footnoteReference w:id="122"/>
      </w:r>
      <w:r w:rsidRPr="000939E3">
        <w:t>, p</w:t>
      </w:r>
      <w:r w:rsidR="004D5307" w:rsidRPr="000939E3">
        <w:t xml:space="preserve">odľa Priebežnej implementačnej správy (IJ, 2019b) </w:t>
      </w:r>
      <w:r w:rsidRPr="000939E3">
        <w:t xml:space="preserve">však </w:t>
      </w:r>
      <w:r w:rsidR="004D5307" w:rsidRPr="000939E3">
        <w:t xml:space="preserve">transformácia kreditového príplatku na príplatok za profesijný rozvoj nemení v prechodnom období </w:t>
      </w:r>
      <w:r w:rsidR="004D5307" w:rsidRPr="000939E3">
        <w:lastRenderedPageBreak/>
        <w:t>(do 08/2026) pôvodnú motiváciu k absolvovaniu vzdelávania. Získanie príplatku je podmienené opäť účasťou na</w:t>
      </w:r>
      <w:r w:rsidR="007E0AB1">
        <w:t> </w:t>
      </w:r>
      <w:r w:rsidR="004D5307" w:rsidRPr="000939E3">
        <w:t>vybraných typoch vzdelávania, čo nemení finančnú motiváciu učiteľov vzdelávať sa a nemusí zaručiť zvýšenie kvality</w:t>
      </w:r>
      <w:r w:rsidR="007E0AB1">
        <w:t>.</w:t>
      </w:r>
    </w:p>
    <w:p w14:paraId="078D84BA" w14:textId="41865CB4" w:rsidR="00C41D81" w:rsidRPr="000939E3" w:rsidRDefault="00C41D81" w:rsidP="00C159CE">
      <w:r w:rsidRPr="000939E3">
        <w:rPr>
          <w:b/>
        </w:rPr>
        <w:t>Uvoľnené prostriedky z kreditového systému mali byť použité na iné formy odmeňovania kvality – osobný príplatok či odmeny.</w:t>
      </w:r>
      <w:r w:rsidRPr="000939E3">
        <w:t xml:space="preserve"> Podkladom na tieto typy odmeňovania je aj hodnotenie riaditeľa školy, chýbajú však jasne definované kritériá hodnotenia. Osobný príplatok a odmena navyše nie sú nárokovateľné a teda na ne ani nie sú vyčlenené špecifické finančné prostriedky. To spôsobuje značnú variabilitu vo vyplácaní osobného príplatku a</w:t>
      </w:r>
      <w:r w:rsidR="008E5E41" w:rsidRPr="000939E3">
        <w:t> </w:t>
      </w:r>
      <w:r w:rsidRPr="000939E3">
        <w:t>odmien medzi jednotlivými školami</w:t>
      </w:r>
      <w:r w:rsidR="00136899" w:rsidRPr="000939E3">
        <w:t xml:space="preserve"> (IVP, ÚHP, 2017)</w:t>
      </w:r>
      <w:r w:rsidRPr="000939E3">
        <w:t>. Podiel odmien a osobného príplatku je potrebné zvýšiť, avšak zdroje v dôsledku zachovania kreditového príplatku</w:t>
      </w:r>
      <w:r w:rsidR="000A3C55" w:rsidRPr="000939E3">
        <w:rPr>
          <w:rStyle w:val="Odkaznapoznmkupodiarou"/>
        </w:rPr>
        <w:footnoteReference w:id="123"/>
      </w:r>
      <w:r w:rsidRPr="000939E3">
        <w:t xml:space="preserve"> chýbajú.</w:t>
      </w:r>
    </w:p>
    <w:tbl>
      <w:tblPr>
        <w:tblStyle w:val="Mriekatabuky1"/>
        <w:tblpPr w:leftFromText="141" w:rightFromText="141" w:vertAnchor="text" w:horzAnchor="margin" w:tblpY="2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CellMar>
          <w:left w:w="70" w:type="dxa"/>
          <w:right w:w="70" w:type="dxa"/>
        </w:tblCellMar>
        <w:tblLook w:val="04A0" w:firstRow="1" w:lastRow="0" w:firstColumn="1" w:lastColumn="0" w:noHBand="0" w:noVBand="1"/>
      </w:tblPr>
      <w:tblGrid>
        <w:gridCol w:w="9072"/>
      </w:tblGrid>
      <w:tr w:rsidR="00C41D81" w:rsidRPr="000939E3" w14:paraId="47E3B38E" w14:textId="77777777" w:rsidTr="0040330D">
        <w:trPr>
          <w:trHeight w:val="20"/>
        </w:trPr>
        <w:tc>
          <w:tcPr>
            <w:tcW w:w="5000" w:type="pct"/>
            <w:shd w:val="clear" w:color="auto" w:fill="BDD6EE" w:themeFill="accent1" w:themeFillTint="66"/>
          </w:tcPr>
          <w:p w14:paraId="5B299A87" w14:textId="1DE31C7C" w:rsidR="00C41D81" w:rsidRPr="000939E3" w:rsidRDefault="00C41D81" w:rsidP="00C41D81">
            <w:pPr>
              <w:keepNext/>
              <w:rPr>
                <w:b/>
                <w:iCs/>
              </w:rPr>
            </w:pPr>
            <w:r w:rsidRPr="000939E3">
              <w:br w:type="page"/>
            </w:r>
            <w:r w:rsidRPr="000939E3">
              <w:rPr>
                <w:b/>
                <w:iCs/>
              </w:rPr>
              <w:t xml:space="preserve">Box </w:t>
            </w:r>
            <w:r w:rsidRPr="000939E3">
              <w:rPr>
                <w:b/>
                <w:iCs/>
              </w:rPr>
              <w:fldChar w:fldCharType="begin"/>
            </w:r>
            <w:r w:rsidRPr="000939E3">
              <w:rPr>
                <w:b/>
                <w:iCs/>
              </w:rPr>
              <w:instrText xml:space="preserve"> SEQ Box \* ARABIC </w:instrText>
            </w:r>
            <w:r w:rsidRPr="000939E3">
              <w:rPr>
                <w:b/>
                <w:iCs/>
              </w:rPr>
              <w:fldChar w:fldCharType="separate"/>
            </w:r>
            <w:r w:rsidR="00BF69CA">
              <w:rPr>
                <w:b/>
                <w:iCs/>
                <w:noProof/>
              </w:rPr>
              <w:t>14</w:t>
            </w:r>
            <w:r w:rsidRPr="000939E3">
              <w:fldChar w:fldCharType="end"/>
            </w:r>
            <w:r w:rsidRPr="000939E3">
              <w:t>:</w:t>
            </w:r>
            <w:r w:rsidRPr="000939E3">
              <w:rPr>
                <w:b/>
                <w:iCs/>
              </w:rPr>
              <w:t xml:space="preserve"> Nepedagogickí zamestnanci a strediská služieb</w:t>
            </w:r>
          </w:p>
          <w:p w14:paraId="661A0768" w14:textId="3D81E76B" w:rsidR="00C41D81" w:rsidRPr="000939E3" w:rsidRDefault="001372A6" w:rsidP="001372A6">
            <w:pPr>
              <w:rPr>
                <w:rFonts w:ascii="Calibri" w:hAnsi="Calibri"/>
                <w:b/>
                <w:bCs/>
              </w:rPr>
            </w:pPr>
            <w:r w:rsidRPr="000939E3">
              <w:rPr>
                <w:b/>
                <w:bCs/>
              </w:rPr>
              <w:t xml:space="preserve">Neefektívna sieť škôl má okrem zvýšeného počtu učiteľov a nižšej kvality vzdelávania tiež za následok zvýšené výdavky na prevádzku, napríklad na nepedagogických zamestnancov. </w:t>
            </w:r>
            <w:r w:rsidR="00A27C40" w:rsidRPr="000939E3">
              <w:t xml:space="preserve">Počet nepedagogických zamestnancov </w:t>
            </w:r>
            <w:r w:rsidR="00C41D81" w:rsidRPr="000939E3">
              <w:t>síce od roku 2009 približne kopíruje vývoj populácie žiakov, analýza efektivity však nateraz neexistuje.</w:t>
            </w:r>
          </w:p>
          <w:p w14:paraId="0F9AFCDF" w14:textId="3B97D5F4" w:rsidR="00C41D81" w:rsidRPr="000939E3" w:rsidRDefault="00C41D81" w:rsidP="0081546B">
            <w:pPr>
              <w:keepNext/>
              <w:spacing w:after="0"/>
              <w:rPr>
                <w:rFonts w:eastAsia="Times New Roman" w:cs="Segoe UI"/>
                <w:bCs/>
                <w:bdr w:val="none" w:sz="0" w:space="0" w:color="auto" w:frame="1"/>
                <w:lang w:eastAsia="sk-SK"/>
              </w:rPr>
            </w:pPr>
            <w:r w:rsidRPr="000939E3">
              <w:rPr>
                <w:b/>
              </w:rPr>
              <w:t>Centralizácia podporných činností vykonávaných nepedagogickými zamestnancami môže vo väčších mestách ušetriť prostriedky.</w:t>
            </w:r>
            <w:r w:rsidRPr="000939E3">
              <w:t xml:space="preserve"> Väčšie mestá, napríklad Dunajská Streda alebo Košice, si na zjednodušenie práce zriaďujú Strediská služieb školám a školským zariadeniam (SSŠaŠZ). Hlavnou úlohou SSŠaŠZ je odbremeniť školy od agendy, ktorá sa priamo netýka vzdelávania. Typicky zabezpečujú opravy a údržbu, kompletnú personálnu a mzdovú agendu, všetky ekonomické činnosti, obstarávanie tovarov, služieb a prác, energetické a</w:t>
            </w:r>
            <w:r w:rsidR="008E5E41" w:rsidRPr="000939E3">
              <w:t> </w:t>
            </w:r>
            <w:r w:rsidRPr="000939E3">
              <w:t>vodné hospodárstvo, agendu BOZP a PO a</w:t>
            </w:r>
            <w:r w:rsidR="00A27C40" w:rsidRPr="000939E3">
              <w:t xml:space="preserve"> tiež </w:t>
            </w:r>
            <w:r w:rsidRPr="000939E3">
              <w:t>komplexné technické činnosti, vrátane technického dozoru nad</w:t>
            </w:r>
            <w:r w:rsidR="00A23789" w:rsidRPr="000939E3">
              <w:t> </w:t>
            </w:r>
            <w:r w:rsidRPr="000939E3">
              <w:t>realizovanými prácami a dodávkami na objektoch MŠ, ZŠ či iných zariadení. Spolupráca niekoľkých geograficky blízkych škôl, ktoré by časť nepedagogickej agendy riešili spoločne, by mohla priniesť úsporu, ale aj skvalitnenie procesu a najmä odbremenenie vedenia školy. Zároveň by to mohol byť prvý krok ku spolupráci blízkych škôl aj v iných oblastiach.</w:t>
            </w:r>
          </w:p>
        </w:tc>
      </w:tr>
    </w:tbl>
    <w:p w14:paraId="1FFEBECA" w14:textId="77777777" w:rsidR="00C41D81" w:rsidRPr="000939E3" w:rsidRDefault="00C41D81" w:rsidP="00A23789">
      <w:pPr>
        <w:keepNext/>
        <w:spacing w:before="240"/>
        <w:rPr>
          <w:color w:val="0070C0"/>
        </w:rPr>
      </w:pPr>
      <w:r w:rsidRPr="000939E3">
        <w:rPr>
          <w:color w:val="0070C0"/>
        </w:rPr>
        <w:t>Zamestnanosť na vysokých školách</w:t>
      </w:r>
      <w:r w:rsidRPr="000939E3">
        <w:rPr>
          <w:rStyle w:val="Odkaznapoznmkupodiarou"/>
          <w:color w:val="0070C0"/>
        </w:rPr>
        <w:footnoteReference w:id="124"/>
      </w:r>
    </w:p>
    <w:p w14:paraId="0AEA2094" w14:textId="3B4A59AD" w:rsidR="00C41D81" w:rsidRPr="000939E3" w:rsidRDefault="00C41D81" w:rsidP="00C41D81">
      <w:r w:rsidRPr="000939E3">
        <w:rPr>
          <w:b/>
        </w:rPr>
        <w:t>Verejné VŠ spolu zamestnávajú takmer 21 tisíc zamestnancov</w:t>
      </w:r>
      <w:r w:rsidRPr="000939E3">
        <w:t>, z nich 53 % sú učitelia a vedeckí pracovníci a 47 % tvoria neučitelia - administratívni a podporní zamestnanci škôl a ich súčastí. Podobný pomer medzi počtom učiteľov a podporných pracovníkov je aj na vysokých školách v ČR. Hoci vzdelávacie systémy sa veľmi líšia, tento pomer zásadne nevybočuje spomedzi krajín, pre ktoré boli v roku 2010 dostupné údaje</w:t>
      </w:r>
      <w:r w:rsidRPr="000939E3">
        <w:rPr>
          <w:rStyle w:val="Odkaznapoznmkupodiarou"/>
        </w:rPr>
        <w:footnoteReference w:id="125"/>
      </w:r>
      <w:r w:rsidRPr="000939E3">
        <w:t xml:space="preserve"> (OECD</w:t>
      </w:r>
      <w:r w:rsidR="00E81119" w:rsidRPr="000939E3">
        <w:t>,</w:t>
      </w:r>
      <w:r w:rsidRPr="000939E3">
        <w:t xml:space="preserve"> 2012</w:t>
      </w:r>
      <w:r w:rsidR="00E81119" w:rsidRPr="000939E3">
        <w:t>b</w:t>
      </w:r>
      <w:r w:rsidRPr="000939E3">
        <w:t xml:space="preserve">). V roku 2017 sa na mzdy a odvody zamestnancov VVŠ vyplatilo asi 400 mil. eur, z toho približne dve tretiny na učiteľov a výskumníkov, tretina na ostatných zamestnancov. </w:t>
      </w:r>
    </w:p>
    <w:p w14:paraId="52F09565" w14:textId="1471CB00" w:rsidR="00C41D81" w:rsidRPr="000939E3" w:rsidRDefault="00C41D81" w:rsidP="00C41D81">
      <w:r w:rsidRPr="000939E3">
        <w:rPr>
          <w:b/>
        </w:rPr>
        <w:t xml:space="preserve">Mzdy vysokoškolských učiteľov tvoria iba </w:t>
      </w:r>
      <w:r w:rsidR="00201356" w:rsidRPr="000939E3">
        <w:rPr>
          <w:b/>
        </w:rPr>
        <w:t xml:space="preserve">92 </w:t>
      </w:r>
      <w:r w:rsidRPr="000939E3">
        <w:rPr>
          <w:b/>
        </w:rPr>
        <w:t xml:space="preserve">% priemernej mzdy </w:t>
      </w:r>
      <w:r w:rsidR="00201356" w:rsidRPr="000939E3">
        <w:rPr>
          <w:b/>
        </w:rPr>
        <w:t>vysokoškolsky</w:t>
      </w:r>
      <w:r w:rsidRPr="000939E3">
        <w:rPr>
          <w:b/>
        </w:rPr>
        <w:t xml:space="preserve"> vzdelaných zamestnancov (</w:t>
      </w:r>
      <w:r w:rsidR="00201356" w:rsidRPr="000939E3">
        <w:rPr>
          <w:b/>
        </w:rPr>
        <w:t>prieskum o štruktúre miezd 2014</w:t>
      </w:r>
      <w:r w:rsidRPr="000939E3">
        <w:rPr>
          <w:b/>
        </w:rPr>
        <w:t xml:space="preserve">). </w:t>
      </w:r>
      <w:r w:rsidRPr="000939E3">
        <w:t xml:space="preserve">Podľa </w:t>
      </w:r>
      <w:r w:rsidR="00201356" w:rsidRPr="000939E3">
        <w:t xml:space="preserve">rovnakého </w:t>
      </w:r>
      <w:r w:rsidRPr="000939E3">
        <w:t xml:space="preserve">prieskumu </w:t>
      </w:r>
      <w:r w:rsidR="00201356" w:rsidRPr="000939E3">
        <w:t xml:space="preserve">boli </w:t>
      </w:r>
      <w:r w:rsidR="002E0CB3" w:rsidRPr="000939E3">
        <w:t>mzdy</w:t>
      </w:r>
      <w:r w:rsidRPr="000939E3">
        <w:t xml:space="preserve"> VŠ učite</w:t>
      </w:r>
      <w:r w:rsidR="002E0CB3" w:rsidRPr="000939E3">
        <w:t>ľov</w:t>
      </w:r>
      <w:r w:rsidRPr="000939E3">
        <w:t xml:space="preserve"> v </w:t>
      </w:r>
      <w:r w:rsidR="00201356" w:rsidRPr="000939E3">
        <w:t xml:space="preserve">krajinách EÚ </w:t>
      </w:r>
      <w:r w:rsidR="000546DF" w:rsidRPr="000939E3">
        <w:t xml:space="preserve">na úrovni </w:t>
      </w:r>
      <w:r w:rsidR="00201356" w:rsidRPr="000939E3">
        <w:t xml:space="preserve">116 </w:t>
      </w:r>
      <w:r w:rsidR="000546DF" w:rsidRPr="000939E3">
        <w:t>% priemeru</w:t>
      </w:r>
      <w:r w:rsidR="002E0CB3" w:rsidRPr="000939E3">
        <w:t xml:space="preserve"> </w:t>
      </w:r>
      <w:r w:rsidR="00201356" w:rsidRPr="000939E3">
        <w:t xml:space="preserve">vysokoškolsky </w:t>
      </w:r>
      <w:r w:rsidRPr="000939E3">
        <w:t xml:space="preserve">vzdelaných zamestnancov. </w:t>
      </w:r>
    </w:p>
    <w:p w14:paraId="43516FBD" w14:textId="39A891AB" w:rsidR="00C41D81" w:rsidRPr="000939E3" w:rsidRDefault="00C41D81" w:rsidP="00B14709">
      <w:pPr>
        <w:pStyle w:val="Odsekzoznamu"/>
        <w:spacing w:after="120"/>
        <w:ind w:left="0"/>
        <w:jc w:val="both"/>
      </w:pPr>
      <w:r w:rsidRPr="000939E3">
        <w:rPr>
          <w:b/>
        </w:rPr>
        <w:lastRenderedPageBreak/>
        <w:t>Napriek klesajúcemu počtu študentov v posledných rokoch sa počet zamestnancov prispôsobuje iba pomaly</w:t>
      </w:r>
      <w:r w:rsidR="00511D4B" w:rsidRPr="000939E3">
        <w:rPr>
          <w:b/>
        </w:rPr>
        <w:t xml:space="preserve"> (</w:t>
      </w:r>
      <w:r w:rsidR="00511D4B" w:rsidRPr="000939E3">
        <w:rPr>
          <w:b/>
        </w:rPr>
        <w:fldChar w:fldCharType="begin"/>
      </w:r>
      <w:r w:rsidR="00511D4B" w:rsidRPr="000939E3">
        <w:rPr>
          <w:b/>
        </w:rPr>
        <w:instrText xml:space="preserve"> REF _Ref532898187 \h  \* MERGEFORMAT </w:instrText>
      </w:r>
      <w:r w:rsidR="00511D4B" w:rsidRPr="000939E3">
        <w:rPr>
          <w:b/>
        </w:rPr>
      </w:r>
      <w:r w:rsidR="00511D4B" w:rsidRPr="000939E3">
        <w:rPr>
          <w:b/>
        </w:rPr>
        <w:fldChar w:fldCharType="separate"/>
      </w:r>
      <w:r w:rsidR="00BF69CA" w:rsidRPr="00BF69CA">
        <w:rPr>
          <w:b/>
        </w:rPr>
        <w:t xml:space="preserve">Tabuľka </w:t>
      </w:r>
      <w:r w:rsidR="00BF69CA" w:rsidRPr="00BF69CA">
        <w:rPr>
          <w:b/>
          <w:noProof/>
        </w:rPr>
        <w:t>13</w:t>
      </w:r>
      <w:r w:rsidR="00511D4B" w:rsidRPr="000939E3">
        <w:rPr>
          <w:b/>
        </w:rPr>
        <w:fldChar w:fldCharType="end"/>
      </w:r>
      <w:r w:rsidR="00511D4B" w:rsidRPr="000939E3">
        <w:rPr>
          <w:b/>
        </w:rPr>
        <w:t>)</w:t>
      </w:r>
      <w:r w:rsidRPr="000939E3">
        <w:rPr>
          <w:b/>
        </w:rPr>
        <w:t>. Medzinárodné porovnanie zároveň ukazuje veľmi nízky počet študentov na</w:t>
      </w:r>
      <w:r w:rsidR="000E7169" w:rsidRPr="000939E3">
        <w:rPr>
          <w:b/>
        </w:rPr>
        <w:t> </w:t>
      </w:r>
      <w:r w:rsidR="00AA7395" w:rsidRPr="000939E3">
        <w:rPr>
          <w:b/>
        </w:rPr>
        <w:t>akademického pracovníka</w:t>
      </w:r>
      <w:r w:rsidRPr="000939E3">
        <w:t xml:space="preserve">, krajiny OECD ich mali v roku </w:t>
      </w:r>
      <w:r w:rsidR="002257F2" w:rsidRPr="000939E3">
        <w:t xml:space="preserve">2017 </w:t>
      </w:r>
      <w:r w:rsidRPr="000939E3">
        <w:t xml:space="preserve">približne </w:t>
      </w:r>
      <w:r w:rsidR="002257F2" w:rsidRPr="000939E3">
        <w:t>16</w:t>
      </w:r>
      <w:r w:rsidRPr="000939E3">
        <w:t>, kým Slovensko iba 12</w:t>
      </w:r>
      <w:r w:rsidRPr="000939E3">
        <w:rPr>
          <w:rStyle w:val="Odkaznapoznmkupodiarou"/>
        </w:rPr>
        <w:footnoteReference w:id="126"/>
      </w:r>
      <w:r w:rsidRPr="000939E3">
        <w:t xml:space="preserve"> (</w:t>
      </w:r>
      <w:r w:rsidR="00764AB3" w:rsidRPr="000939E3">
        <w:fldChar w:fldCharType="begin"/>
      </w:r>
      <w:r w:rsidR="00764AB3" w:rsidRPr="000939E3">
        <w:instrText xml:space="preserve"> REF _Ref532898302 \h  \* MERGEFORMAT </w:instrText>
      </w:r>
      <w:r w:rsidR="00764AB3" w:rsidRPr="000939E3">
        <w:fldChar w:fldCharType="separate"/>
      </w:r>
      <w:r w:rsidR="00BF69CA" w:rsidRPr="00BF69CA">
        <w:t xml:space="preserve">Graf </w:t>
      </w:r>
      <w:r w:rsidR="00BF69CA" w:rsidRPr="00BF69CA">
        <w:rPr>
          <w:noProof/>
        </w:rPr>
        <w:t>50</w:t>
      </w:r>
      <w:r w:rsidR="00764AB3" w:rsidRPr="000939E3">
        <w:fldChar w:fldCharType="end"/>
      </w:r>
      <w:r w:rsidRPr="000939E3">
        <w:t xml:space="preserve">). </w:t>
      </w:r>
      <w:r w:rsidR="00AA7395" w:rsidRPr="000939E3">
        <w:t>Podobné porovnanie oproti ČR ukazuje pre Slovensko 12,5 študenta a pre ČR 14,9 študenta na akademického pracovníka.</w:t>
      </w:r>
    </w:p>
    <w:tbl>
      <w:tblPr>
        <w:tblpPr w:leftFromText="141" w:rightFromText="141" w:vertAnchor="text" w:horzAnchor="margin" w:tblpY="120"/>
        <w:tblW w:w="9072" w:type="dxa"/>
        <w:tblLayout w:type="fixed"/>
        <w:tblCellMar>
          <w:left w:w="70" w:type="dxa"/>
          <w:right w:w="70" w:type="dxa"/>
        </w:tblCellMar>
        <w:tblLook w:val="04A0" w:firstRow="1" w:lastRow="0" w:firstColumn="1" w:lastColumn="0" w:noHBand="0" w:noVBand="1"/>
      </w:tblPr>
      <w:tblGrid>
        <w:gridCol w:w="709"/>
        <w:gridCol w:w="2268"/>
        <w:gridCol w:w="637"/>
        <w:gridCol w:w="780"/>
        <w:gridCol w:w="779"/>
        <w:gridCol w:w="45"/>
        <w:gridCol w:w="735"/>
        <w:gridCol w:w="780"/>
        <w:gridCol w:w="779"/>
        <w:gridCol w:w="780"/>
        <w:gridCol w:w="780"/>
      </w:tblGrid>
      <w:tr w:rsidR="00F12995" w:rsidRPr="000939E3" w14:paraId="3F227881" w14:textId="2A077FBF" w:rsidTr="002257F2">
        <w:trPr>
          <w:trHeight w:val="20"/>
        </w:trPr>
        <w:tc>
          <w:tcPr>
            <w:tcW w:w="9072" w:type="dxa"/>
            <w:gridSpan w:val="11"/>
            <w:tcBorders>
              <w:top w:val="nil"/>
              <w:left w:val="nil"/>
              <w:bottom w:val="single" w:sz="4" w:space="0" w:color="auto"/>
              <w:right w:val="nil"/>
            </w:tcBorders>
            <w:shd w:val="clear" w:color="auto" w:fill="auto"/>
            <w:vAlign w:val="bottom"/>
          </w:tcPr>
          <w:p w14:paraId="07541125" w14:textId="0A3E4439" w:rsidR="00F12995" w:rsidRPr="000939E3" w:rsidRDefault="00F12995" w:rsidP="00C41D81">
            <w:pPr>
              <w:spacing w:after="0"/>
              <w:rPr>
                <w:rFonts w:eastAsia="Times New Roman" w:cs="Arial"/>
                <w:sz w:val="20"/>
                <w:szCs w:val="20"/>
                <w:lang w:eastAsia="sk-SK"/>
              </w:rPr>
            </w:pPr>
            <w:bookmarkStart w:id="285" w:name="_Ref532898187"/>
            <w:bookmarkStart w:id="286" w:name="_Toc34226946"/>
            <w:r w:rsidRPr="000939E3">
              <w:rPr>
                <w:b/>
                <w:sz w:val="20"/>
                <w:szCs w:val="20"/>
              </w:rPr>
              <w:t xml:space="preserve">Tabuľka </w:t>
            </w:r>
            <w:r w:rsidRPr="000939E3">
              <w:rPr>
                <w:b/>
                <w:sz w:val="20"/>
                <w:szCs w:val="20"/>
              </w:rPr>
              <w:fldChar w:fldCharType="begin"/>
            </w:r>
            <w:r w:rsidRPr="000939E3">
              <w:rPr>
                <w:b/>
                <w:sz w:val="20"/>
                <w:szCs w:val="20"/>
              </w:rPr>
              <w:instrText xml:space="preserve"> SEQ Tabuľka \* ARABIC </w:instrText>
            </w:r>
            <w:r w:rsidRPr="000939E3">
              <w:rPr>
                <w:b/>
                <w:sz w:val="20"/>
                <w:szCs w:val="20"/>
              </w:rPr>
              <w:fldChar w:fldCharType="separate"/>
            </w:r>
            <w:r w:rsidR="00BF69CA">
              <w:rPr>
                <w:b/>
                <w:noProof/>
                <w:sz w:val="20"/>
                <w:szCs w:val="20"/>
              </w:rPr>
              <w:t>13</w:t>
            </w:r>
            <w:r w:rsidRPr="000939E3">
              <w:rPr>
                <w:b/>
                <w:sz w:val="20"/>
                <w:szCs w:val="20"/>
              </w:rPr>
              <w:fldChar w:fldCharType="end"/>
            </w:r>
            <w:bookmarkEnd w:id="285"/>
            <w:r w:rsidRPr="000939E3">
              <w:rPr>
                <w:rFonts w:eastAsia="Times New Roman" w:cs="Times New Roman"/>
                <w:b/>
                <w:bCs/>
                <w:color w:val="000000"/>
                <w:sz w:val="20"/>
                <w:szCs w:val="20"/>
                <w:lang w:eastAsia="sk-SK"/>
              </w:rPr>
              <w:t xml:space="preserve">: </w:t>
            </w:r>
            <w:r w:rsidRPr="000939E3">
              <w:rPr>
                <w:rFonts w:eastAsia="Times New Roman" w:cs="Times New Roman"/>
                <w:b/>
                <w:color w:val="000000"/>
                <w:sz w:val="20"/>
                <w:szCs w:val="20"/>
                <w:lang w:eastAsia="sk-SK"/>
              </w:rPr>
              <w:t>Počty zamestnancov (FTE) a študentov na verejných VŠ</w:t>
            </w:r>
            <w:bookmarkEnd w:id="286"/>
          </w:p>
        </w:tc>
      </w:tr>
      <w:tr w:rsidR="00F12995" w:rsidRPr="000939E3" w14:paraId="386C1F42" w14:textId="68104DC7" w:rsidTr="002257F2">
        <w:trPr>
          <w:trHeight w:val="20"/>
        </w:trPr>
        <w:tc>
          <w:tcPr>
            <w:tcW w:w="2977" w:type="dxa"/>
            <w:gridSpan w:val="2"/>
            <w:tcBorders>
              <w:top w:val="single" w:sz="4" w:space="0" w:color="auto"/>
              <w:left w:val="nil"/>
              <w:bottom w:val="single" w:sz="4" w:space="0" w:color="auto"/>
              <w:right w:val="nil"/>
            </w:tcBorders>
            <w:shd w:val="clear" w:color="auto" w:fill="auto"/>
            <w:vAlign w:val="bottom"/>
          </w:tcPr>
          <w:p w14:paraId="2875D251" w14:textId="77777777" w:rsidR="00F12995" w:rsidRPr="000939E3" w:rsidRDefault="00F12995" w:rsidP="00C41D81">
            <w:pPr>
              <w:spacing w:after="0"/>
              <w:contextualSpacing/>
              <w:rPr>
                <w:rFonts w:eastAsia="Times New Roman" w:cs="Times New Roman"/>
                <w:sz w:val="24"/>
                <w:szCs w:val="24"/>
                <w:lang w:eastAsia="sk-SK"/>
              </w:rPr>
            </w:pPr>
          </w:p>
        </w:tc>
        <w:tc>
          <w:tcPr>
            <w:tcW w:w="637" w:type="dxa"/>
            <w:tcBorders>
              <w:top w:val="single" w:sz="4" w:space="0" w:color="auto"/>
              <w:left w:val="nil"/>
              <w:bottom w:val="single" w:sz="4" w:space="0" w:color="auto"/>
              <w:right w:val="nil"/>
            </w:tcBorders>
            <w:shd w:val="clear" w:color="auto" w:fill="auto"/>
            <w:noWrap/>
            <w:vAlign w:val="center"/>
          </w:tcPr>
          <w:p w14:paraId="4B124504" w14:textId="77777777" w:rsidR="00F12995" w:rsidRPr="000939E3" w:rsidRDefault="00F12995" w:rsidP="00C41D81">
            <w:pPr>
              <w:spacing w:after="0"/>
              <w:contextualSpacing/>
              <w:jc w:val="right"/>
              <w:rPr>
                <w:color w:val="000000"/>
                <w:sz w:val="20"/>
                <w:szCs w:val="20"/>
              </w:rPr>
            </w:pPr>
            <w:r w:rsidRPr="000939E3">
              <w:rPr>
                <w:color w:val="000000"/>
                <w:sz w:val="20"/>
                <w:szCs w:val="20"/>
              </w:rPr>
              <w:t>2000*</w:t>
            </w:r>
          </w:p>
        </w:tc>
        <w:tc>
          <w:tcPr>
            <w:tcW w:w="780" w:type="dxa"/>
            <w:tcBorders>
              <w:top w:val="single" w:sz="4" w:space="0" w:color="auto"/>
              <w:left w:val="nil"/>
              <w:bottom w:val="single" w:sz="4" w:space="0" w:color="auto"/>
              <w:right w:val="nil"/>
            </w:tcBorders>
            <w:shd w:val="clear" w:color="auto" w:fill="auto"/>
            <w:noWrap/>
            <w:vAlign w:val="center"/>
          </w:tcPr>
          <w:p w14:paraId="16EE9142" w14:textId="77777777" w:rsidR="00F12995" w:rsidRPr="000939E3" w:rsidRDefault="00F12995" w:rsidP="00C41D81">
            <w:pPr>
              <w:spacing w:after="0"/>
              <w:contextualSpacing/>
              <w:jc w:val="right"/>
              <w:rPr>
                <w:color w:val="000000"/>
                <w:sz w:val="20"/>
                <w:szCs w:val="20"/>
              </w:rPr>
            </w:pPr>
            <w:r w:rsidRPr="000939E3">
              <w:rPr>
                <w:color w:val="000000"/>
                <w:sz w:val="20"/>
                <w:szCs w:val="20"/>
              </w:rPr>
              <w:t>2005*</w:t>
            </w:r>
          </w:p>
        </w:tc>
        <w:tc>
          <w:tcPr>
            <w:tcW w:w="779" w:type="dxa"/>
            <w:tcBorders>
              <w:top w:val="single" w:sz="4" w:space="0" w:color="auto"/>
              <w:left w:val="nil"/>
              <w:bottom w:val="single" w:sz="4" w:space="0" w:color="auto"/>
              <w:right w:val="nil"/>
            </w:tcBorders>
            <w:shd w:val="clear" w:color="auto" w:fill="auto"/>
            <w:noWrap/>
            <w:vAlign w:val="center"/>
          </w:tcPr>
          <w:p w14:paraId="59474C8B" w14:textId="77777777" w:rsidR="00F12995" w:rsidRPr="000939E3" w:rsidRDefault="00F12995" w:rsidP="00C41D81">
            <w:pPr>
              <w:spacing w:after="0"/>
              <w:contextualSpacing/>
              <w:jc w:val="right"/>
              <w:rPr>
                <w:color w:val="000000"/>
                <w:sz w:val="20"/>
                <w:szCs w:val="20"/>
              </w:rPr>
            </w:pPr>
            <w:r w:rsidRPr="000939E3">
              <w:rPr>
                <w:color w:val="000000"/>
                <w:sz w:val="20"/>
                <w:szCs w:val="20"/>
              </w:rPr>
              <w:t>2008*</w:t>
            </w:r>
          </w:p>
        </w:tc>
        <w:tc>
          <w:tcPr>
            <w:tcW w:w="780" w:type="dxa"/>
            <w:gridSpan w:val="2"/>
            <w:tcBorders>
              <w:top w:val="single" w:sz="4" w:space="0" w:color="auto"/>
              <w:left w:val="nil"/>
              <w:bottom w:val="single" w:sz="4" w:space="0" w:color="auto"/>
              <w:right w:val="nil"/>
            </w:tcBorders>
            <w:shd w:val="clear" w:color="auto" w:fill="auto"/>
            <w:noWrap/>
            <w:vAlign w:val="center"/>
          </w:tcPr>
          <w:p w14:paraId="1F5059D9" w14:textId="77777777" w:rsidR="00F12995" w:rsidRPr="000939E3" w:rsidRDefault="00F12995" w:rsidP="00C41D81">
            <w:pPr>
              <w:spacing w:after="0"/>
              <w:contextualSpacing/>
              <w:jc w:val="right"/>
              <w:rPr>
                <w:color w:val="000000"/>
                <w:sz w:val="20"/>
                <w:szCs w:val="20"/>
              </w:rPr>
            </w:pPr>
            <w:r w:rsidRPr="000939E3">
              <w:rPr>
                <w:color w:val="000000"/>
                <w:sz w:val="20"/>
                <w:szCs w:val="20"/>
              </w:rPr>
              <w:t>2010</w:t>
            </w:r>
          </w:p>
        </w:tc>
        <w:tc>
          <w:tcPr>
            <w:tcW w:w="780" w:type="dxa"/>
            <w:tcBorders>
              <w:top w:val="single" w:sz="4" w:space="0" w:color="auto"/>
              <w:left w:val="nil"/>
              <w:bottom w:val="single" w:sz="4" w:space="0" w:color="auto"/>
              <w:right w:val="nil"/>
            </w:tcBorders>
            <w:shd w:val="clear" w:color="auto" w:fill="auto"/>
            <w:noWrap/>
            <w:vAlign w:val="center"/>
          </w:tcPr>
          <w:p w14:paraId="68939C24" w14:textId="77777777" w:rsidR="00F12995" w:rsidRPr="000939E3" w:rsidRDefault="00F12995" w:rsidP="00C41D81">
            <w:pPr>
              <w:spacing w:after="0"/>
              <w:contextualSpacing/>
              <w:jc w:val="right"/>
              <w:rPr>
                <w:color w:val="000000"/>
                <w:sz w:val="20"/>
                <w:szCs w:val="20"/>
              </w:rPr>
            </w:pPr>
            <w:r w:rsidRPr="000939E3">
              <w:rPr>
                <w:color w:val="000000"/>
                <w:sz w:val="20"/>
                <w:szCs w:val="20"/>
              </w:rPr>
              <w:t>2012</w:t>
            </w:r>
          </w:p>
        </w:tc>
        <w:tc>
          <w:tcPr>
            <w:tcW w:w="779" w:type="dxa"/>
            <w:tcBorders>
              <w:top w:val="single" w:sz="4" w:space="0" w:color="auto"/>
              <w:left w:val="nil"/>
              <w:bottom w:val="single" w:sz="4" w:space="0" w:color="auto"/>
              <w:right w:val="nil"/>
            </w:tcBorders>
            <w:shd w:val="clear" w:color="auto" w:fill="auto"/>
            <w:noWrap/>
            <w:vAlign w:val="center"/>
          </w:tcPr>
          <w:p w14:paraId="01DA07C5" w14:textId="77777777" w:rsidR="00F12995" w:rsidRPr="000939E3" w:rsidRDefault="00F12995" w:rsidP="00C41D81">
            <w:pPr>
              <w:spacing w:after="0"/>
              <w:contextualSpacing/>
              <w:jc w:val="right"/>
              <w:rPr>
                <w:color w:val="000000"/>
                <w:sz w:val="20"/>
                <w:szCs w:val="20"/>
              </w:rPr>
            </w:pPr>
            <w:r w:rsidRPr="000939E3">
              <w:rPr>
                <w:color w:val="000000"/>
                <w:sz w:val="20"/>
                <w:szCs w:val="20"/>
              </w:rPr>
              <w:t>2014</w:t>
            </w:r>
          </w:p>
        </w:tc>
        <w:tc>
          <w:tcPr>
            <w:tcW w:w="780" w:type="dxa"/>
            <w:tcBorders>
              <w:top w:val="single" w:sz="4" w:space="0" w:color="auto"/>
              <w:left w:val="nil"/>
              <w:bottom w:val="single" w:sz="4" w:space="0" w:color="auto"/>
              <w:right w:val="nil"/>
            </w:tcBorders>
            <w:shd w:val="clear" w:color="auto" w:fill="auto"/>
            <w:noWrap/>
            <w:vAlign w:val="center"/>
          </w:tcPr>
          <w:p w14:paraId="2468B941" w14:textId="77777777" w:rsidR="00F12995" w:rsidRPr="000939E3" w:rsidRDefault="00F12995" w:rsidP="00C41D81">
            <w:pPr>
              <w:spacing w:after="0"/>
              <w:contextualSpacing/>
              <w:jc w:val="right"/>
              <w:rPr>
                <w:color w:val="000000"/>
                <w:sz w:val="20"/>
                <w:szCs w:val="20"/>
              </w:rPr>
            </w:pPr>
            <w:r w:rsidRPr="000939E3">
              <w:rPr>
                <w:color w:val="000000"/>
                <w:sz w:val="20"/>
                <w:szCs w:val="20"/>
              </w:rPr>
              <w:t>2016</w:t>
            </w:r>
          </w:p>
        </w:tc>
        <w:tc>
          <w:tcPr>
            <w:tcW w:w="780" w:type="dxa"/>
            <w:tcBorders>
              <w:top w:val="single" w:sz="4" w:space="0" w:color="auto"/>
              <w:left w:val="nil"/>
              <w:bottom w:val="single" w:sz="4" w:space="0" w:color="auto"/>
              <w:right w:val="nil"/>
            </w:tcBorders>
            <w:shd w:val="clear" w:color="auto" w:fill="auto"/>
            <w:noWrap/>
            <w:vAlign w:val="center"/>
          </w:tcPr>
          <w:p w14:paraId="6097BE4B" w14:textId="42E58081" w:rsidR="00F12995" w:rsidRPr="000939E3" w:rsidRDefault="002257F2" w:rsidP="00C41D81">
            <w:pPr>
              <w:spacing w:after="0"/>
              <w:contextualSpacing/>
              <w:jc w:val="right"/>
              <w:rPr>
                <w:color w:val="000000"/>
                <w:sz w:val="20"/>
                <w:szCs w:val="20"/>
              </w:rPr>
            </w:pPr>
            <w:r w:rsidRPr="000939E3">
              <w:rPr>
                <w:color w:val="000000"/>
                <w:sz w:val="20"/>
                <w:szCs w:val="20"/>
              </w:rPr>
              <w:t>2018</w:t>
            </w:r>
          </w:p>
        </w:tc>
      </w:tr>
      <w:tr w:rsidR="00F12995" w:rsidRPr="000939E3" w14:paraId="1078300B" w14:textId="043227D0" w:rsidTr="002257F2">
        <w:trPr>
          <w:trHeight w:val="20"/>
        </w:trPr>
        <w:tc>
          <w:tcPr>
            <w:tcW w:w="2977" w:type="dxa"/>
            <w:gridSpan w:val="2"/>
            <w:tcBorders>
              <w:top w:val="single" w:sz="4" w:space="0" w:color="auto"/>
              <w:left w:val="nil"/>
              <w:right w:val="nil"/>
            </w:tcBorders>
            <w:shd w:val="clear" w:color="auto" w:fill="auto"/>
            <w:vAlign w:val="bottom"/>
          </w:tcPr>
          <w:p w14:paraId="26F802EA" w14:textId="77777777" w:rsidR="00F12995" w:rsidRPr="000939E3" w:rsidRDefault="00F12995" w:rsidP="00C41D81">
            <w:pPr>
              <w:spacing w:after="0"/>
              <w:contextualSpacing/>
              <w:rPr>
                <w:rFonts w:eastAsia="Times New Roman" w:cs="Times New Roman"/>
                <w:b/>
                <w:sz w:val="20"/>
                <w:szCs w:val="20"/>
                <w:lang w:eastAsia="sk-SK"/>
              </w:rPr>
            </w:pPr>
            <w:r w:rsidRPr="000939E3">
              <w:rPr>
                <w:rFonts w:eastAsia="Times New Roman" w:cs="Times New Roman"/>
                <w:b/>
                <w:sz w:val="20"/>
                <w:szCs w:val="20"/>
                <w:lang w:eastAsia="sk-SK"/>
              </w:rPr>
              <w:t>Zamestnanci na VVŠ (v tis.)</w:t>
            </w:r>
          </w:p>
        </w:tc>
        <w:tc>
          <w:tcPr>
            <w:tcW w:w="637" w:type="dxa"/>
            <w:tcBorders>
              <w:top w:val="single" w:sz="4" w:space="0" w:color="auto"/>
              <w:left w:val="nil"/>
              <w:right w:val="nil"/>
            </w:tcBorders>
            <w:shd w:val="clear" w:color="auto" w:fill="auto"/>
            <w:noWrap/>
            <w:vAlign w:val="center"/>
          </w:tcPr>
          <w:p w14:paraId="13949FFB" w14:textId="77777777" w:rsidR="00F12995" w:rsidRPr="000939E3" w:rsidRDefault="00F12995" w:rsidP="00C41D81">
            <w:pPr>
              <w:spacing w:after="0"/>
              <w:contextualSpacing/>
              <w:jc w:val="right"/>
              <w:rPr>
                <w:b/>
                <w:bCs/>
                <w:color w:val="000000"/>
                <w:sz w:val="20"/>
                <w:szCs w:val="20"/>
              </w:rPr>
            </w:pPr>
            <w:r w:rsidRPr="000939E3">
              <w:rPr>
                <w:b/>
                <w:bCs/>
                <w:color w:val="000000"/>
                <w:sz w:val="20"/>
                <w:szCs w:val="20"/>
              </w:rPr>
              <w:t>20,7</w:t>
            </w:r>
          </w:p>
        </w:tc>
        <w:tc>
          <w:tcPr>
            <w:tcW w:w="780" w:type="dxa"/>
            <w:tcBorders>
              <w:top w:val="single" w:sz="4" w:space="0" w:color="auto"/>
              <w:left w:val="nil"/>
              <w:right w:val="nil"/>
            </w:tcBorders>
            <w:shd w:val="clear" w:color="auto" w:fill="auto"/>
            <w:noWrap/>
            <w:vAlign w:val="center"/>
          </w:tcPr>
          <w:p w14:paraId="47CA12E9" w14:textId="77777777" w:rsidR="00F12995" w:rsidRPr="000939E3" w:rsidRDefault="00F12995" w:rsidP="00C41D81">
            <w:pPr>
              <w:spacing w:after="0"/>
              <w:contextualSpacing/>
              <w:jc w:val="right"/>
              <w:rPr>
                <w:b/>
                <w:bCs/>
                <w:color w:val="000000"/>
                <w:sz w:val="20"/>
                <w:szCs w:val="20"/>
              </w:rPr>
            </w:pPr>
            <w:r w:rsidRPr="000939E3">
              <w:rPr>
                <w:b/>
                <w:bCs/>
                <w:color w:val="000000"/>
                <w:sz w:val="20"/>
                <w:szCs w:val="20"/>
              </w:rPr>
              <w:t>21,4</w:t>
            </w:r>
          </w:p>
        </w:tc>
        <w:tc>
          <w:tcPr>
            <w:tcW w:w="779" w:type="dxa"/>
            <w:tcBorders>
              <w:top w:val="single" w:sz="4" w:space="0" w:color="auto"/>
              <w:left w:val="nil"/>
              <w:right w:val="nil"/>
            </w:tcBorders>
            <w:shd w:val="clear" w:color="auto" w:fill="auto"/>
            <w:noWrap/>
            <w:vAlign w:val="center"/>
          </w:tcPr>
          <w:p w14:paraId="2E444D5C" w14:textId="77777777" w:rsidR="00F12995" w:rsidRPr="000939E3" w:rsidRDefault="00F12995" w:rsidP="00C41D81">
            <w:pPr>
              <w:spacing w:after="0"/>
              <w:contextualSpacing/>
              <w:jc w:val="right"/>
              <w:rPr>
                <w:b/>
                <w:bCs/>
                <w:color w:val="000000"/>
                <w:sz w:val="20"/>
                <w:szCs w:val="20"/>
              </w:rPr>
            </w:pPr>
            <w:r w:rsidRPr="000939E3">
              <w:rPr>
                <w:b/>
                <w:bCs/>
                <w:color w:val="000000"/>
                <w:sz w:val="20"/>
                <w:szCs w:val="20"/>
              </w:rPr>
              <w:t>21,4</w:t>
            </w:r>
          </w:p>
        </w:tc>
        <w:tc>
          <w:tcPr>
            <w:tcW w:w="780" w:type="dxa"/>
            <w:gridSpan w:val="2"/>
            <w:tcBorders>
              <w:top w:val="single" w:sz="4" w:space="0" w:color="auto"/>
              <w:left w:val="nil"/>
              <w:right w:val="nil"/>
            </w:tcBorders>
            <w:shd w:val="clear" w:color="auto" w:fill="auto"/>
            <w:noWrap/>
            <w:vAlign w:val="center"/>
          </w:tcPr>
          <w:p w14:paraId="0D589EA9" w14:textId="77777777" w:rsidR="00F12995" w:rsidRPr="000939E3" w:rsidRDefault="00F12995" w:rsidP="00C41D81">
            <w:pPr>
              <w:spacing w:after="0"/>
              <w:contextualSpacing/>
              <w:jc w:val="right"/>
              <w:rPr>
                <w:b/>
                <w:bCs/>
                <w:color w:val="000000"/>
                <w:sz w:val="20"/>
                <w:szCs w:val="20"/>
              </w:rPr>
            </w:pPr>
            <w:r w:rsidRPr="000939E3">
              <w:rPr>
                <w:b/>
                <w:bCs/>
                <w:color w:val="000000"/>
                <w:sz w:val="20"/>
                <w:szCs w:val="20"/>
              </w:rPr>
              <w:t>21,7</w:t>
            </w:r>
          </w:p>
        </w:tc>
        <w:tc>
          <w:tcPr>
            <w:tcW w:w="780" w:type="dxa"/>
            <w:tcBorders>
              <w:top w:val="single" w:sz="4" w:space="0" w:color="auto"/>
              <w:left w:val="nil"/>
              <w:right w:val="nil"/>
            </w:tcBorders>
            <w:shd w:val="clear" w:color="auto" w:fill="auto"/>
            <w:noWrap/>
            <w:vAlign w:val="center"/>
          </w:tcPr>
          <w:p w14:paraId="1BCB83E0" w14:textId="77777777" w:rsidR="00F12995" w:rsidRPr="000939E3" w:rsidRDefault="00F12995" w:rsidP="00C41D81">
            <w:pPr>
              <w:spacing w:after="0"/>
              <w:contextualSpacing/>
              <w:jc w:val="right"/>
              <w:rPr>
                <w:b/>
                <w:bCs/>
                <w:color w:val="000000"/>
                <w:sz w:val="20"/>
                <w:szCs w:val="20"/>
              </w:rPr>
            </w:pPr>
            <w:r w:rsidRPr="000939E3">
              <w:rPr>
                <w:b/>
                <w:bCs/>
                <w:color w:val="000000"/>
                <w:sz w:val="20"/>
                <w:szCs w:val="20"/>
              </w:rPr>
              <w:t>21,5</w:t>
            </w:r>
          </w:p>
        </w:tc>
        <w:tc>
          <w:tcPr>
            <w:tcW w:w="779" w:type="dxa"/>
            <w:tcBorders>
              <w:top w:val="single" w:sz="4" w:space="0" w:color="auto"/>
              <w:left w:val="nil"/>
              <w:right w:val="nil"/>
            </w:tcBorders>
            <w:shd w:val="clear" w:color="auto" w:fill="auto"/>
            <w:noWrap/>
            <w:vAlign w:val="center"/>
          </w:tcPr>
          <w:p w14:paraId="698EF0FA" w14:textId="77777777" w:rsidR="00F12995" w:rsidRPr="000939E3" w:rsidRDefault="00F12995" w:rsidP="00C41D81">
            <w:pPr>
              <w:spacing w:after="0"/>
              <w:contextualSpacing/>
              <w:jc w:val="right"/>
              <w:rPr>
                <w:b/>
                <w:bCs/>
                <w:color w:val="000000"/>
                <w:sz w:val="20"/>
                <w:szCs w:val="20"/>
              </w:rPr>
            </w:pPr>
            <w:r w:rsidRPr="000939E3">
              <w:rPr>
                <w:b/>
                <w:bCs/>
                <w:color w:val="000000"/>
                <w:sz w:val="20"/>
                <w:szCs w:val="20"/>
              </w:rPr>
              <w:t>21,6</w:t>
            </w:r>
          </w:p>
        </w:tc>
        <w:tc>
          <w:tcPr>
            <w:tcW w:w="780" w:type="dxa"/>
            <w:tcBorders>
              <w:top w:val="single" w:sz="4" w:space="0" w:color="auto"/>
              <w:left w:val="nil"/>
              <w:right w:val="nil"/>
            </w:tcBorders>
            <w:shd w:val="clear" w:color="auto" w:fill="auto"/>
            <w:noWrap/>
            <w:vAlign w:val="center"/>
          </w:tcPr>
          <w:p w14:paraId="2BBFA766" w14:textId="77777777" w:rsidR="00F12995" w:rsidRPr="000939E3" w:rsidRDefault="00F12995" w:rsidP="00C41D81">
            <w:pPr>
              <w:spacing w:after="0"/>
              <w:contextualSpacing/>
              <w:jc w:val="right"/>
              <w:rPr>
                <w:b/>
                <w:bCs/>
                <w:color w:val="000000"/>
                <w:sz w:val="20"/>
                <w:szCs w:val="20"/>
              </w:rPr>
            </w:pPr>
            <w:r w:rsidRPr="000939E3">
              <w:rPr>
                <w:b/>
                <w:bCs/>
                <w:color w:val="000000"/>
                <w:sz w:val="20"/>
                <w:szCs w:val="20"/>
              </w:rPr>
              <w:t>20,9</w:t>
            </w:r>
          </w:p>
        </w:tc>
        <w:tc>
          <w:tcPr>
            <w:tcW w:w="780" w:type="dxa"/>
            <w:tcBorders>
              <w:top w:val="single" w:sz="4" w:space="0" w:color="auto"/>
              <w:left w:val="nil"/>
              <w:right w:val="nil"/>
            </w:tcBorders>
            <w:shd w:val="clear" w:color="auto" w:fill="auto"/>
            <w:noWrap/>
            <w:vAlign w:val="center"/>
          </w:tcPr>
          <w:p w14:paraId="7285C234" w14:textId="590112DE" w:rsidR="00F12995" w:rsidRPr="000939E3" w:rsidRDefault="00F12995" w:rsidP="00C41D81">
            <w:pPr>
              <w:spacing w:after="0"/>
              <w:contextualSpacing/>
              <w:jc w:val="right"/>
              <w:rPr>
                <w:b/>
                <w:bCs/>
                <w:color w:val="000000"/>
                <w:sz w:val="20"/>
                <w:szCs w:val="20"/>
              </w:rPr>
            </w:pPr>
            <w:r w:rsidRPr="000939E3">
              <w:rPr>
                <w:b/>
                <w:bCs/>
                <w:color w:val="000000"/>
                <w:sz w:val="20"/>
                <w:szCs w:val="20"/>
              </w:rPr>
              <w:t>20,5</w:t>
            </w:r>
          </w:p>
        </w:tc>
      </w:tr>
      <w:tr w:rsidR="00F12995" w:rsidRPr="000939E3" w14:paraId="36243ED5" w14:textId="6AD9158F" w:rsidTr="002257F2">
        <w:trPr>
          <w:trHeight w:val="20"/>
        </w:trPr>
        <w:tc>
          <w:tcPr>
            <w:tcW w:w="709" w:type="dxa"/>
            <w:tcBorders>
              <w:left w:val="nil"/>
              <w:right w:val="nil"/>
            </w:tcBorders>
            <w:shd w:val="clear" w:color="auto" w:fill="auto"/>
            <w:vAlign w:val="center"/>
          </w:tcPr>
          <w:p w14:paraId="6DD7BFE1" w14:textId="77777777" w:rsidR="00F12995" w:rsidRPr="000939E3" w:rsidRDefault="00F12995" w:rsidP="00C41D81">
            <w:pPr>
              <w:spacing w:after="0"/>
              <w:contextualSpacing/>
              <w:rPr>
                <w:rFonts w:eastAsia="Times New Roman" w:cs="Times New Roman"/>
                <w:sz w:val="20"/>
                <w:szCs w:val="20"/>
                <w:lang w:eastAsia="sk-SK"/>
              </w:rPr>
            </w:pPr>
            <w:r w:rsidRPr="000939E3">
              <w:rPr>
                <w:rFonts w:eastAsia="Times New Roman" w:cs="Times New Roman"/>
                <w:sz w:val="20"/>
                <w:szCs w:val="20"/>
                <w:lang w:eastAsia="sk-SK"/>
              </w:rPr>
              <w:t>z toho</w:t>
            </w:r>
          </w:p>
        </w:tc>
        <w:tc>
          <w:tcPr>
            <w:tcW w:w="2268" w:type="dxa"/>
            <w:tcBorders>
              <w:left w:val="nil"/>
              <w:right w:val="nil"/>
            </w:tcBorders>
            <w:shd w:val="clear" w:color="auto" w:fill="auto"/>
            <w:vAlign w:val="center"/>
          </w:tcPr>
          <w:p w14:paraId="08E90930" w14:textId="77777777" w:rsidR="00F12995" w:rsidRPr="000939E3" w:rsidRDefault="00F12995" w:rsidP="00C41D81">
            <w:pPr>
              <w:spacing w:after="0"/>
              <w:contextualSpacing/>
              <w:rPr>
                <w:color w:val="000000"/>
                <w:sz w:val="20"/>
                <w:szCs w:val="20"/>
              </w:rPr>
            </w:pPr>
            <w:r w:rsidRPr="000939E3">
              <w:rPr>
                <w:color w:val="000000"/>
                <w:sz w:val="20"/>
                <w:szCs w:val="20"/>
              </w:rPr>
              <w:t>učitelia</w:t>
            </w:r>
          </w:p>
        </w:tc>
        <w:tc>
          <w:tcPr>
            <w:tcW w:w="637" w:type="dxa"/>
            <w:tcBorders>
              <w:left w:val="nil"/>
              <w:right w:val="nil"/>
            </w:tcBorders>
            <w:shd w:val="clear" w:color="auto" w:fill="auto"/>
            <w:noWrap/>
            <w:vAlign w:val="center"/>
          </w:tcPr>
          <w:p w14:paraId="6F122005" w14:textId="77777777" w:rsidR="00F12995" w:rsidRPr="000939E3" w:rsidRDefault="00F12995" w:rsidP="00C41D81">
            <w:pPr>
              <w:spacing w:after="0"/>
              <w:contextualSpacing/>
              <w:jc w:val="right"/>
              <w:rPr>
                <w:color w:val="000000"/>
                <w:sz w:val="20"/>
                <w:szCs w:val="20"/>
              </w:rPr>
            </w:pPr>
            <w:r w:rsidRPr="000939E3">
              <w:rPr>
                <w:color w:val="000000"/>
                <w:sz w:val="20"/>
                <w:szCs w:val="20"/>
              </w:rPr>
              <w:t>9,0</w:t>
            </w:r>
          </w:p>
        </w:tc>
        <w:tc>
          <w:tcPr>
            <w:tcW w:w="780" w:type="dxa"/>
            <w:tcBorders>
              <w:left w:val="nil"/>
              <w:right w:val="nil"/>
            </w:tcBorders>
            <w:shd w:val="clear" w:color="auto" w:fill="auto"/>
            <w:noWrap/>
            <w:vAlign w:val="center"/>
          </w:tcPr>
          <w:p w14:paraId="256358C1" w14:textId="77777777" w:rsidR="00F12995" w:rsidRPr="000939E3" w:rsidRDefault="00F12995" w:rsidP="00C41D81">
            <w:pPr>
              <w:spacing w:after="0"/>
              <w:contextualSpacing/>
              <w:jc w:val="right"/>
              <w:rPr>
                <w:color w:val="000000"/>
                <w:sz w:val="20"/>
                <w:szCs w:val="20"/>
              </w:rPr>
            </w:pPr>
            <w:r w:rsidRPr="000939E3">
              <w:rPr>
                <w:color w:val="000000"/>
                <w:sz w:val="20"/>
                <w:szCs w:val="20"/>
              </w:rPr>
              <w:t>9,6</w:t>
            </w:r>
          </w:p>
        </w:tc>
        <w:tc>
          <w:tcPr>
            <w:tcW w:w="779" w:type="dxa"/>
            <w:tcBorders>
              <w:left w:val="nil"/>
              <w:right w:val="nil"/>
            </w:tcBorders>
            <w:shd w:val="clear" w:color="auto" w:fill="auto"/>
            <w:noWrap/>
            <w:vAlign w:val="center"/>
          </w:tcPr>
          <w:p w14:paraId="6F509E2E" w14:textId="77777777" w:rsidR="00F12995" w:rsidRPr="000939E3" w:rsidRDefault="00F12995" w:rsidP="00C41D81">
            <w:pPr>
              <w:spacing w:after="0"/>
              <w:contextualSpacing/>
              <w:jc w:val="right"/>
              <w:rPr>
                <w:color w:val="000000"/>
                <w:sz w:val="20"/>
                <w:szCs w:val="20"/>
              </w:rPr>
            </w:pPr>
            <w:r w:rsidRPr="000939E3">
              <w:rPr>
                <w:color w:val="000000"/>
                <w:sz w:val="20"/>
                <w:szCs w:val="20"/>
              </w:rPr>
              <w:t>9,6</w:t>
            </w:r>
          </w:p>
        </w:tc>
        <w:tc>
          <w:tcPr>
            <w:tcW w:w="780" w:type="dxa"/>
            <w:gridSpan w:val="2"/>
            <w:tcBorders>
              <w:left w:val="nil"/>
              <w:right w:val="nil"/>
            </w:tcBorders>
            <w:shd w:val="clear" w:color="auto" w:fill="auto"/>
            <w:noWrap/>
            <w:vAlign w:val="center"/>
          </w:tcPr>
          <w:p w14:paraId="02D14227" w14:textId="77777777" w:rsidR="00F12995" w:rsidRPr="000939E3" w:rsidRDefault="00F12995" w:rsidP="00C41D81">
            <w:pPr>
              <w:spacing w:after="0"/>
              <w:contextualSpacing/>
              <w:jc w:val="right"/>
              <w:rPr>
                <w:color w:val="000000"/>
                <w:sz w:val="20"/>
                <w:szCs w:val="20"/>
              </w:rPr>
            </w:pPr>
            <w:r w:rsidRPr="000939E3">
              <w:rPr>
                <w:color w:val="000000"/>
                <w:sz w:val="20"/>
                <w:szCs w:val="20"/>
              </w:rPr>
              <w:t>10,0</w:t>
            </w:r>
          </w:p>
        </w:tc>
        <w:tc>
          <w:tcPr>
            <w:tcW w:w="780" w:type="dxa"/>
            <w:tcBorders>
              <w:left w:val="nil"/>
              <w:right w:val="nil"/>
            </w:tcBorders>
            <w:shd w:val="clear" w:color="auto" w:fill="auto"/>
            <w:noWrap/>
            <w:vAlign w:val="center"/>
          </w:tcPr>
          <w:p w14:paraId="30E373F6" w14:textId="77777777" w:rsidR="00F12995" w:rsidRPr="000939E3" w:rsidRDefault="00F12995" w:rsidP="00C41D81">
            <w:pPr>
              <w:spacing w:after="0"/>
              <w:contextualSpacing/>
              <w:jc w:val="right"/>
              <w:rPr>
                <w:color w:val="000000"/>
                <w:sz w:val="20"/>
                <w:szCs w:val="20"/>
              </w:rPr>
            </w:pPr>
            <w:r w:rsidRPr="000939E3">
              <w:rPr>
                <w:color w:val="000000"/>
                <w:sz w:val="20"/>
                <w:szCs w:val="20"/>
              </w:rPr>
              <w:t>9,9</w:t>
            </w:r>
          </w:p>
        </w:tc>
        <w:tc>
          <w:tcPr>
            <w:tcW w:w="779" w:type="dxa"/>
            <w:tcBorders>
              <w:left w:val="nil"/>
              <w:right w:val="nil"/>
            </w:tcBorders>
            <w:shd w:val="clear" w:color="auto" w:fill="auto"/>
            <w:noWrap/>
            <w:vAlign w:val="center"/>
          </w:tcPr>
          <w:p w14:paraId="20E47B24" w14:textId="77777777" w:rsidR="00F12995" w:rsidRPr="000939E3" w:rsidRDefault="00F12995" w:rsidP="00C41D81">
            <w:pPr>
              <w:spacing w:after="0"/>
              <w:contextualSpacing/>
              <w:jc w:val="right"/>
              <w:rPr>
                <w:color w:val="000000"/>
                <w:sz w:val="20"/>
                <w:szCs w:val="20"/>
              </w:rPr>
            </w:pPr>
            <w:r w:rsidRPr="000939E3">
              <w:rPr>
                <w:color w:val="000000"/>
                <w:sz w:val="20"/>
                <w:szCs w:val="20"/>
              </w:rPr>
              <w:t>9,9</w:t>
            </w:r>
          </w:p>
        </w:tc>
        <w:tc>
          <w:tcPr>
            <w:tcW w:w="780" w:type="dxa"/>
            <w:tcBorders>
              <w:left w:val="nil"/>
              <w:right w:val="nil"/>
            </w:tcBorders>
            <w:shd w:val="clear" w:color="auto" w:fill="auto"/>
            <w:noWrap/>
            <w:vAlign w:val="center"/>
          </w:tcPr>
          <w:p w14:paraId="7854C53A" w14:textId="77777777" w:rsidR="00F12995" w:rsidRPr="000939E3" w:rsidRDefault="00F12995" w:rsidP="00C41D81">
            <w:pPr>
              <w:spacing w:after="0"/>
              <w:contextualSpacing/>
              <w:jc w:val="right"/>
              <w:rPr>
                <w:color w:val="000000"/>
                <w:sz w:val="20"/>
                <w:szCs w:val="20"/>
              </w:rPr>
            </w:pPr>
            <w:r w:rsidRPr="000939E3">
              <w:rPr>
                <w:color w:val="000000"/>
                <w:sz w:val="20"/>
                <w:szCs w:val="20"/>
              </w:rPr>
              <w:t>9,7</w:t>
            </w:r>
          </w:p>
        </w:tc>
        <w:tc>
          <w:tcPr>
            <w:tcW w:w="780" w:type="dxa"/>
            <w:tcBorders>
              <w:left w:val="nil"/>
              <w:right w:val="nil"/>
            </w:tcBorders>
            <w:shd w:val="clear" w:color="auto" w:fill="auto"/>
            <w:noWrap/>
            <w:vAlign w:val="center"/>
          </w:tcPr>
          <w:p w14:paraId="671F4844" w14:textId="193DA51E" w:rsidR="00F12995" w:rsidRPr="000939E3" w:rsidRDefault="00F12995" w:rsidP="00C41D81">
            <w:pPr>
              <w:spacing w:after="0"/>
              <w:contextualSpacing/>
              <w:jc w:val="right"/>
              <w:rPr>
                <w:color w:val="000000"/>
                <w:sz w:val="20"/>
                <w:szCs w:val="20"/>
              </w:rPr>
            </w:pPr>
            <w:r w:rsidRPr="000939E3">
              <w:rPr>
                <w:color w:val="000000"/>
                <w:sz w:val="20"/>
                <w:szCs w:val="20"/>
              </w:rPr>
              <w:t>9,5</w:t>
            </w:r>
          </w:p>
        </w:tc>
      </w:tr>
      <w:tr w:rsidR="00F12995" w:rsidRPr="000939E3" w14:paraId="426BB6F3" w14:textId="62B94C81" w:rsidTr="002257F2">
        <w:trPr>
          <w:trHeight w:val="20"/>
        </w:trPr>
        <w:tc>
          <w:tcPr>
            <w:tcW w:w="709" w:type="dxa"/>
            <w:tcBorders>
              <w:left w:val="nil"/>
              <w:right w:val="nil"/>
            </w:tcBorders>
            <w:shd w:val="clear" w:color="auto" w:fill="auto"/>
            <w:vAlign w:val="center"/>
          </w:tcPr>
          <w:p w14:paraId="278B3AF6" w14:textId="77777777" w:rsidR="00F12995" w:rsidRPr="000939E3" w:rsidRDefault="00F12995" w:rsidP="00C41D81">
            <w:pPr>
              <w:spacing w:after="0"/>
              <w:ind w:left="214"/>
              <w:contextualSpacing/>
              <w:rPr>
                <w:rFonts w:eastAsia="Times New Roman" w:cs="Times New Roman"/>
                <w:sz w:val="20"/>
                <w:szCs w:val="20"/>
                <w:lang w:eastAsia="sk-SK"/>
              </w:rPr>
            </w:pPr>
          </w:p>
        </w:tc>
        <w:tc>
          <w:tcPr>
            <w:tcW w:w="2268" w:type="dxa"/>
            <w:tcBorders>
              <w:left w:val="nil"/>
              <w:right w:val="nil"/>
            </w:tcBorders>
            <w:shd w:val="clear" w:color="auto" w:fill="auto"/>
            <w:vAlign w:val="center"/>
          </w:tcPr>
          <w:p w14:paraId="2361B115" w14:textId="77777777" w:rsidR="00F12995" w:rsidRPr="000939E3" w:rsidRDefault="00F12995" w:rsidP="00C41D81">
            <w:pPr>
              <w:spacing w:after="0"/>
              <w:contextualSpacing/>
              <w:rPr>
                <w:color w:val="000000"/>
                <w:sz w:val="20"/>
                <w:szCs w:val="20"/>
              </w:rPr>
            </w:pPr>
            <w:r w:rsidRPr="000939E3">
              <w:rPr>
                <w:color w:val="000000"/>
                <w:sz w:val="20"/>
                <w:szCs w:val="20"/>
              </w:rPr>
              <w:t>výskumníci</w:t>
            </w:r>
          </w:p>
        </w:tc>
        <w:tc>
          <w:tcPr>
            <w:tcW w:w="637" w:type="dxa"/>
            <w:tcBorders>
              <w:top w:val="nil"/>
              <w:left w:val="nil"/>
              <w:right w:val="nil"/>
            </w:tcBorders>
            <w:shd w:val="clear" w:color="auto" w:fill="auto"/>
            <w:noWrap/>
            <w:vAlign w:val="center"/>
          </w:tcPr>
          <w:p w14:paraId="75D33191" w14:textId="77777777" w:rsidR="00F12995" w:rsidRPr="000939E3" w:rsidRDefault="00F12995" w:rsidP="00C41D81">
            <w:pPr>
              <w:spacing w:after="0"/>
              <w:contextualSpacing/>
              <w:jc w:val="right"/>
              <w:rPr>
                <w:color w:val="000000"/>
                <w:sz w:val="20"/>
                <w:szCs w:val="20"/>
              </w:rPr>
            </w:pPr>
            <w:r w:rsidRPr="000939E3">
              <w:rPr>
                <w:color w:val="000000"/>
                <w:sz w:val="20"/>
                <w:szCs w:val="20"/>
              </w:rPr>
              <w:t>1,4</w:t>
            </w:r>
          </w:p>
        </w:tc>
        <w:tc>
          <w:tcPr>
            <w:tcW w:w="780" w:type="dxa"/>
            <w:tcBorders>
              <w:top w:val="nil"/>
              <w:left w:val="nil"/>
              <w:right w:val="nil"/>
            </w:tcBorders>
            <w:shd w:val="clear" w:color="auto" w:fill="auto"/>
            <w:noWrap/>
            <w:vAlign w:val="center"/>
          </w:tcPr>
          <w:p w14:paraId="422177B2" w14:textId="77777777" w:rsidR="00F12995" w:rsidRPr="000939E3" w:rsidRDefault="00F12995" w:rsidP="00C41D81">
            <w:pPr>
              <w:spacing w:after="0"/>
              <w:contextualSpacing/>
              <w:jc w:val="right"/>
              <w:rPr>
                <w:color w:val="000000"/>
                <w:sz w:val="20"/>
                <w:szCs w:val="20"/>
              </w:rPr>
            </w:pPr>
            <w:r w:rsidRPr="000939E3">
              <w:rPr>
                <w:color w:val="000000"/>
                <w:sz w:val="20"/>
                <w:szCs w:val="20"/>
              </w:rPr>
              <w:t>1,4</w:t>
            </w:r>
          </w:p>
        </w:tc>
        <w:tc>
          <w:tcPr>
            <w:tcW w:w="779" w:type="dxa"/>
            <w:tcBorders>
              <w:top w:val="nil"/>
              <w:left w:val="nil"/>
              <w:right w:val="nil"/>
            </w:tcBorders>
            <w:shd w:val="clear" w:color="auto" w:fill="auto"/>
            <w:noWrap/>
            <w:vAlign w:val="center"/>
          </w:tcPr>
          <w:p w14:paraId="18F9B06C" w14:textId="77777777" w:rsidR="00F12995" w:rsidRPr="000939E3" w:rsidRDefault="00F12995" w:rsidP="00C41D81">
            <w:pPr>
              <w:spacing w:after="0"/>
              <w:contextualSpacing/>
              <w:jc w:val="right"/>
              <w:rPr>
                <w:color w:val="000000"/>
                <w:sz w:val="20"/>
                <w:szCs w:val="20"/>
              </w:rPr>
            </w:pPr>
            <w:r w:rsidRPr="000939E3">
              <w:rPr>
                <w:color w:val="000000"/>
                <w:sz w:val="20"/>
                <w:szCs w:val="20"/>
              </w:rPr>
              <w:t>1,5</w:t>
            </w:r>
          </w:p>
        </w:tc>
        <w:tc>
          <w:tcPr>
            <w:tcW w:w="780" w:type="dxa"/>
            <w:gridSpan w:val="2"/>
            <w:tcBorders>
              <w:top w:val="nil"/>
              <w:left w:val="nil"/>
              <w:right w:val="nil"/>
            </w:tcBorders>
            <w:shd w:val="clear" w:color="auto" w:fill="auto"/>
            <w:noWrap/>
            <w:vAlign w:val="center"/>
          </w:tcPr>
          <w:p w14:paraId="3DF1E106" w14:textId="77777777" w:rsidR="00F12995" w:rsidRPr="000939E3" w:rsidRDefault="00F12995" w:rsidP="00C41D81">
            <w:pPr>
              <w:spacing w:after="0"/>
              <w:contextualSpacing/>
              <w:jc w:val="right"/>
              <w:rPr>
                <w:color w:val="000000"/>
                <w:sz w:val="20"/>
                <w:szCs w:val="20"/>
              </w:rPr>
            </w:pPr>
            <w:r w:rsidRPr="000939E3">
              <w:rPr>
                <w:color w:val="000000"/>
                <w:sz w:val="20"/>
                <w:szCs w:val="20"/>
              </w:rPr>
              <w:t>1,5</w:t>
            </w:r>
          </w:p>
        </w:tc>
        <w:tc>
          <w:tcPr>
            <w:tcW w:w="780" w:type="dxa"/>
            <w:tcBorders>
              <w:top w:val="nil"/>
              <w:left w:val="nil"/>
              <w:right w:val="nil"/>
            </w:tcBorders>
            <w:shd w:val="clear" w:color="auto" w:fill="auto"/>
            <w:noWrap/>
            <w:vAlign w:val="center"/>
          </w:tcPr>
          <w:p w14:paraId="03526918" w14:textId="77777777" w:rsidR="00F12995" w:rsidRPr="000939E3" w:rsidRDefault="00F12995" w:rsidP="00C41D81">
            <w:pPr>
              <w:spacing w:after="0"/>
              <w:contextualSpacing/>
              <w:jc w:val="right"/>
              <w:rPr>
                <w:color w:val="000000"/>
                <w:sz w:val="20"/>
                <w:szCs w:val="20"/>
              </w:rPr>
            </w:pPr>
            <w:r w:rsidRPr="000939E3">
              <w:rPr>
                <w:color w:val="000000"/>
                <w:sz w:val="20"/>
                <w:szCs w:val="20"/>
              </w:rPr>
              <w:t>1,6</w:t>
            </w:r>
          </w:p>
        </w:tc>
        <w:tc>
          <w:tcPr>
            <w:tcW w:w="779" w:type="dxa"/>
            <w:tcBorders>
              <w:top w:val="nil"/>
              <w:left w:val="nil"/>
              <w:right w:val="nil"/>
            </w:tcBorders>
            <w:shd w:val="clear" w:color="auto" w:fill="auto"/>
            <w:noWrap/>
            <w:vAlign w:val="center"/>
          </w:tcPr>
          <w:p w14:paraId="0B965CE4" w14:textId="77777777" w:rsidR="00F12995" w:rsidRPr="000939E3" w:rsidRDefault="00F12995" w:rsidP="00C41D81">
            <w:pPr>
              <w:spacing w:after="0"/>
              <w:contextualSpacing/>
              <w:jc w:val="right"/>
              <w:rPr>
                <w:color w:val="000000"/>
                <w:sz w:val="20"/>
                <w:szCs w:val="20"/>
              </w:rPr>
            </w:pPr>
            <w:r w:rsidRPr="000939E3">
              <w:rPr>
                <w:color w:val="000000"/>
                <w:sz w:val="20"/>
                <w:szCs w:val="20"/>
              </w:rPr>
              <w:t>1,7</w:t>
            </w:r>
          </w:p>
        </w:tc>
        <w:tc>
          <w:tcPr>
            <w:tcW w:w="780" w:type="dxa"/>
            <w:tcBorders>
              <w:top w:val="nil"/>
              <w:left w:val="nil"/>
              <w:right w:val="nil"/>
            </w:tcBorders>
            <w:shd w:val="clear" w:color="auto" w:fill="auto"/>
            <w:noWrap/>
            <w:vAlign w:val="center"/>
          </w:tcPr>
          <w:p w14:paraId="22765FE3" w14:textId="77777777" w:rsidR="00F12995" w:rsidRPr="000939E3" w:rsidRDefault="00F12995" w:rsidP="00C41D81">
            <w:pPr>
              <w:spacing w:after="0"/>
              <w:contextualSpacing/>
              <w:jc w:val="right"/>
              <w:rPr>
                <w:color w:val="000000"/>
                <w:sz w:val="20"/>
                <w:szCs w:val="20"/>
              </w:rPr>
            </w:pPr>
            <w:r w:rsidRPr="000939E3">
              <w:rPr>
                <w:color w:val="000000"/>
                <w:sz w:val="20"/>
                <w:szCs w:val="20"/>
              </w:rPr>
              <w:t>1,5</w:t>
            </w:r>
          </w:p>
        </w:tc>
        <w:tc>
          <w:tcPr>
            <w:tcW w:w="780" w:type="dxa"/>
            <w:tcBorders>
              <w:top w:val="nil"/>
              <w:left w:val="nil"/>
              <w:right w:val="nil"/>
            </w:tcBorders>
            <w:shd w:val="clear" w:color="auto" w:fill="auto"/>
            <w:noWrap/>
            <w:vAlign w:val="center"/>
          </w:tcPr>
          <w:p w14:paraId="324955C2" w14:textId="6CF43AE6" w:rsidR="00F12995" w:rsidRPr="000939E3" w:rsidRDefault="00F12995" w:rsidP="00C41D81">
            <w:pPr>
              <w:spacing w:after="0"/>
              <w:contextualSpacing/>
              <w:jc w:val="right"/>
              <w:rPr>
                <w:color w:val="000000"/>
                <w:sz w:val="20"/>
                <w:szCs w:val="20"/>
              </w:rPr>
            </w:pPr>
            <w:r w:rsidRPr="000939E3">
              <w:rPr>
                <w:color w:val="000000"/>
                <w:sz w:val="20"/>
                <w:szCs w:val="20"/>
              </w:rPr>
              <w:t>1,4</w:t>
            </w:r>
          </w:p>
        </w:tc>
      </w:tr>
      <w:tr w:rsidR="00F12995" w:rsidRPr="000939E3" w14:paraId="1B0F9A8F" w14:textId="454D1EA2" w:rsidTr="002257F2">
        <w:trPr>
          <w:trHeight w:val="20"/>
        </w:trPr>
        <w:tc>
          <w:tcPr>
            <w:tcW w:w="709" w:type="dxa"/>
            <w:tcBorders>
              <w:left w:val="nil"/>
              <w:bottom w:val="single" w:sz="4" w:space="0" w:color="auto"/>
              <w:right w:val="nil"/>
            </w:tcBorders>
            <w:shd w:val="clear" w:color="auto" w:fill="auto"/>
            <w:vAlign w:val="center"/>
            <w:hideMark/>
          </w:tcPr>
          <w:p w14:paraId="395664B4" w14:textId="77777777" w:rsidR="00F12995" w:rsidRPr="000939E3" w:rsidRDefault="00F12995" w:rsidP="00C41D81">
            <w:pPr>
              <w:spacing w:after="0"/>
              <w:ind w:left="214"/>
              <w:contextualSpacing/>
              <w:rPr>
                <w:rFonts w:eastAsia="Times New Roman" w:cs="Times New Roman"/>
                <w:sz w:val="20"/>
                <w:szCs w:val="20"/>
                <w:lang w:eastAsia="sk-SK"/>
              </w:rPr>
            </w:pPr>
          </w:p>
        </w:tc>
        <w:tc>
          <w:tcPr>
            <w:tcW w:w="2268" w:type="dxa"/>
            <w:tcBorders>
              <w:left w:val="nil"/>
              <w:bottom w:val="single" w:sz="4" w:space="0" w:color="auto"/>
              <w:right w:val="nil"/>
            </w:tcBorders>
            <w:shd w:val="clear" w:color="auto" w:fill="auto"/>
            <w:vAlign w:val="center"/>
          </w:tcPr>
          <w:p w14:paraId="42621612" w14:textId="77777777" w:rsidR="00F12995" w:rsidRPr="000939E3" w:rsidRDefault="00F12995" w:rsidP="00C41D81">
            <w:pPr>
              <w:spacing w:after="0"/>
              <w:contextualSpacing/>
              <w:rPr>
                <w:color w:val="000000"/>
                <w:sz w:val="20"/>
                <w:szCs w:val="20"/>
              </w:rPr>
            </w:pPr>
            <w:r w:rsidRPr="000939E3">
              <w:rPr>
                <w:color w:val="000000"/>
                <w:sz w:val="20"/>
                <w:szCs w:val="20"/>
              </w:rPr>
              <w:t>neučitelia</w:t>
            </w:r>
          </w:p>
        </w:tc>
        <w:tc>
          <w:tcPr>
            <w:tcW w:w="637" w:type="dxa"/>
            <w:tcBorders>
              <w:top w:val="nil"/>
              <w:left w:val="nil"/>
              <w:bottom w:val="single" w:sz="4" w:space="0" w:color="auto"/>
              <w:right w:val="nil"/>
            </w:tcBorders>
            <w:shd w:val="clear" w:color="auto" w:fill="auto"/>
            <w:noWrap/>
            <w:vAlign w:val="center"/>
          </w:tcPr>
          <w:p w14:paraId="47F591B9" w14:textId="77777777" w:rsidR="00F12995" w:rsidRPr="000939E3" w:rsidRDefault="00F12995" w:rsidP="00C41D81">
            <w:pPr>
              <w:spacing w:after="0"/>
              <w:contextualSpacing/>
              <w:jc w:val="right"/>
              <w:rPr>
                <w:color w:val="000000"/>
                <w:sz w:val="20"/>
                <w:szCs w:val="20"/>
              </w:rPr>
            </w:pPr>
            <w:r w:rsidRPr="000939E3">
              <w:rPr>
                <w:color w:val="000000"/>
                <w:sz w:val="20"/>
                <w:szCs w:val="20"/>
              </w:rPr>
              <w:t>10,3</w:t>
            </w:r>
          </w:p>
        </w:tc>
        <w:tc>
          <w:tcPr>
            <w:tcW w:w="780" w:type="dxa"/>
            <w:tcBorders>
              <w:top w:val="nil"/>
              <w:left w:val="nil"/>
              <w:bottom w:val="single" w:sz="4" w:space="0" w:color="auto"/>
              <w:right w:val="nil"/>
            </w:tcBorders>
            <w:shd w:val="clear" w:color="auto" w:fill="auto"/>
            <w:noWrap/>
            <w:vAlign w:val="center"/>
          </w:tcPr>
          <w:p w14:paraId="32E4303D" w14:textId="77777777" w:rsidR="00F12995" w:rsidRPr="000939E3" w:rsidRDefault="00F12995" w:rsidP="00C41D81">
            <w:pPr>
              <w:spacing w:after="0"/>
              <w:contextualSpacing/>
              <w:jc w:val="right"/>
              <w:rPr>
                <w:color w:val="000000"/>
                <w:sz w:val="20"/>
                <w:szCs w:val="20"/>
              </w:rPr>
            </w:pPr>
            <w:r w:rsidRPr="000939E3">
              <w:rPr>
                <w:color w:val="000000"/>
                <w:sz w:val="20"/>
                <w:szCs w:val="20"/>
              </w:rPr>
              <w:t>10,4</w:t>
            </w:r>
          </w:p>
        </w:tc>
        <w:tc>
          <w:tcPr>
            <w:tcW w:w="779" w:type="dxa"/>
            <w:tcBorders>
              <w:top w:val="nil"/>
              <w:left w:val="nil"/>
              <w:bottom w:val="single" w:sz="4" w:space="0" w:color="auto"/>
              <w:right w:val="nil"/>
            </w:tcBorders>
            <w:shd w:val="clear" w:color="auto" w:fill="auto"/>
            <w:noWrap/>
            <w:vAlign w:val="center"/>
          </w:tcPr>
          <w:p w14:paraId="771B5951" w14:textId="77777777" w:rsidR="00F12995" w:rsidRPr="000939E3" w:rsidRDefault="00F12995" w:rsidP="00C41D81">
            <w:pPr>
              <w:spacing w:after="0"/>
              <w:contextualSpacing/>
              <w:jc w:val="right"/>
              <w:rPr>
                <w:color w:val="000000"/>
                <w:sz w:val="20"/>
                <w:szCs w:val="20"/>
              </w:rPr>
            </w:pPr>
            <w:r w:rsidRPr="000939E3">
              <w:rPr>
                <w:color w:val="000000"/>
                <w:sz w:val="20"/>
                <w:szCs w:val="20"/>
              </w:rPr>
              <w:t>10,3</w:t>
            </w:r>
          </w:p>
        </w:tc>
        <w:tc>
          <w:tcPr>
            <w:tcW w:w="780" w:type="dxa"/>
            <w:gridSpan w:val="2"/>
            <w:tcBorders>
              <w:top w:val="nil"/>
              <w:left w:val="nil"/>
              <w:bottom w:val="single" w:sz="4" w:space="0" w:color="auto"/>
              <w:right w:val="nil"/>
            </w:tcBorders>
            <w:shd w:val="clear" w:color="auto" w:fill="auto"/>
            <w:noWrap/>
            <w:vAlign w:val="center"/>
          </w:tcPr>
          <w:p w14:paraId="6F3E6B5D" w14:textId="77777777" w:rsidR="00F12995" w:rsidRPr="000939E3" w:rsidRDefault="00F12995" w:rsidP="00C41D81">
            <w:pPr>
              <w:spacing w:after="0"/>
              <w:contextualSpacing/>
              <w:jc w:val="right"/>
              <w:rPr>
                <w:color w:val="000000"/>
                <w:sz w:val="20"/>
                <w:szCs w:val="20"/>
              </w:rPr>
            </w:pPr>
            <w:r w:rsidRPr="000939E3">
              <w:rPr>
                <w:color w:val="000000"/>
                <w:sz w:val="20"/>
                <w:szCs w:val="20"/>
              </w:rPr>
              <w:t>10,1</w:t>
            </w:r>
          </w:p>
        </w:tc>
        <w:tc>
          <w:tcPr>
            <w:tcW w:w="780" w:type="dxa"/>
            <w:tcBorders>
              <w:top w:val="nil"/>
              <w:left w:val="nil"/>
              <w:bottom w:val="single" w:sz="4" w:space="0" w:color="auto"/>
              <w:right w:val="nil"/>
            </w:tcBorders>
            <w:shd w:val="clear" w:color="auto" w:fill="auto"/>
            <w:noWrap/>
            <w:vAlign w:val="center"/>
          </w:tcPr>
          <w:p w14:paraId="48A9C133" w14:textId="77777777" w:rsidR="00F12995" w:rsidRPr="000939E3" w:rsidRDefault="00F12995" w:rsidP="00C41D81">
            <w:pPr>
              <w:spacing w:after="0"/>
              <w:contextualSpacing/>
              <w:jc w:val="right"/>
              <w:rPr>
                <w:color w:val="000000"/>
                <w:sz w:val="20"/>
                <w:szCs w:val="20"/>
              </w:rPr>
            </w:pPr>
            <w:r w:rsidRPr="000939E3">
              <w:rPr>
                <w:color w:val="000000"/>
                <w:sz w:val="20"/>
                <w:szCs w:val="20"/>
              </w:rPr>
              <w:t>10,0</w:t>
            </w:r>
          </w:p>
        </w:tc>
        <w:tc>
          <w:tcPr>
            <w:tcW w:w="779" w:type="dxa"/>
            <w:tcBorders>
              <w:top w:val="nil"/>
              <w:left w:val="nil"/>
              <w:bottom w:val="single" w:sz="4" w:space="0" w:color="auto"/>
              <w:right w:val="nil"/>
            </w:tcBorders>
            <w:shd w:val="clear" w:color="auto" w:fill="auto"/>
            <w:noWrap/>
            <w:vAlign w:val="center"/>
          </w:tcPr>
          <w:p w14:paraId="3365A974" w14:textId="77777777" w:rsidR="00F12995" w:rsidRPr="000939E3" w:rsidRDefault="00F12995" w:rsidP="00C41D81">
            <w:pPr>
              <w:spacing w:after="0"/>
              <w:contextualSpacing/>
              <w:jc w:val="right"/>
              <w:rPr>
                <w:color w:val="000000"/>
                <w:sz w:val="20"/>
                <w:szCs w:val="20"/>
              </w:rPr>
            </w:pPr>
            <w:r w:rsidRPr="000939E3">
              <w:rPr>
                <w:color w:val="000000"/>
                <w:sz w:val="20"/>
                <w:szCs w:val="20"/>
              </w:rPr>
              <w:t>10,0</w:t>
            </w:r>
          </w:p>
        </w:tc>
        <w:tc>
          <w:tcPr>
            <w:tcW w:w="780" w:type="dxa"/>
            <w:tcBorders>
              <w:top w:val="nil"/>
              <w:left w:val="nil"/>
              <w:bottom w:val="single" w:sz="4" w:space="0" w:color="auto"/>
              <w:right w:val="nil"/>
            </w:tcBorders>
            <w:shd w:val="clear" w:color="auto" w:fill="auto"/>
            <w:noWrap/>
            <w:vAlign w:val="center"/>
          </w:tcPr>
          <w:p w14:paraId="5E229E81" w14:textId="77777777" w:rsidR="00F12995" w:rsidRPr="000939E3" w:rsidRDefault="00F12995" w:rsidP="00C41D81">
            <w:pPr>
              <w:spacing w:after="0"/>
              <w:contextualSpacing/>
              <w:jc w:val="right"/>
              <w:rPr>
                <w:color w:val="000000"/>
                <w:sz w:val="20"/>
                <w:szCs w:val="20"/>
              </w:rPr>
            </w:pPr>
            <w:r w:rsidRPr="000939E3">
              <w:rPr>
                <w:color w:val="000000"/>
                <w:sz w:val="20"/>
                <w:szCs w:val="20"/>
              </w:rPr>
              <w:t>9,7</w:t>
            </w:r>
          </w:p>
        </w:tc>
        <w:tc>
          <w:tcPr>
            <w:tcW w:w="780" w:type="dxa"/>
            <w:tcBorders>
              <w:top w:val="nil"/>
              <w:left w:val="nil"/>
              <w:bottom w:val="single" w:sz="4" w:space="0" w:color="auto"/>
              <w:right w:val="nil"/>
            </w:tcBorders>
            <w:shd w:val="clear" w:color="auto" w:fill="auto"/>
            <w:noWrap/>
            <w:vAlign w:val="center"/>
          </w:tcPr>
          <w:p w14:paraId="7127B31F" w14:textId="708482F0" w:rsidR="00F12995" w:rsidRPr="000939E3" w:rsidRDefault="00F12995" w:rsidP="00C41D81">
            <w:pPr>
              <w:spacing w:after="0"/>
              <w:contextualSpacing/>
              <w:jc w:val="right"/>
              <w:rPr>
                <w:color w:val="000000"/>
                <w:sz w:val="20"/>
                <w:szCs w:val="20"/>
              </w:rPr>
            </w:pPr>
            <w:r w:rsidRPr="000939E3">
              <w:rPr>
                <w:color w:val="000000"/>
                <w:sz w:val="20"/>
                <w:szCs w:val="20"/>
              </w:rPr>
              <w:t>9,5</w:t>
            </w:r>
          </w:p>
        </w:tc>
      </w:tr>
      <w:tr w:rsidR="00F12995" w:rsidRPr="000939E3" w14:paraId="357DE42E" w14:textId="378929C8" w:rsidTr="002257F2">
        <w:trPr>
          <w:trHeight w:val="20"/>
        </w:trPr>
        <w:tc>
          <w:tcPr>
            <w:tcW w:w="2977" w:type="dxa"/>
            <w:gridSpan w:val="2"/>
            <w:tcBorders>
              <w:top w:val="single" w:sz="4" w:space="0" w:color="auto"/>
              <w:left w:val="nil"/>
              <w:right w:val="nil"/>
            </w:tcBorders>
            <w:shd w:val="clear" w:color="auto" w:fill="auto"/>
            <w:vAlign w:val="center"/>
          </w:tcPr>
          <w:p w14:paraId="40A921D0" w14:textId="77777777" w:rsidR="00F12995" w:rsidRPr="000939E3" w:rsidRDefault="00F12995" w:rsidP="00D970AC">
            <w:pPr>
              <w:spacing w:after="0"/>
              <w:contextualSpacing/>
              <w:rPr>
                <w:rFonts w:eastAsia="Times New Roman" w:cs="Times New Roman"/>
                <w:sz w:val="20"/>
                <w:szCs w:val="20"/>
                <w:lang w:eastAsia="sk-SK"/>
              </w:rPr>
            </w:pPr>
            <w:r w:rsidRPr="000939E3">
              <w:rPr>
                <w:rFonts w:eastAsia="Times New Roman" w:cs="Times New Roman"/>
                <w:b/>
                <w:sz w:val="20"/>
                <w:szCs w:val="20"/>
                <w:lang w:eastAsia="sk-SK"/>
              </w:rPr>
              <w:t>Študenti na VVŠ (v tis.)</w:t>
            </w:r>
          </w:p>
        </w:tc>
        <w:tc>
          <w:tcPr>
            <w:tcW w:w="637" w:type="dxa"/>
            <w:tcBorders>
              <w:top w:val="single" w:sz="4" w:space="0" w:color="auto"/>
              <w:left w:val="nil"/>
              <w:right w:val="nil"/>
            </w:tcBorders>
            <w:shd w:val="clear" w:color="auto" w:fill="auto"/>
            <w:noWrap/>
            <w:vAlign w:val="center"/>
          </w:tcPr>
          <w:p w14:paraId="3382F571" w14:textId="7BB44B6D" w:rsidR="00F12995" w:rsidRPr="000939E3" w:rsidRDefault="00F12995" w:rsidP="00D970AC">
            <w:pPr>
              <w:spacing w:after="0"/>
              <w:contextualSpacing/>
              <w:jc w:val="right"/>
              <w:rPr>
                <w:b/>
                <w:bCs/>
                <w:color w:val="000000"/>
                <w:sz w:val="20"/>
                <w:szCs w:val="20"/>
              </w:rPr>
            </w:pPr>
            <w:r w:rsidRPr="000939E3">
              <w:rPr>
                <w:b/>
                <w:bCs/>
                <w:color w:val="000000"/>
                <w:sz w:val="20"/>
                <w:szCs w:val="20"/>
              </w:rPr>
              <w:t>137,1</w:t>
            </w:r>
          </w:p>
        </w:tc>
        <w:tc>
          <w:tcPr>
            <w:tcW w:w="780" w:type="dxa"/>
            <w:tcBorders>
              <w:top w:val="single" w:sz="4" w:space="0" w:color="auto"/>
              <w:left w:val="nil"/>
              <w:right w:val="nil"/>
            </w:tcBorders>
            <w:shd w:val="clear" w:color="auto" w:fill="auto"/>
            <w:noWrap/>
            <w:vAlign w:val="center"/>
          </w:tcPr>
          <w:p w14:paraId="420EB177" w14:textId="4EBE9C38" w:rsidR="00F12995" w:rsidRPr="000939E3" w:rsidRDefault="00F12995" w:rsidP="00D970AC">
            <w:pPr>
              <w:spacing w:after="0"/>
              <w:contextualSpacing/>
              <w:jc w:val="right"/>
              <w:rPr>
                <w:b/>
                <w:bCs/>
                <w:color w:val="000000"/>
                <w:sz w:val="20"/>
                <w:szCs w:val="20"/>
              </w:rPr>
            </w:pPr>
            <w:r w:rsidRPr="000939E3">
              <w:rPr>
                <w:b/>
                <w:bCs/>
                <w:color w:val="000000"/>
                <w:sz w:val="20"/>
                <w:szCs w:val="20"/>
              </w:rPr>
              <w:t>181,5</w:t>
            </w:r>
          </w:p>
        </w:tc>
        <w:tc>
          <w:tcPr>
            <w:tcW w:w="779" w:type="dxa"/>
            <w:tcBorders>
              <w:top w:val="single" w:sz="4" w:space="0" w:color="auto"/>
              <w:left w:val="nil"/>
              <w:right w:val="nil"/>
            </w:tcBorders>
            <w:shd w:val="clear" w:color="auto" w:fill="auto"/>
            <w:noWrap/>
            <w:vAlign w:val="center"/>
          </w:tcPr>
          <w:p w14:paraId="48BAEBA9" w14:textId="017BE17F" w:rsidR="00F12995" w:rsidRPr="000939E3" w:rsidRDefault="00F12995" w:rsidP="00D970AC">
            <w:pPr>
              <w:spacing w:after="0"/>
              <w:contextualSpacing/>
              <w:jc w:val="right"/>
              <w:rPr>
                <w:b/>
                <w:bCs/>
                <w:color w:val="000000"/>
                <w:sz w:val="20"/>
                <w:szCs w:val="20"/>
              </w:rPr>
            </w:pPr>
            <w:r w:rsidRPr="000939E3">
              <w:rPr>
                <w:b/>
                <w:bCs/>
                <w:color w:val="000000"/>
                <w:sz w:val="20"/>
                <w:szCs w:val="20"/>
              </w:rPr>
              <w:t>195,0</w:t>
            </w:r>
          </w:p>
        </w:tc>
        <w:tc>
          <w:tcPr>
            <w:tcW w:w="780" w:type="dxa"/>
            <w:gridSpan w:val="2"/>
            <w:tcBorders>
              <w:top w:val="single" w:sz="4" w:space="0" w:color="auto"/>
              <w:left w:val="nil"/>
              <w:right w:val="nil"/>
            </w:tcBorders>
            <w:shd w:val="clear" w:color="auto" w:fill="auto"/>
            <w:noWrap/>
            <w:vAlign w:val="center"/>
          </w:tcPr>
          <w:p w14:paraId="45EF8C89" w14:textId="282D2376" w:rsidR="00F12995" w:rsidRPr="000939E3" w:rsidRDefault="00F12995" w:rsidP="00D970AC">
            <w:pPr>
              <w:spacing w:after="0"/>
              <w:contextualSpacing/>
              <w:jc w:val="right"/>
              <w:rPr>
                <w:b/>
                <w:bCs/>
                <w:color w:val="000000"/>
                <w:sz w:val="20"/>
                <w:szCs w:val="20"/>
              </w:rPr>
            </w:pPr>
            <w:r w:rsidRPr="000939E3">
              <w:rPr>
                <w:b/>
                <w:bCs/>
                <w:color w:val="000000"/>
                <w:sz w:val="20"/>
                <w:szCs w:val="20"/>
              </w:rPr>
              <w:t>179,7</w:t>
            </w:r>
          </w:p>
        </w:tc>
        <w:tc>
          <w:tcPr>
            <w:tcW w:w="780" w:type="dxa"/>
            <w:tcBorders>
              <w:top w:val="single" w:sz="4" w:space="0" w:color="auto"/>
              <w:left w:val="nil"/>
              <w:right w:val="nil"/>
            </w:tcBorders>
            <w:shd w:val="clear" w:color="auto" w:fill="auto"/>
            <w:noWrap/>
            <w:vAlign w:val="center"/>
          </w:tcPr>
          <w:p w14:paraId="11EF2AF4" w14:textId="77EF0D69" w:rsidR="00F12995" w:rsidRPr="000939E3" w:rsidRDefault="00F12995" w:rsidP="00D970AC">
            <w:pPr>
              <w:spacing w:after="0"/>
              <w:contextualSpacing/>
              <w:jc w:val="right"/>
              <w:rPr>
                <w:b/>
                <w:bCs/>
                <w:color w:val="000000"/>
                <w:sz w:val="20"/>
                <w:szCs w:val="20"/>
              </w:rPr>
            </w:pPr>
            <w:r w:rsidRPr="000939E3">
              <w:rPr>
                <w:b/>
                <w:bCs/>
                <w:color w:val="000000"/>
                <w:sz w:val="20"/>
                <w:szCs w:val="20"/>
              </w:rPr>
              <w:t>164,9</w:t>
            </w:r>
          </w:p>
        </w:tc>
        <w:tc>
          <w:tcPr>
            <w:tcW w:w="779" w:type="dxa"/>
            <w:tcBorders>
              <w:top w:val="single" w:sz="4" w:space="0" w:color="auto"/>
              <w:left w:val="nil"/>
              <w:right w:val="nil"/>
            </w:tcBorders>
            <w:shd w:val="clear" w:color="auto" w:fill="auto"/>
            <w:noWrap/>
            <w:vAlign w:val="center"/>
          </w:tcPr>
          <w:p w14:paraId="1F4F9B8C" w14:textId="127A8BFB" w:rsidR="00F12995" w:rsidRPr="000939E3" w:rsidRDefault="00F12995" w:rsidP="00D970AC">
            <w:pPr>
              <w:spacing w:after="0"/>
              <w:contextualSpacing/>
              <w:jc w:val="right"/>
              <w:rPr>
                <w:b/>
                <w:bCs/>
                <w:color w:val="000000"/>
                <w:sz w:val="20"/>
                <w:szCs w:val="20"/>
              </w:rPr>
            </w:pPr>
            <w:r w:rsidRPr="000939E3">
              <w:rPr>
                <w:b/>
                <w:bCs/>
                <w:color w:val="000000"/>
                <w:sz w:val="20"/>
                <w:szCs w:val="20"/>
              </w:rPr>
              <w:t>147,6</w:t>
            </w:r>
          </w:p>
        </w:tc>
        <w:tc>
          <w:tcPr>
            <w:tcW w:w="780" w:type="dxa"/>
            <w:tcBorders>
              <w:top w:val="single" w:sz="4" w:space="0" w:color="auto"/>
              <w:left w:val="nil"/>
              <w:right w:val="nil"/>
            </w:tcBorders>
            <w:shd w:val="clear" w:color="auto" w:fill="auto"/>
            <w:noWrap/>
            <w:vAlign w:val="center"/>
          </w:tcPr>
          <w:p w14:paraId="4C0F1995" w14:textId="26C6D9AD" w:rsidR="00F12995" w:rsidRPr="000939E3" w:rsidRDefault="00F12995" w:rsidP="00D970AC">
            <w:pPr>
              <w:spacing w:after="0"/>
              <w:contextualSpacing/>
              <w:jc w:val="right"/>
              <w:rPr>
                <w:b/>
                <w:bCs/>
                <w:color w:val="000000"/>
                <w:sz w:val="20"/>
                <w:szCs w:val="20"/>
              </w:rPr>
            </w:pPr>
            <w:r w:rsidRPr="000939E3">
              <w:rPr>
                <w:b/>
                <w:bCs/>
                <w:color w:val="000000"/>
                <w:sz w:val="20"/>
                <w:szCs w:val="20"/>
              </w:rPr>
              <w:t>128,6</w:t>
            </w:r>
          </w:p>
        </w:tc>
        <w:tc>
          <w:tcPr>
            <w:tcW w:w="780" w:type="dxa"/>
            <w:tcBorders>
              <w:top w:val="single" w:sz="4" w:space="0" w:color="auto"/>
              <w:left w:val="nil"/>
              <w:right w:val="nil"/>
            </w:tcBorders>
            <w:shd w:val="clear" w:color="auto" w:fill="auto"/>
            <w:noWrap/>
            <w:vAlign w:val="center"/>
          </w:tcPr>
          <w:p w14:paraId="7A554D28" w14:textId="26A014EB" w:rsidR="00F12995" w:rsidRPr="000939E3" w:rsidRDefault="00F12995" w:rsidP="00D970AC">
            <w:pPr>
              <w:spacing w:after="0"/>
              <w:contextualSpacing/>
              <w:jc w:val="right"/>
              <w:rPr>
                <w:b/>
                <w:bCs/>
                <w:color w:val="000000"/>
                <w:sz w:val="20"/>
                <w:szCs w:val="20"/>
              </w:rPr>
            </w:pPr>
            <w:r w:rsidRPr="000939E3">
              <w:rPr>
                <w:b/>
                <w:bCs/>
                <w:color w:val="000000"/>
                <w:sz w:val="20"/>
                <w:szCs w:val="20"/>
              </w:rPr>
              <w:t>116,4</w:t>
            </w:r>
          </w:p>
        </w:tc>
      </w:tr>
      <w:tr w:rsidR="00F12995" w:rsidRPr="000939E3" w14:paraId="7DD33F98" w14:textId="4757F143" w:rsidTr="002257F2">
        <w:trPr>
          <w:trHeight w:val="20"/>
        </w:trPr>
        <w:tc>
          <w:tcPr>
            <w:tcW w:w="709" w:type="dxa"/>
            <w:vMerge w:val="restart"/>
            <w:tcBorders>
              <w:left w:val="nil"/>
              <w:right w:val="nil"/>
            </w:tcBorders>
            <w:shd w:val="clear" w:color="auto" w:fill="auto"/>
          </w:tcPr>
          <w:p w14:paraId="39A77AE0" w14:textId="77777777" w:rsidR="00F12995" w:rsidRPr="000939E3" w:rsidRDefault="00F12995" w:rsidP="00D970AC">
            <w:pPr>
              <w:tabs>
                <w:tab w:val="left" w:pos="1348"/>
              </w:tabs>
              <w:spacing w:after="0"/>
              <w:contextualSpacing/>
              <w:rPr>
                <w:rFonts w:eastAsia="Times New Roman" w:cs="Times New Roman"/>
                <w:b/>
                <w:sz w:val="20"/>
                <w:szCs w:val="20"/>
                <w:lang w:eastAsia="sk-SK"/>
              </w:rPr>
            </w:pPr>
            <w:r w:rsidRPr="000939E3">
              <w:rPr>
                <w:rFonts w:eastAsia="Times New Roman" w:cs="Times New Roman"/>
                <w:sz w:val="20"/>
                <w:szCs w:val="20"/>
                <w:lang w:eastAsia="sk-SK"/>
              </w:rPr>
              <w:t>z toho</w:t>
            </w:r>
          </w:p>
        </w:tc>
        <w:tc>
          <w:tcPr>
            <w:tcW w:w="2268" w:type="dxa"/>
            <w:tcBorders>
              <w:left w:val="nil"/>
              <w:right w:val="nil"/>
            </w:tcBorders>
            <w:shd w:val="clear" w:color="auto" w:fill="auto"/>
            <w:vAlign w:val="center"/>
          </w:tcPr>
          <w:p w14:paraId="6921A5C2" w14:textId="08C1035A" w:rsidR="00F12995" w:rsidRPr="000939E3" w:rsidRDefault="00F12995" w:rsidP="00D970AC">
            <w:pPr>
              <w:spacing w:after="0"/>
              <w:contextualSpacing/>
              <w:rPr>
                <w:color w:val="000000"/>
                <w:sz w:val="20"/>
                <w:szCs w:val="20"/>
              </w:rPr>
            </w:pPr>
            <w:r w:rsidRPr="000939E3">
              <w:rPr>
                <w:color w:val="000000"/>
                <w:sz w:val="20"/>
                <w:szCs w:val="20"/>
              </w:rPr>
              <w:t>denní</w:t>
            </w:r>
          </w:p>
        </w:tc>
        <w:tc>
          <w:tcPr>
            <w:tcW w:w="637" w:type="dxa"/>
            <w:tcBorders>
              <w:left w:val="nil"/>
              <w:right w:val="nil"/>
            </w:tcBorders>
            <w:shd w:val="clear" w:color="auto" w:fill="auto"/>
            <w:noWrap/>
            <w:vAlign w:val="bottom"/>
          </w:tcPr>
          <w:p w14:paraId="4AE10122" w14:textId="6FAA4884" w:rsidR="00F12995" w:rsidRPr="000939E3" w:rsidRDefault="00F12995" w:rsidP="00D970AC">
            <w:pPr>
              <w:spacing w:after="0"/>
              <w:contextualSpacing/>
              <w:jc w:val="right"/>
              <w:rPr>
                <w:color w:val="000000"/>
                <w:sz w:val="20"/>
                <w:szCs w:val="20"/>
              </w:rPr>
            </w:pPr>
            <w:r w:rsidRPr="000939E3">
              <w:rPr>
                <w:color w:val="000000"/>
                <w:sz w:val="20"/>
                <w:szCs w:val="20"/>
              </w:rPr>
              <w:t>94,3</w:t>
            </w:r>
          </w:p>
        </w:tc>
        <w:tc>
          <w:tcPr>
            <w:tcW w:w="780" w:type="dxa"/>
            <w:tcBorders>
              <w:left w:val="nil"/>
              <w:right w:val="nil"/>
            </w:tcBorders>
            <w:shd w:val="clear" w:color="auto" w:fill="auto"/>
            <w:noWrap/>
            <w:vAlign w:val="bottom"/>
          </w:tcPr>
          <w:p w14:paraId="34F54048" w14:textId="72ACF253" w:rsidR="00F12995" w:rsidRPr="000939E3" w:rsidRDefault="00F12995" w:rsidP="00D970AC">
            <w:pPr>
              <w:spacing w:after="0"/>
              <w:contextualSpacing/>
              <w:jc w:val="right"/>
              <w:rPr>
                <w:color w:val="000000"/>
                <w:sz w:val="20"/>
                <w:szCs w:val="20"/>
              </w:rPr>
            </w:pPr>
            <w:r w:rsidRPr="000939E3">
              <w:rPr>
                <w:color w:val="000000"/>
                <w:sz w:val="20"/>
                <w:szCs w:val="20"/>
              </w:rPr>
              <w:t>114,8</w:t>
            </w:r>
          </w:p>
        </w:tc>
        <w:tc>
          <w:tcPr>
            <w:tcW w:w="779" w:type="dxa"/>
            <w:tcBorders>
              <w:left w:val="nil"/>
              <w:right w:val="nil"/>
            </w:tcBorders>
            <w:shd w:val="clear" w:color="auto" w:fill="auto"/>
            <w:noWrap/>
            <w:vAlign w:val="bottom"/>
          </w:tcPr>
          <w:p w14:paraId="3FAFD635" w14:textId="6FD95C73" w:rsidR="00F12995" w:rsidRPr="000939E3" w:rsidRDefault="00F12995" w:rsidP="00D970AC">
            <w:pPr>
              <w:spacing w:after="0"/>
              <w:contextualSpacing/>
              <w:jc w:val="right"/>
              <w:rPr>
                <w:color w:val="000000"/>
                <w:sz w:val="20"/>
                <w:szCs w:val="20"/>
              </w:rPr>
            </w:pPr>
            <w:r w:rsidRPr="000939E3">
              <w:rPr>
                <w:color w:val="000000"/>
                <w:sz w:val="20"/>
                <w:szCs w:val="20"/>
              </w:rPr>
              <w:t>133,9</w:t>
            </w:r>
          </w:p>
        </w:tc>
        <w:tc>
          <w:tcPr>
            <w:tcW w:w="780" w:type="dxa"/>
            <w:gridSpan w:val="2"/>
            <w:tcBorders>
              <w:left w:val="nil"/>
              <w:right w:val="nil"/>
            </w:tcBorders>
            <w:shd w:val="clear" w:color="auto" w:fill="auto"/>
            <w:noWrap/>
            <w:vAlign w:val="bottom"/>
          </w:tcPr>
          <w:p w14:paraId="57B9971A" w14:textId="00BCA330" w:rsidR="00F12995" w:rsidRPr="000939E3" w:rsidRDefault="00F12995" w:rsidP="00D970AC">
            <w:pPr>
              <w:spacing w:after="0"/>
              <w:contextualSpacing/>
              <w:jc w:val="right"/>
              <w:rPr>
                <w:color w:val="000000"/>
                <w:sz w:val="20"/>
                <w:szCs w:val="20"/>
              </w:rPr>
            </w:pPr>
            <w:r w:rsidRPr="000939E3">
              <w:rPr>
                <w:color w:val="000000"/>
                <w:sz w:val="20"/>
                <w:szCs w:val="20"/>
              </w:rPr>
              <w:t>128,9</w:t>
            </w:r>
          </w:p>
        </w:tc>
        <w:tc>
          <w:tcPr>
            <w:tcW w:w="780" w:type="dxa"/>
            <w:tcBorders>
              <w:left w:val="nil"/>
              <w:right w:val="nil"/>
            </w:tcBorders>
            <w:shd w:val="clear" w:color="auto" w:fill="auto"/>
            <w:noWrap/>
            <w:vAlign w:val="bottom"/>
          </w:tcPr>
          <w:p w14:paraId="05E6B736" w14:textId="5FCD2235" w:rsidR="00F12995" w:rsidRPr="000939E3" w:rsidRDefault="00F12995" w:rsidP="00D970AC">
            <w:pPr>
              <w:spacing w:after="0"/>
              <w:contextualSpacing/>
              <w:jc w:val="right"/>
              <w:rPr>
                <w:color w:val="000000"/>
                <w:sz w:val="20"/>
                <w:szCs w:val="20"/>
              </w:rPr>
            </w:pPr>
            <w:r w:rsidRPr="000939E3">
              <w:rPr>
                <w:color w:val="000000"/>
                <w:sz w:val="20"/>
                <w:szCs w:val="20"/>
              </w:rPr>
              <w:t>125,0</w:t>
            </w:r>
          </w:p>
        </w:tc>
        <w:tc>
          <w:tcPr>
            <w:tcW w:w="779" w:type="dxa"/>
            <w:tcBorders>
              <w:left w:val="nil"/>
              <w:right w:val="nil"/>
            </w:tcBorders>
            <w:shd w:val="clear" w:color="auto" w:fill="auto"/>
            <w:noWrap/>
            <w:vAlign w:val="bottom"/>
          </w:tcPr>
          <w:p w14:paraId="7F0F4245" w14:textId="5BA626D1" w:rsidR="00F12995" w:rsidRPr="000939E3" w:rsidRDefault="00F12995" w:rsidP="00D970AC">
            <w:pPr>
              <w:spacing w:after="0"/>
              <w:contextualSpacing/>
              <w:jc w:val="right"/>
              <w:rPr>
                <w:color w:val="000000"/>
                <w:sz w:val="20"/>
                <w:szCs w:val="20"/>
              </w:rPr>
            </w:pPr>
            <w:r w:rsidRPr="000939E3">
              <w:rPr>
                <w:color w:val="000000"/>
                <w:sz w:val="20"/>
                <w:szCs w:val="20"/>
              </w:rPr>
              <w:t>117,4</w:t>
            </w:r>
          </w:p>
        </w:tc>
        <w:tc>
          <w:tcPr>
            <w:tcW w:w="780" w:type="dxa"/>
            <w:tcBorders>
              <w:left w:val="nil"/>
              <w:right w:val="nil"/>
            </w:tcBorders>
            <w:shd w:val="clear" w:color="auto" w:fill="auto"/>
            <w:noWrap/>
            <w:vAlign w:val="bottom"/>
          </w:tcPr>
          <w:p w14:paraId="076E3EFD" w14:textId="102C03E2" w:rsidR="00F12995" w:rsidRPr="000939E3" w:rsidRDefault="00F12995" w:rsidP="00D970AC">
            <w:pPr>
              <w:spacing w:after="0"/>
              <w:contextualSpacing/>
              <w:jc w:val="right"/>
              <w:rPr>
                <w:color w:val="000000"/>
                <w:sz w:val="20"/>
                <w:szCs w:val="20"/>
              </w:rPr>
            </w:pPr>
            <w:r w:rsidRPr="000939E3">
              <w:rPr>
                <w:color w:val="000000"/>
                <w:sz w:val="20"/>
                <w:szCs w:val="20"/>
              </w:rPr>
              <w:t>104,9</w:t>
            </w:r>
          </w:p>
        </w:tc>
        <w:tc>
          <w:tcPr>
            <w:tcW w:w="780" w:type="dxa"/>
            <w:tcBorders>
              <w:left w:val="nil"/>
              <w:right w:val="nil"/>
            </w:tcBorders>
            <w:shd w:val="clear" w:color="auto" w:fill="auto"/>
            <w:noWrap/>
            <w:vAlign w:val="bottom"/>
          </w:tcPr>
          <w:p w14:paraId="2B73355F" w14:textId="664F4C37" w:rsidR="00F12995" w:rsidRPr="000939E3" w:rsidRDefault="00F12995" w:rsidP="00D970AC">
            <w:pPr>
              <w:spacing w:after="0"/>
              <w:contextualSpacing/>
              <w:jc w:val="right"/>
              <w:rPr>
                <w:color w:val="000000"/>
                <w:sz w:val="20"/>
                <w:szCs w:val="20"/>
              </w:rPr>
            </w:pPr>
            <w:r w:rsidRPr="000939E3">
              <w:rPr>
                <w:color w:val="000000"/>
                <w:sz w:val="20"/>
                <w:szCs w:val="20"/>
              </w:rPr>
              <w:t>96,9</w:t>
            </w:r>
          </w:p>
        </w:tc>
      </w:tr>
      <w:tr w:rsidR="00F12995" w:rsidRPr="000939E3" w14:paraId="135E4492" w14:textId="16081C7A" w:rsidTr="002257F2">
        <w:trPr>
          <w:trHeight w:val="20"/>
        </w:trPr>
        <w:tc>
          <w:tcPr>
            <w:tcW w:w="709" w:type="dxa"/>
            <w:vMerge/>
            <w:tcBorders>
              <w:left w:val="nil"/>
              <w:right w:val="nil"/>
            </w:tcBorders>
            <w:shd w:val="clear" w:color="auto" w:fill="auto"/>
          </w:tcPr>
          <w:p w14:paraId="043C7774" w14:textId="77777777" w:rsidR="00F12995" w:rsidRPr="000939E3" w:rsidRDefault="00F12995" w:rsidP="00D970AC">
            <w:pPr>
              <w:tabs>
                <w:tab w:val="left" w:pos="1348"/>
              </w:tabs>
              <w:spacing w:after="0"/>
              <w:contextualSpacing/>
              <w:rPr>
                <w:rFonts w:eastAsia="Times New Roman" w:cs="Times New Roman"/>
                <w:sz w:val="20"/>
                <w:szCs w:val="20"/>
                <w:lang w:eastAsia="sk-SK"/>
              </w:rPr>
            </w:pPr>
          </w:p>
        </w:tc>
        <w:tc>
          <w:tcPr>
            <w:tcW w:w="2268" w:type="dxa"/>
            <w:tcBorders>
              <w:left w:val="nil"/>
              <w:right w:val="nil"/>
            </w:tcBorders>
            <w:shd w:val="clear" w:color="auto" w:fill="auto"/>
            <w:vAlign w:val="center"/>
          </w:tcPr>
          <w:p w14:paraId="1EBF47ED" w14:textId="541F3301" w:rsidR="00F12995" w:rsidRPr="000939E3" w:rsidRDefault="00F12995" w:rsidP="00D970AC">
            <w:pPr>
              <w:spacing w:after="0"/>
              <w:contextualSpacing/>
              <w:rPr>
                <w:color w:val="000000"/>
                <w:sz w:val="20"/>
                <w:szCs w:val="20"/>
              </w:rPr>
            </w:pPr>
            <w:r w:rsidRPr="000939E3">
              <w:rPr>
                <w:color w:val="000000"/>
                <w:sz w:val="20"/>
                <w:szCs w:val="20"/>
              </w:rPr>
              <w:t>externí</w:t>
            </w:r>
          </w:p>
        </w:tc>
        <w:tc>
          <w:tcPr>
            <w:tcW w:w="637" w:type="dxa"/>
            <w:tcBorders>
              <w:left w:val="nil"/>
              <w:right w:val="nil"/>
            </w:tcBorders>
            <w:shd w:val="clear" w:color="auto" w:fill="auto"/>
            <w:noWrap/>
            <w:vAlign w:val="bottom"/>
          </w:tcPr>
          <w:p w14:paraId="2B371E13" w14:textId="4BF487CD" w:rsidR="00F12995" w:rsidRPr="000939E3" w:rsidRDefault="00F12995" w:rsidP="00D970AC">
            <w:pPr>
              <w:spacing w:after="0"/>
              <w:contextualSpacing/>
              <w:jc w:val="right"/>
              <w:rPr>
                <w:color w:val="000000"/>
                <w:sz w:val="20"/>
                <w:szCs w:val="20"/>
              </w:rPr>
            </w:pPr>
            <w:r w:rsidRPr="000939E3">
              <w:rPr>
                <w:color w:val="000000"/>
                <w:sz w:val="20"/>
                <w:szCs w:val="20"/>
              </w:rPr>
              <w:t>35,0</w:t>
            </w:r>
          </w:p>
        </w:tc>
        <w:tc>
          <w:tcPr>
            <w:tcW w:w="780" w:type="dxa"/>
            <w:tcBorders>
              <w:left w:val="nil"/>
              <w:right w:val="nil"/>
            </w:tcBorders>
            <w:shd w:val="clear" w:color="auto" w:fill="auto"/>
            <w:noWrap/>
            <w:vAlign w:val="bottom"/>
          </w:tcPr>
          <w:p w14:paraId="7C89839C" w14:textId="7F0AA686" w:rsidR="00F12995" w:rsidRPr="000939E3" w:rsidRDefault="00F12995" w:rsidP="00D970AC">
            <w:pPr>
              <w:spacing w:after="0"/>
              <w:contextualSpacing/>
              <w:jc w:val="right"/>
              <w:rPr>
                <w:color w:val="000000"/>
                <w:sz w:val="20"/>
                <w:szCs w:val="20"/>
              </w:rPr>
            </w:pPr>
            <w:r w:rsidRPr="000939E3">
              <w:rPr>
                <w:color w:val="000000"/>
                <w:sz w:val="20"/>
                <w:szCs w:val="20"/>
              </w:rPr>
              <w:t>56,3</w:t>
            </w:r>
          </w:p>
        </w:tc>
        <w:tc>
          <w:tcPr>
            <w:tcW w:w="779" w:type="dxa"/>
            <w:tcBorders>
              <w:left w:val="nil"/>
              <w:right w:val="nil"/>
            </w:tcBorders>
            <w:shd w:val="clear" w:color="auto" w:fill="auto"/>
            <w:noWrap/>
            <w:vAlign w:val="bottom"/>
          </w:tcPr>
          <w:p w14:paraId="428AE72A" w14:textId="56A367D4" w:rsidR="00F12995" w:rsidRPr="000939E3" w:rsidRDefault="00F12995" w:rsidP="00D970AC">
            <w:pPr>
              <w:spacing w:after="0"/>
              <w:contextualSpacing/>
              <w:jc w:val="right"/>
              <w:rPr>
                <w:color w:val="000000"/>
                <w:sz w:val="20"/>
                <w:szCs w:val="20"/>
              </w:rPr>
            </w:pPr>
            <w:r w:rsidRPr="000939E3">
              <w:rPr>
                <w:color w:val="000000"/>
                <w:sz w:val="20"/>
                <w:szCs w:val="20"/>
              </w:rPr>
              <w:t>51,3</w:t>
            </w:r>
          </w:p>
        </w:tc>
        <w:tc>
          <w:tcPr>
            <w:tcW w:w="780" w:type="dxa"/>
            <w:gridSpan w:val="2"/>
            <w:tcBorders>
              <w:left w:val="nil"/>
              <w:right w:val="nil"/>
            </w:tcBorders>
            <w:shd w:val="clear" w:color="auto" w:fill="auto"/>
            <w:noWrap/>
            <w:vAlign w:val="bottom"/>
          </w:tcPr>
          <w:p w14:paraId="65D31AE2" w14:textId="55D30150" w:rsidR="00F12995" w:rsidRPr="000939E3" w:rsidRDefault="00F12995" w:rsidP="00D970AC">
            <w:pPr>
              <w:spacing w:after="0"/>
              <w:contextualSpacing/>
              <w:jc w:val="right"/>
              <w:rPr>
                <w:color w:val="000000"/>
                <w:sz w:val="20"/>
                <w:szCs w:val="20"/>
              </w:rPr>
            </w:pPr>
            <w:r w:rsidRPr="000939E3">
              <w:rPr>
                <w:color w:val="000000"/>
                <w:sz w:val="20"/>
                <w:szCs w:val="20"/>
              </w:rPr>
              <w:t>39,7</w:t>
            </w:r>
          </w:p>
        </w:tc>
        <w:tc>
          <w:tcPr>
            <w:tcW w:w="780" w:type="dxa"/>
            <w:tcBorders>
              <w:left w:val="nil"/>
              <w:right w:val="nil"/>
            </w:tcBorders>
            <w:shd w:val="clear" w:color="auto" w:fill="auto"/>
            <w:noWrap/>
            <w:vAlign w:val="bottom"/>
          </w:tcPr>
          <w:p w14:paraId="6EBB4E21" w14:textId="1AE636FA" w:rsidR="00F12995" w:rsidRPr="000939E3" w:rsidRDefault="00F12995" w:rsidP="00D970AC">
            <w:pPr>
              <w:spacing w:after="0"/>
              <w:contextualSpacing/>
              <w:jc w:val="right"/>
              <w:rPr>
                <w:color w:val="000000"/>
                <w:sz w:val="20"/>
                <w:szCs w:val="20"/>
              </w:rPr>
            </w:pPr>
            <w:r w:rsidRPr="000939E3">
              <w:rPr>
                <w:color w:val="000000"/>
                <w:sz w:val="20"/>
                <w:szCs w:val="20"/>
              </w:rPr>
              <w:t>30,0</w:t>
            </w:r>
          </w:p>
        </w:tc>
        <w:tc>
          <w:tcPr>
            <w:tcW w:w="779" w:type="dxa"/>
            <w:tcBorders>
              <w:left w:val="nil"/>
              <w:right w:val="nil"/>
            </w:tcBorders>
            <w:shd w:val="clear" w:color="auto" w:fill="auto"/>
            <w:noWrap/>
            <w:vAlign w:val="bottom"/>
          </w:tcPr>
          <w:p w14:paraId="22B135C3" w14:textId="0CD7D14A" w:rsidR="00F12995" w:rsidRPr="000939E3" w:rsidRDefault="00F12995" w:rsidP="00D970AC">
            <w:pPr>
              <w:spacing w:after="0"/>
              <w:contextualSpacing/>
              <w:jc w:val="right"/>
              <w:rPr>
                <w:color w:val="000000"/>
                <w:sz w:val="20"/>
                <w:szCs w:val="20"/>
              </w:rPr>
            </w:pPr>
            <w:r w:rsidRPr="000939E3">
              <w:rPr>
                <w:color w:val="000000"/>
                <w:sz w:val="20"/>
                <w:szCs w:val="20"/>
              </w:rPr>
              <w:t>21,9</w:t>
            </w:r>
          </w:p>
        </w:tc>
        <w:tc>
          <w:tcPr>
            <w:tcW w:w="780" w:type="dxa"/>
            <w:tcBorders>
              <w:left w:val="nil"/>
              <w:right w:val="nil"/>
            </w:tcBorders>
            <w:shd w:val="clear" w:color="auto" w:fill="auto"/>
            <w:noWrap/>
            <w:vAlign w:val="bottom"/>
          </w:tcPr>
          <w:p w14:paraId="0368315E" w14:textId="4E84CDC3" w:rsidR="00F12995" w:rsidRPr="000939E3" w:rsidRDefault="00F12995" w:rsidP="00D970AC">
            <w:pPr>
              <w:spacing w:after="0"/>
              <w:contextualSpacing/>
              <w:jc w:val="right"/>
              <w:rPr>
                <w:color w:val="000000"/>
                <w:sz w:val="20"/>
                <w:szCs w:val="20"/>
              </w:rPr>
            </w:pPr>
            <w:r w:rsidRPr="000939E3">
              <w:rPr>
                <w:color w:val="000000"/>
                <w:sz w:val="20"/>
                <w:szCs w:val="20"/>
              </w:rPr>
              <w:t>16,9</w:t>
            </w:r>
          </w:p>
        </w:tc>
        <w:tc>
          <w:tcPr>
            <w:tcW w:w="780" w:type="dxa"/>
            <w:tcBorders>
              <w:left w:val="nil"/>
              <w:right w:val="nil"/>
            </w:tcBorders>
            <w:shd w:val="clear" w:color="auto" w:fill="auto"/>
            <w:noWrap/>
            <w:vAlign w:val="bottom"/>
          </w:tcPr>
          <w:p w14:paraId="4F3A871D" w14:textId="0B2BD9D0" w:rsidR="00F12995" w:rsidRPr="000939E3" w:rsidRDefault="00F12995" w:rsidP="00D970AC">
            <w:pPr>
              <w:spacing w:after="0"/>
              <w:contextualSpacing/>
              <w:jc w:val="right"/>
              <w:rPr>
                <w:color w:val="000000"/>
                <w:sz w:val="20"/>
                <w:szCs w:val="20"/>
              </w:rPr>
            </w:pPr>
            <w:r w:rsidRPr="000939E3">
              <w:rPr>
                <w:color w:val="000000"/>
                <w:sz w:val="20"/>
                <w:szCs w:val="20"/>
              </w:rPr>
              <w:t>13,4</w:t>
            </w:r>
          </w:p>
        </w:tc>
      </w:tr>
      <w:tr w:rsidR="00F12995" w:rsidRPr="000939E3" w14:paraId="67251C00" w14:textId="3ABB9A2A" w:rsidTr="002257F2">
        <w:trPr>
          <w:trHeight w:val="20"/>
        </w:trPr>
        <w:tc>
          <w:tcPr>
            <w:tcW w:w="709" w:type="dxa"/>
            <w:vMerge/>
            <w:tcBorders>
              <w:left w:val="nil"/>
              <w:bottom w:val="single" w:sz="4" w:space="0" w:color="auto"/>
              <w:right w:val="nil"/>
            </w:tcBorders>
            <w:shd w:val="clear" w:color="auto" w:fill="auto"/>
            <w:vAlign w:val="center"/>
          </w:tcPr>
          <w:p w14:paraId="2C3BB25D" w14:textId="77777777" w:rsidR="00F12995" w:rsidRPr="000939E3" w:rsidRDefault="00F12995" w:rsidP="00D970AC">
            <w:pPr>
              <w:spacing w:after="0"/>
              <w:ind w:left="1348"/>
              <w:contextualSpacing/>
              <w:rPr>
                <w:rFonts w:eastAsia="Times New Roman" w:cs="Times New Roman"/>
                <w:b/>
                <w:sz w:val="20"/>
                <w:szCs w:val="20"/>
                <w:lang w:eastAsia="sk-SK"/>
              </w:rPr>
            </w:pPr>
          </w:p>
        </w:tc>
        <w:tc>
          <w:tcPr>
            <w:tcW w:w="2268" w:type="dxa"/>
            <w:tcBorders>
              <w:left w:val="nil"/>
              <w:bottom w:val="single" w:sz="4" w:space="0" w:color="auto"/>
              <w:right w:val="nil"/>
            </w:tcBorders>
            <w:shd w:val="clear" w:color="auto" w:fill="auto"/>
            <w:vAlign w:val="center"/>
          </w:tcPr>
          <w:p w14:paraId="09367547" w14:textId="5D491D6A" w:rsidR="00F12995" w:rsidRPr="000939E3" w:rsidRDefault="00F12995" w:rsidP="00D970AC">
            <w:pPr>
              <w:spacing w:after="0"/>
              <w:contextualSpacing/>
              <w:rPr>
                <w:color w:val="000000"/>
                <w:sz w:val="20"/>
                <w:szCs w:val="20"/>
              </w:rPr>
            </w:pPr>
            <w:r w:rsidRPr="000939E3">
              <w:rPr>
                <w:color w:val="000000"/>
                <w:sz w:val="20"/>
                <w:szCs w:val="20"/>
              </w:rPr>
              <w:t>PhD.</w:t>
            </w:r>
          </w:p>
        </w:tc>
        <w:tc>
          <w:tcPr>
            <w:tcW w:w="637" w:type="dxa"/>
            <w:tcBorders>
              <w:left w:val="nil"/>
              <w:bottom w:val="single" w:sz="4" w:space="0" w:color="auto"/>
              <w:right w:val="nil"/>
            </w:tcBorders>
            <w:shd w:val="clear" w:color="auto" w:fill="auto"/>
            <w:noWrap/>
            <w:vAlign w:val="bottom"/>
          </w:tcPr>
          <w:p w14:paraId="093DCFF5" w14:textId="58FA5D06" w:rsidR="00F12995" w:rsidRPr="000939E3" w:rsidRDefault="00F12995" w:rsidP="00D970AC">
            <w:pPr>
              <w:spacing w:after="0"/>
              <w:contextualSpacing/>
              <w:jc w:val="right"/>
              <w:rPr>
                <w:color w:val="000000"/>
                <w:sz w:val="20"/>
                <w:szCs w:val="20"/>
              </w:rPr>
            </w:pPr>
            <w:r w:rsidRPr="000939E3">
              <w:rPr>
                <w:color w:val="000000"/>
                <w:sz w:val="20"/>
                <w:szCs w:val="20"/>
              </w:rPr>
              <w:t>7,8</w:t>
            </w:r>
          </w:p>
        </w:tc>
        <w:tc>
          <w:tcPr>
            <w:tcW w:w="780" w:type="dxa"/>
            <w:tcBorders>
              <w:left w:val="nil"/>
              <w:bottom w:val="single" w:sz="4" w:space="0" w:color="auto"/>
              <w:right w:val="nil"/>
            </w:tcBorders>
            <w:shd w:val="clear" w:color="auto" w:fill="auto"/>
            <w:noWrap/>
            <w:vAlign w:val="bottom"/>
          </w:tcPr>
          <w:p w14:paraId="235F8F18" w14:textId="17CF9024" w:rsidR="00F12995" w:rsidRPr="000939E3" w:rsidRDefault="00F12995" w:rsidP="00D970AC">
            <w:pPr>
              <w:spacing w:after="0"/>
              <w:contextualSpacing/>
              <w:jc w:val="right"/>
              <w:rPr>
                <w:color w:val="000000"/>
                <w:sz w:val="20"/>
                <w:szCs w:val="20"/>
              </w:rPr>
            </w:pPr>
            <w:r w:rsidRPr="000939E3">
              <w:rPr>
                <w:color w:val="000000"/>
                <w:sz w:val="20"/>
                <w:szCs w:val="20"/>
              </w:rPr>
              <w:t>10,4</w:t>
            </w:r>
          </w:p>
        </w:tc>
        <w:tc>
          <w:tcPr>
            <w:tcW w:w="779" w:type="dxa"/>
            <w:tcBorders>
              <w:left w:val="nil"/>
              <w:bottom w:val="single" w:sz="4" w:space="0" w:color="auto"/>
              <w:right w:val="nil"/>
            </w:tcBorders>
            <w:shd w:val="clear" w:color="auto" w:fill="auto"/>
            <w:noWrap/>
            <w:vAlign w:val="bottom"/>
          </w:tcPr>
          <w:p w14:paraId="24016230" w14:textId="10D96A35" w:rsidR="00F12995" w:rsidRPr="000939E3" w:rsidRDefault="00F12995" w:rsidP="00D970AC">
            <w:pPr>
              <w:spacing w:after="0"/>
              <w:contextualSpacing/>
              <w:jc w:val="right"/>
              <w:rPr>
                <w:color w:val="000000"/>
                <w:sz w:val="20"/>
                <w:szCs w:val="20"/>
              </w:rPr>
            </w:pPr>
            <w:r w:rsidRPr="000939E3">
              <w:rPr>
                <w:color w:val="000000"/>
                <w:sz w:val="20"/>
                <w:szCs w:val="20"/>
              </w:rPr>
              <w:t>9,8</w:t>
            </w:r>
          </w:p>
        </w:tc>
        <w:tc>
          <w:tcPr>
            <w:tcW w:w="780" w:type="dxa"/>
            <w:gridSpan w:val="2"/>
            <w:tcBorders>
              <w:left w:val="nil"/>
              <w:bottom w:val="single" w:sz="4" w:space="0" w:color="auto"/>
              <w:right w:val="nil"/>
            </w:tcBorders>
            <w:shd w:val="clear" w:color="auto" w:fill="auto"/>
            <w:noWrap/>
            <w:vAlign w:val="bottom"/>
          </w:tcPr>
          <w:p w14:paraId="64209670" w14:textId="7FCC1E69" w:rsidR="00F12995" w:rsidRPr="000939E3" w:rsidRDefault="00F12995" w:rsidP="00D970AC">
            <w:pPr>
              <w:spacing w:after="0"/>
              <w:contextualSpacing/>
              <w:jc w:val="right"/>
              <w:rPr>
                <w:color w:val="000000"/>
                <w:sz w:val="20"/>
                <w:szCs w:val="20"/>
              </w:rPr>
            </w:pPr>
            <w:r w:rsidRPr="000939E3">
              <w:rPr>
                <w:color w:val="000000"/>
                <w:sz w:val="20"/>
                <w:szCs w:val="20"/>
              </w:rPr>
              <w:t>11,1</w:t>
            </w:r>
          </w:p>
        </w:tc>
        <w:tc>
          <w:tcPr>
            <w:tcW w:w="780" w:type="dxa"/>
            <w:tcBorders>
              <w:left w:val="nil"/>
              <w:bottom w:val="single" w:sz="4" w:space="0" w:color="auto"/>
              <w:right w:val="nil"/>
            </w:tcBorders>
            <w:shd w:val="clear" w:color="auto" w:fill="auto"/>
            <w:noWrap/>
            <w:vAlign w:val="bottom"/>
          </w:tcPr>
          <w:p w14:paraId="51384012" w14:textId="54B793F6" w:rsidR="00F12995" w:rsidRPr="000939E3" w:rsidRDefault="00F12995" w:rsidP="00D970AC">
            <w:pPr>
              <w:spacing w:after="0"/>
              <w:contextualSpacing/>
              <w:jc w:val="right"/>
              <w:rPr>
                <w:color w:val="000000"/>
                <w:sz w:val="20"/>
                <w:szCs w:val="20"/>
              </w:rPr>
            </w:pPr>
            <w:r w:rsidRPr="000939E3">
              <w:rPr>
                <w:color w:val="000000"/>
                <w:sz w:val="20"/>
                <w:szCs w:val="20"/>
              </w:rPr>
              <w:t>9,9</w:t>
            </w:r>
          </w:p>
        </w:tc>
        <w:tc>
          <w:tcPr>
            <w:tcW w:w="779" w:type="dxa"/>
            <w:tcBorders>
              <w:left w:val="nil"/>
              <w:bottom w:val="single" w:sz="4" w:space="0" w:color="auto"/>
              <w:right w:val="nil"/>
            </w:tcBorders>
            <w:shd w:val="clear" w:color="auto" w:fill="auto"/>
            <w:noWrap/>
            <w:vAlign w:val="bottom"/>
          </w:tcPr>
          <w:p w14:paraId="75FED644" w14:textId="21B41AE9" w:rsidR="00F12995" w:rsidRPr="000939E3" w:rsidRDefault="00F12995" w:rsidP="00D970AC">
            <w:pPr>
              <w:spacing w:after="0"/>
              <w:contextualSpacing/>
              <w:jc w:val="right"/>
              <w:rPr>
                <w:color w:val="000000"/>
                <w:sz w:val="20"/>
                <w:szCs w:val="20"/>
              </w:rPr>
            </w:pPr>
            <w:r w:rsidRPr="000939E3">
              <w:rPr>
                <w:color w:val="000000"/>
                <w:sz w:val="20"/>
                <w:szCs w:val="20"/>
              </w:rPr>
              <w:t>8,2</w:t>
            </w:r>
          </w:p>
        </w:tc>
        <w:tc>
          <w:tcPr>
            <w:tcW w:w="780" w:type="dxa"/>
            <w:tcBorders>
              <w:left w:val="nil"/>
              <w:bottom w:val="single" w:sz="4" w:space="0" w:color="auto"/>
              <w:right w:val="nil"/>
            </w:tcBorders>
            <w:shd w:val="clear" w:color="auto" w:fill="auto"/>
            <w:noWrap/>
            <w:vAlign w:val="bottom"/>
          </w:tcPr>
          <w:p w14:paraId="4C6EE5D7" w14:textId="15792E9E" w:rsidR="00F12995" w:rsidRPr="000939E3" w:rsidRDefault="00F12995" w:rsidP="00D970AC">
            <w:pPr>
              <w:spacing w:after="0"/>
              <w:contextualSpacing/>
              <w:jc w:val="right"/>
              <w:rPr>
                <w:color w:val="000000"/>
                <w:sz w:val="20"/>
                <w:szCs w:val="20"/>
              </w:rPr>
            </w:pPr>
            <w:r w:rsidRPr="000939E3">
              <w:rPr>
                <w:color w:val="000000"/>
                <w:sz w:val="20"/>
                <w:szCs w:val="20"/>
              </w:rPr>
              <w:t>6,8</w:t>
            </w:r>
          </w:p>
        </w:tc>
        <w:tc>
          <w:tcPr>
            <w:tcW w:w="780" w:type="dxa"/>
            <w:tcBorders>
              <w:left w:val="nil"/>
              <w:bottom w:val="single" w:sz="4" w:space="0" w:color="auto"/>
              <w:right w:val="nil"/>
            </w:tcBorders>
            <w:shd w:val="clear" w:color="auto" w:fill="auto"/>
            <w:noWrap/>
            <w:vAlign w:val="bottom"/>
          </w:tcPr>
          <w:p w14:paraId="55743BC0" w14:textId="2904BD89" w:rsidR="00F12995" w:rsidRPr="000939E3" w:rsidRDefault="002257F2" w:rsidP="00D970AC">
            <w:pPr>
              <w:spacing w:after="0"/>
              <w:contextualSpacing/>
              <w:jc w:val="right"/>
              <w:rPr>
                <w:color w:val="000000"/>
                <w:sz w:val="20"/>
                <w:szCs w:val="20"/>
              </w:rPr>
            </w:pPr>
            <w:r w:rsidRPr="000939E3">
              <w:rPr>
                <w:color w:val="000000"/>
                <w:sz w:val="20"/>
                <w:szCs w:val="20"/>
              </w:rPr>
              <w:t>6,2</w:t>
            </w:r>
          </w:p>
        </w:tc>
      </w:tr>
      <w:tr w:rsidR="00F12995" w:rsidRPr="000939E3" w14:paraId="5B3ED7F1" w14:textId="494AD0BE" w:rsidTr="002257F2">
        <w:trPr>
          <w:trHeight w:val="20"/>
        </w:trPr>
        <w:tc>
          <w:tcPr>
            <w:tcW w:w="2977" w:type="dxa"/>
            <w:gridSpan w:val="2"/>
            <w:tcBorders>
              <w:top w:val="single" w:sz="4" w:space="0" w:color="auto"/>
              <w:left w:val="nil"/>
              <w:right w:val="nil"/>
            </w:tcBorders>
            <w:shd w:val="clear" w:color="auto" w:fill="auto"/>
            <w:vAlign w:val="center"/>
          </w:tcPr>
          <w:p w14:paraId="15B01162" w14:textId="77777777" w:rsidR="00F12995" w:rsidRPr="000939E3" w:rsidRDefault="00F12995" w:rsidP="00D970AC">
            <w:pPr>
              <w:spacing w:after="0"/>
              <w:contextualSpacing/>
              <w:rPr>
                <w:rFonts w:eastAsia="Times New Roman" w:cs="Times New Roman"/>
                <w:b/>
                <w:sz w:val="20"/>
                <w:szCs w:val="20"/>
                <w:lang w:eastAsia="sk-SK"/>
              </w:rPr>
            </w:pPr>
            <w:r w:rsidRPr="000939E3">
              <w:rPr>
                <w:rFonts w:eastAsia="Times New Roman" w:cs="Times New Roman"/>
                <w:b/>
                <w:sz w:val="20"/>
                <w:szCs w:val="20"/>
                <w:lang w:eastAsia="sk-SK"/>
              </w:rPr>
              <w:t>Počet študentov na zamestnanca**</w:t>
            </w:r>
          </w:p>
        </w:tc>
        <w:tc>
          <w:tcPr>
            <w:tcW w:w="637" w:type="dxa"/>
            <w:tcBorders>
              <w:top w:val="single" w:sz="4" w:space="0" w:color="auto"/>
              <w:left w:val="nil"/>
              <w:right w:val="nil"/>
            </w:tcBorders>
            <w:shd w:val="clear" w:color="auto" w:fill="auto"/>
            <w:noWrap/>
            <w:vAlign w:val="center"/>
          </w:tcPr>
          <w:p w14:paraId="1E9786DD" w14:textId="7CFB7E41" w:rsidR="00F12995" w:rsidRPr="000939E3" w:rsidRDefault="00F12995" w:rsidP="00D970AC">
            <w:pPr>
              <w:spacing w:after="0"/>
              <w:contextualSpacing/>
              <w:jc w:val="right"/>
              <w:rPr>
                <w:b/>
                <w:color w:val="000000"/>
                <w:sz w:val="20"/>
                <w:szCs w:val="20"/>
              </w:rPr>
            </w:pPr>
            <w:r w:rsidRPr="000939E3">
              <w:rPr>
                <w:b/>
                <w:color w:val="000000"/>
                <w:sz w:val="20"/>
                <w:szCs w:val="20"/>
              </w:rPr>
              <w:t>6,6</w:t>
            </w:r>
          </w:p>
        </w:tc>
        <w:tc>
          <w:tcPr>
            <w:tcW w:w="780" w:type="dxa"/>
            <w:tcBorders>
              <w:top w:val="single" w:sz="4" w:space="0" w:color="auto"/>
              <w:left w:val="nil"/>
              <w:right w:val="nil"/>
            </w:tcBorders>
            <w:shd w:val="clear" w:color="auto" w:fill="auto"/>
            <w:noWrap/>
            <w:vAlign w:val="center"/>
          </w:tcPr>
          <w:p w14:paraId="361D90D8" w14:textId="1E6C6F15" w:rsidR="00F12995" w:rsidRPr="000939E3" w:rsidRDefault="00F12995" w:rsidP="00D970AC">
            <w:pPr>
              <w:spacing w:after="0"/>
              <w:contextualSpacing/>
              <w:jc w:val="right"/>
              <w:rPr>
                <w:b/>
                <w:color w:val="000000"/>
                <w:sz w:val="20"/>
                <w:szCs w:val="20"/>
              </w:rPr>
            </w:pPr>
            <w:r w:rsidRPr="000939E3">
              <w:rPr>
                <w:b/>
                <w:color w:val="000000"/>
                <w:sz w:val="20"/>
                <w:szCs w:val="20"/>
              </w:rPr>
              <w:t>8,5</w:t>
            </w:r>
          </w:p>
        </w:tc>
        <w:tc>
          <w:tcPr>
            <w:tcW w:w="779" w:type="dxa"/>
            <w:tcBorders>
              <w:top w:val="single" w:sz="4" w:space="0" w:color="auto"/>
              <w:left w:val="nil"/>
              <w:right w:val="nil"/>
            </w:tcBorders>
            <w:shd w:val="clear" w:color="auto" w:fill="auto"/>
            <w:noWrap/>
            <w:vAlign w:val="center"/>
          </w:tcPr>
          <w:p w14:paraId="274A9007" w14:textId="0CA033AA" w:rsidR="00F12995" w:rsidRPr="000939E3" w:rsidRDefault="00F12995" w:rsidP="00D970AC">
            <w:pPr>
              <w:spacing w:after="0"/>
              <w:contextualSpacing/>
              <w:jc w:val="right"/>
              <w:rPr>
                <w:b/>
                <w:color w:val="000000"/>
                <w:sz w:val="20"/>
                <w:szCs w:val="20"/>
              </w:rPr>
            </w:pPr>
            <w:r w:rsidRPr="000939E3">
              <w:rPr>
                <w:b/>
                <w:color w:val="000000"/>
                <w:sz w:val="20"/>
                <w:szCs w:val="20"/>
              </w:rPr>
              <w:t>9,1</w:t>
            </w:r>
          </w:p>
        </w:tc>
        <w:tc>
          <w:tcPr>
            <w:tcW w:w="780" w:type="dxa"/>
            <w:gridSpan w:val="2"/>
            <w:tcBorders>
              <w:top w:val="single" w:sz="4" w:space="0" w:color="auto"/>
              <w:left w:val="nil"/>
              <w:right w:val="nil"/>
            </w:tcBorders>
            <w:shd w:val="clear" w:color="auto" w:fill="auto"/>
            <w:noWrap/>
            <w:vAlign w:val="center"/>
          </w:tcPr>
          <w:p w14:paraId="7284230C" w14:textId="5FF44940" w:rsidR="00F12995" w:rsidRPr="000939E3" w:rsidRDefault="00F12995" w:rsidP="00D970AC">
            <w:pPr>
              <w:spacing w:after="0"/>
              <w:contextualSpacing/>
              <w:jc w:val="right"/>
              <w:rPr>
                <w:b/>
                <w:color w:val="000000"/>
                <w:sz w:val="20"/>
                <w:szCs w:val="20"/>
              </w:rPr>
            </w:pPr>
            <w:r w:rsidRPr="000939E3">
              <w:rPr>
                <w:b/>
                <w:color w:val="000000"/>
                <w:sz w:val="20"/>
                <w:szCs w:val="20"/>
              </w:rPr>
              <w:t>8,3</w:t>
            </w:r>
          </w:p>
        </w:tc>
        <w:tc>
          <w:tcPr>
            <w:tcW w:w="780" w:type="dxa"/>
            <w:tcBorders>
              <w:top w:val="single" w:sz="4" w:space="0" w:color="auto"/>
              <w:left w:val="nil"/>
              <w:right w:val="nil"/>
            </w:tcBorders>
            <w:shd w:val="clear" w:color="auto" w:fill="auto"/>
            <w:noWrap/>
            <w:vAlign w:val="center"/>
          </w:tcPr>
          <w:p w14:paraId="524180A4" w14:textId="719540A9" w:rsidR="00F12995" w:rsidRPr="000939E3" w:rsidRDefault="00F12995" w:rsidP="00D970AC">
            <w:pPr>
              <w:spacing w:after="0"/>
              <w:contextualSpacing/>
              <w:jc w:val="right"/>
              <w:rPr>
                <w:b/>
                <w:color w:val="000000"/>
                <w:sz w:val="20"/>
                <w:szCs w:val="20"/>
              </w:rPr>
            </w:pPr>
            <w:r w:rsidRPr="000939E3">
              <w:rPr>
                <w:b/>
                <w:color w:val="000000"/>
                <w:sz w:val="20"/>
                <w:szCs w:val="20"/>
              </w:rPr>
              <w:t>7,7</w:t>
            </w:r>
          </w:p>
        </w:tc>
        <w:tc>
          <w:tcPr>
            <w:tcW w:w="779" w:type="dxa"/>
            <w:tcBorders>
              <w:top w:val="single" w:sz="4" w:space="0" w:color="auto"/>
              <w:left w:val="nil"/>
              <w:right w:val="nil"/>
            </w:tcBorders>
            <w:shd w:val="clear" w:color="auto" w:fill="auto"/>
            <w:noWrap/>
            <w:vAlign w:val="center"/>
          </w:tcPr>
          <w:p w14:paraId="35F0E207" w14:textId="42A3D670" w:rsidR="00F12995" w:rsidRPr="000939E3" w:rsidRDefault="00F12995" w:rsidP="00D970AC">
            <w:pPr>
              <w:spacing w:after="0"/>
              <w:contextualSpacing/>
              <w:jc w:val="right"/>
              <w:rPr>
                <w:b/>
                <w:color w:val="000000"/>
                <w:sz w:val="20"/>
                <w:szCs w:val="20"/>
              </w:rPr>
            </w:pPr>
            <w:r w:rsidRPr="000939E3">
              <w:rPr>
                <w:b/>
                <w:color w:val="000000"/>
                <w:sz w:val="20"/>
                <w:szCs w:val="20"/>
              </w:rPr>
              <w:t>6,8</w:t>
            </w:r>
          </w:p>
        </w:tc>
        <w:tc>
          <w:tcPr>
            <w:tcW w:w="780" w:type="dxa"/>
            <w:tcBorders>
              <w:top w:val="single" w:sz="4" w:space="0" w:color="auto"/>
              <w:left w:val="nil"/>
              <w:right w:val="nil"/>
            </w:tcBorders>
            <w:shd w:val="clear" w:color="auto" w:fill="auto"/>
            <w:noWrap/>
            <w:vAlign w:val="center"/>
          </w:tcPr>
          <w:p w14:paraId="751C0733" w14:textId="4D52840D" w:rsidR="00F12995" w:rsidRPr="000939E3" w:rsidRDefault="00F12995" w:rsidP="00D970AC">
            <w:pPr>
              <w:spacing w:after="0"/>
              <w:contextualSpacing/>
              <w:jc w:val="right"/>
              <w:rPr>
                <w:b/>
                <w:color w:val="000000"/>
                <w:sz w:val="20"/>
                <w:szCs w:val="20"/>
              </w:rPr>
            </w:pPr>
            <w:r w:rsidRPr="000939E3">
              <w:rPr>
                <w:b/>
                <w:color w:val="000000"/>
                <w:sz w:val="20"/>
                <w:szCs w:val="20"/>
              </w:rPr>
              <w:t>6,2</w:t>
            </w:r>
          </w:p>
        </w:tc>
        <w:tc>
          <w:tcPr>
            <w:tcW w:w="780" w:type="dxa"/>
            <w:tcBorders>
              <w:top w:val="single" w:sz="4" w:space="0" w:color="auto"/>
              <w:left w:val="nil"/>
              <w:right w:val="nil"/>
            </w:tcBorders>
            <w:shd w:val="clear" w:color="auto" w:fill="auto"/>
            <w:noWrap/>
            <w:vAlign w:val="center"/>
          </w:tcPr>
          <w:p w14:paraId="4F4D1581" w14:textId="06547EED" w:rsidR="00F12995" w:rsidRPr="000939E3" w:rsidRDefault="002257F2" w:rsidP="00D970AC">
            <w:pPr>
              <w:spacing w:after="0"/>
              <w:contextualSpacing/>
              <w:jc w:val="right"/>
              <w:rPr>
                <w:b/>
                <w:color w:val="000000"/>
                <w:sz w:val="20"/>
                <w:szCs w:val="20"/>
              </w:rPr>
            </w:pPr>
            <w:r w:rsidRPr="000939E3">
              <w:rPr>
                <w:b/>
                <w:color w:val="000000"/>
                <w:sz w:val="20"/>
                <w:szCs w:val="20"/>
              </w:rPr>
              <w:t>5,7</w:t>
            </w:r>
          </w:p>
        </w:tc>
      </w:tr>
      <w:tr w:rsidR="00F12995" w:rsidRPr="000939E3" w14:paraId="7CFB3CA2" w14:textId="11009D1A" w:rsidTr="002257F2">
        <w:trPr>
          <w:trHeight w:val="20"/>
        </w:trPr>
        <w:tc>
          <w:tcPr>
            <w:tcW w:w="709" w:type="dxa"/>
            <w:vMerge w:val="restart"/>
            <w:tcBorders>
              <w:left w:val="nil"/>
              <w:right w:val="nil"/>
            </w:tcBorders>
            <w:shd w:val="clear" w:color="auto" w:fill="auto"/>
          </w:tcPr>
          <w:p w14:paraId="14EF2FD7" w14:textId="77777777" w:rsidR="00F12995" w:rsidRPr="000939E3" w:rsidRDefault="00F12995" w:rsidP="00D970AC">
            <w:pPr>
              <w:spacing w:after="0"/>
              <w:contextualSpacing/>
              <w:rPr>
                <w:rFonts w:eastAsia="Times New Roman" w:cs="Times New Roman"/>
                <w:b/>
                <w:sz w:val="20"/>
                <w:szCs w:val="20"/>
                <w:lang w:eastAsia="sk-SK"/>
              </w:rPr>
            </w:pPr>
            <w:r w:rsidRPr="000939E3">
              <w:rPr>
                <w:rFonts w:eastAsia="Times New Roman" w:cs="Times New Roman"/>
                <w:sz w:val="20"/>
                <w:szCs w:val="20"/>
                <w:lang w:eastAsia="sk-SK"/>
              </w:rPr>
              <w:t>z toho</w:t>
            </w:r>
          </w:p>
        </w:tc>
        <w:tc>
          <w:tcPr>
            <w:tcW w:w="2268" w:type="dxa"/>
            <w:tcBorders>
              <w:left w:val="nil"/>
              <w:right w:val="nil"/>
            </w:tcBorders>
            <w:shd w:val="clear" w:color="auto" w:fill="auto"/>
            <w:vAlign w:val="center"/>
          </w:tcPr>
          <w:p w14:paraId="370B052D" w14:textId="714107C9" w:rsidR="00F12995" w:rsidRPr="000939E3" w:rsidRDefault="00F12995" w:rsidP="00D970AC">
            <w:pPr>
              <w:spacing w:after="0"/>
              <w:contextualSpacing/>
              <w:rPr>
                <w:color w:val="000000"/>
                <w:sz w:val="20"/>
                <w:szCs w:val="20"/>
              </w:rPr>
            </w:pPr>
            <w:r w:rsidRPr="000939E3">
              <w:rPr>
                <w:color w:val="000000"/>
                <w:sz w:val="20"/>
                <w:szCs w:val="20"/>
              </w:rPr>
              <w:t>učiteľa</w:t>
            </w:r>
          </w:p>
        </w:tc>
        <w:tc>
          <w:tcPr>
            <w:tcW w:w="637" w:type="dxa"/>
            <w:tcBorders>
              <w:left w:val="nil"/>
              <w:right w:val="nil"/>
            </w:tcBorders>
            <w:shd w:val="clear" w:color="auto" w:fill="auto"/>
            <w:noWrap/>
            <w:vAlign w:val="center"/>
          </w:tcPr>
          <w:p w14:paraId="3CD2606C" w14:textId="069629D7" w:rsidR="00F12995" w:rsidRPr="000939E3" w:rsidRDefault="00F12995" w:rsidP="00D970AC">
            <w:pPr>
              <w:spacing w:after="0"/>
              <w:contextualSpacing/>
              <w:jc w:val="right"/>
              <w:rPr>
                <w:color w:val="000000"/>
                <w:sz w:val="20"/>
                <w:szCs w:val="20"/>
              </w:rPr>
            </w:pPr>
            <w:r w:rsidRPr="000939E3">
              <w:rPr>
                <w:color w:val="000000"/>
                <w:sz w:val="20"/>
                <w:szCs w:val="20"/>
              </w:rPr>
              <w:t>15,2</w:t>
            </w:r>
          </w:p>
        </w:tc>
        <w:tc>
          <w:tcPr>
            <w:tcW w:w="780" w:type="dxa"/>
            <w:tcBorders>
              <w:left w:val="nil"/>
              <w:right w:val="nil"/>
            </w:tcBorders>
            <w:shd w:val="clear" w:color="auto" w:fill="auto"/>
            <w:noWrap/>
            <w:vAlign w:val="center"/>
          </w:tcPr>
          <w:p w14:paraId="6DC9D73D" w14:textId="4256EEC3" w:rsidR="00F12995" w:rsidRPr="000939E3" w:rsidRDefault="00F12995" w:rsidP="00D970AC">
            <w:pPr>
              <w:spacing w:after="0"/>
              <w:contextualSpacing/>
              <w:jc w:val="right"/>
              <w:rPr>
                <w:color w:val="000000"/>
                <w:sz w:val="20"/>
                <w:szCs w:val="20"/>
              </w:rPr>
            </w:pPr>
            <w:r w:rsidRPr="000939E3">
              <w:rPr>
                <w:color w:val="000000"/>
                <w:sz w:val="20"/>
                <w:szCs w:val="20"/>
              </w:rPr>
              <w:t>19,0</w:t>
            </w:r>
          </w:p>
        </w:tc>
        <w:tc>
          <w:tcPr>
            <w:tcW w:w="779" w:type="dxa"/>
            <w:tcBorders>
              <w:left w:val="nil"/>
              <w:right w:val="nil"/>
            </w:tcBorders>
            <w:shd w:val="clear" w:color="auto" w:fill="auto"/>
            <w:noWrap/>
            <w:vAlign w:val="center"/>
          </w:tcPr>
          <w:p w14:paraId="73532E5A" w14:textId="0C773F61" w:rsidR="00F12995" w:rsidRPr="000939E3" w:rsidRDefault="00F12995" w:rsidP="00D970AC">
            <w:pPr>
              <w:spacing w:after="0"/>
              <w:contextualSpacing/>
              <w:jc w:val="right"/>
              <w:rPr>
                <w:color w:val="000000"/>
                <w:sz w:val="20"/>
                <w:szCs w:val="20"/>
              </w:rPr>
            </w:pPr>
            <w:r w:rsidRPr="000939E3">
              <w:rPr>
                <w:color w:val="000000"/>
                <w:sz w:val="20"/>
                <w:szCs w:val="20"/>
              </w:rPr>
              <w:t>20,3</w:t>
            </w:r>
          </w:p>
        </w:tc>
        <w:tc>
          <w:tcPr>
            <w:tcW w:w="780" w:type="dxa"/>
            <w:gridSpan w:val="2"/>
            <w:tcBorders>
              <w:left w:val="nil"/>
              <w:right w:val="nil"/>
            </w:tcBorders>
            <w:shd w:val="clear" w:color="auto" w:fill="auto"/>
            <w:noWrap/>
            <w:vAlign w:val="center"/>
          </w:tcPr>
          <w:p w14:paraId="592621D0" w14:textId="551B0A01" w:rsidR="00F12995" w:rsidRPr="000939E3" w:rsidRDefault="00F12995" w:rsidP="00D970AC">
            <w:pPr>
              <w:spacing w:after="0"/>
              <w:contextualSpacing/>
              <w:jc w:val="right"/>
              <w:rPr>
                <w:color w:val="000000"/>
                <w:sz w:val="20"/>
                <w:szCs w:val="20"/>
              </w:rPr>
            </w:pPr>
            <w:r w:rsidRPr="000939E3">
              <w:rPr>
                <w:color w:val="000000"/>
                <w:sz w:val="20"/>
                <w:szCs w:val="20"/>
              </w:rPr>
              <w:t>17,9</w:t>
            </w:r>
          </w:p>
        </w:tc>
        <w:tc>
          <w:tcPr>
            <w:tcW w:w="780" w:type="dxa"/>
            <w:tcBorders>
              <w:left w:val="nil"/>
              <w:right w:val="nil"/>
            </w:tcBorders>
            <w:shd w:val="clear" w:color="auto" w:fill="auto"/>
            <w:noWrap/>
            <w:vAlign w:val="center"/>
          </w:tcPr>
          <w:p w14:paraId="26EC10CA" w14:textId="1A08E679" w:rsidR="00F12995" w:rsidRPr="000939E3" w:rsidRDefault="00F12995" w:rsidP="00D970AC">
            <w:pPr>
              <w:spacing w:after="0"/>
              <w:contextualSpacing/>
              <w:jc w:val="right"/>
              <w:rPr>
                <w:color w:val="000000"/>
                <w:sz w:val="20"/>
                <w:szCs w:val="20"/>
              </w:rPr>
            </w:pPr>
            <w:r w:rsidRPr="000939E3">
              <w:rPr>
                <w:color w:val="000000"/>
                <w:sz w:val="20"/>
                <w:szCs w:val="20"/>
              </w:rPr>
              <w:t>16,7</w:t>
            </w:r>
          </w:p>
        </w:tc>
        <w:tc>
          <w:tcPr>
            <w:tcW w:w="779" w:type="dxa"/>
            <w:tcBorders>
              <w:left w:val="nil"/>
              <w:right w:val="nil"/>
            </w:tcBorders>
            <w:shd w:val="clear" w:color="auto" w:fill="auto"/>
            <w:noWrap/>
            <w:vAlign w:val="center"/>
          </w:tcPr>
          <w:p w14:paraId="494CE242" w14:textId="26E17DAD" w:rsidR="00F12995" w:rsidRPr="000939E3" w:rsidRDefault="00F12995" w:rsidP="00D970AC">
            <w:pPr>
              <w:spacing w:after="0"/>
              <w:contextualSpacing/>
              <w:jc w:val="right"/>
              <w:rPr>
                <w:color w:val="000000"/>
                <w:sz w:val="20"/>
                <w:szCs w:val="20"/>
              </w:rPr>
            </w:pPr>
            <w:r w:rsidRPr="000939E3">
              <w:rPr>
                <w:color w:val="000000"/>
                <w:sz w:val="20"/>
                <w:szCs w:val="20"/>
              </w:rPr>
              <w:t>14,8</w:t>
            </w:r>
          </w:p>
        </w:tc>
        <w:tc>
          <w:tcPr>
            <w:tcW w:w="780" w:type="dxa"/>
            <w:tcBorders>
              <w:left w:val="nil"/>
              <w:right w:val="nil"/>
            </w:tcBorders>
            <w:shd w:val="clear" w:color="auto" w:fill="auto"/>
            <w:noWrap/>
            <w:vAlign w:val="center"/>
          </w:tcPr>
          <w:p w14:paraId="2590E5C1" w14:textId="7C8529A6" w:rsidR="00F12995" w:rsidRPr="000939E3" w:rsidRDefault="00F12995" w:rsidP="00D970AC">
            <w:pPr>
              <w:spacing w:after="0"/>
              <w:contextualSpacing/>
              <w:jc w:val="right"/>
              <w:rPr>
                <w:color w:val="000000"/>
                <w:sz w:val="20"/>
                <w:szCs w:val="20"/>
              </w:rPr>
            </w:pPr>
            <w:r w:rsidRPr="000939E3">
              <w:rPr>
                <w:color w:val="000000"/>
                <w:sz w:val="20"/>
                <w:szCs w:val="20"/>
              </w:rPr>
              <w:t>13,3</w:t>
            </w:r>
          </w:p>
        </w:tc>
        <w:tc>
          <w:tcPr>
            <w:tcW w:w="780" w:type="dxa"/>
            <w:tcBorders>
              <w:left w:val="nil"/>
              <w:right w:val="nil"/>
            </w:tcBorders>
            <w:shd w:val="clear" w:color="auto" w:fill="auto"/>
            <w:noWrap/>
            <w:vAlign w:val="center"/>
          </w:tcPr>
          <w:p w14:paraId="42CAE68B" w14:textId="72960CC8" w:rsidR="00F12995" w:rsidRPr="000939E3" w:rsidRDefault="002257F2" w:rsidP="00D970AC">
            <w:pPr>
              <w:spacing w:after="0"/>
              <w:contextualSpacing/>
              <w:jc w:val="right"/>
              <w:rPr>
                <w:color w:val="000000"/>
                <w:sz w:val="20"/>
                <w:szCs w:val="20"/>
              </w:rPr>
            </w:pPr>
            <w:r w:rsidRPr="000939E3">
              <w:rPr>
                <w:color w:val="000000"/>
                <w:sz w:val="20"/>
                <w:szCs w:val="20"/>
              </w:rPr>
              <w:t>12,2</w:t>
            </w:r>
          </w:p>
        </w:tc>
      </w:tr>
      <w:tr w:rsidR="00F12995" w:rsidRPr="000939E3" w14:paraId="70C953B7" w14:textId="5684F3E8" w:rsidTr="002257F2">
        <w:trPr>
          <w:trHeight w:val="20"/>
        </w:trPr>
        <w:tc>
          <w:tcPr>
            <w:tcW w:w="709" w:type="dxa"/>
            <w:vMerge/>
            <w:tcBorders>
              <w:left w:val="nil"/>
              <w:right w:val="nil"/>
            </w:tcBorders>
            <w:shd w:val="clear" w:color="auto" w:fill="auto"/>
          </w:tcPr>
          <w:p w14:paraId="1D1EA7CA" w14:textId="77777777" w:rsidR="00F12995" w:rsidRPr="000939E3" w:rsidRDefault="00F12995" w:rsidP="00D970AC">
            <w:pPr>
              <w:spacing w:after="0"/>
              <w:contextualSpacing/>
              <w:rPr>
                <w:rFonts w:eastAsia="Times New Roman" w:cs="Times New Roman"/>
                <w:sz w:val="20"/>
                <w:szCs w:val="20"/>
                <w:lang w:eastAsia="sk-SK"/>
              </w:rPr>
            </w:pPr>
          </w:p>
        </w:tc>
        <w:tc>
          <w:tcPr>
            <w:tcW w:w="2268" w:type="dxa"/>
            <w:tcBorders>
              <w:left w:val="nil"/>
              <w:right w:val="nil"/>
            </w:tcBorders>
            <w:shd w:val="clear" w:color="auto" w:fill="auto"/>
            <w:vAlign w:val="bottom"/>
          </w:tcPr>
          <w:p w14:paraId="3C17C188" w14:textId="03573BD0" w:rsidR="00F12995" w:rsidRPr="000939E3" w:rsidRDefault="00F12995" w:rsidP="00D970AC">
            <w:pPr>
              <w:spacing w:after="0"/>
              <w:contextualSpacing/>
              <w:rPr>
                <w:color w:val="000000"/>
                <w:sz w:val="20"/>
                <w:szCs w:val="20"/>
              </w:rPr>
            </w:pPr>
            <w:r w:rsidRPr="000939E3">
              <w:rPr>
                <w:color w:val="000000"/>
                <w:sz w:val="20"/>
                <w:szCs w:val="20"/>
              </w:rPr>
              <w:t>akademického pracovníka</w:t>
            </w:r>
          </w:p>
        </w:tc>
        <w:tc>
          <w:tcPr>
            <w:tcW w:w="637" w:type="dxa"/>
            <w:tcBorders>
              <w:left w:val="nil"/>
              <w:right w:val="nil"/>
            </w:tcBorders>
            <w:shd w:val="clear" w:color="auto" w:fill="auto"/>
            <w:noWrap/>
            <w:vAlign w:val="bottom"/>
          </w:tcPr>
          <w:p w14:paraId="76684D61" w14:textId="449E5BAD" w:rsidR="00F12995" w:rsidRPr="000939E3" w:rsidRDefault="00F12995" w:rsidP="00D970AC">
            <w:pPr>
              <w:spacing w:after="0"/>
              <w:contextualSpacing/>
              <w:jc w:val="right"/>
              <w:rPr>
                <w:color w:val="000000"/>
                <w:sz w:val="20"/>
                <w:szCs w:val="20"/>
              </w:rPr>
            </w:pPr>
            <w:r w:rsidRPr="000939E3">
              <w:rPr>
                <w:color w:val="000000"/>
                <w:sz w:val="20"/>
                <w:szCs w:val="20"/>
              </w:rPr>
              <w:t>13,2</w:t>
            </w:r>
          </w:p>
        </w:tc>
        <w:tc>
          <w:tcPr>
            <w:tcW w:w="780" w:type="dxa"/>
            <w:tcBorders>
              <w:left w:val="nil"/>
              <w:right w:val="nil"/>
            </w:tcBorders>
            <w:shd w:val="clear" w:color="auto" w:fill="auto"/>
            <w:noWrap/>
            <w:vAlign w:val="bottom"/>
          </w:tcPr>
          <w:p w14:paraId="1A6D6D50" w14:textId="0A2FDB45" w:rsidR="00F12995" w:rsidRPr="000939E3" w:rsidRDefault="00F12995" w:rsidP="00D970AC">
            <w:pPr>
              <w:spacing w:after="0"/>
              <w:contextualSpacing/>
              <w:jc w:val="right"/>
              <w:rPr>
                <w:color w:val="000000"/>
                <w:sz w:val="20"/>
                <w:szCs w:val="20"/>
              </w:rPr>
            </w:pPr>
            <w:r w:rsidRPr="000939E3">
              <w:rPr>
                <w:color w:val="000000"/>
                <w:sz w:val="20"/>
                <w:szCs w:val="20"/>
              </w:rPr>
              <w:t>16,6</w:t>
            </w:r>
          </w:p>
        </w:tc>
        <w:tc>
          <w:tcPr>
            <w:tcW w:w="779" w:type="dxa"/>
            <w:tcBorders>
              <w:left w:val="nil"/>
              <w:right w:val="nil"/>
            </w:tcBorders>
            <w:shd w:val="clear" w:color="auto" w:fill="auto"/>
            <w:noWrap/>
            <w:vAlign w:val="bottom"/>
          </w:tcPr>
          <w:p w14:paraId="73075F44" w14:textId="68FB8B01" w:rsidR="00F12995" w:rsidRPr="000939E3" w:rsidRDefault="00F12995" w:rsidP="00D970AC">
            <w:pPr>
              <w:spacing w:after="0"/>
              <w:contextualSpacing/>
              <w:jc w:val="right"/>
              <w:rPr>
                <w:color w:val="000000"/>
                <w:sz w:val="20"/>
                <w:szCs w:val="20"/>
              </w:rPr>
            </w:pPr>
            <w:r w:rsidRPr="000939E3">
              <w:rPr>
                <w:color w:val="000000"/>
                <w:sz w:val="20"/>
                <w:szCs w:val="20"/>
              </w:rPr>
              <w:t>17,6</w:t>
            </w:r>
          </w:p>
        </w:tc>
        <w:tc>
          <w:tcPr>
            <w:tcW w:w="780" w:type="dxa"/>
            <w:gridSpan w:val="2"/>
            <w:tcBorders>
              <w:left w:val="nil"/>
              <w:right w:val="nil"/>
            </w:tcBorders>
            <w:shd w:val="clear" w:color="auto" w:fill="auto"/>
            <w:noWrap/>
            <w:vAlign w:val="bottom"/>
          </w:tcPr>
          <w:p w14:paraId="7CDE9F4C" w14:textId="15109443" w:rsidR="00F12995" w:rsidRPr="000939E3" w:rsidRDefault="00F12995" w:rsidP="00D970AC">
            <w:pPr>
              <w:spacing w:after="0"/>
              <w:contextualSpacing/>
              <w:jc w:val="right"/>
              <w:rPr>
                <w:color w:val="000000"/>
                <w:sz w:val="20"/>
                <w:szCs w:val="20"/>
              </w:rPr>
            </w:pPr>
            <w:r w:rsidRPr="000939E3">
              <w:rPr>
                <w:color w:val="000000"/>
                <w:sz w:val="20"/>
                <w:szCs w:val="20"/>
              </w:rPr>
              <w:t>15,5</w:t>
            </w:r>
          </w:p>
        </w:tc>
        <w:tc>
          <w:tcPr>
            <w:tcW w:w="780" w:type="dxa"/>
            <w:tcBorders>
              <w:left w:val="nil"/>
              <w:right w:val="nil"/>
            </w:tcBorders>
            <w:shd w:val="clear" w:color="auto" w:fill="auto"/>
            <w:noWrap/>
            <w:vAlign w:val="bottom"/>
          </w:tcPr>
          <w:p w14:paraId="03922086" w14:textId="38147B39" w:rsidR="00F12995" w:rsidRPr="000939E3" w:rsidRDefault="00F12995" w:rsidP="00D970AC">
            <w:pPr>
              <w:spacing w:after="0"/>
              <w:contextualSpacing/>
              <w:jc w:val="right"/>
              <w:rPr>
                <w:color w:val="000000"/>
                <w:sz w:val="20"/>
                <w:szCs w:val="20"/>
              </w:rPr>
            </w:pPr>
            <w:r w:rsidRPr="000939E3">
              <w:rPr>
                <w:color w:val="000000"/>
                <w:sz w:val="20"/>
                <w:szCs w:val="20"/>
              </w:rPr>
              <w:t>14,4</w:t>
            </w:r>
          </w:p>
        </w:tc>
        <w:tc>
          <w:tcPr>
            <w:tcW w:w="779" w:type="dxa"/>
            <w:tcBorders>
              <w:left w:val="nil"/>
              <w:right w:val="nil"/>
            </w:tcBorders>
            <w:shd w:val="clear" w:color="auto" w:fill="auto"/>
            <w:noWrap/>
            <w:vAlign w:val="bottom"/>
          </w:tcPr>
          <w:p w14:paraId="17F6562D" w14:textId="04C80BFB" w:rsidR="00F12995" w:rsidRPr="000939E3" w:rsidRDefault="00F12995" w:rsidP="00D970AC">
            <w:pPr>
              <w:spacing w:after="0"/>
              <w:contextualSpacing/>
              <w:jc w:val="right"/>
              <w:rPr>
                <w:color w:val="000000"/>
                <w:sz w:val="20"/>
                <w:szCs w:val="20"/>
              </w:rPr>
            </w:pPr>
            <w:r w:rsidRPr="000939E3">
              <w:rPr>
                <w:color w:val="000000"/>
                <w:sz w:val="20"/>
                <w:szCs w:val="20"/>
              </w:rPr>
              <w:t>12,7</w:t>
            </w:r>
          </w:p>
        </w:tc>
        <w:tc>
          <w:tcPr>
            <w:tcW w:w="780" w:type="dxa"/>
            <w:tcBorders>
              <w:left w:val="nil"/>
              <w:right w:val="nil"/>
            </w:tcBorders>
            <w:shd w:val="clear" w:color="auto" w:fill="auto"/>
            <w:noWrap/>
            <w:vAlign w:val="bottom"/>
          </w:tcPr>
          <w:p w14:paraId="6054B73D" w14:textId="09806099" w:rsidR="00F12995" w:rsidRPr="000939E3" w:rsidRDefault="00F12995" w:rsidP="00D970AC">
            <w:pPr>
              <w:spacing w:after="0"/>
              <w:contextualSpacing/>
              <w:jc w:val="right"/>
              <w:rPr>
                <w:color w:val="000000"/>
                <w:sz w:val="20"/>
                <w:szCs w:val="20"/>
              </w:rPr>
            </w:pPr>
            <w:r w:rsidRPr="000939E3">
              <w:rPr>
                <w:color w:val="000000"/>
                <w:sz w:val="20"/>
                <w:szCs w:val="20"/>
              </w:rPr>
              <w:t>11,5</w:t>
            </w:r>
          </w:p>
        </w:tc>
        <w:tc>
          <w:tcPr>
            <w:tcW w:w="780" w:type="dxa"/>
            <w:tcBorders>
              <w:left w:val="nil"/>
              <w:right w:val="nil"/>
            </w:tcBorders>
            <w:shd w:val="clear" w:color="auto" w:fill="auto"/>
            <w:noWrap/>
            <w:vAlign w:val="bottom"/>
          </w:tcPr>
          <w:p w14:paraId="2D069686" w14:textId="017547D3" w:rsidR="00F12995" w:rsidRPr="000939E3" w:rsidRDefault="002257F2" w:rsidP="00D970AC">
            <w:pPr>
              <w:spacing w:after="0"/>
              <w:contextualSpacing/>
              <w:jc w:val="right"/>
              <w:rPr>
                <w:color w:val="000000"/>
                <w:sz w:val="20"/>
                <w:szCs w:val="20"/>
              </w:rPr>
            </w:pPr>
            <w:r w:rsidRPr="000939E3">
              <w:rPr>
                <w:color w:val="000000"/>
                <w:sz w:val="20"/>
                <w:szCs w:val="20"/>
              </w:rPr>
              <w:t>10,6</w:t>
            </w:r>
          </w:p>
        </w:tc>
      </w:tr>
      <w:tr w:rsidR="00F12995" w:rsidRPr="000939E3" w14:paraId="74796BFF" w14:textId="70DD9972" w:rsidTr="002257F2">
        <w:trPr>
          <w:trHeight w:val="20"/>
        </w:trPr>
        <w:tc>
          <w:tcPr>
            <w:tcW w:w="709" w:type="dxa"/>
            <w:vMerge/>
            <w:tcBorders>
              <w:left w:val="nil"/>
              <w:right w:val="nil"/>
            </w:tcBorders>
            <w:shd w:val="clear" w:color="auto" w:fill="auto"/>
            <w:vAlign w:val="bottom"/>
          </w:tcPr>
          <w:p w14:paraId="4D520065" w14:textId="77777777" w:rsidR="00F12995" w:rsidRPr="000939E3" w:rsidRDefault="00F12995" w:rsidP="00D970AC">
            <w:pPr>
              <w:spacing w:after="0"/>
              <w:contextualSpacing/>
              <w:rPr>
                <w:rFonts w:eastAsia="Times New Roman" w:cs="Times New Roman"/>
                <w:b/>
                <w:sz w:val="20"/>
                <w:szCs w:val="20"/>
                <w:lang w:eastAsia="sk-SK"/>
              </w:rPr>
            </w:pPr>
          </w:p>
        </w:tc>
        <w:tc>
          <w:tcPr>
            <w:tcW w:w="2268" w:type="dxa"/>
            <w:tcBorders>
              <w:left w:val="nil"/>
              <w:right w:val="nil"/>
            </w:tcBorders>
            <w:shd w:val="clear" w:color="auto" w:fill="auto"/>
            <w:vAlign w:val="center"/>
          </w:tcPr>
          <w:p w14:paraId="5DE6121C" w14:textId="17551851" w:rsidR="00F12995" w:rsidRPr="000939E3" w:rsidRDefault="00F12995" w:rsidP="00D970AC">
            <w:pPr>
              <w:spacing w:after="0"/>
              <w:contextualSpacing/>
              <w:rPr>
                <w:color w:val="000000"/>
                <w:sz w:val="20"/>
                <w:szCs w:val="20"/>
              </w:rPr>
            </w:pPr>
            <w:r w:rsidRPr="000939E3">
              <w:rPr>
                <w:color w:val="000000"/>
                <w:sz w:val="20"/>
                <w:szCs w:val="20"/>
              </w:rPr>
              <w:t>neučiteľa</w:t>
            </w:r>
          </w:p>
        </w:tc>
        <w:tc>
          <w:tcPr>
            <w:tcW w:w="637" w:type="dxa"/>
            <w:tcBorders>
              <w:left w:val="nil"/>
              <w:bottom w:val="single" w:sz="4" w:space="0" w:color="auto"/>
              <w:right w:val="nil"/>
            </w:tcBorders>
            <w:shd w:val="clear" w:color="auto" w:fill="auto"/>
            <w:noWrap/>
            <w:vAlign w:val="center"/>
          </w:tcPr>
          <w:p w14:paraId="5E5199D5" w14:textId="5B94BD94" w:rsidR="00F12995" w:rsidRPr="000939E3" w:rsidRDefault="00F12995" w:rsidP="00D970AC">
            <w:pPr>
              <w:spacing w:after="0"/>
              <w:contextualSpacing/>
              <w:jc w:val="right"/>
              <w:rPr>
                <w:color w:val="000000"/>
                <w:sz w:val="20"/>
                <w:szCs w:val="20"/>
              </w:rPr>
            </w:pPr>
            <w:r w:rsidRPr="000939E3">
              <w:rPr>
                <w:color w:val="000000"/>
                <w:sz w:val="20"/>
                <w:szCs w:val="20"/>
              </w:rPr>
              <w:t>13,3</w:t>
            </w:r>
          </w:p>
        </w:tc>
        <w:tc>
          <w:tcPr>
            <w:tcW w:w="780" w:type="dxa"/>
            <w:tcBorders>
              <w:left w:val="nil"/>
              <w:bottom w:val="single" w:sz="4" w:space="0" w:color="auto"/>
              <w:right w:val="nil"/>
            </w:tcBorders>
            <w:shd w:val="clear" w:color="auto" w:fill="auto"/>
            <w:noWrap/>
            <w:vAlign w:val="center"/>
          </w:tcPr>
          <w:p w14:paraId="7B875C2A" w14:textId="67667761" w:rsidR="00F12995" w:rsidRPr="000939E3" w:rsidRDefault="00F12995" w:rsidP="00D970AC">
            <w:pPr>
              <w:spacing w:after="0"/>
              <w:contextualSpacing/>
              <w:jc w:val="right"/>
              <w:rPr>
                <w:color w:val="000000"/>
                <w:sz w:val="20"/>
                <w:szCs w:val="20"/>
              </w:rPr>
            </w:pPr>
            <w:r w:rsidRPr="000939E3">
              <w:rPr>
                <w:color w:val="000000"/>
                <w:sz w:val="20"/>
                <w:szCs w:val="20"/>
              </w:rPr>
              <w:t>17,4</w:t>
            </w:r>
          </w:p>
        </w:tc>
        <w:tc>
          <w:tcPr>
            <w:tcW w:w="779" w:type="dxa"/>
            <w:tcBorders>
              <w:left w:val="nil"/>
              <w:bottom w:val="single" w:sz="4" w:space="0" w:color="auto"/>
              <w:right w:val="nil"/>
            </w:tcBorders>
            <w:shd w:val="clear" w:color="auto" w:fill="auto"/>
            <w:noWrap/>
            <w:vAlign w:val="center"/>
          </w:tcPr>
          <w:p w14:paraId="12E7A4A8" w14:textId="26674FE2" w:rsidR="00F12995" w:rsidRPr="000939E3" w:rsidRDefault="00F12995" w:rsidP="00D970AC">
            <w:pPr>
              <w:spacing w:after="0"/>
              <w:contextualSpacing/>
              <w:jc w:val="right"/>
              <w:rPr>
                <w:color w:val="000000"/>
                <w:sz w:val="20"/>
                <w:szCs w:val="20"/>
              </w:rPr>
            </w:pPr>
            <w:r w:rsidRPr="000939E3">
              <w:rPr>
                <w:color w:val="000000"/>
                <w:sz w:val="20"/>
                <w:szCs w:val="20"/>
              </w:rPr>
              <w:t>18,9</w:t>
            </w:r>
          </w:p>
        </w:tc>
        <w:tc>
          <w:tcPr>
            <w:tcW w:w="780" w:type="dxa"/>
            <w:gridSpan w:val="2"/>
            <w:tcBorders>
              <w:left w:val="nil"/>
              <w:bottom w:val="single" w:sz="4" w:space="0" w:color="auto"/>
              <w:right w:val="nil"/>
            </w:tcBorders>
            <w:shd w:val="clear" w:color="auto" w:fill="auto"/>
            <w:noWrap/>
            <w:vAlign w:val="center"/>
          </w:tcPr>
          <w:p w14:paraId="5BA47C00" w14:textId="45288F3A" w:rsidR="00F12995" w:rsidRPr="000939E3" w:rsidRDefault="00F12995" w:rsidP="00D970AC">
            <w:pPr>
              <w:spacing w:after="0"/>
              <w:contextualSpacing/>
              <w:jc w:val="right"/>
              <w:rPr>
                <w:color w:val="000000"/>
                <w:sz w:val="20"/>
                <w:szCs w:val="20"/>
              </w:rPr>
            </w:pPr>
            <w:r w:rsidRPr="000939E3">
              <w:rPr>
                <w:color w:val="000000"/>
                <w:sz w:val="20"/>
                <w:szCs w:val="20"/>
              </w:rPr>
              <w:t>17,8</w:t>
            </w:r>
          </w:p>
        </w:tc>
        <w:tc>
          <w:tcPr>
            <w:tcW w:w="780" w:type="dxa"/>
            <w:tcBorders>
              <w:left w:val="nil"/>
              <w:bottom w:val="single" w:sz="4" w:space="0" w:color="auto"/>
              <w:right w:val="nil"/>
            </w:tcBorders>
            <w:shd w:val="clear" w:color="auto" w:fill="auto"/>
            <w:noWrap/>
            <w:vAlign w:val="center"/>
          </w:tcPr>
          <w:p w14:paraId="5035E3F7" w14:textId="1365EB45" w:rsidR="00F12995" w:rsidRPr="000939E3" w:rsidRDefault="00F12995" w:rsidP="00D970AC">
            <w:pPr>
              <w:spacing w:after="0"/>
              <w:contextualSpacing/>
              <w:jc w:val="right"/>
              <w:rPr>
                <w:color w:val="000000"/>
                <w:sz w:val="20"/>
                <w:szCs w:val="20"/>
              </w:rPr>
            </w:pPr>
            <w:r w:rsidRPr="000939E3">
              <w:rPr>
                <w:color w:val="000000"/>
                <w:sz w:val="20"/>
                <w:szCs w:val="20"/>
              </w:rPr>
              <w:t>16,5</w:t>
            </w:r>
          </w:p>
        </w:tc>
        <w:tc>
          <w:tcPr>
            <w:tcW w:w="779" w:type="dxa"/>
            <w:tcBorders>
              <w:left w:val="nil"/>
              <w:bottom w:val="single" w:sz="4" w:space="0" w:color="auto"/>
              <w:right w:val="nil"/>
            </w:tcBorders>
            <w:shd w:val="clear" w:color="auto" w:fill="auto"/>
            <w:noWrap/>
            <w:vAlign w:val="center"/>
          </w:tcPr>
          <w:p w14:paraId="3E775E03" w14:textId="2C194FD3" w:rsidR="00F12995" w:rsidRPr="000939E3" w:rsidRDefault="00F12995" w:rsidP="00D970AC">
            <w:pPr>
              <w:spacing w:after="0"/>
              <w:contextualSpacing/>
              <w:jc w:val="right"/>
              <w:rPr>
                <w:color w:val="000000"/>
                <w:sz w:val="20"/>
                <w:szCs w:val="20"/>
              </w:rPr>
            </w:pPr>
            <w:r w:rsidRPr="000939E3">
              <w:rPr>
                <w:color w:val="000000"/>
                <w:sz w:val="20"/>
                <w:szCs w:val="20"/>
              </w:rPr>
              <w:t>14,8</w:t>
            </w:r>
          </w:p>
        </w:tc>
        <w:tc>
          <w:tcPr>
            <w:tcW w:w="780" w:type="dxa"/>
            <w:tcBorders>
              <w:left w:val="nil"/>
              <w:bottom w:val="single" w:sz="4" w:space="0" w:color="auto"/>
              <w:right w:val="nil"/>
            </w:tcBorders>
            <w:shd w:val="clear" w:color="auto" w:fill="auto"/>
            <w:noWrap/>
            <w:vAlign w:val="center"/>
          </w:tcPr>
          <w:p w14:paraId="045E666B" w14:textId="53749C04" w:rsidR="00F12995" w:rsidRPr="000939E3" w:rsidRDefault="00F12995" w:rsidP="00D970AC">
            <w:pPr>
              <w:spacing w:after="0"/>
              <w:contextualSpacing/>
              <w:jc w:val="right"/>
              <w:rPr>
                <w:color w:val="000000"/>
                <w:sz w:val="20"/>
                <w:szCs w:val="20"/>
              </w:rPr>
            </w:pPr>
            <w:r w:rsidRPr="000939E3">
              <w:rPr>
                <w:color w:val="000000"/>
                <w:sz w:val="20"/>
                <w:szCs w:val="20"/>
              </w:rPr>
              <w:t>13,2</w:t>
            </w:r>
          </w:p>
        </w:tc>
        <w:tc>
          <w:tcPr>
            <w:tcW w:w="780" w:type="dxa"/>
            <w:tcBorders>
              <w:left w:val="nil"/>
              <w:bottom w:val="single" w:sz="4" w:space="0" w:color="auto"/>
              <w:right w:val="nil"/>
            </w:tcBorders>
            <w:shd w:val="clear" w:color="auto" w:fill="auto"/>
            <w:noWrap/>
            <w:vAlign w:val="center"/>
          </w:tcPr>
          <w:p w14:paraId="348BDBBB" w14:textId="0B51242D" w:rsidR="00F12995" w:rsidRPr="000939E3" w:rsidRDefault="002257F2" w:rsidP="00D970AC">
            <w:pPr>
              <w:spacing w:after="0"/>
              <w:contextualSpacing/>
              <w:jc w:val="right"/>
              <w:rPr>
                <w:color w:val="000000"/>
                <w:sz w:val="20"/>
                <w:szCs w:val="20"/>
              </w:rPr>
            </w:pPr>
            <w:r w:rsidRPr="000939E3">
              <w:rPr>
                <w:color w:val="000000"/>
                <w:sz w:val="20"/>
                <w:szCs w:val="20"/>
              </w:rPr>
              <w:t>12,2</w:t>
            </w:r>
          </w:p>
        </w:tc>
      </w:tr>
      <w:tr w:rsidR="00F12995" w:rsidRPr="000939E3" w14:paraId="57D39174" w14:textId="4AE303FD" w:rsidTr="002257F2">
        <w:trPr>
          <w:trHeight w:val="20"/>
        </w:trPr>
        <w:tc>
          <w:tcPr>
            <w:tcW w:w="5218" w:type="dxa"/>
            <w:gridSpan w:val="6"/>
            <w:tcBorders>
              <w:top w:val="single" w:sz="4" w:space="0" w:color="auto"/>
              <w:left w:val="nil"/>
              <w:bottom w:val="nil"/>
              <w:right w:val="nil"/>
            </w:tcBorders>
            <w:shd w:val="clear" w:color="auto" w:fill="auto"/>
          </w:tcPr>
          <w:p w14:paraId="03816676" w14:textId="5AF2EA8F" w:rsidR="00F12995" w:rsidRPr="000939E3" w:rsidRDefault="00F12995" w:rsidP="00AA7395">
            <w:pPr>
              <w:spacing w:after="0"/>
              <w:rPr>
                <w:rFonts w:eastAsia="Times New Roman" w:cs="Arial"/>
                <w:i/>
                <w:sz w:val="18"/>
                <w:szCs w:val="18"/>
                <w:lang w:eastAsia="sk-SK"/>
              </w:rPr>
            </w:pPr>
            <w:r w:rsidRPr="000939E3">
              <w:rPr>
                <w:rFonts w:eastAsia="Times New Roman" w:cs="Arial"/>
                <w:i/>
                <w:sz w:val="18"/>
                <w:szCs w:val="18"/>
                <w:lang w:eastAsia="sk-SK"/>
              </w:rPr>
              <w:t>Pozn.: * Odhad ÚHP z dát CVTI. ** Denných aj externých.</w:t>
            </w:r>
          </w:p>
        </w:tc>
        <w:tc>
          <w:tcPr>
            <w:tcW w:w="3854" w:type="dxa"/>
            <w:gridSpan w:val="5"/>
            <w:tcBorders>
              <w:top w:val="single" w:sz="4" w:space="0" w:color="auto"/>
              <w:left w:val="nil"/>
              <w:bottom w:val="nil"/>
              <w:right w:val="nil"/>
            </w:tcBorders>
            <w:shd w:val="clear" w:color="auto" w:fill="auto"/>
            <w:noWrap/>
          </w:tcPr>
          <w:p w14:paraId="16445DEA" w14:textId="70F9ADA2" w:rsidR="00F12995" w:rsidRPr="000939E3" w:rsidRDefault="00F12995" w:rsidP="00AA7395">
            <w:pPr>
              <w:spacing w:after="0"/>
              <w:jc w:val="right"/>
              <w:rPr>
                <w:rFonts w:eastAsia="Times New Roman" w:cs="Arial"/>
                <w:sz w:val="20"/>
                <w:szCs w:val="20"/>
                <w:lang w:eastAsia="sk-SK"/>
              </w:rPr>
            </w:pPr>
            <w:r w:rsidRPr="000939E3">
              <w:rPr>
                <w:rStyle w:val="Jemnodkaz"/>
                <w:rFonts w:eastAsiaTheme="minorHAnsi"/>
              </w:rPr>
              <w:t xml:space="preserve">Zdroj: Výročné správy o stave VŠ, CVTI, prepočty ÚHP. </w:t>
            </w:r>
          </w:p>
        </w:tc>
      </w:tr>
    </w:tbl>
    <w:p w14:paraId="4A7B1B70" w14:textId="12E92397" w:rsidR="00C41D81" w:rsidRPr="000939E3" w:rsidRDefault="00C41D81" w:rsidP="00A23789">
      <w:pPr>
        <w:spacing w:before="240"/>
      </w:pPr>
      <w:r w:rsidRPr="000939E3">
        <w:rPr>
          <w:b/>
        </w:rPr>
        <w:t>Rast štátnej dotácie a spôsob financovania nemotivuje dostatočne vysoké školy k optimalizácii počtu zamestnancov.</w:t>
      </w:r>
      <w:r w:rsidRPr="000939E3">
        <w:t xml:space="preserve"> Výučba na VŠ je financovaná fixnou čiastkou, ktorú si jednotlivé školy medzi seba delia aj podľa počtu študentov. Celková výška podpory je však pevne daná, nezávisí od celkového počtu študentov a každoročne rastie, pričom v pomere ku HDP je ešte stále nižšia ako priemer krajín OECD. Jej každoročný rast však vysoké školy nevyužili na výraznejšie zvýšenie miezd či investície, ale z veľkej časti na udržanie súčasného počtu zamestnancov aj pri nižšom počte študentov.</w:t>
      </w:r>
      <w:r w:rsidR="001D69CC" w:rsidRPr="000939E3">
        <w:t xml:space="preserve"> </w:t>
      </w:r>
      <w:r w:rsidR="001D69CC" w:rsidRPr="000939E3">
        <w:rPr>
          <w:b/>
        </w:rPr>
        <w:t>Úprava počtu vysokoškolských učiteľov</w:t>
      </w:r>
      <w:r w:rsidR="001D69CC" w:rsidRPr="000939E3">
        <w:rPr>
          <w:rStyle w:val="Odkaznapoznmkupodiarou"/>
          <w:b/>
        </w:rPr>
        <w:footnoteReference w:id="127"/>
      </w:r>
      <w:r w:rsidR="001D69CC" w:rsidRPr="000939E3">
        <w:rPr>
          <w:b/>
        </w:rPr>
        <w:t xml:space="preserve"> na </w:t>
      </w:r>
      <w:r w:rsidR="00616229" w:rsidRPr="000939E3">
        <w:rPr>
          <w:b/>
        </w:rPr>
        <w:t>úroveň ČR</w:t>
      </w:r>
      <w:r w:rsidR="001D69CC" w:rsidRPr="000939E3">
        <w:rPr>
          <w:b/>
        </w:rPr>
        <w:t xml:space="preserve"> a počtu neučiteľov na úroveň roka 2010 by vysokým školám ročne uvoľnila približne </w:t>
      </w:r>
      <w:r w:rsidR="003E1E1F" w:rsidRPr="000939E3">
        <w:rPr>
          <w:b/>
        </w:rPr>
        <w:t xml:space="preserve">91 </w:t>
      </w:r>
      <w:r w:rsidR="001D69CC" w:rsidRPr="000939E3">
        <w:rPr>
          <w:b/>
        </w:rPr>
        <w:t>mil. eur</w:t>
      </w:r>
      <w:r w:rsidR="001D69CC" w:rsidRPr="000939E3">
        <w:rPr>
          <w:rStyle w:val="Odkaznapoznmkupodiarou"/>
          <w:b/>
        </w:rPr>
        <w:footnoteReference w:id="128"/>
      </w:r>
      <w:r w:rsidR="001D69CC" w:rsidRPr="000939E3">
        <w:rPr>
          <w:b/>
        </w:rPr>
        <w:t xml:space="preserve">. Tie by mohli byť použité na viac ako </w:t>
      </w:r>
      <w:r w:rsidR="003561BC" w:rsidRPr="000939E3">
        <w:rPr>
          <w:b/>
        </w:rPr>
        <w:t xml:space="preserve">20 </w:t>
      </w:r>
      <w:r w:rsidR="001D69CC" w:rsidRPr="000939E3">
        <w:rPr>
          <w:b/>
        </w:rPr>
        <w:t>% zvýšenie miezd, alebo iné výdavky</w:t>
      </w:r>
      <w:r w:rsidR="001D69CC" w:rsidRPr="000939E3">
        <w:rPr>
          <w:rStyle w:val="Odkaznapoznmkupodiarou"/>
          <w:b/>
        </w:rPr>
        <w:footnoteReference w:id="129"/>
      </w:r>
      <w:r w:rsidR="001D69CC" w:rsidRPr="000939E3">
        <w:rPr>
          <w:b/>
        </w:rPr>
        <w:t xml:space="preserve">. </w:t>
      </w:r>
      <w:r w:rsidR="00AA7395" w:rsidRPr="000939E3">
        <w:rPr>
          <w:b/>
        </w:rPr>
        <w:t>Revízia, pre lepšiu porovnateľnosť systémov, navrhuje v prvej fáze znižovať počty VŠ učiteľov tak, aby do r</w:t>
      </w:r>
      <w:r w:rsidR="0081546B" w:rsidRPr="000939E3">
        <w:rPr>
          <w:b/>
        </w:rPr>
        <w:t>oku 2027 dosiahli úroveň ČR. Po </w:t>
      </w:r>
      <w:r w:rsidR="00AA7395" w:rsidRPr="000939E3">
        <w:rPr>
          <w:b/>
        </w:rPr>
        <w:t>podrobnejšej analýze sa môže cieľ spresniť.</w:t>
      </w:r>
    </w:p>
    <w:p w14:paraId="1C97A030" w14:textId="4DD124F1" w:rsidR="008B52E2" w:rsidRPr="000939E3" w:rsidRDefault="00C41D81" w:rsidP="00C41D81">
      <w:r w:rsidRPr="000939E3">
        <w:rPr>
          <w:b/>
        </w:rPr>
        <w:t>Naviazanie miezd vysokoškolských učiteľov na kvalitu je podobné ako v regionálnom školstve.</w:t>
      </w:r>
      <w:r w:rsidRPr="000939E3">
        <w:t xml:space="preserve"> Základom mzdy učiteľov sú tarifné tabuľky zohľadňujúce kariérne stupne (docent, profesor) a počet rokov prax</w:t>
      </w:r>
      <w:r w:rsidR="00A23789" w:rsidRPr="000939E3">
        <w:t>e. Postup na </w:t>
      </w:r>
      <w:r w:rsidRPr="000939E3">
        <w:t xml:space="preserve">vyšší kariérny studeň je okrem povinnej pedagogickej praxe viazaný prevažne na merateľné výstupy vedeckej činnosti (články, citácie), kritériá nad rámec zákonných požiadaviek si určujú školy samy. Učitelia na VŠ však majú oproti tým v regionálnom školstve vyšší podiel osobných príplatkov (10 %) a odmien (15 %) z celkovej vyplatenej mzdy, čo vytvára priestor na odmeňovanie za kvalitu. Navyše, podobne ako v regionálnom školstve, aj učitelia a výskumní pracovníci na VŠ </w:t>
      </w:r>
      <w:r w:rsidR="002257F2" w:rsidRPr="000939E3">
        <w:t xml:space="preserve">môžu </w:t>
      </w:r>
      <w:r w:rsidRPr="000939E3">
        <w:t>byť od 1.1.2019 zamestnaní aj podľa Zákonníka práce, pokiaľ ich plat bude najmenej taký vysoký, ako udáva tarifná tabuľka.</w:t>
      </w:r>
      <w:r w:rsidR="006A7AEC" w:rsidRPr="000939E3">
        <w:t xml:space="preserve"> </w:t>
      </w:r>
    </w:p>
    <w:p w14:paraId="7FE92414" w14:textId="735B5080" w:rsidR="00207047" w:rsidRPr="000939E3" w:rsidRDefault="0041171C" w:rsidP="00207047">
      <w:pPr>
        <w:pStyle w:val="Nadpis2"/>
      </w:pPr>
      <w:bookmarkStart w:id="287" w:name="_Toc34050712"/>
      <w:r w:rsidRPr="000939E3">
        <w:lastRenderedPageBreak/>
        <w:t>Š</w:t>
      </w:r>
      <w:r w:rsidR="00207047" w:rsidRPr="000939E3">
        <w:t>tátne podniky</w:t>
      </w:r>
      <w:bookmarkEnd w:id="249"/>
      <w:bookmarkEnd w:id="250"/>
      <w:bookmarkEnd w:id="287"/>
    </w:p>
    <w:p w14:paraId="2E1A20E2" w14:textId="4F0BEC1B" w:rsidR="00207047" w:rsidRPr="000939E3" w:rsidRDefault="00207047" w:rsidP="00B41924">
      <w:pPr>
        <w:pStyle w:val="Odsekzoznamu"/>
        <w:numPr>
          <w:ilvl w:val="0"/>
          <w:numId w:val="10"/>
        </w:numPr>
        <w:ind w:left="426" w:hanging="426"/>
        <w:jc w:val="both"/>
        <w:rPr>
          <w:b/>
        </w:rPr>
      </w:pPr>
      <w:r w:rsidRPr="000939E3">
        <w:rPr>
          <w:b/>
        </w:rPr>
        <w:t>V </w:t>
      </w:r>
      <w:r w:rsidR="006A533B" w:rsidRPr="000939E3">
        <w:rPr>
          <w:b/>
        </w:rPr>
        <w:t xml:space="preserve">91 </w:t>
      </w:r>
      <w:r w:rsidRPr="000939E3">
        <w:rPr>
          <w:b/>
        </w:rPr>
        <w:t xml:space="preserve">štátnych </w:t>
      </w:r>
      <w:r w:rsidR="00D82E2B" w:rsidRPr="000939E3">
        <w:rPr>
          <w:b/>
        </w:rPr>
        <w:t xml:space="preserve">podnikoch </w:t>
      </w:r>
      <w:r w:rsidRPr="000939E3">
        <w:rPr>
          <w:b/>
        </w:rPr>
        <w:t xml:space="preserve">pracuje približne </w:t>
      </w:r>
      <w:r w:rsidR="006A533B" w:rsidRPr="000939E3">
        <w:rPr>
          <w:b/>
        </w:rPr>
        <w:t>7</w:t>
      </w:r>
      <w:r w:rsidR="00392D5B" w:rsidRPr="000939E3">
        <w:rPr>
          <w:b/>
        </w:rPr>
        <w:t>3</w:t>
      </w:r>
      <w:r w:rsidR="006A533B" w:rsidRPr="000939E3">
        <w:rPr>
          <w:b/>
        </w:rPr>
        <w:t xml:space="preserve"> </w:t>
      </w:r>
      <w:r w:rsidRPr="000939E3">
        <w:rPr>
          <w:b/>
        </w:rPr>
        <w:t>tis</w:t>
      </w:r>
      <w:r w:rsidR="00E6342E" w:rsidRPr="000939E3">
        <w:rPr>
          <w:b/>
        </w:rPr>
        <w:t>íc</w:t>
      </w:r>
      <w:r w:rsidRPr="000939E3">
        <w:rPr>
          <w:b/>
        </w:rPr>
        <w:t xml:space="preserve"> zamestnancov, sú platení porovnateľne ako v súkromnom sektore. </w:t>
      </w:r>
    </w:p>
    <w:p w14:paraId="3B6C3D44" w14:textId="106B8081" w:rsidR="00207047" w:rsidRPr="000939E3" w:rsidRDefault="00207047" w:rsidP="00B41924">
      <w:pPr>
        <w:pStyle w:val="Odsekzoznamu"/>
        <w:numPr>
          <w:ilvl w:val="0"/>
          <w:numId w:val="10"/>
        </w:numPr>
        <w:ind w:left="426" w:hanging="426"/>
        <w:jc w:val="both"/>
        <w:rPr>
          <w:b/>
        </w:rPr>
      </w:pPr>
      <w:r w:rsidRPr="000939E3">
        <w:rPr>
          <w:b/>
        </w:rPr>
        <w:t>Štátne podniky sú zamestnanecky náročné, tri podniky z piatich najväčších štátnych zamestná</w:t>
      </w:r>
      <w:r w:rsidR="006A7AEC" w:rsidRPr="000939E3">
        <w:rPr>
          <w:b/>
        </w:rPr>
        <w:t>vateľov majú</w:t>
      </w:r>
      <w:r w:rsidRPr="000939E3">
        <w:rPr>
          <w:b/>
        </w:rPr>
        <w:t xml:space="preserve"> podiel osobných </w:t>
      </w:r>
      <w:r w:rsidR="00FA57A8" w:rsidRPr="000939E3">
        <w:rPr>
          <w:b/>
        </w:rPr>
        <w:t xml:space="preserve">na </w:t>
      </w:r>
      <w:r w:rsidR="002F1FEC" w:rsidRPr="000939E3">
        <w:rPr>
          <w:b/>
        </w:rPr>
        <w:t>prevádzkových</w:t>
      </w:r>
      <w:r w:rsidR="00FA57A8" w:rsidRPr="000939E3">
        <w:rPr>
          <w:b/>
        </w:rPr>
        <w:t xml:space="preserve"> </w:t>
      </w:r>
      <w:r w:rsidRPr="000939E3">
        <w:rPr>
          <w:b/>
        </w:rPr>
        <w:t>náklado</w:t>
      </w:r>
      <w:r w:rsidR="00FA57A8" w:rsidRPr="000939E3">
        <w:rPr>
          <w:b/>
        </w:rPr>
        <w:t>ch</w:t>
      </w:r>
      <w:r w:rsidRPr="000939E3">
        <w:rPr>
          <w:b/>
        </w:rPr>
        <w:t xml:space="preserve"> viac ako 50 %.</w:t>
      </w:r>
    </w:p>
    <w:p w14:paraId="1B50EAB2" w14:textId="3B99D0CE" w:rsidR="008447EF" w:rsidRPr="000939E3" w:rsidRDefault="00207047">
      <w:pPr>
        <w:pStyle w:val="Odsekzoznamu"/>
        <w:numPr>
          <w:ilvl w:val="0"/>
          <w:numId w:val="10"/>
        </w:numPr>
        <w:spacing w:after="120"/>
        <w:ind w:left="426" w:hanging="426"/>
        <w:jc w:val="both"/>
        <w:rPr>
          <w:b/>
        </w:rPr>
      </w:pPr>
      <w:r w:rsidRPr="000939E3">
        <w:rPr>
          <w:b/>
        </w:rPr>
        <w:t xml:space="preserve">Porovnanie na úrovni podnikov s českými verejnými spoločnosťami naznačuje neefektivitu, overiť by ju mali </w:t>
      </w:r>
      <w:r w:rsidR="008705B3" w:rsidRPr="000939E3">
        <w:rPr>
          <w:b/>
        </w:rPr>
        <w:t xml:space="preserve">výkonnostné </w:t>
      </w:r>
      <w:r w:rsidRPr="000939E3">
        <w:rPr>
          <w:b/>
        </w:rPr>
        <w:t xml:space="preserve">audity. </w:t>
      </w:r>
    </w:p>
    <w:p w14:paraId="5582B31F" w14:textId="34E54BF0" w:rsidR="00207047" w:rsidRPr="000939E3" w:rsidRDefault="00A27C40" w:rsidP="0081546B">
      <w:pPr>
        <w:spacing w:after="120"/>
      </w:pPr>
      <w:r w:rsidRPr="000939E3">
        <w:rPr>
          <w:b/>
        </w:rPr>
        <w:t xml:space="preserve">Slovenská republika vlastní prostredníctvom orgánov štátnej správy </w:t>
      </w:r>
      <w:r w:rsidR="00D81BA2" w:rsidRPr="000939E3">
        <w:rPr>
          <w:b/>
        </w:rPr>
        <w:t xml:space="preserve">91 </w:t>
      </w:r>
      <w:r w:rsidRPr="000939E3">
        <w:rPr>
          <w:b/>
        </w:rPr>
        <w:t>podnikov</w:t>
      </w:r>
      <w:r w:rsidRPr="000939E3">
        <w:rPr>
          <w:rStyle w:val="Odkaznapoznmkupodiarou"/>
          <w:b/>
        </w:rPr>
        <w:footnoteReference w:id="130"/>
      </w:r>
      <w:r w:rsidRPr="000939E3">
        <w:rPr>
          <w:b/>
        </w:rPr>
        <w:t xml:space="preserve">, ktoré zamestnávajú približne </w:t>
      </w:r>
      <w:r w:rsidR="00D81BA2" w:rsidRPr="000939E3">
        <w:rPr>
          <w:b/>
        </w:rPr>
        <w:t>73</w:t>
      </w:r>
      <w:r w:rsidRPr="000939E3">
        <w:rPr>
          <w:b/>
        </w:rPr>
        <w:t>-tis. zamestnancov</w:t>
      </w:r>
      <w:r w:rsidRPr="000939E3">
        <w:rPr>
          <w:rStyle w:val="Odkaznapoznmkupodiarou"/>
          <w:b/>
        </w:rPr>
        <w:footnoteReference w:id="131"/>
      </w:r>
      <w:r w:rsidRPr="000939E3">
        <w:rPr>
          <w:b/>
        </w:rPr>
        <w:t xml:space="preserve">. Štát nemá priamy dosah na zamestnanosť a úroveň platov v štátnych podnikoch, </w:t>
      </w:r>
      <w:r w:rsidRPr="000939E3">
        <w:t>môže ju však ovplyvňovať nepriamo prostredníctvom vedenia spoločnosti a požadovanej dividendy. Zamestnanci štátnych podnikov sú zamestnávaní podľa Zákonníka práce, nevzťahuje sa teda na nich kolektívne vyjednávanie vyššieho stupňa uskutočňované vládou. Osobné náklady často tvoria viac ako polovicu z prevádzkových nákladov (</w:t>
      </w:r>
      <w:r w:rsidRPr="000939E3">
        <w:fldChar w:fldCharType="begin"/>
      </w:r>
      <w:r w:rsidRPr="000939E3">
        <w:instrText xml:space="preserve"> REF _Ref4161297 \h  \* MERGEFORMAT </w:instrText>
      </w:r>
      <w:r w:rsidRPr="000939E3">
        <w:fldChar w:fldCharType="separate"/>
      </w:r>
      <w:r w:rsidR="00BF69CA" w:rsidRPr="00BF69CA">
        <w:t xml:space="preserve">Tabuľka </w:t>
      </w:r>
      <w:r w:rsidR="00BF69CA" w:rsidRPr="00BF69CA">
        <w:rPr>
          <w:noProof/>
        </w:rPr>
        <w:t>14</w:t>
      </w:r>
      <w:r w:rsidRPr="000939E3">
        <w:fldChar w:fldCharType="end"/>
      </w:r>
      <w:r w:rsidR="0081546B" w:rsidRPr="000939E3">
        <w:t>).</w:t>
      </w:r>
    </w:p>
    <w:tbl>
      <w:tblPr>
        <w:tblStyle w:val="Mriekatabuky"/>
        <w:tblW w:w="0" w:type="auto"/>
        <w:tblLook w:val="04A0" w:firstRow="1" w:lastRow="0" w:firstColumn="1" w:lastColumn="0" w:noHBand="0" w:noVBand="1"/>
      </w:tblPr>
      <w:tblGrid>
        <w:gridCol w:w="1905"/>
        <w:gridCol w:w="930"/>
        <w:gridCol w:w="1252"/>
        <w:gridCol w:w="901"/>
        <w:gridCol w:w="1111"/>
        <w:gridCol w:w="997"/>
        <w:gridCol w:w="865"/>
        <w:gridCol w:w="1111"/>
      </w:tblGrid>
      <w:tr w:rsidR="00E420B1" w:rsidRPr="000939E3" w14:paraId="06623422" w14:textId="77777777" w:rsidTr="0081546B">
        <w:trPr>
          <w:trHeight w:val="20"/>
        </w:trPr>
        <w:tc>
          <w:tcPr>
            <w:tcW w:w="4087" w:type="dxa"/>
            <w:gridSpan w:val="3"/>
            <w:tcBorders>
              <w:top w:val="nil"/>
              <w:left w:val="nil"/>
              <w:bottom w:val="single" w:sz="4" w:space="0" w:color="auto"/>
              <w:right w:val="nil"/>
            </w:tcBorders>
            <w:noWrap/>
            <w:vAlign w:val="center"/>
          </w:tcPr>
          <w:p w14:paraId="23D0D6FD" w14:textId="5B9F0D1A" w:rsidR="00E420B1" w:rsidRPr="000939E3" w:rsidRDefault="00E420B1" w:rsidP="004D5307">
            <w:pPr>
              <w:spacing w:after="0"/>
              <w:jc w:val="left"/>
              <w:rPr>
                <w:b/>
                <w:bCs/>
                <w:sz w:val="18"/>
                <w:szCs w:val="20"/>
              </w:rPr>
            </w:pPr>
            <w:bookmarkStart w:id="288" w:name="_Ref4161297"/>
            <w:bookmarkStart w:id="289" w:name="_Toc34226947"/>
            <w:r w:rsidRPr="000939E3">
              <w:rPr>
                <w:b/>
                <w:sz w:val="20"/>
              </w:rPr>
              <w:t xml:space="preserve">Tabuľka </w:t>
            </w:r>
            <w:r w:rsidRPr="000939E3">
              <w:rPr>
                <w:b/>
                <w:noProof/>
                <w:sz w:val="20"/>
              </w:rPr>
              <w:fldChar w:fldCharType="begin"/>
            </w:r>
            <w:r w:rsidRPr="000939E3">
              <w:rPr>
                <w:b/>
                <w:noProof/>
                <w:sz w:val="20"/>
              </w:rPr>
              <w:instrText xml:space="preserve"> SEQ Tabuľka \* ARABIC </w:instrText>
            </w:r>
            <w:r w:rsidRPr="000939E3">
              <w:rPr>
                <w:b/>
                <w:noProof/>
                <w:sz w:val="20"/>
              </w:rPr>
              <w:fldChar w:fldCharType="separate"/>
            </w:r>
            <w:r w:rsidR="00BF69CA">
              <w:rPr>
                <w:b/>
                <w:noProof/>
                <w:sz w:val="20"/>
              </w:rPr>
              <w:t>14</w:t>
            </w:r>
            <w:r w:rsidRPr="000939E3">
              <w:rPr>
                <w:b/>
                <w:noProof/>
                <w:sz w:val="20"/>
              </w:rPr>
              <w:fldChar w:fldCharType="end"/>
            </w:r>
            <w:bookmarkEnd w:id="288"/>
            <w:r w:rsidRPr="000939E3">
              <w:rPr>
                <w:b/>
                <w:noProof/>
                <w:sz w:val="20"/>
              </w:rPr>
              <w:t>:</w:t>
            </w:r>
            <w:r w:rsidRPr="000939E3">
              <w:rPr>
                <w:b/>
                <w:sz w:val="20"/>
              </w:rPr>
              <w:t xml:space="preserve"> Najväčšie štátne podniky (</w:t>
            </w:r>
            <w:r w:rsidR="004D5307" w:rsidRPr="000939E3">
              <w:rPr>
                <w:b/>
                <w:sz w:val="20"/>
              </w:rPr>
              <w:t>2018</w:t>
            </w:r>
            <w:r w:rsidRPr="000939E3">
              <w:rPr>
                <w:b/>
                <w:sz w:val="20"/>
              </w:rPr>
              <w:t>)</w:t>
            </w:r>
            <w:bookmarkEnd w:id="289"/>
          </w:p>
        </w:tc>
        <w:tc>
          <w:tcPr>
            <w:tcW w:w="901" w:type="dxa"/>
            <w:tcBorders>
              <w:top w:val="nil"/>
              <w:left w:val="nil"/>
              <w:bottom w:val="single" w:sz="4" w:space="0" w:color="auto"/>
              <w:right w:val="nil"/>
            </w:tcBorders>
            <w:noWrap/>
            <w:vAlign w:val="center"/>
          </w:tcPr>
          <w:p w14:paraId="1DD47803" w14:textId="77777777" w:rsidR="00E420B1" w:rsidRPr="000939E3" w:rsidRDefault="00E420B1" w:rsidP="00B103B1">
            <w:pPr>
              <w:spacing w:after="0"/>
              <w:jc w:val="center"/>
              <w:rPr>
                <w:b/>
                <w:bCs/>
                <w:sz w:val="18"/>
                <w:szCs w:val="20"/>
              </w:rPr>
            </w:pPr>
          </w:p>
        </w:tc>
        <w:tc>
          <w:tcPr>
            <w:tcW w:w="1111" w:type="dxa"/>
            <w:tcBorders>
              <w:top w:val="nil"/>
              <w:left w:val="nil"/>
              <w:bottom w:val="single" w:sz="4" w:space="0" w:color="auto"/>
              <w:right w:val="nil"/>
            </w:tcBorders>
            <w:noWrap/>
            <w:vAlign w:val="center"/>
          </w:tcPr>
          <w:p w14:paraId="7B0CDC3C" w14:textId="77777777" w:rsidR="00E420B1" w:rsidRPr="000939E3" w:rsidRDefault="00E420B1" w:rsidP="00B103B1">
            <w:pPr>
              <w:spacing w:after="0"/>
              <w:jc w:val="center"/>
              <w:rPr>
                <w:b/>
                <w:bCs/>
                <w:sz w:val="18"/>
                <w:szCs w:val="20"/>
              </w:rPr>
            </w:pPr>
          </w:p>
        </w:tc>
        <w:tc>
          <w:tcPr>
            <w:tcW w:w="997" w:type="dxa"/>
            <w:tcBorders>
              <w:top w:val="nil"/>
              <w:left w:val="nil"/>
              <w:bottom w:val="single" w:sz="4" w:space="0" w:color="auto"/>
              <w:right w:val="nil"/>
            </w:tcBorders>
          </w:tcPr>
          <w:p w14:paraId="3769DF23" w14:textId="77777777" w:rsidR="00E420B1" w:rsidRPr="000939E3" w:rsidRDefault="00E420B1" w:rsidP="00B103B1">
            <w:pPr>
              <w:spacing w:after="0"/>
              <w:jc w:val="center"/>
              <w:rPr>
                <w:b/>
                <w:bCs/>
                <w:sz w:val="18"/>
                <w:szCs w:val="20"/>
              </w:rPr>
            </w:pPr>
          </w:p>
        </w:tc>
        <w:tc>
          <w:tcPr>
            <w:tcW w:w="865" w:type="dxa"/>
            <w:tcBorders>
              <w:top w:val="nil"/>
              <w:left w:val="nil"/>
              <w:bottom w:val="single" w:sz="4" w:space="0" w:color="auto"/>
              <w:right w:val="nil"/>
            </w:tcBorders>
          </w:tcPr>
          <w:p w14:paraId="73A20692" w14:textId="77777777" w:rsidR="00E420B1" w:rsidRPr="000939E3" w:rsidRDefault="00E420B1" w:rsidP="00B103B1">
            <w:pPr>
              <w:spacing w:after="0"/>
              <w:jc w:val="center"/>
              <w:rPr>
                <w:b/>
                <w:bCs/>
                <w:sz w:val="18"/>
                <w:szCs w:val="20"/>
              </w:rPr>
            </w:pPr>
          </w:p>
        </w:tc>
        <w:tc>
          <w:tcPr>
            <w:tcW w:w="1111" w:type="dxa"/>
            <w:tcBorders>
              <w:top w:val="nil"/>
              <w:left w:val="nil"/>
              <w:bottom w:val="single" w:sz="4" w:space="0" w:color="auto"/>
              <w:right w:val="nil"/>
            </w:tcBorders>
          </w:tcPr>
          <w:p w14:paraId="29E30C79" w14:textId="77777777" w:rsidR="00E420B1" w:rsidRPr="000939E3" w:rsidRDefault="00E420B1" w:rsidP="00B103B1">
            <w:pPr>
              <w:spacing w:after="0"/>
              <w:jc w:val="center"/>
              <w:rPr>
                <w:b/>
                <w:bCs/>
                <w:sz w:val="18"/>
                <w:szCs w:val="20"/>
              </w:rPr>
            </w:pPr>
          </w:p>
        </w:tc>
      </w:tr>
      <w:tr w:rsidR="00DC0A3A" w:rsidRPr="000939E3" w14:paraId="137CAA6E" w14:textId="77777777" w:rsidTr="0081546B">
        <w:trPr>
          <w:trHeight w:val="20"/>
        </w:trPr>
        <w:tc>
          <w:tcPr>
            <w:tcW w:w="2835" w:type="dxa"/>
            <w:gridSpan w:val="2"/>
            <w:tcBorders>
              <w:top w:val="single" w:sz="4" w:space="0" w:color="auto"/>
              <w:left w:val="nil"/>
              <w:bottom w:val="single" w:sz="4" w:space="0" w:color="auto"/>
              <w:right w:val="nil"/>
            </w:tcBorders>
            <w:noWrap/>
            <w:vAlign w:val="center"/>
            <w:hideMark/>
          </w:tcPr>
          <w:p w14:paraId="121E9218" w14:textId="77777777" w:rsidR="00B22C98" w:rsidRPr="000939E3" w:rsidRDefault="00B22C98" w:rsidP="00B103B1">
            <w:pPr>
              <w:spacing w:after="0"/>
              <w:jc w:val="center"/>
              <w:rPr>
                <w:b/>
                <w:bCs/>
                <w:sz w:val="20"/>
                <w:szCs w:val="20"/>
              </w:rPr>
            </w:pPr>
            <w:r w:rsidRPr="000939E3">
              <w:rPr>
                <w:b/>
                <w:bCs/>
                <w:sz w:val="20"/>
                <w:szCs w:val="20"/>
              </w:rPr>
              <w:t>spoločnosť</w:t>
            </w:r>
          </w:p>
        </w:tc>
        <w:tc>
          <w:tcPr>
            <w:tcW w:w="1252" w:type="dxa"/>
            <w:tcBorders>
              <w:top w:val="single" w:sz="4" w:space="0" w:color="auto"/>
              <w:left w:val="nil"/>
              <w:bottom w:val="single" w:sz="4" w:space="0" w:color="auto"/>
              <w:right w:val="nil"/>
            </w:tcBorders>
            <w:noWrap/>
            <w:vAlign w:val="center"/>
            <w:hideMark/>
          </w:tcPr>
          <w:p w14:paraId="39D7506D" w14:textId="77777777" w:rsidR="00B22C98" w:rsidRPr="000939E3" w:rsidRDefault="00B22C98" w:rsidP="00B103B1">
            <w:pPr>
              <w:spacing w:after="0"/>
              <w:jc w:val="center"/>
              <w:rPr>
                <w:b/>
                <w:bCs/>
                <w:sz w:val="18"/>
                <w:szCs w:val="20"/>
              </w:rPr>
            </w:pPr>
            <w:r w:rsidRPr="000939E3">
              <w:rPr>
                <w:b/>
                <w:bCs/>
                <w:sz w:val="18"/>
                <w:szCs w:val="20"/>
              </w:rPr>
              <w:t>priemerný počet zamestnancov</w:t>
            </w:r>
          </w:p>
        </w:tc>
        <w:tc>
          <w:tcPr>
            <w:tcW w:w="901" w:type="dxa"/>
            <w:tcBorders>
              <w:top w:val="single" w:sz="4" w:space="0" w:color="auto"/>
              <w:left w:val="nil"/>
              <w:bottom w:val="single" w:sz="4" w:space="0" w:color="auto"/>
              <w:right w:val="nil"/>
            </w:tcBorders>
            <w:noWrap/>
            <w:vAlign w:val="center"/>
            <w:hideMark/>
          </w:tcPr>
          <w:p w14:paraId="143537CC" w14:textId="77777777" w:rsidR="00B22C98" w:rsidRPr="000939E3" w:rsidRDefault="00B22C98" w:rsidP="00B103B1">
            <w:pPr>
              <w:spacing w:after="0"/>
              <w:jc w:val="center"/>
              <w:rPr>
                <w:b/>
                <w:bCs/>
                <w:sz w:val="18"/>
                <w:szCs w:val="20"/>
              </w:rPr>
            </w:pPr>
            <w:r w:rsidRPr="000939E3">
              <w:rPr>
                <w:b/>
                <w:bCs/>
                <w:sz w:val="18"/>
                <w:szCs w:val="20"/>
              </w:rPr>
              <w:t>osobné náklady (mil. eur)</w:t>
            </w:r>
          </w:p>
        </w:tc>
        <w:tc>
          <w:tcPr>
            <w:tcW w:w="1111" w:type="dxa"/>
            <w:tcBorders>
              <w:top w:val="single" w:sz="4" w:space="0" w:color="auto"/>
              <w:left w:val="nil"/>
              <w:bottom w:val="single" w:sz="4" w:space="0" w:color="auto"/>
              <w:right w:val="nil"/>
            </w:tcBorders>
            <w:noWrap/>
            <w:vAlign w:val="center"/>
            <w:hideMark/>
          </w:tcPr>
          <w:p w14:paraId="58AA4A8D" w14:textId="77777777" w:rsidR="00B22C98" w:rsidRPr="000939E3" w:rsidRDefault="00B22C98" w:rsidP="00B103B1">
            <w:pPr>
              <w:spacing w:after="0"/>
              <w:jc w:val="center"/>
              <w:rPr>
                <w:b/>
                <w:bCs/>
                <w:sz w:val="18"/>
                <w:szCs w:val="20"/>
              </w:rPr>
            </w:pPr>
            <w:r w:rsidRPr="000939E3">
              <w:rPr>
                <w:b/>
                <w:bCs/>
                <w:sz w:val="18"/>
                <w:szCs w:val="20"/>
              </w:rPr>
              <w:t xml:space="preserve">prevádzkové náklady </w:t>
            </w:r>
          </w:p>
          <w:p w14:paraId="17FADAF7" w14:textId="77777777" w:rsidR="00B22C98" w:rsidRPr="000939E3" w:rsidRDefault="00B22C98" w:rsidP="00B103B1">
            <w:pPr>
              <w:spacing w:after="0"/>
              <w:jc w:val="center"/>
              <w:rPr>
                <w:b/>
                <w:bCs/>
                <w:sz w:val="18"/>
                <w:szCs w:val="20"/>
              </w:rPr>
            </w:pPr>
            <w:r w:rsidRPr="000939E3">
              <w:rPr>
                <w:b/>
                <w:bCs/>
                <w:sz w:val="18"/>
                <w:szCs w:val="20"/>
              </w:rPr>
              <w:t>(mil. eur)</w:t>
            </w:r>
          </w:p>
        </w:tc>
        <w:tc>
          <w:tcPr>
            <w:tcW w:w="997" w:type="dxa"/>
            <w:tcBorders>
              <w:top w:val="single" w:sz="4" w:space="0" w:color="auto"/>
              <w:left w:val="nil"/>
              <w:bottom w:val="single" w:sz="4" w:space="0" w:color="auto"/>
              <w:right w:val="nil"/>
            </w:tcBorders>
          </w:tcPr>
          <w:p w14:paraId="0DAF041C" w14:textId="77777777" w:rsidR="00B22C98" w:rsidRPr="000939E3" w:rsidRDefault="00B22C98" w:rsidP="00B103B1">
            <w:pPr>
              <w:spacing w:after="0"/>
              <w:jc w:val="center"/>
              <w:rPr>
                <w:b/>
                <w:bCs/>
                <w:sz w:val="18"/>
                <w:szCs w:val="20"/>
              </w:rPr>
            </w:pPr>
            <w:r w:rsidRPr="000939E3">
              <w:rPr>
                <w:b/>
                <w:bCs/>
                <w:sz w:val="18"/>
                <w:szCs w:val="20"/>
              </w:rPr>
              <w:t>priemerná hrubá mzda (eur)</w:t>
            </w:r>
          </w:p>
        </w:tc>
        <w:tc>
          <w:tcPr>
            <w:tcW w:w="865" w:type="dxa"/>
            <w:tcBorders>
              <w:top w:val="single" w:sz="4" w:space="0" w:color="auto"/>
              <w:left w:val="nil"/>
              <w:bottom w:val="single" w:sz="4" w:space="0" w:color="auto"/>
              <w:right w:val="nil"/>
            </w:tcBorders>
          </w:tcPr>
          <w:p w14:paraId="0E3D5980" w14:textId="77777777" w:rsidR="00B22C98" w:rsidRPr="000939E3" w:rsidRDefault="00B22C98" w:rsidP="00B103B1">
            <w:pPr>
              <w:spacing w:after="0"/>
              <w:jc w:val="center"/>
              <w:rPr>
                <w:b/>
                <w:bCs/>
                <w:sz w:val="18"/>
                <w:szCs w:val="20"/>
              </w:rPr>
            </w:pPr>
            <w:r w:rsidRPr="000939E3">
              <w:rPr>
                <w:b/>
                <w:bCs/>
                <w:sz w:val="18"/>
                <w:szCs w:val="20"/>
              </w:rPr>
              <w:t>v sektore verejnej správy</w:t>
            </w:r>
          </w:p>
        </w:tc>
        <w:tc>
          <w:tcPr>
            <w:tcW w:w="1111" w:type="dxa"/>
            <w:tcBorders>
              <w:top w:val="single" w:sz="4" w:space="0" w:color="auto"/>
              <w:left w:val="nil"/>
              <w:bottom w:val="single" w:sz="4" w:space="0" w:color="auto"/>
              <w:right w:val="nil"/>
            </w:tcBorders>
          </w:tcPr>
          <w:p w14:paraId="629F473C" w14:textId="77777777" w:rsidR="00B22C98" w:rsidRPr="000939E3" w:rsidRDefault="00DC0A3A" w:rsidP="00B103B1">
            <w:pPr>
              <w:spacing w:after="0"/>
              <w:jc w:val="center"/>
              <w:rPr>
                <w:b/>
                <w:bCs/>
                <w:sz w:val="18"/>
                <w:szCs w:val="20"/>
              </w:rPr>
            </w:pPr>
            <w:r w:rsidRPr="000939E3">
              <w:rPr>
                <w:b/>
                <w:bCs/>
                <w:sz w:val="18"/>
                <w:szCs w:val="20"/>
              </w:rPr>
              <w:t>podiel osobné a prevádzkové</w:t>
            </w:r>
          </w:p>
        </w:tc>
      </w:tr>
      <w:tr w:rsidR="004D5307" w:rsidRPr="000939E3" w14:paraId="060EEFEA" w14:textId="77777777" w:rsidTr="002B277D">
        <w:trPr>
          <w:trHeight w:val="20"/>
        </w:trPr>
        <w:tc>
          <w:tcPr>
            <w:tcW w:w="2835" w:type="dxa"/>
            <w:gridSpan w:val="2"/>
            <w:tcBorders>
              <w:top w:val="single" w:sz="4" w:space="0" w:color="auto"/>
              <w:left w:val="nil"/>
              <w:bottom w:val="nil"/>
              <w:right w:val="nil"/>
            </w:tcBorders>
            <w:noWrap/>
            <w:vAlign w:val="center"/>
            <w:hideMark/>
          </w:tcPr>
          <w:p w14:paraId="30A30B70" w14:textId="1A48B424" w:rsidR="004D5307" w:rsidRPr="000939E3" w:rsidRDefault="004D5307" w:rsidP="004D5307">
            <w:pPr>
              <w:spacing w:after="0"/>
              <w:jc w:val="left"/>
              <w:rPr>
                <w:sz w:val="20"/>
                <w:szCs w:val="20"/>
              </w:rPr>
            </w:pPr>
            <w:r w:rsidRPr="000939E3">
              <w:rPr>
                <w:color w:val="000000"/>
                <w:sz w:val="20"/>
                <w:szCs w:val="20"/>
              </w:rPr>
              <w:t xml:space="preserve">Železnice Slovenskej republiky </w:t>
            </w:r>
          </w:p>
        </w:tc>
        <w:tc>
          <w:tcPr>
            <w:tcW w:w="1252" w:type="dxa"/>
            <w:tcBorders>
              <w:top w:val="single" w:sz="4" w:space="0" w:color="auto"/>
              <w:left w:val="nil"/>
              <w:bottom w:val="nil"/>
              <w:right w:val="nil"/>
            </w:tcBorders>
            <w:noWrap/>
            <w:vAlign w:val="center"/>
            <w:hideMark/>
          </w:tcPr>
          <w:p w14:paraId="79FA9A7B" w14:textId="3EC4E829" w:rsidR="004D5307" w:rsidRPr="000939E3" w:rsidRDefault="004D5307" w:rsidP="004D5307">
            <w:pPr>
              <w:spacing w:after="0"/>
              <w:jc w:val="center"/>
              <w:rPr>
                <w:sz w:val="20"/>
                <w:szCs w:val="20"/>
              </w:rPr>
            </w:pPr>
            <w:r w:rsidRPr="000939E3">
              <w:rPr>
                <w:color w:val="000000"/>
                <w:sz w:val="20"/>
                <w:szCs w:val="20"/>
              </w:rPr>
              <w:t>13 684</w:t>
            </w:r>
          </w:p>
        </w:tc>
        <w:tc>
          <w:tcPr>
            <w:tcW w:w="901" w:type="dxa"/>
            <w:tcBorders>
              <w:top w:val="single" w:sz="4" w:space="0" w:color="auto"/>
              <w:left w:val="nil"/>
              <w:bottom w:val="nil"/>
              <w:right w:val="nil"/>
            </w:tcBorders>
            <w:noWrap/>
            <w:vAlign w:val="center"/>
            <w:hideMark/>
          </w:tcPr>
          <w:p w14:paraId="1E0555E0" w14:textId="019CF7DF" w:rsidR="004D5307" w:rsidRPr="000939E3" w:rsidRDefault="004D5307" w:rsidP="004D5307">
            <w:pPr>
              <w:spacing w:after="0"/>
              <w:jc w:val="center"/>
              <w:rPr>
                <w:color w:val="000000"/>
                <w:sz w:val="20"/>
              </w:rPr>
            </w:pPr>
            <w:r w:rsidRPr="000939E3">
              <w:rPr>
                <w:color w:val="000000"/>
                <w:sz w:val="20"/>
                <w:szCs w:val="20"/>
              </w:rPr>
              <w:t>253</w:t>
            </w:r>
          </w:p>
        </w:tc>
        <w:tc>
          <w:tcPr>
            <w:tcW w:w="1111" w:type="dxa"/>
            <w:tcBorders>
              <w:top w:val="single" w:sz="4" w:space="0" w:color="auto"/>
              <w:left w:val="nil"/>
              <w:bottom w:val="nil"/>
              <w:right w:val="nil"/>
            </w:tcBorders>
            <w:noWrap/>
            <w:vAlign w:val="center"/>
            <w:hideMark/>
          </w:tcPr>
          <w:p w14:paraId="4DBC2926" w14:textId="422FAA9E" w:rsidR="004D5307" w:rsidRPr="000939E3" w:rsidRDefault="004D5307" w:rsidP="004D5307">
            <w:pPr>
              <w:spacing w:after="0"/>
              <w:jc w:val="center"/>
              <w:rPr>
                <w:color w:val="000000"/>
                <w:sz w:val="20"/>
              </w:rPr>
            </w:pPr>
            <w:r w:rsidRPr="000939E3">
              <w:rPr>
                <w:color w:val="000000"/>
                <w:sz w:val="20"/>
                <w:szCs w:val="20"/>
              </w:rPr>
              <w:t>397</w:t>
            </w:r>
          </w:p>
        </w:tc>
        <w:tc>
          <w:tcPr>
            <w:tcW w:w="997" w:type="dxa"/>
            <w:tcBorders>
              <w:top w:val="single" w:sz="4" w:space="0" w:color="auto"/>
              <w:left w:val="nil"/>
              <w:bottom w:val="nil"/>
              <w:right w:val="nil"/>
            </w:tcBorders>
            <w:vAlign w:val="center"/>
          </w:tcPr>
          <w:p w14:paraId="4683682D" w14:textId="638121BE" w:rsidR="004D5307" w:rsidRPr="000939E3" w:rsidRDefault="004D5307" w:rsidP="004D5307">
            <w:pPr>
              <w:spacing w:after="0"/>
              <w:jc w:val="center"/>
              <w:rPr>
                <w:color w:val="000000"/>
                <w:sz w:val="20"/>
              </w:rPr>
            </w:pPr>
            <w:r w:rsidRPr="000939E3">
              <w:rPr>
                <w:color w:val="000000"/>
                <w:sz w:val="20"/>
                <w:szCs w:val="20"/>
              </w:rPr>
              <w:t>1 139</w:t>
            </w:r>
          </w:p>
        </w:tc>
        <w:tc>
          <w:tcPr>
            <w:tcW w:w="865" w:type="dxa"/>
            <w:tcBorders>
              <w:top w:val="single" w:sz="4" w:space="0" w:color="auto"/>
              <w:left w:val="nil"/>
              <w:bottom w:val="nil"/>
              <w:right w:val="nil"/>
            </w:tcBorders>
            <w:vAlign w:val="center"/>
          </w:tcPr>
          <w:p w14:paraId="3A406A3A" w14:textId="30F71921" w:rsidR="004D5307" w:rsidRPr="000939E3" w:rsidRDefault="004D5307" w:rsidP="004D5307">
            <w:pPr>
              <w:spacing w:after="0"/>
              <w:jc w:val="center"/>
              <w:rPr>
                <w:color w:val="000000"/>
                <w:sz w:val="20"/>
              </w:rPr>
            </w:pPr>
            <w:r w:rsidRPr="000939E3">
              <w:rPr>
                <w:color w:val="000000"/>
                <w:sz w:val="20"/>
                <w:szCs w:val="20"/>
              </w:rPr>
              <w:t>áno</w:t>
            </w:r>
          </w:p>
        </w:tc>
        <w:tc>
          <w:tcPr>
            <w:tcW w:w="1111" w:type="dxa"/>
            <w:tcBorders>
              <w:top w:val="single" w:sz="4" w:space="0" w:color="auto"/>
              <w:left w:val="nil"/>
              <w:bottom w:val="nil"/>
              <w:right w:val="nil"/>
            </w:tcBorders>
            <w:vAlign w:val="bottom"/>
          </w:tcPr>
          <w:p w14:paraId="543811C7" w14:textId="04FA8470" w:rsidR="004D5307" w:rsidRPr="000939E3" w:rsidRDefault="004D5307" w:rsidP="004D5307">
            <w:pPr>
              <w:spacing w:after="0"/>
              <w:jc w:val="center"/>
              <w:rPr>
                <w:color w:val="000000"/>
                <w:sz w:val="20"/>
              </w:rPr>
            </w:pPr>
            <w:r w:rsidRPr="000939E3">
              <w:rPr>
                <w:color w:val="000000"/>
                <w:sz w:val="20"/>
                <w:szCs w:val="20"/>
              </w:rPr>
              <w:t>64%</w:t>
            </w:r>
          </w:p>
        </w:tc>
      </w:tr>
      <w:tr w:rsidR="004D5307" w:rsidRPr="000939E3" w14:paraId="4DB8E559" w14:textId="77777777" w:rsidTr="002B277D">
        <w:trPr>
          <w:trHeight w:val="20"/>
        </w:trPr>
        <w:tc>
          <w:tcPr>
            <w:tcW w:w="2835" w:type="dxa"/>
            <w:gridSpan w:val="2"/>
            <w:tcBorders>
              <w:top w:val="nil"/>
              <w:left w:val="nil"/>
              <w:bottom w:val="nil"/>
              <w:right w:val="nil"/>
            </w:tcBorders>
            <w:noWrap/>
            <w:vAlign w:val="center"/>
            <w:hideMark/>
          </w:tcPr>
          <w:p w14:paraId="061697B6" w14:textId="1A400212" w:rsidR="004D5307" w:rsidRPr="000939E3" w:rsidRDefault="004D5307" w:rsidP="004D5307">
            <w:pPr>
              <w:spacing w:after="0"/>
              <w:jc w:val="left"/>
              <w:rPr>
                <w:sz w:val="20"/>
                <w:szCs w:val="20"/>
              </w:rPr>
            </w:pPr>
            <w:r w:rsidRPr="000939E3">
              <w:rPr>
                <w:color w:val="000000"/>
                <w:sz w:val="20"/>
                <w:szCs w:val="20"/>
              </w:rPr>
              <w:t>Slovenská pošta</w:t>
            </w:r>
          </w:p>
        </w:tc>
        <w:tc>
          <w:tcPr>
            <w:tcW w:w="1252" w:type="dxa"/>
            <w:tcBorders>
              <w:top w:val="nil"/>
              <w:left w:val="nil"/>
              <w:bottom w:val="nil"/>
              <w:right w:val="nil"/>
            </w:tcBorders>
            <w:noWrap/>
            <w:vAlign w:val="center"/>
            <w:hideMark/>
          </w:tcPr>
          <w:p w14:paraId="2BC6E155" w14:textId="170EADE6" w:rsidR="004D5307" w:rsidRPr="000939E3" w:rsidRDefault="004D5307" w:rsidP="004D5307">
            <w:pPr>
              <w:spacing w:after="0"/>
              <w:jc w:val="center"/>
              <w:rPr>
                <w:sz w:val="20"/>
                <w:szCs w:val="20"/>
              </w:rPr>
            </w:pPr>
            <w:r w:rsidRPr="000939E3">
              <w:rPr>
                <w:color w:val="000000"/>
                <w:sz w:val="20"/>
                <w:szCs w:val="20"/>
              </w:rPr>
              <w:t>12 837</w:t>
            </w:r>
          </w:p>
        </w:tc>
        <w:tc>
          <w:tcPr>
            <w:tcW w:w="901" w:type="dxa"/>
            <w:tcBorders>
              <w:top w:val="nil"/>
              <w:left w:val="nil"/>
              <w:bottom w:val="nil"/>
              <w:right w:val="nil"/>
            </w:tcBorders>
            <w:noWrap/>
            <w:vAlign w:val="center"/>
            <w:hideMark/>
          </w:tcPr>
          <w:p w14:paraId="07BF46E9" w14:textId="02E7C982" w:rsidR="004D5307" w:rsidRPr="000939E3" w:rsidRDefault="004D5307" w:rsidP="004D5307">
            <w:pPr>
              <w:spacing w:after="0"/>
              <w:jc w:val="center"/>
              <w:rPr>
                <w:color w:val="000000"/>
                <w:sz w:val="20"/>
              </w:rPr>
            </w:pPr>
            <w:r w:rsidRPr="000939E3">
              <w:rPr>
                <w:color w:val="000000"/>
                <w:sz w:val="20"/>
                <w:szCs w:val="20"/>
              </w:rPr>
              <w:t>176</w:t>
            </w:r>
          </w:p>
        </w:tc>
        <w:tc>
          <w:tcPr>
            <w:tcW w:w="1111" w:type="dxa"/>
            <w:tcBorders>
              <w:top w:val="nil"/>
              <w:left w:val="nil"/>
              <w:bottom w:val="nil"/>
              <w:right w:val="nil"/>
            </w:tcBorders>
            <w:noWrap/>
            <w:vAlign w:val="center"/>
            <w:hideMark/>
          </w:tcPr>
          <w:p w14:paraId="501001A1" w14:textId="1A679991" w:rsidR="004D5307" w:rsidRPr="000939E3" w:rsidRDefault="004D5307" w:rsidP="004D5307">
            <w:pPr>
              <w:spacing w:after="0"/>
              <w:jc w:val="center"/>
              <w:rPr>
                <w:color w:val="000000"/>
                <w:sz w:val="20"/>
              </w:rPr>
            </w:pPr>
            <w:r w:rsidRPr="000939E3">
              <w:rPr>
                <w:color w:val="000000"/>
                <w:sz w:val="20"/>
                <w:szCs w:val="20"/>
              </w:rPr>
              <w:t>297</w:t>
            </w:r>
          </w:p>
        </w:tc>
        <w:tc>
          <w:tcPr>
            <w:tcW w:w="997" w:type="dxa"/>
            <w:tcBorders>
              <w:top w:val="nil"/>
              <w:left w:val="nil"/>
              <w:bottom w:val="nil"/>
              <w:right w:val="nil"/>
            </w:tcBorders>
            <w:vAlign w:val="center"/>
          </w:tcPr>
          <w:p w14:paraId="111B650B" w14:textId="75E92AA6" w:rsidR="004D5307" w:rsidRPr="000939E3" w:rsidRDefault="004D5307" w:rsidP="004D5307">
            <w:pPr>
              <w:spacing w:after="0"/>
              <w:jc w:val="center"/>
              <w:rPr>
                <w:color w:val="000000"/>
                <w:sz w:val="20"/>
              </w:rPr>
            </w:pPr>
            <w:r w:rsidRPr="000939E3">
              <w:rPr>
                <w:color w:val="000000"/>
                <w:sz w:val="20"/>
                <w:szCs w:val="20"/>
              </w:rPr>
              <w:t>847</w:t>
            </w:r>
          </w:p>
        </w:tc>
        <w:tc>
          <w:tcPr>
            <w:tcW w:w="865" w:type="dxa"/>
            <w:tcBorders>
              <w:top w:val="nil"/>
              <w:left w:val="nil"/>
              <w:bottom w:val="nil"/>
              <w:right w:val="nil"/>
            </w:tcBorders>
            <w:vAlign w:val="center"/>
          </w:tcPr>
          <w:p w14:paraId="63000B85" w14:textId="25170853" w:rsidR="004D5307" w:rsidRPr="000939E3" w:rsidRDefault="004D5307" w:rsidP="004D5307">
            <w:pPr>
              <w:spacing w:after="0"/>
              <w:jc w:val="center"/>
              <w:rPr>
                <w:color w:val="000000"/>
                <w:sz w:val="20"/>
              </w:rPr>
            </w:pPr>
            <w:r w:rsidRPr="000939E3">
              <w:rPr>
                <w:color w:val="000000"/>
                <w:sz w:val="20"/>
                <w:szCs w:val="20"/>
              </w:rPr>
              <w:t>nie</w:t>
            </w:r>
          </w:p>
        </w:tc>
        <w:tc>
          <w:tcPr>
            <w:tcW w:w="1111" w:type="dxa"/>
            <w:tcBorders>
              <w:top w:val="nil"/>
              <w:left w:val="nil"/>
              <w:bottom w:val="nil"/>
              <w:right w:val="nil"/>
            </w:tcBorders>
            <w:vAlign w:val="bottom"/>
          </w:tcPr>
          <w:p w14:paraId="13C6D3D2" w14:textId="2EEEFA91" w:rsidR="004D5307" w:rsidRPr="000939E3" w:rsidRDefault="004D5307" w:rsidP="004D5307">
            <w:pPr>
              <w:spacing w:after="0"/>
              <w:jc w:val="center"/>
              <w:rPr>
                <w:color w:val="000000"/>
                <w:sz w:val="20"/>
              </w:rPr>
            </w:pPr>
            <w:r w:rsidRPr="000939E3">
              <w:rPr>
                <w:color w:val="000000"/>
                <w:sz w:val="20"/>
                <w:szCs w:val="20"/>
              </w:rPr>
              <w:t>59%</w:t>
            </w:r>
          </w:p>
        </w:tc>
      </w:tr>
      <w:tr w:rsidR="004D5307" w:rsidRPr="000939E3" w14:paraId="39CC2355" w14:textId="77777777" w:rsidTr="002B277D">
        <w:trPr>
          <w:trHeight w:val="20"/>
        </w:trPr>
        <w:tc>
          <w:tcPr>
            <w:tcW w:w="2835" w:type="dxa"/>
            <w:gridSpan w:val="2"/>
            <w:tcBorders>
              <w:top w:val="nil"/>
              <w:left w:val="nil"/>
              <w:bottom w:val="nil"/>
              <w:right w:val="nil"/>
            </w:tcBorders>
            <w:noWrap/>
            <w:vAlign w:val="center"/>
            <w:hideMark/>
          </w:tcPr>
          <w:p w14:paraId="49435ACD" w14:textId="477005E9" w:rsidR="004D5307" w:rsidRPr="000939E3" w:rsidRDefault="004D5307" w:rsidP="004D5307">
            <w:pPr>
              <w:spacing w:after="0"/>
              <w:jc w:val="left"/>
              <w:rPr>
                <w:sz w:val="20"/>
                <w:szCs w:val="20"/>
              </w:rPr>
            </w:pPr>
            <w:r w:rsidRPr="000939E3">
              <w:rPr>
                <w:color w:val="000000"/>
                <w:sz w:val="20"/>
                <w:szCs w:val="20"/>
              </w:rPr>
              <w:t xml:space="preserve">Železničná spoločnosť Cargo </w:t>
            </w:r>
          </w:p>
        </w:tc>
        <w:tc>
          <w:tcPr>
            <w:tcW w:w="1252" w:type="dxa"/>
            <w:tcBorders>
              <w:top w:val="nil"/>
              <w:left w:val="nil"/>
              <w:bottom w:val="nil"/>
              <w:right w:val="nil"/>
            </w:tcBorders>
            <w:noWrap/>
            <w:vAlign w:val="center"/>
            <w:hideMark/>
          </w:tcPr>
          <w:p w14:paraId="37FF51A6" w14:textId="162B5F42" w:rsidR="004D5307" w:rsidRPr="000939E3" w:rsidRDefault="004D5307" w:rsidP="004D5307">
            <w:pPr>
              <w:spacing w:after="0"/>
              <w:jc w:val="center"/>
              <w:rPr>
                <w:sz w:val="20"/>
                <w:szCs w:val="20"/>
              </w:rPr>
            </w:pPr>
            <w:r w:rsidRPr="000939E3">
              <w:rPr>
                <w:color w:val="000000"/>
                <w:sz w:val="20"/>
                <w:szCs w:val="20"/>
              </w:rPr>
              <w:t>5 513</w:t>
            </w:r>
          </w:p>
        </w:tc>
        <w:tc>
          <w:tcPr>
            <w:tcW w:w="901" w:type="dxa"/>
            <w:tcBorders>
              <w:top w:val="nil"/>
              <w:left w:val="nil"/>
              <w:bottom w:val="nil"/>
              <w:right w:val="nil"/>
            </w:tcBorders>
            <w:noWrap/>
            <w:vAlign w:val="center"/>
            <w:hideMark/>
          </w:tcPr>
          <w:p w14:paraId="58EC2BB7" w14:textId="1E07021F" w:rsidR="004D5307" w:rsidRPr="000939E3" w:rsidRDefault="004D5307" w:rsidP="004D5307">
            <w:pPr>
              <w:spacing w:after="0"/>
              <w:jc w:val="center"/>
              <w:rPr>
                <w:color w:val="000000"/>
                <w:sz w:val="20"/>
              </w:rPr>
            </w:pPr>
            <w:r w:rsidRPr="000939E3">
              <w:rPr>
                <w:color w:val="000000"/>
                <w:sz w:val="20"/>
                <w:szCs w:val="20"/>
              </w:rPr>
              <w:t>94</w:t>
            </w:r>
          </w:p>
        </w:tc>
        <w:tc>
          <w:tcPr>
            <w:tcW w:w="1111" w:type="dxa"/>
            <w:tcBorders>
              <w:top w:val="nil"/>
              <w:left w:val="nil"/>
              <w:bottom w:val="nil"/>
              <w:right w:val="nil"/>
            </w:tcBorders>
            <w:noWrap/>
            <w:vAlign w:val="center"/>
            <w:hideMark/>
          </w:tcPr>
          <w:p w14:paraId="7755E039" w14:textId="4374D7D4" w:rsidR="004D5307" w:rsidRPr="000939E3" w:rsidRDefault="004D5307" w:rsidP="004D5307">
            <w:pPr>
              <w:spacing w:after="0"/>
              <w:jc w:val="center"/>
              <w:rPr>
                <w:color w:val="000000"/>
                <w:sz w:val="20"/>
              </w:rPr>
            </w:pPr>
            <w:r w:rsidRPr="000939E3">
              <w:rPr>
                <w:color w:val="000000"/>
                <w:sz w:val="20"/>
                <w:szCs w:val="20"/>
              </w:rPr>
              <w:t>264</w:t>
            </w:r>
          </w:p>
        </w:tc>
        <w:tc>
          <w:tcPr>
            <w:tcW w:w="997" w:type="dxa"/>
            <w:tcBorders>
              <w:top w:val="nil"/>
              <w:left w:val="nil"/>
              <w:bottom w:val="nil"/>
              <w:right w:val="nil"/>
            </w:tcBorders>
            <w:vAlign w:val="center"/>
          </w:tcPr>
          <w:p w14:paraId="3487D542" w14:textId="3E03C493" w:rsidR="004D5307" w:rsidRPr="000939E3" w:rsidRDefault="004D5307" w:rsidP="004D5307">
            <w:pPr>
              <w:spacing w:after="0"/>
              <w:jc w:val="center"/>
              <w:rPr>
                <w:color w:val="000000"/>
                <w:sz w:val="20"/>
              </w:rPr>
            </w:pPr>
            <w:r w:rsidRPr="000939E3">
              <w:rPr>
                <w:color w:val="000000"/>
                <w:sz w:val="20"/>
                <w:szCs w:val="20"/>
              </w:rPr>
              <w:t>1 054</w:t>
            </w:r>
          </w:p>
        </w:tc>
        <w:tc>
          <w:tcPr>
            <w:tcW w:w="865" w:type="dxa"/>
            <w:tcBorders>
              <w:top w:val="nil"/>
              <w:left w:val="nil"/>
              <w:bottom w:val="nil"/>
              <w:right w:val="nil"/>
            </w:tcBorders>
            <w:vAlign w:val="center"/>
          </w:tcPr>
          <w:p w14:paraId="5A0D03D7" w14:textId="56E25370" w:rsidR="004D5307" w:rsidRPr="000939E3" w:rsidRDefault="004D5307" w:rsidP="004D5307">
            <w:pPr>
              <w:spacing w:after="0"/>
              <w:jc w:val="center"/>
              <w:rPr>
                <w:color w:val="000000"/>
                <w:sz w:val="20"/>
              </w:rPr>
            </w:pPr>
            <w:r w:rsidRPr="000939E3">
              <w:rPr>
                <w:color w:val="000000"/>
                <w:sz w:val="20"/>
                <w:szCs w:val="20"/>
              </w:rPr>
              <w:t>nie</w:t>
            </w:r>
          </w:p>
        </w:tc>
        <w:tc>
          <w:tcPr>
            <w:tcW w:w="1111" w:type="dxa"/>
            <w:tcBorders>
              <w:top w:val="nil"/>
              <w:left w:val="nil"/>
              <w:bottom w:val="nil"/>
              <w:right w:val="nil"/>
            </w:tcBorders>
            <w:vAlign w:val="bottom"/>
          </w:tcPr>
          <w:p w14:paraId="40593828" w14:textId="6555B936" w:rsidR="004D5307" w:rsidRPr="000939E3" w:rsidRDefault="004D5307" w:rsidP="004D5307">
            <w:pPr>
              <w:spacing w:after="0"/>
              <w:jc w:val="center"/>
              <w:rPr>
                <w:color w:val="000000"/>
                <w:sz w:val="20"/>
              </w:rPr>
            </w:pPr>
            <w:r w:rsidRPr="000939E3">
              <w:rPr>
                <w:color w:val="000000"/>
                <w:sz w:val="20"/>
                <w:szCs w:val="20"/>
              </w:rPr>
              <w:t>36%</w:t>
            </w:r>
          </w:p>
        </w:tc>
      </w:tr>
      <w:tr w:rsidR="004D5307" w:rsidRPr="000939E3" w14:paraId="6069D616" w14:textId="77777777" w:rsidTr="002B277D">
        <w:trPr>
          <w:trHeight w:val="20"/>
        </w:trPr>
        <w:tc>
          <w:tcPr>
            <w:tcW w:w="2835" w:type="dxa"/>
            <w:gridSpan w:val="2"/>
            <w:tcBorders>
              <w:top w:val="nil"/>
              <w:left w:val="nil"/>
              <w:bottom w:val="nil"/>
              <w:right w:val="nil"/>
            </w:tcBorders>
            <w:noWrap/>
            <w:vAlign w:val="center"/>
            <w:hideMark/>
          </w:tcPr>
          <w:p w14:paraId="677454AF" w14:textId="199732F0" w:rsidR="004D5307" w:rsidRPr="000939E3" w:rsidRDefault="004D5307" w:rsidP="004D5307">
            <w:pPr>
              <w:spacing w:after="0"/>
              <w:jc w:val="left"/>
              <w:rPr>
                <w:sz w:val="20"/>
                <w:szCs w:val="20"/>
              </w:rPr>
            </w:pPr>
            <w:r w:rsidRPr="000939E3">
              <w:rPr>
                <w:color w:val="000000"/>
                <w:sz w:val="20"/>
                <w:szCs w:val="20"/>
              </w:rPr>
              <w:t>Železničná spoločnosť Slovensko</w:t>
            </w:r>
          </w:p>
        </w:tc>
        <w:tc>
          <w:tcPr>
            <w:tcW w:w="1252" w:type="dxa"/>
            <w:tcBorders>
              <w:top w:val="nil"/>
              <w:left w:val="nil"/>
              <w:bottom w:val="nil"/>
              <w:right w:val="nil"/>
            </w:tcBorders>
            <w:noWrap/>
            <w:vAlign w:val="center"/>
            <w:hideMark/>
          </w:tcPr>
          <w:p w14:paraId="74E1B17C" w14:textId="3D1D337F" w:rsidR="004D5307" w:rsidRPr="000939E3" w:rsidRDefault="004D5307" w:rsidP="004D5307">
            <w:pPr>
              <w:spacing w:after="0"/>
              <w:jc w:val="center"/>
              <w:rPr>
                <w:sz w:val="20"/>
                <w:szCs w:val="20"/>
              </w:rPr>
            </w:pPr>
            <w:r w:rsidRPr="000939E3">
              <w:rPr>
                <w:color w:val="000000"/>
                <w:sz w:val="20"/>
                <w:szCs w:val="20"/>
              </w:rPr>
              <w:t>5 877</w:t>
            </w:r>
          </w:p>
        </w:tc>
        <w:tc>
          <w:tcPr>
            <w:tcW w:w="901" w:type="dxa"/>
            <w:tcBorders>
              <w:top w:val="nil"/>
              <w:left w:val="nil"/>
              <w:bottom w:val="nil"/>
              <w:right w:val="nil"/>
            </w:tcBorders>
            <w:noWrap/>
            <w:vAlign w:val="center"/>
            <w:hideMark/>
          </w:tcPr>
          <w:p w14:paraId="1162E22D" w14:textId="4784DEB8" w:rsidR="004D5307" w:rsidRPr="000939E3" w:rsidRDefault="004D5307" w:rsidP="004D5307">
            <w:pPr>
              <w:spacing w:after="0"/>
              <w:jc w:val="center"/>
              <w:rPr>
                <w:color w:val="000000"/>
                <w:sz w:val="20"/>
              </w:rPr>
            </w:pPr>
            <w:r w:rsidRPr="000939E3">
              <w:rPr>
                <w:color w:val="000000"/>
                <w:sz w:val="20"/>
                <w:szCs w:val="20"/>
              </w:rPr>
              <w:t>115</w:t>
            </w:r>
          </w:p>
        </w:tc>
        <w:tc>
          <w:tcPr>
            <w:tcW w:w="1111" w:type="dxa"/>
            <w:tcBorders>
              <w:top w:val="nil"/>
              <w:left w:val="nil"/>
              <w:bottom w:val="nil"/>
              <w:right w:val="nil"/>
            </w:tcBorders>
            <w:noWrap/>
            <w:vAlign w:val="center"/>
            <w:hideMark/>
          </w:tcPr>
          <w:p w14:paraId="198BA334" w14:textId="58F7222D" w:rsidR="004D5307" w:rsidRPr="000939E3" w:rsidRDefault="004D5307" w:rsidP="004D5307">
            <w:pPr>
              <w:spacing w:after="0"/>
              <w:jc w:val="center"/>
              <w:rPr>
                <w:color w:val="000000"/>
                <w:sz w:val="20"/>
              </w:rPr>
            </w:pPr>
            <w:r w:rsidRPr="000939E3">
              <w:rPr>
                <w:color w:val="000000"/>
                <w:sz w:val="20"/>
                <w:szCs w:val="20"/>
              </w:rPr>
              <w:t>312</w:t>
            </w:r>
          </w:p>
        </w:tc>
        <w:tc>
          <w:tcPr>
            <w:tcW w:w="997" w:type="dxa"/>
            <w:tcBorders>
              <w:top w:val="nil"/>
              <w:left w:val="nil"/>
              <w:bottom w:val="nil"/>
              <w:right w:val="nil"/>
            </w:tcBorders>
            <w:vAlign w:val="center"/>
          </w:tcPr>
          <w:p w14:paraId="1D00C6FA" w14:textId="0A18FCBF" w:rsidR="004D5307" w:rsidRPr="000939E3" w:rsidRDefault="004D5307" w:rsidP="004D5307">
            <w:pPr>
              <w:spacing w:after="0"/>
              <w:jc w:val="center"/>
              <w:rPr>
                <w:color w:val="000000"/>
                <w:sz w:val="20"/>
              </w:rPr>
            </w:pPr>
            <w:r w:rsidRPr="000939E3">
              <w:rPr>
                <w:color w:val="000000"/>
                <w:sz w:val="20"/>
                <w:szCs w:val="20"/>
              </w:rPr>
              <w:t>1 203</w:t>
            </w:r>
          </w:p>
        </w:tc>
        <w:tc>
          <w:tcPr>
            <w:tcW w:w="865" w:type="dxa"/>
            <w:tcBorders>
              <w:top w:val="nil"/>
              <w:left w:val="nil"/>
              <w:bottom w:val="nil"/>
              <w:right w:val="nil"/>
            </w:tcBorders>
            <w:vAlign w:val="center"/>
          </w:tcPr>
          <w:p w14:paraId="41DE2A6E" w14:textId="7DF2A25E" w:rsidR="004D5307" w:rsidRPr="000939E3" w:rsidRDefault="004D5307" w:rsidP="004D5307">
            <w:pPr>
              <w:spacing w:after="0"/>
              <w:jc w:val="center"/>
              <w:rPr>
                <w:color w:val="000000"/>
                <w:sz w:val="20"/>
              </w:rPr>
            </w:pPr>
            <w:r w:rsidRPr="000939E3">
              <w:rPr>
                <w:color w:val="000000"/>
                <w:sz w:val="20"/>
                <w:szCs w:val="20"/>
              </w:rPr>
              <w:t>áno</w:t>
            </w:r>
          </w:p>
        </w:tc>
        <w:tc>
          <w:tcPr>
            <w:tcW w:w="1111" w:type="dxa"/>
            <w:tcBorders>
              <w:top w:val="nil"/>
              <w:left w:val="nil"/>
              <w:bottom w:val="nil"/>
              <w:right w:val="nil"/>
            </w:tcBorders>
            <w:vAlign w:val="bottom"/>
          </w:tcPr>
          <w:p w14:paraId="030E8DFD" w14:textId="71D2C099" w:rsidR="004D5307" w:rsidRPr="000939E3" w:rsidRDefault="004D5307" w:rsidP="004D5307">
            <w:pPr>
              <w:spacing w:after="0"/>
              <w:jc w:val="center"/>
              <w:rPr>
                <w:color w:val="000000"/>
                <w:sz w:val="20"/>
              </w:rPr>
            </w:pPr>
            <w:r w:rsidRPr="000939E3">
              <w:rPr>
                <w:color w:val="000000"/>
                <w:sz w:val="20"/>
                <w:szCs w:val="20"/>
              </w:rPr>
              <w:t>37%</w:t>
            </w:r>
          </w:p>
        </w:tc>
      </w:tr>
      <w:tr w:rsidR="004D5307" w:rsidRPr="000939E3" w14:paraId="1B57F8EA" w14:textId="77777777" w:rsidTr="002B277D">
        <w:trPr>
          <w:trHeight w:val="20"/>
        </w:trPr>
        <w:tc>
          <w:tcPr>
            <w:tcW w:w="2835" w:type="dxa"/>
            <w:gridSpan w:val="2"/>
            <w:tcBorders>
              <w:top w:val="nil"/>
              <w:left w:val="nil"/>
              <w:bottom w:val="nil"/>
              <w:right w:val="nil"/>
            </w:tcBorders>
            <w:noWrap/>
            <w:vAlign w:val="center"/>
            <w:hideMark/>
          </w:tcPr>
          <w:p w14:paraId="5746E628" w14:textId="5E10EA44" w:rsidR="004D5307" w:rsidRPr="000939E3" w:rsidRDefault="004D5307" w:rsidP="004D5307">
            <w:pPr>
              <w:spacing w:after="0"/>
              <w:jc w:val="left"/>
              <w:rPr>
                <w:sz w:val="20"/>
                <w:szCs w:val="20"/>
              </w:rPr>
            </w:pPr>
            <w:r w:rsidRPr="000939E3">
              <w:rPr>
                <w:color w:val="000000"/>
                <w:sz w:val="20"/>
                <w:szCs w:val="20"/>
              </w:rPr>
              <w:t xml:space="preserve">Sociálna poisťovňa </w:t>
            </w:r>
          </w:p>
        </w:tc>
        <w:tc>
          <w:tcPr>
            <w:tcW w:w="1252" w:type="dxa"/>
            <w:tcBorders>
              <w:top w:val="nil"/>
              <w:left w:val="nil"/>
              <w:bottom w:val="nil"/>
              <w:right w:val="nil"/>
            </w:tcBorders>
            <w:noWrap/>
            <w:vAlign w:val="center"/>
            <w:hideMark/>
          </w:tcPr>
          <w:p w14:paraId="55F8670B" w14:textId="4E6486E1" w:rsidR="004D5307" w:rsidRPr="000939E3" w:rsidRDefault="004D5307" w:rsidP="004D5307">
            <w:pPr>
              <w:spacing w:after="0"/>
              <w:jc w:val="center"/>
              <w:rPr>
                <w:sz w:val="20"/>
                <w:szCs w:val="20"/>
              </w:rPr>
            </w:pPr>
            <w:r w:rsidRPr="000939E3">
              <w:rPr>
                <w:color w:val="000000"/>
                <w:sz w:val="20"/>
                <w:szCs w:val="20"/>
              </w:rPr>
              <w:t>5 195</w:t>
            </w:r>
          </w:p>
        </w:tc>
        <w:tc>
          <w:tcPr>
            <w:tcW w:w="901" w:type="dxa"/>
            <w:tcBorders>
              <w:top w:val="nil"/>
              <w:left w:val="nil"/>
              <w:bottom w:val="nil"/>
              <w:right w:val="nil"/>
            </w:tcBorders>
            <w:noWrap/>
            <w:vAlign w:val="center"/>
            <w:hideMark/>
          </w:tcPr>
          <w:p w14:paraId="3595FB05" w14:textId="24492D1A" w:rsidR="004D5307" w:rsidRPr="000939E3" w:rsidRDefault="004D5307" w:rsidP="004D5307">
            <w:pPr>
              <w:spacing w:after="0"/>
              <w:jc w:val="center"/>
              <w:rPr>
                <w:color w:val="000000"/>
                <w:sz w:val="20"/>
              </w:rPr>
            </w:pPr>
            <w:r w:rsidRPr="000939E3">
              <w:rPr>
                <w:color w:val="000000"/>
                <w:sz w:val="20"/>
                <w:szCs w:val="20"/>
              </w:rPr>
              <w:t>100</w:t>
            </w:r>
          </w:p>
        </w:tc>
        <w:tc>
          <w:tcPr>
            <w:tcW w:w="1111" w:type="dxa"/>
            <w:tcBorders>
              <w:top w:val="nil"/>
              <w:left w:val="nil"/>
              <w:bottom w:val="nil"/>
              <w:right w:val="nil"/>
            </w:tcBorders>
            <w:noWrap/>
            <w:vAlign w:val="center"/>
            <w:hideMark/>
          </w:tcPr>
          <w:p w14:paraId="55CBC97B" w14:textId="7EF8D672" w:rsidR="004D5307" w:rsidRPr="000939E3" w:rsidRDefault="004D5307" w:rsidP="004D5307">
            <w:pPr>
              <w:spacing w:after="0"/>
              <w:jc w:val="center"/>
              <w:rPr>
                <w:color w:val="000000"/>
                <w:sz w:val="20"/>
              </w:rPr>
            </w:pPr>
            <w:r w:rsidRPr="000939E3">
              <w:rPr>
                <w:color w:val="000000"/>
                <w:sz w:val="20"/>
                <w:szCs w:val="20"/>
              </w:rPr>
              <w:t>147</w:t>
            </w:r>
          </w:p>
        </w:tc>
        <w:tc>
          <w:tcPr>
            <w:tcW w:w="997" w:type="dxa"/>
            <w:tcBorders>
              <w:top w:val="nil"/>
              <w:left w:val="nil"/>
              <w:bottom w:val="nil"/>
              <w:right w:val="nil"/>
            </w:tcBorders>
            <w:vAlign w:val="center"/>
          </w:tcPr>
          <w:p w14:paraId="05FD4549" w14:textId="7CCC1ED5" w:rsidR="004D5307" w:rsidRPr="000939E3" w:rsidRDefault="004D5307" w:rsidP="004D5307">
            <w:pPr>
              <w:spacing w:after="0"/>
              <w:jc w:val="center"/>
              <w:rPr>
                <w:color w:val="000000"/>
                <w:sz w:val="20"/>
              </w:rPr>
            </w:pPr>
            <w:r w:rsidRPr="000939E3">
              <w:rPr>
                <w:color w:val="000000"/>
                <w:sz w:val="20"/>
                <w:szCs w:val="20"/>
              </w:rPr>
              <w:t>1 191</w:t>
            </w:r>
          </w:p>
        </w:tc>
        <w:tc>
          <w:tcPr>
            <w:tcW w:w="865" w:type="dxa"/>
            <w:tcBorders>
              <w:top w:val="nil"/>
              <w:left w:val="nil"/>
              <w:bottom w:val="nil"/>
              <w:right w:val="nil"/>
            </w:tcBorders>
            <w:vAlign w:val="center"/>
          </w:tcPr>
          <w:p w14:paraId="6057AD93" w14:textId="37A5DCF2" w:rsidR="004D5307" w:rsidRPr="000939E3" w:rsidRDefault="004D5307" w:rsidP="004D5307">
            <w:pPr>
              <w:spacing w:after="0"/>
              <w:jc w:val="center"/>
              <w:rPr>
                <w:color w:val="000000"/>
                <w:sz w:val="20"/>
              </w:rPr>
            </w:pPr>
            <w:r w:rsidRPr="000939E3">
              <w:rPr>
                <w:color w:val="000000"/>
                <w:sz w:val="20"/>
                <w:szCs w:val="20"/>
              </w:rPr>
              <w:t>áno</w:t>
            </w:r>
          </w:p>
        </w:tc>
        <w:tc>
          <w:tcPr>
            <w:tcW w:w="1111" w:type="dxa"/>
            <w:tcBorders>
              <w:top w:val="nil"/>
              <w:left w:val="nil"/>
              <w:bottom w:val="nil"/>
              <w:right w:val="nil"/>
            </w:tcBorders>
            <w:vAlign w:val="bottom"/>
          </w:tcPr>
          <w:p w14:paraId="1EAAD91D" w14:textId="034B4203" w:rsidR="004D5307" w:rsidRPr="000939E3" w:rsidRDefault="004D5307" w:rsidP="004D5307">
            <w:pPr>
              <w:spacing w:after="0"/>
              <w:jc w:val="center"/>
              <w:rPr>
                <w:color w:val="000000"/>
                <w:sz w:val="20"/>
              </w:rPr>
            </w:pPr>
            <w:r w:rsidRPr="000939E3">
              <w:rPr>
                <w:color w:val="000000"/>
                <w:sz w:val="20"/>
                <w:szCs w:val="20"/>
              </w:rPr>
              <w:t>68%</w:t>
            </w:r>
          </w:p>
        </w:tc>
      </w:tr>
      <w:tr w:rsidR="004D5307" w:rsidRPr="000939E3" w14:paraId="273D92B6" w14:textId="77777777" w:rsidTr="002B277D">
        <w:trPr>
          <w:trHeight w:val="20"/>
        </w:trPr>
        <w:tc>
          <w:tcPr>
            <w:tcW w:w="2835" w:type="dxa"/>
            <w:gridSpan w:val="2"/>
            <w:tcBorders>
              <w:top w:val="nil"/>
              <w:left w:val="nil"/>
              <w:bottom w:val="nil"/>
              <w:right w:val="nil"/>
            </w:tcBorders>
            <w:noWrap/>
            <w:vAlign w:val="center"/>
            <w:hideMark/>
          </w:tcPr>
          <w:p w14:paraId="18F4F882" w14:textId="0E00ADC8" w:rsidR="004D5307" w:rsidRPr="000939E3" w:rsidRDefault="004D5307" w:rsidP="004D5307">
            <w:pPr>
              <w:spacing w:after="0"/>
              <w:jc w:val="left"/>
              <w:rPr>
                <w:sz w:val="20"/>
                <w:szCs w:val="20"/>
              </w:rPr>
            </w:pPr>
            <w:r w:rsidRPr="000939E3">
              <w:rPr>
                <w:color w:val="000000"/>
                <w:sz w:val="20"/>
                <w:szCs w:val="20"/>
              </w:rPr>
              <w:t>Lesy Slovenskej republiky</w:t>
            </w:r>
          </w:p>
        </w:tc>
        <w:tc>
          <w:tcPr>
            <w:tcW w:w="1252" w:type="dxa"/>
            <w:tcBorders>
              <w:top w:val="nil"/>
              <w:left w:val="nil"/>
              <w:bottom w:val="nil"/>
              <w:right w:val="nil"/>
            </w:tcBorders>
            <w:noWrap/>
            <w:vAlign w:val="center"/>
            <w:hideMark/>
          </w:tcPr>
          <w:p w14:paraId="08EE625B" w14:textId="610D7301" w:rsidR="004D5307" w:rsidRPr="000939E3" w:rsidRDefault="004D5307" w:rsidP="004D5307">
            <w:pPr>
              <w:spacing w:after="0"/>
              <w:jc w:val="center"/>
              <w:rPr>
                <w:sz w:val="20"/>
                <w:szCs w:val="20"/>
              </w:rPr>
            </w:pPr>
            <w:r w:rsidRPr="000939E3">
              <w:rPr>
                <w:color w:val="000000"/>
                <w:sz w:val="20"/>
                <w:szCs w:val="20"/>
              </w:rPr>
              <w:t>3 635</w:t>
            </w:r>
          </w:p>
        </w:tc>
        <w:tc>
          <w:tcPr>
            <w:tcW w:w="901" w:type="dxa"/>
            <w:tcBorders>
              <w:top w:val="nil"/>
              <w:left w:val="nil"/>
              <w:bottom w:val="nil"/>
              <w:right w:val="nil"/>
            </w:tcBorders>
            <w:noWrap/>
            <w:vAlign w:val="center"/>
            <w:hideMark/>
          </w:tcPr>
          <w:p w14:paraId="3C3FE957" w14:textId="4D26D1D6" w:rsidR="004D5307" w:rsidRPr="000939E3" w:rsidRDefault="004D5307" w:rsidP="004D5307">
            <w:pPr>
              <w:spacing w:after="0"/>
              <w:jc w:val="center"/>
              <w:rPr>
                <w:color w:val="000000"/>
                <w:sz w:val="20"/>
              </w:rPr>
            </w:pPr>
            <w:r w:rsidRPr="000939E3">
              <w:rPr>
                <w:color w:val="000000"/>
                <w:sz w:val="20"/>
                <w:szCs w:val="20"/>
              </w:rPr>
              <w:t>78</w:t>
            </w:r>
          </w:p>
        </w:tc>
        <w:tc>
          <w:tcPr>
            <w:tcW w:w="1111" w:type="dxa"/>
            <w:tcBorders>
              <w:top w:val="nil"/>
              <w:left w:val="nil"/>
              <w:bottom w:val="nil"/>
              <w:right w:val="nil"/>
            </w:tcBorders>
            <w:noWrap/>
            <w:vAlign w:val="center"/>
            <w:hideMark/>
          </w:tcPr>
          <w:p w14:paraId="7AE795DA" w14:textId="4FC761AE" w:rsidR="004D5307" w:rsidRPr="000939E3" w:rsidRDefault="004D5307" w:rsidP="004D5307">
            <w:pPr>
              <w:spacing w:after="0"/>
              <w:jc w:val="center"/>
              <w:rPr>
                <w:color w:val="000000"/>
                <w:sz w:val="20"/>
              </w:rPr>
            </w:pPr>
            <w:r w:rsidRPr="000939E3">
              <w:rPr>
                <w:color w:val="000000"/>
                <w:sz w:val="20"/>
                <w:szCs w:val="20"/>
              </w:rPr>
              <w:t>231</w:t>
            </w:r>
          </w:p>
        </w:tc>
        <w:tc>
          <w:tcPr>
            <w:tcW w:w="997" w:type="dxa"/>
            <w:tcBorders>
              <w:top w:val="nil"/>
              <w:left w:val="nil"/>
              <w:bottom w:val="nil"/>
              <w:right w:val="nil"/>
            </w:tcBorders>
            <w:vAlign w:val="center"/>
          </w:tcPr>
          <w:p w14:paraId="216CD7F0" w14:textId="75BF786D" w:rsidR="004D5307" w:rsidRPr="000939E3" w:rsidRDefault="004D5307" w:rsidP="004D5307">
            <w:pPr>
              <w:spacing w:after="0"/>
              <w:jc w:val="center"/>
              <w:rPr>
                <w:color w:val="000000"/>
                <w:sz w:val="20"/>
              </w:rPr>
            </w:pPr>
            <w:r w:rsidRPr="000939E3">
              <w:rPr>
                <w:color w:val="000000"/>
                <w:sz w:val="20"/>
                <w:szCs w:val="20"/>
              </w:rPr>
              <w:t>1 328</w:t>
            </w:r>
          </w:p>
        </w:tc>
        <w:tc>
          <w:tcPr>
            <w:tcW w:w="865" w:type="dxa"/>
            <w:tcBorders>
              <w:top w:val="nil"/>
              <w:left w:val="nil"/>
              <w:bottom w:val="nil"/>
              <w:right w:val="nil"/>
            </w:tcBorders>
            <w:vAlign w:val="center"/>
          </w:tcPr>
          <w:p w14:paraId="67A4E2E2" w14:textId="22D80BD4" w:rsidR="004D5307" w:rsidRPr="000939E3" w:rsidRDefault="004D5307" w:rsidP="004D5307">
            <w:pPr>
              <w:spacing w:after="0"/>
              <w:jc w:val="center"/>
              <w:rPr>
                <w:color w:val="000000"/>
                <w:sz w:val="20"/>
              </w:rPr>
            </w:pPr>
            <w:r w:rsidRPr="000939E3">
              <w:rPr>
                <w:color w:val="000000"/>
                <w:sz w:val="20"/>
                <w:szCs w:val="20"/>
              </w:rPr>
              <w:t>nie</w:t>
            </w:r>
          </w:p>
        </w:tc>
        <w:tc>
          <w:tcPr>
            <w:tcW w:w="1111" w:type="dxa"/>
            <w:tcBorders>
              <w:top w:val="nil"/>
              <w:left w:val="nil"/>
              <w:bottom w:val="nil"/>
              <w:right w:val="nil"/>
            </w:tcBorders>
            <w:vAlign w:val="bottom"/>
          </w:tcPr>
          <w:p w14:paraId="3BA0E9FE" w14:textId="44C8DE96" w:rsidR="004D5307" w:rsidRPr="000939E3" w:rsidRDefault="004D5307" w:rsidP="004D5307">
            <w:pPr>
              <w:spacing w:after="0"/>
              <w:jc w:val="center"/>
              <w:rPr>
                <w:color w:val="000000"/>
                <w:sz w:val="20"/>
              </w:rPr>
            </w:pPr>
            <w:r w:rsidRPr="000939E3">
              <w:rPr>
                <w:color w:val="000000"/>
                <w:sz w:val="20"/>
                <w:szCs w:val="20"/>
              </w:rPr>
              <w:t>34%</w:t>
            </w:r>
          </w:p>
        </w:tc>
      </w:tr>
      <w:tr w:rsidR="004D5307" w:rsidRPr="000939E3" w14:paraId="5AA3DACE" w14:textId="77777777" w:rsidTr="002B277D">
        <w:trPr>
          <w:trHeight w:val="20"/>
        </w:trPr>
        <w:tc>
          <w:tcPr>
            <w:tcW w:w="2835" w:type="dxa"/>
            <w:gridSpan w:val="2"/>
            <w:tcBorders>
              <w:top w:val="nil"/>
              <w:left w:val="nil"/>
              <w:bottom w:val="nil"/>
              <w:right w:val="nil"/>
            </w:tcBorders>
            <w:noWrap/>
            <w:vAlign w:val="center"/>
            <w:hideMark/>
          </w:tcPr>
          <w:p w14:paraId="00321701" w14:textId="2A0412D4" w:rsidR="004D5307" w:rsidRPr="000939E3" w:rsidRDefault="004D5307" w:rsidP="004D5307">
            <w:pPr>
              <w:spacing w:after="0"/>
              <w:jc w:val="left"/>
              <w:rPr>
                <w:sz w:val="20"/>
                <w:szCs w:val="20"/>
              </w:rPr>
            </w:pPr>
            <w:r w:rsidRPr="000939E3">
              <w:rPr>
                <w:color w:val="000000"/>
                <w:sz w:val="20"/>
                <w:szCs w:val="20"/>
              </w:rPr>
              <w:t>Slovenský vodohospodársky podnik</w:t>
            </w:r>
          </w:p>
        </w:tc>
        <w:tc>
          <w:tcPr>
            <w:tcW w:w="1252" w:type="dxa"/>
            <w:tcBorders>
              <w:top w:val="nil"/>
              <w:left w:val="nil"/>
              <w:bottom w:val="nil"/>
              <w:right w:val="nil"/>
            </w:tcBorders>
            <w:noWrap/>
            <w:vAlign w:val="center"/>
            <w:hideMark/>
          </w:tcPr>
          <w:p w14:paraId="1CA92E66" w14:textId="03426E8A" w:rsidR="004D5307" w:rsidRPr="000939E3" w:rsidRDefault="004D5307" w:rsidP="004D5307">
            <w:pPr>
              <w:spacing w:after="0"/>
              <w:jc w:val="center"/>
              <w:rPr>
                <w:sz w:val="20"/>
                <w:szCs w:val="20"/>
              </w:rPr>
            </w:pPr>
            <w:r w:rsidRPr="000939E3">
              <w:rPr>
                <w:color w:val="000000"/>
                <w:sz w:val="20"/>
                <w:szCs w:val="20"/>
              </w:rPr>
              <w:t>3 314</w:t>
            </w:r>
          </w:p>
        </w:tc>
        <w:tc>
          <w:tcPr>
            <w:tcW w:w="901" w:type="dxa"/>
            <w:tcBorders>
              <w:top w:val="nil"/>
              <w:left w:val="nil"/>
              <w:bottom w:val="nil"/>
              <w:right w:val="nil"/>
            </w:tcBorders>
            <w:noWrap/>
            <w:vAlign w:val="center"/>
            <w:hideMark/>
          </w:tcPr>
          <w:p w14:paraId="2165B8E7" w14:textId="18DA7866" w:rsidR="004D5307" w:rsidRPr="000939E3" w:rsidRDefault="004D5307" w:rsidP="004D5307">
            <w:pPr>
              <w:spacing w:after="0"/>
              <w:jc w:val="center"/>
              <w:rPr>
                <w:color w:val="000000"/>
                <w:sz w:val="20"/>
              </w:rPr>
            </w:pPr>
            <w:r w:rsidRPr="000939E3">
              <w:rPr>
                <w:color w:val="000000"/>
                <w:sz w:val="20"/>
                <w:szCs w:val="20"/>
              </w:rPr>
              <w:t>58</w:t>
            </w:r>
          </w:p>
        </w:tc>
        <w:tc>
          <w:tcPr>
            <w:tcW w:w="1111" w:type="dxa"/>
            <w:tcBorders>
              <w:top w:val="nil"/>
              <w:left w:val="nil"/>
              <w:bottom w:val="nil"/>
              <w:right w:val="nil"/>
            </w:tcBorders>
            <w:noWrap/>
            <w:vAlign w:val="center"/>
            <w:hideMark/>
          </w:tcPr>
          <w:p w14:paraId="56734078" w14:textId="72E50ACA" w:rsidR="004D5307" w:rsidRPr="000939E3" w:rsidRDefault="004D5307" w:rsidP="004D5307">
            <w:pPr>
              <w:spacing w:after="0"/>
              <w:jc w:val="center"/>
              <w:rPr>
                <w:color w:val="000000"/>
                <w:sz w:val="20"/>
              </w:rPr>
            </w:pPr>
            <w:r w:rsidRPr="000939E3">
              <w:rPr>
                <w:color w:val="000000"/>
                <w:sz w:val="20"/>
                <w:szCs w:val="20"/>
              </w:rPr>
              <w:t>109</w:t>
            </w:r>
          </w:p>
        </w:tc>
        <w:tc>
          <w:tcPr>
            <w:tcW w:w="997" w:type="dxa"/>
            <w:tcBorders>
              <w:top w:val="nil"/>
              <w:left w:val="nil"/>
              <w:bottom w:val="nil"/>
              <w:right w:val="nil"/>
            </w:tcBorders>
            <w:vAlign w:val="center"/>
          </w:tcPr>
          <w:p w14:paraId="1E7D3189" w14:textId="29112585" w:rsidR="004D5307" w:rsidRPr="000939E3" w:rsidRDefault="004D5307" w:rsidP="004D5307">
            <w:pPr>
              <w:spacing w:after="0"/>
              <w:jc w:val="center"/>
              <w:rPr>
                <w:color w:val="000000"/>
                <w:sz w:val="20"/>
              </w:rPr>
            </w:pPr>
            <w:r w:rsidRPr="000939E3">
              <w:rPr>
                <w:color w:val="000000"/>
                <w:sz w:val="20"/>
                <w:szCs w:val="20"/>
              </w:rPr>
              <w:t>1 075</w:t>
            </w:r>
          </w:p>
        </w:tc>
        <w:tc>
          <w:tcPr>
            <w:tcW w:w="865" w:type="dxa"/>
            <w:tcBorders>
              <w:top w:val="nil"/>
              <w:left w:val="nil"/>
              <w:bottom w:val="nil"/>
              <w:right w:val="nil"/>
            </w:tcBorders>
            <w:vAlign w:val="center"/>
          </w:tcPr>
          <w:p w14:paraId="43E20480" w14:textId="54F12B06" w:rsidR="004D5307" w:rsidRPr="000939E3" w:rsidRDefault="004D5307" w:rsidP="004D5307">
            <w:pPr>
              <w:spacing w:after="0"/>
              <w:jc w:val="center"/>
              <w:rPr>
                <w:color w:val="000000"/>
                <w:sz w:val="20"/>
              </w:rPr>
            </w:pPr>
            <w:r w:rsidRPr="000939E3">
              <w:rPr>
                <w:color w:val="000000"/>
                <w:sz w:val="20"/>
                <w:szCs w:val="20"/>
              </w:rPr>
              <w:t>nie</w:t>
            </w:r>
          </w:p>
        </w:tc>
        <w:tc>
          <w:tcPr>
            <w:tcW w:w="1111" w:type="dxa"/>
            <w:tcBorders>
              <w:top w:val="nil"/>
              <w:left w:val="nil"/>
              <w:bottom w:val="nil"/>
              <w:right w:val="nil"/>
            </w:tcBorders>
            <w:vAlign w:val="bottom"/>
          </w:tcPr>
          <w:p w14:paraId="50D37106" w14:textId="237C7224" w:rsidR="004D5307" w:rsidRPr="000939E3" w:rsidRDefault="004D5307" w:rsidP="004D5307">
            <w:pPr>
              <w:spacing w:after="0"/>
              <w:jc w:val="center"/>
              <w:rPr>
                <w:color w:val="000000"/>
                <w:sz w:val="20"/>
              </w:rPr>
            </w:pPr>
            <w:r w:rsidRPr="000939E3">
              <w:rPr>
                <w:color w:val="000000"/>
                <w:sz w:val="20"/>
                <w:szCs w:val="20"/>
              </w:rPr>
              <w:t>53%</w:t>
            </w:r>
          </w:p>
        </w:tc>
      </w:tr>
      <w:tr w:rsidR="004D5307" w:rsidRPr="000939E3" w14:paraId="088D175F" w14:textId="77777777" w:rsidTr="002B277D">
        <w:trPr>
          <w:trHeight w:val="20"/>
        </w:trPr>
        <w:tc>
          <w:tcPr>
            <w:tcW w:w="2835" w:type="dxa"/>
            <w:gridSpan w:val="2"/>
            <w:tcBorders>
              <w:top w:val="nil"/>
              <w:left w:val="nil"/>
              <w:bottom w:val="nil"/>
              <w:right w:val="nil"/>
            </w:tcBorders>
            <w:noWrap/>
            <w:vAlign w:val="center"/>
            <w:hideMark/>
          </w:tcPr>
          <w:p w14:paraId="5B0DF2B1" w14:textId="4BA08042" w:rsidR="004D5307" w:rsidRPr="000939E3" w:rsidRDefault="004D5307" w:rsidP="004D5307">
            <w:pPr>
              <w:spacing w:after="0"/>
              <w:jc w:val="left"/>
              <w:rPr>
                <w:sz w:val="20"/>
                <w:szCs w:val="20"/>
              </w:rPr>
            </w:pPr>
            <w:r w:rsidRPr="000939E3">
              <w:rPr>
                <w:color w:val="000000"/>
                <w:sz w:val="20"/>
                <w:szCs w:val="20"/>
              </w:rPr>
              <w:t>Všeobecná zdravotná poisťovňa</w:t>
            </w:r>
          </w:p>
        </w:tc>
        <w:tc>
          <w:tcPr>
            <w:tcW w:w="1252" w:type="dxa"/>
            <w:tcBorders>
              <w:top w:val="nil"/>
              <w:left w:val="nil"/>
              <w:bottom w:val="nil"/>
              <w:right w:val="nil"/>
            </w:tcBorders>
            <w:noWrap/>
            <w:vAlign w:val="center"/>
            <w:hideMark/>
          </w:tcPr>
          <w:p w14:paraId="412452AF" w14:textId="30A57C3F" w:rsidR="004D5307" w:rsidRPr="000939E3" w:rsidRDefault="004D5307" w:rsidP="004D5307">
            <w:pPr>
              <w:spacing w:after="0"/>
              <w:jc w:val="center"/>
              <w:rPr>
                <w:sz w:val="20"/>
                <w:szCs w:val="20"/>
              </w:rPr>
            </w:pPr>
            <w:r w:rsidRPr="000939E3">
              <w:rPr>
                <w:color w:val="000000"/>
                <w:sz w:val="20"/>
                <w:szCs w:val="20"/>
              </w:rPr>
              <w:t>2 102</w:t>
            </w:r>
          </w:p>
        </w:tc>
        <w:tc>
          <w:tcPr>
            <w:tcW w:w="901" w:type="dxa"/>
            <w:tcBorders>
              <w:top w:val="nil"/>
              <w:left w:val="nil"/>
              <w:bottom w:val="nil"/>
              <w:right w:val="nil"/>
            </w:tcBorders>
            <w:noWrap/>
            <w:vAlign w:val="center"/>
            <w:hideMark/>
          </w:tcPr>
          <w:p w14:paraId="2984CA02" w14:textId="23A3D026" w:rsidR="004D5307" w:rsidRPr="000939E3" w:rsidRDefault="004D5307" w:rsidP="004D5307">
            <w:pPr>
              <w:spacing w:after="0"/>
              <w:jc w:val="center"/>
              <w:rPr>
                <w:color w:val="000000"/>
                <w:sz w:val="20"/>
              </w:rPr>
            </w:pPr>
            <w:r w:rsidRPr="000939E3">
              <w:rPr>
                <w:color w:val="000000"/>
                <w:sz w:val="20"/>
                <w:szCs w:val="20"/>
              </w:rPr>
              <w:t>51</w:t>
            </w:r>
          </w:p>
        </w:tc>
        <w:tc>
          <w:tcPr>
            <w:tcW w:w="1111" w:type="dxa"/>
            <w:tcBorders>
              <w:top w:val="nil"/>
              <w:left w:val="nil"/>
              <w:bottom w:val="nil"/>
              <w:right w:val="nil"/>
            </w:tcBorders>
            <w:noWrap/>
            <w:vAlign w:val="center"/>
            <w:hideMark/>
          </w:tcPr>
          <w:p w14:paraId="66467EAC" w14:textId="4C340BD0" w:rsidR="004D5307" w:rsidRPr="000939E3" w:rsidRDefault="004D5307" w:rsidP="004D5307">
            <w:pPr>
              <w:spacing w:after="0"/>
              <w:jc w:val="center"/>
              <w:rPr>
                <w:color w:val="000000"/>
                <w:sz w:val="20"/>
              </w:rPr>
            </w:pPr>
            <w:r w:rsidRPr="000939E3">
              <w:rPr>
                <w:color w:val="000000"/>
                <w:sz w:val="20"/>
                <w:szCs w:val="20"/>
              </w:rPr>
              <w:t>85</w:t>
            </w:r>
          </w:p>
        </w:tc>
        <w:tc>
          <w:tcPr>
            <w:tcW w:w="997" w:type="dxa"/>
            <w:tcBorders>
              <w:top w:val="nil"/>
              <w:left w:val="nil"/>
              <w:bottom w:val="nil"/>
              <w:right w:val="nil"/>
            </w:tcBorders>
            <w:vAlign w:val="center"/>
          </w:tcPr>
          <w:p w14:paraId="3976856B" w14:textId="7A6902DA" w:rsidR="004D5307" w:rsidRPr="000939E3" w:rsidRDefault="004D5307" w:rsidP="004D5307">
            <w:pPr>
              <w:spacing w:after="0"/>
              <w:jc w:val="center"/>
              <w:rPr>
                <w:color w:val="000000"/>
                <w:sz w:val="20"/>
              </w:rPr>
            </w:pPr>
            <w:r w:rsidRPr="000939E3">
              <w:rPr>
                <w:color w:val="000000"/>
                <w:sz w:val="20"/>
                <w:szCs w:val="20"/>
              </w:rPr>
              <w:t>1 510</w:t>
            </w:r>
          </w:p>
        </w:tc>
        <w:tc>
          <w:tcPr>
            <w:tcW w:w="865" w:type="dxa"/>
            <w:tcBorders>
              <w:top w:val="nil"/>
              <w:left w:val="nil"/>
              <w:bottom w:val="nil"/>
              <w:right w:val="nil"/>
            </w:tcBorders>
            <w:vAlign w:val="center"/>
          </w:tcPr>
          <w:p w14:paraId="12E93A28" w14:textId="6218F65A" w:rsidR="004D5307" w:rsidRPr="000939E3" w:rsidRDefault="004D5307" w:rsidP="004D5307">
            <w:pPr>
              <w:spacing w:after="0"/>
              <w:jc w:val="center"/>
              <w:rPr>
                <w:color w:val="000000"/>
                <w:sz w:val="20"/>
              </w:rPr>
            </w:pPr>
            <w:r w:rsidRPr="000939E3">
              <w:rPr>
                <w:color w:val="000000"/>
                <w:sz w:val="20"/>
                <w:szCs w:val="20"/>
              </w:rPr>
              <w:t>áno</w:t>
            </w:r>
          </w:p>
        </w:tc>
        <w:tc>
          <w:tcPr>
            <w:tcW w:w="1111" w:type="dxa"/>
            <w:tcBorders>
              <w:top w:val="nil"/>
              <w:left w:val="nil"/>
              <w:bottom w:val="nil"/>
              <w:right w:val="nil"/>
            </w:tcBorders>
            <w:vAlign w:val="bottom"/>
          </w:tcPr>
          <w:p w14:paraId="1868D3AB" w14:textId="6E93EBAE" w:rsidR="004D5307" w:rsidRPr="000939E3" w:rsidRDefault="004D5307" w:rsidP="004D5307">
            <w:pPr>
              <w:spacing w:after="0"/>
              <w:jc w:val="center"/>
              <w:rPr>
                <w:color w:val="000000"/>
                <w:sz w:val="20"/>
              </w:rPr>
            </w:pPr>
            <w:r w:rsidRPr="000939E3">
              <w:rPr>
                <w:color w:val="000000"/>
                <w:sz w:val="20"/>
                <w:szCs w:val="20"/>
              </w:rPr>
              <w:t>60%</w:t>
            </w:r>
          </w:p>
        </w:tc>
      </w:tr>
      <w:tr w:rsidR="004D5307" w:rsidRPr="000939E3" w14:paraId="6CEB4FF1" w14:textId="77777777" w:rsidTr="002B277D">
        <w:trPr>
          <w:trHeight w:val="20"/>
        </w:trPr>
        <w:tc>
          <w:tcPr>
            <w:tcW w:w="2835" w:type="dxa"/>
            <w:gridSpan w:val="2"/>
            <w:tcBorders>
              <w:top w:val="nil"/>
              <w:left w:val="nil"/>
              <w:bottom w:val="nil"/>
              <w:right w:val="nil"/>
            </w:tcBorders>
            <w:noWrap/>
            <w:vAlign w:val="center"/>
            <w:hideMark/>
          </w:tcPr>
          <w:p w14:paraId="27C65F98" w14:textId="59FB59F3" w:rsidR="004D5307" w:rsidRPr="000939E3" w:rsidRDefault="004D5307" w:rsidP="004D5307">
            <w:pPr>
              <w:spacing w:after="0"/>
              <w:jc w:val="left"/>
              <w:rPr>
                <w:sz w:val="20"/>
                <w:szCs w:val="20"/>
              </w:rPr>
            </w:pPr>
            <w:r w:rsidRPr="000939E3">
              <w:rPr>
                <w:color w:val="000000"/>
                <w:sz w:val="20"/>
                <w:szCs w:val="20"/>
              </w:rPr>
              <w:t>Národná diaľničná spoločnosť</w:t>
            </w:r>
          </w:p>
        </w:tc>
        <w:tc>
          <w:tcPr>
            <w:tcW w:w="1252" w:type="dxa"/>
            <w:tcBorders>
              <w:top w:val="nil"/>
              <w:left w:val="nil"/>
              <w:bottom w:val="nil"/>
              <w:right w:val="nil"/>
            </w:tcBorders>
            <w:noWrap/>
            <w:vAlign w:val="center"/>
            <w:hideMark/>
          </w:tcPr>
          <w:p w14:paraId="004E1A06" w14:textId="6AA11F9E" w:rsidR="004D5307" w:rsidRPr="000939E3" w:rsidRDefault="004D5307" w:rsidP="004D5307">
            <w:pPr>
              <w:spacing w:after="0"/>
              <w:jc w:val="center"/>
              <w:rPr>
                <w:sz w:val="20"/>
                <w:szCs w:val="20"/>
              </w:rPr>
            </w:pPr>
            <w:r w:rsidRPr="000939E3">
              <w:rPr>
                <w:color w:val="000000"/>
                <w:sz w:val="20"/>
                <w:szCs w:val="20"/>
              </w:rPr>
              <w:t>1 698</w:t>
            </w:r>
          </w:p>
        </w:tc>
        <w:tc>
          <w:tcPr>
            <w:tcW w:w="901" w:type="dxa"/>
            <w:tcBorders>
              <w:top w:val="nil"/>
              <w:left w:val="nil"/>
              <w:bottom w:val="nil"/>
              <w:right w:val="nil"/>
            </w:tcBorders>
            <w:noWrap/>
            <w:vAlign w:val="center"/>
            <w:hideMark/>
          </w:tcPr>
          <w:p w14:paraId="4F48F673" w14:textId="36CE1284" w:rsidR="004D5307" w:rsidRPr="000939E3" w:rsidRDefault="004D5307" w:rsidP="004D5307">
            <w:pPr>
              <w:spacing w:after="0"/>
              <w:jc w:val="center"/>
              <w:rPr>
                <w:color w:val="000000"/>
                <w:sz w:val="20"/>
              </w:rPr>
            </w:pPr>
            <w:r w:rsidRPr="000939E3">
              <w:rPr>
                <w:color w:val="000000"/>
                <w:sz w:val="20"/>
                <w:szCs w:val="20"/>
              </w:rPr>
              <w:t>45</w:t>
            </w:r>
          </w:p>
        </w:tc>
        <w:tc>
          <w:tcPr>
            <w:tcW w:w="1111" w:type="dxa"/>
            <w:tcBorders>
              <w:top w:val="nil"/>
              <w:left w:val="nil"/>
              <w:bottom w:val="nil"/>
              <w:right w:val="nil"/>
            </w:tcBorders>
            <w:noWrap/>
            <w:vAlign w:val="center"/>
            <w:hideMark/>
          </w:tcPr>
          <w:p w14:paraId="3D23824E" w14:textId="639DC379" w:rsidR="004D5307" w:rsidRPr="000939E3" w:rsidRDefault="004D5307" w:rsidP="004D5307">
            <w:pPr>
              <w:spacing w:after="0"/>
              <w:jc w:val="center"/>
              <w:rPr>
                <w:color w:val="000000"/>
                <w:sz w:val="20"/>
              </w:rPr>
            </w:pPr>
            <w:r w:rsidRPr="000939E3">
              <w:rPr>
                <w:color w:val="000000"/>
                <w:sz w:val="20"/>
                <w:szCs w:val="20"/>
              </w:rPr>
              <w:t>229</w:t>
            </w:r>
          </w:p>
        </w:tc>
        <w:tc>
          <w:tcPr>
            <w:tcW w:w="997" w:type="dxa"/>
            <w:tcBorders>
              <w:top w:val="nil"/>
              <w:left w:val="nil"/>
              <w:bottom w:val="nil"/>
              <w:right w:val="nil"/>
            </w:tcBorders>
            <w:vAlign w:val="center"/>
          </w:tcPr>
          <w:p w14:paraId="164ABB1D" w14:textId="3DFC1154" w:rsidR="004D5307" w:rsidRPr="000939E3" w:rsidRDefault="004D5307" w:rsidP="004D5307">
            <w:pPr>
              <w:spacing w:after="0"/>
              <w:jc w:val="center"/>
              <w:rPr>
                <w:color w:val="000000"/>
                <w:sz w:val="20"/>
              </w:rPr>
            </w:pPr>
            <w:r w:rsidRPr="000939E3">
              <w:rPr>
                <w:color w:val="000000"/>
                <w:sz w:val="20"/>
                <w:szCs w:val="20"/>
              </w:rPr>
              <w:t>1 640</w:t>
            </w:r>
          </w:p>
        </w:tc>
        <w:tc>
          <w:tcPr>
            <w:tcW w:w="865" w:type="dxa"/>
            <w:tcBorders>
              <w:top w:val="nil"/>
              <w:left w:val="nil"/>
              <w:bottom w:val="nil"/>
              <w:right w:val="nil"/>
            </w:tcBorders>
            <w:vAlign w:val="center"/>
          </w:tcPr>
          <w:p w14:paraId="4BF8F3AB" w14:textId="2E79A632" w:rsidR="004D5307" w:rsidRPr="000939E3" w:rsidRDefault="004D5307" w:rsidP="004D5307">
            <w:pPr>
              <w:spacing w:after="0"/>
              <w:jc w:val="center"/>
              <w:rPr>
                <w:color w:val="000000"/>
                <w:sz w:val="20"/>
              </w:rPr>
            </w:pPr>
            <w:r w:rsidRPr="000939E3">
              <w:rPr>
                <w:color w:val="000000"/>
                <w:sz w:val="20"/>
                <w:szCs w:val="20"/>
              </w:rPr>
              <w:t>áno</w:t>
            </w:r>
          </w:p>
        </w:tc>
        <w:tc>
          <w:tcPr>
            <w:tcW w:w="1111" w:type="dxa"/>
            <w:tcBorders>
              <w:top w:val="nil"/>
              <w:left w:val="nil"/>
              <w:bottom w:val="nil"/>
              <w:right w:val="nil"/>
            </w:tcBorders>
            <w:vAlign w:val="bottom"/>
          </w:tcPr>
          <w:p w14:paraId="28A8C070" w14:textId="216F967F" w:rsidR="004D5307" w:rsidRPr="000939E3" w:rsidRDefault="004D5307" w:rsidP="004D5307">
            <w:pPr>
              <w:spacing w:after="0"/>
              <w:jc w:val="center"/>
              <w:rPr>
                <w:color w:val="000000"/>
                <w:sz w:val="20"/>
              </w:rPr>
            </w:pPr>
            <w:r w:rsidRPr="000939E3">
              <w:rPr>
                <w:color w:val="000000"/>
                <w:sz w:val="20"/>
                <w:szCs w:val="20"/>
              </w:rPr>
              <w:t>20%</w:t>
            </w:r>
          </w:p>
        </w:tc>
      </w:tr>
      <w:tr w:rsidR="004D5307" w:rsidRPr="000939E3" w14:paraId="691E084B" w14:textId="77777777" w:rsidTr="002B277D">
        <w:trPr>
          <w:trHeight w:val="20"/>
        </w:trPr>
        <w:tc>
          <w:tcPr>
            <w:tcW w:w="2835" w:type="dxa"/>
            <w:gridSpan w:val="2"/>
            <w:tcBorders>
              <w:top w:val="nil"/>
              <w:left w:val="nil"/>
              <w:bottom w:val="single" w:sz="4" w:space="0" w:color="auto"/>
              <w:right w:val="nil"/>
            </w:tcBorders>
            <w:noWrap/>
            <w:vAlign w:val="center"/>
            <w:hideMark/>
          </w:tcPr>
          <w:p w14:paraId="1A66C6CA" w14:textId="1A566B49" w:rsidR="004D5307" w:rsidRPr="000939E3" w:rsidRDefault="004D5307" w:rsidP="004D5307">
            <w:pPr>
              <w:spacing w:after="0"/>
              <w:jc w:val="left"/>
              <w:rPr>
                <w:sz w:val="20"/>
                <w:szCs w:val="20"/>
              </w:rPr>
            </w:pPr>
            <w:r w:rsidRPr="000939E3">
              <w:rPr>
                <w:color w:val="000000"/>
                <w:sz w:val="20"/>
                <w:szCs w:val="20"/>
              </w:rPr>
              <w:t xml:space="preserve">Rozhlas a televízia Slovenska </w:t>
            </w:r>
          </w:p>
        </w:tc>
        <w:tc>
          <w:tcPr>
            <w:tcW w:w="1252" w:type="dxa"/>
            <w:tcBorders>
              <w:top w:val="nil"/>
              <w:left w:val="nil"/>
              <w:bottom w:val="single" w:sz="4" w:space="0" w:color="auto"/>
              <w:right w:val="nil"/>
            </w:tcBorders>
            <w:noWrap/>
            <w:vAlign w:val="center"/>
            <w:hideMark/>
          </w:tcPr>
          <w:p w14:paraId="73E4FF22" w14:textId="44670739" w:rsidR="004D5307" w:rsidRPr="000939E3" w:rsidRDefault="004D5307" w:rsidP="004D5307">
            <w:pPr>
              <w:spacing w:after="0"/>
              <w:jc w:val="center"/>
              <w:rPr>
                <w:sz w:val="20"/>
                <w:szCs w:val="20"/>
              </w:rPr>
            </w:pPr>
            <w:r w:rsidRPr="000939E3">
              <w:rPr>
                <w:color w:val="000000"/>
                <w:sz w:val="20"/>
                <w:szCs w:val="20"/>
              </w:rPr>
              <w:t>1 378</w:t>
            </w:r>
          </w:p>
        </w:tc>
        <w:tc>
          <w:tcPr>
            <w:tcW w:w="901" w:type="dxa"/>
            <w:tcBorders>
              <w:top w:val="nil"/>
              <w:left w:val="nil"/>
              <w:bottom w:val="single" w:sz="4" w:space="0" w:color="auto"/>
              <w:right w:val="nil"/>
            </w:tcBorders>
            <w:noWrap/>
            <w:vAlign w:val="center"/>
            <w:hideMark/>
          </w:tcPr>
          <w:p w14:paraId="331CADB1" w14:textId="1D362944" w:rsidR="004D5307" w:rsidRPr="000939E3" w:rsidRDefault="004D5307" w:rsidP="004D5307">
            <w:pPr>
              <w:spacing w:after="0"/>
              <w:jc w:val="center"/>
              <w:rPr>
                <w:color w:val="000000"/>
                <w:sz w:val="20"/>
              </w:rPr>
            </w:pPr>
            <w:r w:rsidRPr="000939E3">
              <w:rPr>
                <w:color w:val="000000"/>
                <w:sz w:val="20"/>
                <w:szCs w:val="20"/>
              </w:rPr>
              <w:t>33</w:t>
            </w:r>
          </w:p>
        </w:tc>
        <w:tc>
          <w:tcPr>
            <w:tcW w:w="1111" w:type="dxa"/>
            <w:tcBorders>
              <w:top w:val="nil"/>
              <w:left w:val="nil"/>
              <w:bottom w:val="single" w:sz="4" w:space="0" w:color="auto"/>
              <w:right w:val="nil"/>
            </w:tcBorders>
            <w:noWrap/>
            <w:vAlign w:val="center"/>
            <w:hideMark/>
          </w:tcPr>
          <w:p w14:paraId="6E404055" w14:textId="5B01FBA4" w:rsidR="004D5307" w:rsidRPr="000939E3" w:rsidRDefault="004D5307" w:rsidP="004D5307">
            <w:pPr>
              <w:spacing w:after="0"/>
              <w:jc w:val="center"/>
              <w:rPr>
                <w:color w:val="000000"/>
                <w:sz w:val="20"/>
              </w:rPr>
            </w:pPr>
            <w:r w:rsidRPr="000939E3">
              <w:rPr>
                <w:color w:val="000000"/>
                <w:sz w:val="20"/>
                <w:szCs w:val="20"/>
              </w:rPr>
              <w:t>112</w:t>
            </w:r>
          </w:p>
        </w:tc>
        <w:tc>
          <w:tcPr>
            <w:tcW w:w="997" w:type="dxa"/>
            <w:tcBorders>
              <w:top w:val="nil"/>
              <w:left w:val="nil"/>
              <w:bottom w:val="single" w:sz="4" w:space="0" w:color="auto"/>
              <w:right w:val="nil"/>
            </w:tcBorders>
            <w:vAlign w:val="center"/>
          </w:tcPr>
          <w:p w14:paraId="31F0DF56" w14:textId="36EB7918" w:rsidR="004D5307" w:rsidRPr="000939E3" w:rsidRDefault="004D5307" w:rsidP="004D5307">
            <w:pPr>
              <w:spacing w:after="0"/>
              <w:jc w:val="center"/>
              <w:rPr>
                <w:color w:val="000000"/>
                <w:sz w:val="20"/>
              </w:rPr>
            </w:pPr>
            <w:r w:rsidRPr="000939E3">
              <w:rPr>
                <w:color w:val="000000"/>
                <w:sz w:val="20"/>
                <w:szCs w:val="20"/>
              </w:rPr>
              <w:t>1 498</w:t>
            </w:r>
          </w:p>
        </w:tc>
        <w:tc>
          <w:tcPr>
            <w:tcW w:w="865" w:type="dxa"/>
            <w:tcBorders>
              <w:top w:val="nil"/>
              <w:left w:val="nil"/>
              <w:bottom w:val="single" w:sz="4" w:space="0" w:color="auto"/>
              <w:right w:val="nil"/>
            </w:tcBorders>
            <w:vAlign w:val="center"/>
          </w:tcPr>
          <w:p w14:paraId="00B4B3CC" w14:textId="1E363685" w:rsidR="004D5307" w:rsidRPr="000939E3" w:rsidRDefault="004D5307" w:rsidP="004D5307">
            <w:pPr>
              <w:spacing w:after="0"/>
              <w:jc w:val="center"/>
              <w:rPr>
                <w:color w:val="000000"/>
                <w:sz w:val="20"/>
              </w:rPr>
            </w:pPr>
            <w:r w:rsidRPr="000939E3">
              <w:rPr>
                <w:color w:val="000000"/>
                <w:sz w:val="20"/>
                <w:szCs w:val="20"/>
              </w:rPr>
              <w:t>áno</w:t>
            </w:r>
          </w:p>
        </w:tc>
        <w:tc>
          <w:tcPr>
            <w:tcW w:w="1111" w:type="dxa"/>
            <w:tcBorders>
              <w:top w:val="nil"/>
              <w:left w:val="nil"/>
              <w:bottom w:val="single" w:sz="4" w:space="0" w:color="auto"/>
              <w:right w:val="nil"/>
            </w:tcBorders>
            <w:vAlign w:val="bottom"/>
          </w:tcPr>
          <w:p w14:paraId="2F624C83" w14:textId="3BF27DBA" w:rsidR="004D5307" w:rsidRPr="000939E3" w:rsidRDefault="004D5307" w:rsidP="004D5307">
            <w:pPr>
              <w:spacing w:after="0"/>
              <w:jc w:val="center"/>
              <w:rPr>
                <w:color w:val="000000"/>
                <w:sz w:val="20"/>
              </w:rPr>
            </w:pPr>
            <w:r w:rsidRPr="000939E3">
              <w:rPr>
                <w:color w:val="000000"/>
                <w:sz w:val="20"/>
                <w:szCs w:val="20"/>
              </w:rPr>
              <w:t>30%</w:t>
            </w:r>
          </w:p>
        </w:tc>
      </w:tr>
      <w:tr w:rsidR="00DC0A3A" w:rsidRPr="000939E3" w14:paraId="62BB6612" w14:textId="77777777" w:rsidTr="0081546B">
        <w:trPr>
          <w:trHeight w:val="20"/>
        </w:trPr>
        <w:tc>
          <w:tcPr>
            <w:tcW w:w="1905" w:type="dxa"/>
            <w:tcBorders>
              <w:top w:val="single" w:sz="4" w:space="0" w:color="auto"/>
              <w:left w:val="nil"/>
              <w:bottom w:val="nil"/>
              <w:right w:val="nil"/>
            </w:tcBorders>
            <w:noWrap/>
          </w:tcPr>
          <w:p w14:paraId="40310E42" w14:textId="77777777" w:rsidR="00DC0A3A" w:rsidRPr="000939E3" w:rsidRDefault="00DC0A3A" w:rsidP="00B103B1">
            <w:pPr>
              <w:spacing w:after="0"/>
              <w:jc w:val="right"/>
              <w:rPr>
                <w:i/>
                <w:sz w:val="16"/>
                <w:szCs w:val="20"/>
              </w:rPr>
            </w:pPr>
          </w:p>
        </w:tc>
        <w:tc>
          <w:tcPr>
            <w:tcW w:w="7167" w:type="dxa"/>
            <w:gridSpan w:val="7"/>
            <w:tcBorders>
              <w:top w:val="single" w:sz="4" w:space="0" w:color="auto"/>
              <w:left w:val="nil"/>
              <w:bottom w:val="nil"/>
              <w:right w:val="nil"/>
            </w:tcBorders>
          </w:tcPr>
          <w:p w14:paraId="34FCD670" w14:textId="77777777" w:rsidR="00DC0A3A" w:rsidRPr="000939E3" w:rsidRDefault="00DC0A3A" w:rsidP="00B103B1">
            <w:pPr>
              <w:spacing w:after="0"/>
              <w:jc w:val="right"/>
              <w:rPr>
                <w:i/>
                <w:sz w:val="18"/>
                <w:szCs w:val="20"/>
              </w:rPr>
            </w:pPr>
            <w:r w:rsidRPr="000939E3">
              <w:rPr>
                <w:i/>
                <w:sz w:val="18"/>
                <w:szCs w:val="20"/>
              </w:rPr>
              <w:t>Zdroj: ÚHP</w:t>
            </w:r>
          </w:p>
        </w:tc>
      </w:tr>
    </w:tbl>
    <w:tbl>
      <w:tblPr>
        <w:tblStyle w:val="Mriekatabuky1"/>
        <w:tblpPr w:leftFromText="141" w:rightFromText="141" w:vertAnchor="text" w:horzAnchor="margin" w:tblpY="21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CellMar>
          <w:left w:w="70" w:type="dxa"/>
          <w:right w:w="70" w:type="dxa"/>
        </w:tblCellMar>
        <w:tblLook w:val="04A0" w:firstRow="1" w:lastRow="0" w:firstColumn="1" w:lastColumn="0" w:noHBand="0" w:noVBand="1"/>
      </w:tblPr>
      <w:tblGrid>
        <w:gridCol w:w="9072"/>
      </w:tblGrid>
      <w:tr w:rsidR="006A7AEC" w:rsidRPr="000939E3" w14:paraId="4DB0F673" w14:textId="77777777" w:rsidTr="0040330D">
        <w:trPr>
          <w:trHeight w:val="20"/>
        </w:trPr>
        <w:tc>
          <w:tcPr>
            <w:tcW w:w="5000" w:type="pct"/>
            <w:shd w:val="clear" w:color="auto" w:fill="BDD6EE" w:themeFill="accent1" w:themeFillTint="66"/>
          </w:tcPr>
          <w:p w14:paraId="576213B0" w14:textId="77777777" w:rsidR="006A7AEC" w:rsidRPr="000939E3" w:rsidRDefault="006A7AEC" w:rsidP="006A7AEC">
            <w:pPr>
              <w:keepNext/>
              <w:rPr>
                <w:b/>
              </w:rPr>
            </w:pPr>
            <w:r w:rsidRPr="000939E3">
              <w:br w:type="page"/>
            </w:r>
            <w:bookmarkStart w:id="290" w:name="_Ref532830968"/>
            <w:bookmarkStart w:id="291" w:name="_Ref532830963"/>
            <w:r w:rsidRPr="000939E3">
              <w:rPr>
                <w:b/>
              </w:rPr>
              <w:t xml:space="preserve">Box </w:t>
            </w:r>
            <w:r w:rsidRPr="000939E3">
              <w:rPr>
                <w:b/>
              </w:rPr>
              <w:fldChar w:fldCharType="begin"/>
            </w:r>
            <w:r w:rsidRPr="000939E3">
              <w:rPr>
                <w:b/>
              </w:rPr>
              <w:instrText xml:space="preserve"> SEQ Box \* ARABIC </w:instrText>
            </w:r>
            <w:r w:rsidRPr="000939E3">
              <w:rPr>
                <w:b/>
              </w:rPr>
              <w:fldChar w:fldCharType="separate"/>
            </w:r>
            <w:r w:rsidR="00BF69CA">
              <w:rPr>
                <w:b/>
                <w:noProof/>
              </w:rPr>
              <w:t>15</w:t>
            </w:r>
            <w:r w:rsidRPr="000939E3">
              <w:rPr>
                <w:b/>
              </w:rPr>
              <w:fldChar w:fldCharType="end"/>
            </w:r>
            <w:bookmarkEnd w:id="290"/>
            <w:r w:rsidRPr="000939E3">
              <w:rPr>
                <w:b/>
              </w:rPr>
              <w:t>: Štátne podniky</w:t>
            </w:r>
            <w:bookmarkEnd w:id="291"/>
          </w:p>
          <w:p w14:paraId="689A208D" w14:textId="77777777" w:rsidR="006A7AEC" w:rsidRPr="000939E3" w:rsidRDefault="006A7AEC" w:rsidP="006A7AEC">
            <w:pPr>
              <w:spacing w:after="120"/>
            </w:pPr>
            <w:r w:rsidRPr="000939E3">
              <w:rPr>
                <w:b/>
              </w:rPr>
              <w:t>Označenie štátneho podniku vyplýva z vlastníckych pomerov, nie právnej formy.</w:t>
            </w:r>
            <w:r w:rsidRPr="000939E3">
              <w:t xml:space="preserve"> Štát môže vlastniť aj iné podniky ako tzv. štátne. Pri vlastníctve štátu je dôležitý majetkový podiel, nie je rozhodujúca právna forma (s.r.o., a.s. a iné).</w:t>
            </w:r>
          </w:p>
          <w:p w14:paraId="7BDFA459" w14:textId="168825C4" w:rsidR="006A7AEC" w:rsidRPr="000939E3" w:rsidRDefault="006A7AEC" w:rsidP="00F10BC3">
            <w:pPr>
              <w:spacing w:after="120"/>
            </w:pPr>
            <w:r w:rsidRPr="000939E3">
              <w:rPr>
                <w:b/>
              </w:rPr>
              <w:t>Štátny podnik nemusí byť zaradený v sektore verejnej správy.</w:t>
            </w:r>
            <w:r w:rsidRPr="000939E3">
              <w:t xml:space="preserve"> Zaradenie do verejnej správy sa určuje ce</w:t>
            </w:r>
            <w:r w:rsidR="00F940C9" w:rsidRPr="000939E3">
              <w:t>loeurópskou metodikou ESA 2010 (</w:t>
            </w:r>
            <w:r w:rsidR="00F940C9" w:rsidRPr="000939E3">
              <w:fldChar w:fldCharType="begin"/>
            </w:r>
            <w:r w:rsidR="00F940C9" w:rsidRPr="000939E3">
              <w:instrText xml:space="preserve"> REF _Ref5870330 \h  \* MERGEFORMAT </w:instrText>
            </w:r>
            <w:r w:rsidR="00F940C9" w:rsidRPr="000939E3">
              <w:fldChar w:fldCharType="separate"/>
            </w:r>
            <w:r w:rsidR="00BF69CA" w:rsidRPr="00BF69CA">
              <w:t xml:space="preserve">Box </w:t>
            </w:r>
            <w:r w:rsidR="00BF69CA" w:rsidRPr="00BF69CA">
              <w:rPr>
                <w:noProof/>
              </w:rPr>
              <w:t>3</w:t>
            </w:r>
            <w:r w:rsidR="00F940C9" w:rsidRPr="000939E3">
              <w:fldChar w:fldCharType="end"/>
            </w:r>
            <w:r w:rsidRPr="000939E3">
              <w:t>). Štátny podnik je autonómna právnická osoba, jej zakladateľom je štát prostredníctvom ústredného orgánu štátnej správy a jej majetok je majetkom štátu. Hospodárenie štátneho podniku môže negatívne ovplyvniť vykonávanie činnosti vo verejnom záujme, ktorá nemusí byť vykonávaná s cieľom dosiahnuť zisk. Prípadnú stratu spoločnosti môže štát kompenzovať dotáciou</w:t>
            </w:r>
            <w:r w:rsidRPr="000939E3">
              <w:rPr>
                <w:rStyle w:val="Odkaznapoznmkupodiarou"/>
              </w:rPr>
              <w:footnoteReference w:id="132"/>
            </w:r>
            <w:r w:rsidRPr="000939E3">
              <w:t>.</w:t>
            </w:r>
          </w:p>
        </w:tc>
      </w:tr>
    </w:tbl>
    <w:p w14:paraId="2539E4FA" w14:textId="030EBC2E" w:rsidR="008F7311" w:rsidRPr="000939E3" w:rsidRDefault="007E4C62" w:rsidP="009924AF">
      <w:pPr>
        <w:spacing w:before="160"/>
      </w:pPr>
      <w:r w:rsidRPr="000939E3">
        <w:rPr>
          <w:b/>
          <w:lang w:eastAsia="sk-SK"/>
        </w:rPr>
        <w:t xml:space="preserve">Rozptyl miezd v štátnych podnikoch je nižší ako v súkromnom sektore. </w:t>
      </w:r>
      <w:r w:rsidR="00207047" w:rsidRPr="000939E3">
        <w:t xml:space="preserve">Krivka distribúcie </w:t>
      </w:r>
      <w:r w:rsidR="00685E4B" w:rsidRPr="000939E3">
        <w:t xml:space="preserve">pre zamestnancov vykonávajúcich prácu vyžadujúcu rovnaké zručnosti (kapitola </w:t>
      </w:r>
      <w:r w:rsidR="00685E4B" w:rsidRPr="000939E3">
        <w:fldChar w:fldCharType="begin"/>
      </w:r>
      <w:r w:rsidR="00685E4B" w:rsidRPr="000939E3">
        <w:instrText xml:space="preserve"> REF _Ref532831506 \r \h </w:instrText>
      </w:r>
      <w:r w:rsidR="006245F1" w:rsidRPr="000939E3">
        <w:instrText xml:space="preserve"> \* MERGEFORMAT </w:instrText>
      </w:r>
      <w:r w:rsidR="00685E4B" w:rsidRPr="000939E3">
        <w:fldChar w:fldCharType="separate"/>
      </w:r>
      <w:r w:rsidR="00BF69CA">
        <w:t>3.1</w:t>
      </w:r>
      <w:r w:rsidR="00685E4B" w:rsidRPr="000939E3">
        <w:fldChar w:fldCharType="end"/>
      </w:r>
      <w:r w:rsidR="00685E4B" w:rsidRPr="000939E3">
        <w:t xml:space="preserve">) </w:t>
      </w:r>
      <w:r w:rsidR="00207047" w:rsidRPr="000939E3">
        <w:t>je oproti súkromnému sektoru užšia a ostrejšia</w:t>
      </w:r>
      <w:r w:rsidR="00207047" w:rsidRPr="000939E3">
        <w:rPr>
          <w:rStyle w:val="Odkaznapoznmkupodiarou"/>
        </w:rPr>
        <w:footnoteReference w:id="133"/>
      </w:r>
      <w:r w:rsidRPr="000939E3">
        <w:t xml:space="preserve"> (</w:t>
      </w:r>
      <w:r w:rsidRPr="000939E3">
        <w:fldChar w:fldCharType="begin"/>
      </w:r>
      <w:r w:rsidRPr="000939E3">
        <w:instrText xml:space="preserve"> REF _Ref532831377 \h </w:instrText>
      </w:r>
      <w:r w:rsidR="00DC481D" w:rsidRPr="000939E3">
        <w:instrText xml:space="preserve"> \* MERGEFORMAT </w:instrText>
      </w:r>
      <w:r w:rsidRPr="000939E3">
        <w:fldChar w:fldCharType="separate"/>
      </w:r>
      <w:r w:rsidR="00BF69CA" w:rsidRPr="000939E3">
        <w:t xml:space="preserve">Graf </w:t>
      </w:r>
      <w:r w:rsidR="00BF69CA">
        <w:rPr>
          <w:noProof/>
        </w:rPr>
        <w:t>57</w:t>
      </w:r>
      <w:r w:rsidRPr="000939E3">
        <w:fldChar w:fldCharType="end"/>
      </w:r>
      <w:r w:rsidRPr="000939E3">
        <w:t xml:space="preserve">, </w:t>
      </w:r>
      <w:r w:rsidRPr="000939E3">
        <w:fldChar w:fldCharType="begin"/>
      </w:r>
      <w:r w:rsidRPr="000939E3">
        <w:instrText xml:space="preserve"> REF _Ref532831380 \h </w:instrText>
      </w:r>
      <w:r w:rsidR="00DC481D" w:rsidRPr="000939E3">
        <w:instrText xml:space="preserve"> \* MERGEFORMAT </w:instrText>
      </w:r>
      <w:r w:rsidRPr="000939E3">
        <w:fldChar w:fldCharType="separate"/>
      </w:r>
      <w:r w:rsidR="00BF69CA" w:rsidRPr="000939E3">
        <w:t xml:space="preserve">Graf </w:t>
      </w:r>
      <w:r w:rsidR="00BF69CA">
        <w:rPr>
          <w:noProof/>
        </w:rPr>
        <w:t>58</w:t>
      </w:r>
      <w:r w:rsidRPr="000939E3">
        <w:fldChar w:fldCharType="end"/>
      </w:r>
      <w:r w:rsidRPr="000939E3">
        <w:t>)</w:t>
      </w:r>
      <w:r w:rsidR="00207047" w:rsidRPr="000939E3">
        <w:t>.</w:t>
      </w:r>
    </w:p>
    <w:tbl>
      <w:tblPr>
        <w:tblStyle w:val="Mriekatabuky"/>
        <w:tblW w:w="0" w:type="auto"/>
        <w:tblCellMar>
          <w:left w:w="70" w:type="dxa"/>
          <w:right w:w="70" w:type="dxa"/>
        </w:tblCellMar>
        <w:tblLook w:val="04A0" w:firstRow="1" w:lastRow="0" w:firstColumn="1" w:lastColumn="0" w:noHBand="0" w:noVBand="1"/>
      </w:tblPr>
      <w:tblGrid>
        <w:gridCol w:w="4460"/>
        <w:gridCol w:w="152"/>
        <w:gridCol w:w="4460"/>
      </w:tblGrid>
      <w:tr w:rsidR="00207047" w:rsidRPr="000939E3" w14:paraId="59CD22A6" w14:textId="77777777" w:rsidTr="00B103B1">
        <w:trPr>
          <w:cantSplit/>
          <w:trHeight w:val="20"/>
        </w:trPr>
        <w:tc>
          <w:tcPr>
            <w:tcW w:w="4460" w:type="dxa"/>
            <w:tcBorders>
              <w:top w:val="nil"/>
              <w:left w:val="nil"/>
              <w:bottom w:val="single" w:sz="4" w:space="0" w:color="auto"/>
              <w:right w:val="nil"/>
            </w:tcBorders>
            <w:noWrap/>
            <w:vAlign w:val="center"/>
          </w:tcPr>
          <w:p w14:paraId="48354889" w14:textId="5ED7B669" w:rsidR="00207047" w:rsidRPr="000939E3" w:rsidRDefault="00207047" w:rsidP="00DE6CF1">
            <w:pPr>
              <w:pStyle w:val="Popis"/>
              <w:rPr>
                <w:noProof/>
              </w:rPr>
            </w:pPr>
            <w:bookmarkStart w:id="292" w:name="_Ref532831377"/>
            <w:bookmarkStart w:id="293" w:name="_Toc526269581"/>
            <w:bookmarkStart w:id="294" w:name="_Toc34226928"/>
            <w:r w:rsidRPr="000939E3">
              <w:t xml:space="preserve">Graf </w:t>
            </w:r>
            <w:r w:rsidR="00E30BD2" w:rsidRPr="000939E3">
              <w:rPr>
                <w:noProof/>
              </w:rPr>
              <w:fldChar w:fldCharType="begin"/>
            </w:r>
            <w:r w:rsidR="00E30BD2" w:rsidRPr="000939E3">
              <w:rPr>
                <w:noProof/>
              </w:rPr>
              <w:instrText xml:space="preserve"> SEQ Graf \* ARABIC </w:instrText>
            </w:r>
            <w:r w:rsidR="00E30BD2" w:rsidRPr="000939E3">
              <w:rPr>
                <w:noProof/>
              </w:rPr>
              <w:fldChar w:fldCharType="separate"/>
            </w:r>
            <w:r w:rsidR="00BF69CA">
              <w:rPr>
                <w:noProof/>
              </w:rPr>
              <w:t>57</w:t>
            </w:r>
            <w:r w:rsidR="00E30BD2" w:rsidRPr="000939E3">
              <w:rPr>
                <w:noProof/>
              </w:rPr>
              <w:fldChar w:fldCharType="end"/>
            </w:r>
            <w:bookmarkEnd w:id="292"/>
            <w:r w:rsidR="001E1D11" w:rsidRPr="000939E3">
              <w:rPr>
                <w:noProof/>
              </w:rPr>
              <w:t>:</w:t>
            </w:r>
            <w:r w:rsidRPr="000939E3">
              <w:t xml:space="preserve"> Podiel osôb zručnosti 2 zamestnaných podľa Zákonníka práce podľa sektora a hodinovej mzdy</w:t>
            </w:r>
            <w:bookmarkEnd w:id="293"/>
            <w:r w:rsidR="00C06C02" w:rsidRPr="000939E3">
              <w:t xml:space="preserve"> (2017)</w:t>
            </w:r>
            <w:bookmarkEnd w:id="294"/>
          </w:p>
        </w:tc>
        <w:tc>
          <w:tcPr>
            <w:tcW w:w="152" w:type="dxa"/>
            <w:tcBorders>
              <w:top w:val="nil"/>
              <w:left w:val="nil"/>
              <w:bottom w:val="nil"/>
              <w:right w:val="nil"/>
            </w:tcBorders>
            <w:vAlign w:val="center"/>
          </w:tcPr>
          <w:p w14:paraId="3F2C7E72" w14:textId="77777777" w:rsidR="00207047" w:rsidRPr="000939E3" w:rsidRDefault="00207047" w:rsidP="00B103B1">
            <w:pPr>
              <w:jc w:val="right"/>
              <w:rPr>
                <w:b/>
                <w:bCs/>
                <w:sz w:val="20"/>
                <w:szCs w:val="20"/>
              </w:rPr>
            </w:pPr>
          </w:p>
        </w:tc>
        <w:tc>
          <w:tcPr>
            <w:tcW w:w="4460" w:type="dxa"/>
            <w:tcBorders>
              <w:top w:val="nil"/>
              <w:left w:val="nil"/>
              <w:bottom w:val="single" w:sz="4" w:space="0" w:color="auto"/>
              <w:right w:val="nil"/>
            </w:tcBorders>
            <w:vAlign w:val="center"/>
          </w:tcPr>
          <w:p w14:paraId="28FBAA9D" w14:textId="147DB57C" w:rsidR="00207047" w:rsidRPr="000939E3" w:rsidRDefault="00207047" w:rsidP="00B103B1">
            <w:pPr>
              <w:pStyle w:val="Popis"/>
              <w:rPr>
                <w:noProof/>
              </w:rPr>
            </w:pPr>
            <w:bookmarkStart w:id="295" w:name="_Ref532831380"/>
            <w:bookmarkStart w:id="296" w:name="_Toc526269582"/>
            <w:bookmarkStart w:id="297" w:name="_Toc34226929"/>
            <w:r w:rsidRPr="000939E3">
              <w:t xml:space="preserve">Graf </w:t>
            </w:r>
            <w:r w:rsidR="00E30BD2" w:rsidRPr="000939E3">
              <w:rPr>
                <w:noProof/>
              </w:rPr>
              <w:fldChar w:fldCharType="begin"/>
            </w:r>
            <w:r w:rsidR="00E30BD2" w:rsidRPr="000939E3">
              <w:rPr>
                <w:noProof/>
              </w:rPr>
              <w:instrText xml:space="preserve"> SEQ Graf \* ARABIC </w:instrText>
            </w:r>
            <w:r w:rsidR="00E30BD2" w:rsidRPr="000939E3">
              <w:rPr>
                <w:noProof/>
              </w:rPr>
              <w:fldChar w:fldCharType="separate"/>
            </w:r>
            <w:r w:rsidR="00BF69CA">
              <w:rPr>
                <w:noProof/>
              </w:rPr>
              <w:t>58</w:t>
            </w:r>
            <w:r w:rsidR="00E30BD2" w:rsidRPr="000939E3">
              <w:rPr>
                <w:noProof/>
              </w:rPr>
              <w:fldChar w:fldCharType="end"/>
            </w:r>
            <w:bookmarkEnd w:id="295"/>
            <w:r w:rsidR="001E1D11" w:rsidRPr="000939E3">
              <w:rPr>
                <w:noProof/>
              </w:rPr>
              <w:t>:</w:t>
            </w:r>
            <w:r w:rsidRPr="000939E3">
              <w:t xml:space="preserve"> Podiel osôb zručnosti 4 zamestnaných podľa Zákonníka práce podľa sektora a hodinovej mzdy</w:t>
            </w:r>
            <w:bookmarkEnd w:id="296"/>
            <w:r w:rsidR="00C06C02" w:rsidRPr="000939E3">
              <w:t xml:space="preserve"> (2017)</w:t>
            </w:r>
            <w:bookmarkEnd w:id="297"/>
          </w:p>
        </w:tc>
      </w:tr>
      <w:tr w:rsidR="007304D2" w:rsidRPr="000939E3" w14:paraId="1E6F6013" w14:textId="77777777" w:rsidTr="00B103B1">
        <w:trPr>
          <w:cantSplit/>
          <w:trHeight w:val="20"/>
        </w:trPr>
        <w:tc>
          <w:tcPr>
            <w:tcW w:w="4460" w:type="dxa"/>
            <w:tcBorders>
              <w:top w:val="single" w:sz="4" w:space="0" w:color="auto"/>
              <w:left w:val="nil"/>
              <w:bottom w:val="nil"/>
              <w:right w:val="nil"/>
            </w:tcBorders>
            <w:noWrap/>
            <w:vAlign w:val="center"/>
          </w:tcPr>
          <w:p w14:paraId="38A5811B" w14:textId="45E1D936" w:rsidR="007304D2" w:rsidRPr="000939E3" w:rsidRDefault="007304D2" w:rsidP="00DE6CF1">
            <w:pPr>
              <w:spacing w:after="0"/>
              <w:jc w:val="right"/>
              <w:rPr>
                <w:i/>
                <w:noProof/>
                <w:sz w:val="18"/>
                <w:lang w:eastAsia="sk-SK"/>
              </w:rPr>
            </w:pPr>
            <w:r w:rsidRPr="000939E3">
              <w:rPr>
                <w:noProof/>
                <w:lang w:eastAsia="sk-SK"/>
              </w:rPr>
              <w:drawing>
                <wp:inline distT="0" distB="0" distL="0" distR="0" wp14:anchorId="0456CA48" wp14:editId="4BABB924">
                  <wp:extent cx="2735580" cy="2628900"/>
                  <wp:effectExtent l="0" t="0" r="0" b="0"/>
                  <wp:docPr id="15" name="Graf 1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457505-447F-5F4C-9781-C0605A012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152" w:type="dxa"/>
            <w:tcBorders>
              <w:top w:val="nil"/>
              <w:left w:val="nil"/>
              <w:bottom w:val="nil"/>
              <w:right w:val="nil"/>
            </w:tcBorders>
            <w:vAlign w:val="center"/>
          </w:tcPr>
          <w:p w14:paraId="4056C62B" w14:textId="77777777" w:rsidR="007304D2" w:rsidRPr="000939E3" w:rsidRDefault="007304D2" w:rsidP="00B103B1">
            <w:pPr>
              <w:spacing w:after="0"/>
              <w:jc w:val="right"/>
              <w:rPr>
                <w:b/>
                <w:bCs/>
                <w:sz w:val="18"/>
                <w:szCs w:val="20"/>
              </w:rPr>
            </w:pPr>
          </w:p>
        </w:tc>
        <w:tc>
          <w:tcPr>
            <w:tcW w:w="4460" w:type="dxa"/>
            <w:tcBorders>
              <w:top w:val="single" w:sz="4" w:space="0" w:color="auto"/>
              <w:left w:val="nil"/>
              <w:bottom w:val="nil"/>
              <w:right w:val="nil"/>
            </w:tcBorders>
            <w:vAlign w:val="center"/>
          </w:tcPr>
          <w:p w14:paraId="5BFD45E6" w14:textId="49616AD7" w:rsidR="007304D2" w:rsidRPr="000939E3" w:rsidRDefault="007304D2" w:rsidP="00DE6CF1">
            <w:pPr>
              <w:keepNext/>
              <w:spacing w:after="0"/>
              <w:jc w:val="right"/>
              <w:rPr>
                <w:i/>
                <w:noProof/>
                <w:sz w:val="18"/>
                <w:lang w:eastAsia="sk-SK"/>
              </w:rPr>
            </w:pPr>
            <w:r w:rsidRPr="000939E3">
              <w:rPr>
                <w:noProof/>
                <w:lang w:eastAsia="sk-SK"/>
              </w:rPr>
              <w:drawing>
                <wp:inline distT="0" distB="0" distL="0" distR="0" wp14:anchorId="394CA507" wp14:editId="384551DF">
                  <wp:extent cx="2735580" cy="2590800"/>
                  <wp:effectExtent l="0" t="0" r="7620" b="0"/>
                  <wp:docPr id="25" name="Graf 2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6D7C74-1963-A14A-9202-5457DE648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207047" w:rsidRPr="000939E3" w14:paraId="744401E7" w14:textId="77777777" w:rsidTr="00B103B1">
        <w:trPr>
          <w:cantSplit/>
          <w:trHeight w:val="20"/>
        </w:trPr>
        <w:tc>
          <w:tcPr>
            <w:tcW w:w="4460" w:type="dxa"/>
            <w:tcBorders>
              <w:top w:val="single" w:sz="4" w:space="0" w:color="auto"/>
              <w:left w:val="nil"/>
              <w:bottom w:val="nil"/>
              <w:right w:val="nil"/>
            </w:tcBorders>
            <w:noWrap/>
            <w:vAlign w:val="center"/>
          </w:tcPr>
          <w:p w14:paraId="60EEF5A9" w14:textId="2F3340A1" w:rsidR="00207047" w:rsidRPr="000939E3" w:rsidRDefault="00207047" w:rsidP="00DE6CF1">
            <w:pPr>
              <w:spacing w:after="0"/>
              <w:jc w:val="right"/>
              <w:rPr>
                <w:i/>
                <w:noProof/>
                <w:sz w:val="18"/>
                <w:lang w:eastAsia="sk-SK"/>
              </w:rPr>
            </w:pPr>
            <w:r w:rsidRPr="000939E3">
              <w:rPr>
                <w:i/>
                <w:noProof/>
                <w:sz w:val="18"/>
                <w:lang w:eastAsia="sk-SK"/>
              </w:rPr>
              <w:t xml:space="preserve">Zdroj: </w:t>
            </w:r>
            <w:r w:rsidR="00DE6CF1" w:rsidRPr="000939E3">
              <w:rPr>
                <w:i/>
                <w:noProof/>
                <w:sz w:val="18"/>
                <w:lang w:eastAsia="sk-SK"/>
              </w:rPr>
              <w:t>ISCP</w:t>
            </w:r>
            <w:r w:rsidRPr="000939E3">
              <w:rPr>
                <w:i/>
                <w:noProof/>
                <w:sz w:val="18"/>
                <w:lang w:eastAsia="sk-SK"/>
              </w:rPr>
              <w:t>; prepočet ÚHP</w:t>
            </w:r>
          </w:p>
        </w:tc>
        <w:tc>
          <w:tcPr>
            <w:tcW w:w="152" w:type="dxa"/>
            <w:tcBorders>
              <w:top w:val="nil"/>
              <w:left w:val="nil"/>
              <w:bottom w:val="nil"/>
              <w:right w:val="nil"/>
            </w:tcBorders>
            <w:vAlign w:val="center"/>
          </w:tcPr>
          <w:p w14:paraId="4A532FA8" w14:textId="77777777" w:rsidR="00207047" w:rsidRPr="000939E3" w:rsidRDefault="00207047" w:rsidP="00B103B1">
            <w:pPr>
              <w:spacing w:after="0"/>
              <w:jc w:val="right"/>
              <w:rPr>
                <w:b/>
                <w:bCs/>
                <w:sz w:val="18"/>
                <w:szCs w:val="20"/>
              </w:rPr>
            </w:pPr>
          </w:p>
        </w:tc>
        <w:tc>
          <w:tcPr>
            <w:tcW w:w="4460" w:type="dxa"/>
            <w:tcBorders>
              <w:top w:val="single" w:sz="4" w:space="0" w:color="auto"/>
              <w:left w:val="nil"/>
              <w:bottom w:val="nil"/>
              <w:right w:val="nil"/>
            </w:tcBorders>
            <w:vAlign w:val="center"/>
          </w:tcPr>
          <w:p w14:paraId="74582302" w14:textId="5C433E26" w:rsidR="00207047" w:rsidRPr="000939E3" w:rsidRDefault="00207047" w:rsidP="00DE6CF1">
            <w:pPr>
              <w:keepNext/>
              <w:spacing w:after="0"/>
              <w:jc w:val="right"/>
              <w:rPr>
                <w:i/>
                <w:noProof/>
                <w:sz w:val="18"/>
                <w:lang w:eastAsia="sk-SK"/>
              </w:rPr>
            </w:pPr>
            <w:r w:rsidRPr="000939E3">
              <w:rPr>
                <w:i/>
                <w:noProof/>
                <w:sz w:val="18"/>
                <w:lang w:eastAsia="sk-SK"/>
              </w:rPr>
              <w:t xml:space="preserve">Zdroj: </w:t>
            </w:r>
            <w:r w:rsidR="00DE6CF1" w:rsidRPr="000939E3">
              <w:rPr>
                <w:i/>
                <w:noProof/>
                <w:sz w:val="18"/>
                <w:lang w:eastAsia="sk-SK"/>
              </w:rPr>
              <w:t>ISCP</w:t>
            </w:r>
            <w:r w:rsidRPr="000939E3">
              <w:rPr>
                <w:i/>
                <w:noProof/>
                <w:sz w:val="18"/>
                <w:lang w:eastAsia="sk-SK"/>
              </w:rPr>
              <w:t>; prepočet ÚHP</w:t>
            </w:r>
          </w:p>
        </w:tc>
      </w:tr>
    </w:tbl>
    <w:p w14:paraId="59320F8C" w14:textId="77777777" w:rsidR="00800F89" w:rsidRPr="000939E3" w:rsidRDefault="00800F89" w:rsidP="00800F89">
      <w:pPr>
        <w:spacing w:before="120"/>
      </w:pPr>
      <w:r w:rsidRPr="000939E3">
        <w:rPr>
          <w:b/>
        </w:rPr>
        <w:t>Porovnanie nákladovosti a efektivity na úrovni podnikov umožňuje lepšie zohľadniť špecifické oblasti podnikania.</w:t>
      </w:r>
      <w:r w:rsidRPr="000939E3">
        <w:t xml:space="preserve"> Štátne podniky poskytujú aj verejné statky, ich primárnym cieľom nie je nevyhnutne dosahovanie zisku, pre korektnejšiu komparáciu tak bolo zvolené porovnanie so štátnymi podnikmi v Českej republike. Porovnanie bolo vykonané na piatich najväčších slovenských zamestnávateľoch vo vlastníctve štátu. </w:t>
      </w:r>
    </w:p>
    <w:p w14:paraId="5BB59AC1" w14:textId="09573902" w:rsidR="00800F89" w:rsidRPr="000939E3" w:rsidRDefault="00800F89" w:rsidP="00800F89">
      <w:r w:rsidRPr="000939E3">
        <w:rPr>
          <w:b/>
        </w:rPr>
        <w:t xml:space="preserve">Dvojnásobok zamestnancov na kilometer oproti českej dvojičke zamestnáva ŽSR. </w:t>
      </w:r>
      <w:r w:rsidRPr="000939E3">
        <w:t>Jeden kilometer železnice spravujú v priemere takmer štyria zamestnanci ŽSR, v Českej republike to nie sú ani dvaja (</w:t>
      </w:r>
      <w:r w:rsidRPr="000939E3">
        <w:fldChar w:fldCharType="begin"/>
      </w:r>
      <w:r w:rsidRPr="000939E3">
        <w:instrText xml:space="preserve"> REF _Ref4160127 \h </w:instrText>
      </w:r>
      <w:r w:rsidR="00DC481D" w:rsidRPr="000939E3">
        <w:instrText xml:space="preserve"> \* MERGEFORMAT </w:instrText>
      </w:r>
      <w:r w:rsidRPr="000939E3">
        <w:fldChar w:fldCharType="separate"/>
      </w:r>
      <w:r w:rsidR="00BF69CA" w:rsidRPr="000939E3">
        <w:t xml:space="preserve">Graf </w:t>
      </w:r>
      <w:r w:rsidR="00BF69CA">
        <w:rPr>
          <w:noProof/>
        </w:rPr>
        <w:t>59</w:t>
      </w:r>
      <w:r w:rsidRPr="000939E3">
        <w:fldChar w:fldCharType="end"/>
      </w:r>
      <w:r w:rsidRPr="000939E3">
        <w:t xml:space="preserve">). ŽSR zamestnáva takmer </w:t>
      </w:r>
      <w:r w:rsidR="00BF38DB" w:rsidRPr="000939E3">
        <w:t>14-</w:t>
      </w:r>
      <w:r w:rsidRPr="000939E3">
        <w:t>tis. zamestnancov, iba o </w:t>
      </w:r>
      <w:r w:rsidR="00BF38DB" w:rsidRPr="000939E3">
        <w:t>3</w:t>
      </w:r>
      <w:r w:rsidR="0046107E" w:rsidRPr="000939E3">
        <w:t xml:space="preserve"> 600</w:t>
      </w:r>
      <w:r w:rsidRPr="000939E3">
        <w:t>. menej ako spoločnosť v Českej republike. Na jedného zamestnanca vynakladá ŽSR mesačne o </w:t>
      </w:r>
      <w:r w:rsidR="0046107E" w:rsidRPr="000939E3">
        <w:t xml:space="preserve">440 </w:t>
      </w:r>
      <w:r w:rsidRPr="000939E3">
        <w:t xml:space="preserve">eur (o </w:t>
      </w:r>
      <w:r w:rsidR="0046107E" w:rsidRPr="000939E3">
        <w:t xml:space="preserve">22 </w:t>
      </w:r>
      <w:r w:rsidRPr="000939E3">
        <w:t>%) menej</w:t>
      </w:r>
      <w:r w:rsidR="002B277D" w:rsidRPr="000939E3">
        <w:t>, hrubé mzdy sú v ŽSR nižšie o 326 eur</w:t>
      </w:r>
      <w:r w:rsidRPr="000939E3">
        <w:t>.</w:t>
      </w:r>
    </w:p>
    <w:p w14:paraId="4B8C9247" w14:textId="2F83153F" w:rsidR="00207047" w:rsidRPr="000939E3" w:rsidRDefault="00207047" w:rsidP="00800F89">
      <w:r w:rsidRPr="000939E3">
        <w:rPr>
          <w:b/>
        </w:rPr>
        <w:t xml:space="preserve">Viac zamestnancov </w:t>
      </w:r>
      <w:r w:rsidR="00792F13" w:rsidRPr="000939E3">
        <w:rPr>
          <w:b/>
        </w:rPr>
        <w:t xml:space="preserve">oproti českej firme </w:t>
      </w:r>
      <w:r w:rsidRPr="000939E3">
        <w:rPr>
          <w:b/>
        </w:rPr>
        <w:t>zamestnáva aj Sociálna poisťovňa, na 1 000 obyvateľov je ich o pätinu viac</w:t>
      </w:r>
      <w:r w:rsidR="00F51C1C" w:rsidRPr="000939E3">
        <w:rPr>
          <w:b/>
        </w:rPr>
        <w:t xml:space="preserve"> (</w:t>
      </w:r>
      <w:r w:rsidR="00F51C1C" w:rsidRPr="000939E3">
        <w:rPr>
          <w:b/>
        </w:rPr>
        <w:fldChar w:fldCharType="begin"/>
      </w:r>
      <w:r w:rsidR="00F51C1C" w:rsidRPr="000939E3">
        <w:rPr>
          <w:b/>
        </w:rPr>
        <w:instrText xml:space="preserve"> REF _Ref4160127 \h  \* MERGEFORMAT </w:instrText>
      </w:r>
      <w:r w:rsidR="00F51C1C" w:rsidRPr="000939E3">
        <w:rPr>
          <w:b/>
        </w:rPr>
      </w:r>
      <w:r w:rsidR="00F51C1C" w:rsidRPr="000939E3">
        <w:rPr>
          <w:b/>
        </w:rPr>
        <w:fldChar w:fldCharType="separate"/>
      </w:r>
      <w:r w:rsidR="00BF69CA" w:rsidRPr="00BF69CA">
        <w:rPr>
          <w:b/>
        </w:rPr>
        <w:t xml:space="preserve">Graf </w:t>
      </w:r>
      <w:r w:rsidR="00BF69CA" w:rsidRPr="00BF69CA">
        <w:rPr>
          <w:b/>
          <w:noProof/>
        </w:rPr>
        <w:t>59</w:t>
      </w:r>
      <w:r w:rsidR="00F51C1C" w:rsidRPr="000939E3">
        <w:rPr>
          <w:b/>
        </w:rPr>
        <w:fldChar w:fldCharType="end"/>
      </w:r>
      <w:r w:rsidR="00F51C1C" w:rsidRPr="000939E3">
        <w:rPr>
          <w:b/>
        </w:rPr>
        <w:t>)</w:t>
      </w:r>
      <w:r w:rsidRPr="000939E3">
        <w:rPr>
          <w:b/>
        </w:rPr>
        <w:t>.</w:t>
      </w:r>
      <w:r w:rsidRPr="000939E3">
        <w:t xml:space="preserve"> Na jedného zamestnanca v slovenskej Sociálnej poisťovni v priemere pripadá 1 </w:t>
      </w:r>
      <w:r w:rsidR="0046107E" w:rsidRPr="000939E3">
        <w:t xml:space="preserve">046 </w:t>
      </w:r>
      <w:r w:rsidRPr="000939E3">
        <w:t>obyvateľov Slovenska, v Čechách obslúži jeden zamestnanec v </w:t>
      </w:r>
      <w:r w:rsidR="007304D2" w:rsidRPr="000939E3">
        <w:t>priemere o </w:t>
      </w:r>
      <w:r w:rsidR="0046107E" w:rsidRPr="000939E3">
        <w:t xml:space="preserve">167 </w:t>
      </w:r>
      <w:r w:rsidR="007304D2" w:rsidRPr="000939E3">
        <w:t>obyvateľov viac.</w:t>
      </w:r>
    </w:p>
    <w:p w14:paraId="6450C1F4" w14:textId="7F53FFA1" w:rsidR="007304D2" w:rsidRPr="000939E3" w:rsidRDefault="007304D2" w:rsidP="007304D2">
      <w:r w:rsidRPr="000939E3">
        <w:rPr>
          <w:b/>
        </w:rPr>
        <w:t xml:space="preserve">Slovenská pošta je z pohľadu mzdových nákladov efektívnejšia ako jej český náprotivok. </w:t>
      </w:r>
      <w:r w:rsidRPr="000939E3">
        <w:t>Na 1 000 obyvateľov zamestnáva o 12 % zamestnancov menej</w:t>
      </w:r>
      <w:r w:rsidRPr="000939E3">
        <w:rPr>
          <w:b/>
        </w:rPr>
        <w:t>.</w:t>
      </w:r>
      <w:r w:rsidRPr="000939E3">
        <w:t xml:space="preserve"> V priemere na jedného zamestnanca pošty pripadá v Slovenskej republike </w:t>
      </w:r>
      <w:r w:rsidR="0046107E" w:rsidRPr="000939E3">
        <w:t xml:space="preserve">424 </w:t>
      </w:r>
      <w:r w:rsidRPr="000939E3">
        <w:t>obyvateľov, v Českej republike pripadá na jedného poštára o </w:t>
      </w:r>
      <w:r w:rsidR="0046107E" w:rsidRPr="000939E3">
        <w:t xml:space="preserve">59 </w:t>
      </w:r>
      <w:r w:rsidRPr="000939E3">
        <w:t>obyvateľov menej.</w:t>
      </w:r>
    </w:p>
    <w:p w14:paraId="74ECF025" w14:textId="21887B70" w:rsidR="00BD7076" w:rsidRPr="000939E3" w:rsidRDefault="00800F89" w:rsidP="009924AF">
      <w:pPr>
        <w:spacing w:before="120"/>
      </w:pPr>
      <w:r w:rsidRPr="000939E3">
        <w:rPr>
          <w:b/>
        </w:rPr>
        <w:t>ZSSK Cargo aj Železničná spoločnosť Slovensko fungujú menej efektívne ako české spoločnosti.</w:t>
      </w:r>
      <w:r w:rsidRPr="000939E3">
        <w:t xml:space="preserve"> České Cargo prepravilo takmer o 30 % tonokilometrov na jedného zamestnanca viac (</w:t>
      </w:r>
      <w:r w:rsidRPr="000939E3">
        <w:fldChar w:fldCharType="begin"/>
      </w:r>
      <w:r w:rsidRPr="000939E3">
        <w:instrText xml:space="preserve"> REF _Ref4160570 \h </w:instrText>
      </w:r>
      <w:r w:rsidR="00DC481D" w:rsidRPr="000939E3">
        <w:instrText xml:space="preserve"> \* MERGEFORMAT </w:instrText>
      </w:r>
      <w:r w:rsidRPr="000939E3">
        <w:fldChar w:fldCharType="separate"/>
      </w:r>
      <w:r w:rsidR="00BF69CA" w:rsidRPr="000939E3">
        <w:t xml:space="preserve">Graf </w:t>
      </w:r>
      <w:r w:rsidR="00BF69CA">
        <w:rPr>
          <w:noProof/>
        </w:rPr>
        <w:t>60</w:t>
      </w:r>
      <w:r w:rsidRPr="000939E3">
        <w:fldChar w:fldCharType="end"/>
      </w:r>
      <w:r w:rsidRPr="000939E3">
        <w:t>). Odrážajúc vyššiu produktivitu, priemerné hrubé mzdy českého Carga sú opr</w:t>
      </w:r>
      <w:r w:rsidR="009924AF" w:rsidRPr="000939E3">
        <w:t>oti Slovensku vyššie o </w:t>
      </w:r>
      <w:r w:rsidR="002B277D" w:rsidRPr="000939E3">
        <w:t xml:space="preserve">400 </w:t>
      </w:r>
      <w:r w:rsidR="009924AF" w:rsidRPr="000939E3">
        <w:t>eur.</w:t>
      </w:r>
    </w:p>
    <w:p w14:paraId="751BE2F6" w14:textId="77777777" w:rsidR="00BD7076" w:rsidRPr="000939E3" w:rsidRDefault="00BD7076">
      <w:pPr>
        <w:spacing w:after="160" w:line="259" w:lineRule="auto"/>
        <w:jc w:val="left"/>
      </w:pPr>
      <w:r w:rsidRPr="000939E3">
        <w:br w:type="page"/>
      </w:r>
    </w:p>
    <w:tbl>
      <w:tblPr>
        <w:tblStyle w:val="Mriekatabuky"/>
        <w:tblW w:w="5000" w:type="pct"/>
        <w:tblCellMar>
          <w:left w:w="70" w:type="dxa"/>
          <w:right w:w="70" w:type="dxa"/>
        </w:tblCellMar>
        <w:tblLook w:val="04A0" w:firstRow="1" w:lastRow="0" w:firstColumn="1" w:lastColumn="0" w:noHBand="0" w:noVBand="1"/>
      </w:tblPr>
      <w:tblGrid>
        <w:gridCol w:w="5388"/>
        <w:gridCol w:w="3684"/>
      </w:tblGrid>
      <w:tr w:rsidR="00207047" w:rsidRPr="000939E3" w14:paraId="754A7032" w14:textId="77777777" w:rsidTr="00B103B1">
        <w:trPr>
          <w:cantSplit/>
          <w:trHeight w:val="20"/>
        </w:trPr>
        <w:tc>
          <w:tcPr>
            <w:tcW w:w="5000" w:type="pct"/>
            <w:gridSpan w:val="2"/>
            <w:tcBorders>
              <w:top w:val="nil"/>
              <w:left w:val="nil"/>
              <w:bottom w:val="single" w:sz="4" w:space="0" w:color="auto"/>
              <w:right w:val="nil"/>
            </w:tcBorders>
            <w:noWrap/>
            <w:vAlign w:val="center"/>
          </w:tcPr>
          <w:p w14:paraId="6AD48049" w14:textId="0BF4368E" w:rsidR="00207047" w:rsidRPr="000939E3" w:rsidRDefault="00207047" w:rsidP="00792F13">
            <w:pPr>
              <w:pStyle w:val="Popis"/>
              <w:rPr>
                <w:noProof/>
              </w:rPr>
            </w:pPr>
            <w:bookmarkStart w:id="298" w:name="_Ref4160127"/>
            <w:bookmarkStart w:id="299" w:name="_Toc34226930"/>
            <w:r w:rsidRPr="000939E3">
              <w:t xml:space="preserve">Graf </w:t>
            </w:r>
            <w:r w:rsidR="00E30BD2" w:rsidRPr="000939E3">
              <w:rPr>
                <w:noProof/>
              </w:rPr>
              <w:fldChar w:fldCharType="begin"/>
            </w:r>
            <w:r w:rsidR="00E30BD2" w:rsidRPr="000939E3">
              <w:rPr>
                <w:noProof/>
              </w:rPr>
              <w:instrText xml:space="preserve"> SEQ Graf \* ARABIC </w:instrText>
            </w:r>
            <w:r w:rsidR="00E30BD2" w:rsidRPr="000939E3">
              <w:rPr>
                <w:noProof/>
              </w:rPr>
              <w:fldChar w:fldCharType="separate"/>
            </w:r>
            <w:r w:rsidR="00BF69CA">
              <w:rPr>
                <w:noProof/>
              </w:rPr>
              <w:t>59</w:t>
            </w:r>
            <w:r w:rsidR="00E30BD2" w:rsidRPr="000939E3">
              <w:rPr>
                <w:noProof/>
              </w:rPr>
              <w:fldChar w:fldCharType="end"/>
            </w:r>
            <w:bookmarkEnd w:id="298"/>
            <w:r w:rsidR="00C92F45" w:rsidRPr="000939E3">
              <w:rPr>
                <w:noProof/>
              </w:rPr>
              <w:t>:</w:t>
            </w:r>
            <w:r w:rsidRPr="000939E3">
              <w:t xml:space="preserve"> Porovnanie počtu zamestnancov</w:t>
            </w:r>
            <w:r w:rsidR="00C06C02" w:rsidRPr="000939E3">
              <w:t xml:space="preserve"> štátnych podnikov</w:t>
            </w:r>
            <w:r w:rsidRPr="000939E3">
              <w:t xml:space="preserve"> (201</w:t>
            </w:r>
            <w:r w:rsidR="00792F13" w:rsidRPr="000939E3">
              <w:t>8</w:t>
            </w:r>
            <w:r w:rsidRPr="000939E3">
              <w:t>)</w:t>
            </w:r>
            <w:bookmarkEnd w:id="299"/>
          </w:p>
        </w:tc>
      </w:tr>
      <w:tr w:rsidR="00207047" w:rsidRPr="000939E3" w14:paraId="1599BDF9" w14:textId="77777777" w:rsidTr="00792F13">
        <w:tblPrEx>
          <w:tblCellMar>
            <w:left w:w="108" w:type="dxa"/>
            <w:right w:w="108" w:type="dxa"/>
          </w:tblCellMar>
        </w:tblPrEx>
        <w:trPr>
          <w:cantSplit/>
          <w:trHeight w:val="20"/>
        </w:trPr>
        <w:tc>
          <w:tcPr>
            <w:tcW w:w="5000" w:type="pct"/>
            <w:gridSpan w:val="2"/>
            <w:tcBorders>
              <w:top w:val="single" w:sz="4" w:space="0" w:color="auto"/>
              <w:left w:val="nil"/>
              <w:bottom w:val="single" w:sz="4" w:space="0" w:color="auto"/>
              <w:right w:val="nil"/>
            </w:tcBorders>
            <w:noWrap/>
            <w:vAlign w:val="center"/>
          </w:tcPr>
          <w:p w14:paraId="43BF1BC9" w14:textId="12AF0CF5" w:rsidR="00207047" w:rsidRPr="000939E3" w:rsidRDefault="00792F13" w:rsidP="00FB4735">
            <w:pPr>
              <w:spacing w:after="0"/>
              <w:ind w:left="-108"/>
              <w:jc w:val="center"/>
              <w:rPr>
                <w:b/>
                <w:bCs/>
                <w:sz w:val="20"/>
                <w:szCs w:val="20"/>
              </w:rPr>
            </w:pPr>
            <w:r w:rsidRPr="000939E3">
              <w:rPr>
                <w:noProof/>
                <w:lang w:eastAsia="sk-SK"/>
              </w:rPr>
              <w:drawing>
                <wp:inline distT="0" distB="0" distL="0" distR="0" wp14:anchorId="6090C368" wp14:editId="74600412">
                  <wp:extent cx="5772501" cy="1789430"/>
                  <wp:effectExtent l="0" t="0" r="0" b="127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207047" w:rsidRPr="000939E3" w14:paraId="3D4CA822" w14:textId="77777777" w:rsidTr="008B4D8E">
        <w:trPr>
          <w:cantSplit/>
          <w:trHeight w:val="20"/>
        </w:trPr>
        <w:tc>
          <w:tcPr>
            <w:tcW w:w="2969" w:type="pct"/>
            <w:tcBorders>
              <w:top w:val="single" w:sz="4" w:space="0" w:color="auto"/>
              <w:left w:val="nil"/>
              <w:bottom w:val="nil"/>
              <w:right w:val="nil"/>
            </w:tcBorders>
            <w:noWrap/>
            <w:vAlign w:val="center"/>
          </w:tcPr>
          <w:p w14:paraId="4619A5AA" w14:textId="77777777" w:rsidR="00207047" w:rsidRPr="000939E3" w:rsidRDefault="00207047" w:rsidP="00B103B1">
            <w:pPr>
              <w:spacing w:after="0"/>
              <w:jc w:val="left"/>
              <w:rPr>
                <w:i/>
                <w:noProof/>
                <w:sz w:val="16"/>
                <w:lang w:eastAsia="sk-SK"/>
              </w:rPr>
            </w:pPr>
          </w:p>
        </w:tc>
        <w:tc>
          <w:tcPr>
            <w:tcW w:w="2031" w:type="pct"/>
            <w:tcBorders>
              <w:top w:val="single" w:sz="4" w:space="0" w:color="auto"/>
              <w:left w:val="nil"/>
              <w:bottom w:val="nil"/>
              <w:right w:val="nil"/>
            </w:tcBorders>
            <w:vAlign w:val="center"/>
          </w:tcPr>
          <w:p w14:paraId="60F54B0A" w14:textId="77777777" w:rsidR="00207047" w:rsidRPr="000939E3" w:rsidRDefault="00207047" w:rsidP="00B103B1">
            <w:pPr>
              <w:keepNext/>
              <w:spacing w:after="0"/>
              <w:jc w:val="right"/>
              <w:rPr>
                <w:i/>
                <w:noProof/>
                <w:sz w:val="18"/>
                <w:lang w:eastAsia="sk-SK"/>
              </w:rPr>
            </w:pPr>
            <w:r w:rsidRPr="000939E3">
              <w:rPr>
                <w:i/>
                <w:noProof/>
                <w:sz w:val="18"/>
                <w:lang w:eastAsia="sk-SK"/>
              </w:rPr>
              <w:t>Zdroj: ÚHP, výročné správy spoločností</w:t>
            </w:r>
          </w:p>
        </w:tc>
      </w:tr>
    </w:tbl>
    <w:p w14:paraId="5E049175" w14:textId="79C95212" w:rsidR="00800F89" w:rsidRPr="000939E3" w:rsidRDefault="00800F89" w:rsidP="00800F89">
      <w:pPr>
        <w:spacing w:before="240"/>
      </w:pPr>
      <w:r w:rsidRPr="000939E3">
        <w:rPr>
          <w:b/>
        </w:rPr>
        <w:t xml:space="preserve">Železničná spoločnosť Slovensko je vo vlakokilometroch na zamestnanca horšia. </w:t>
      </w:r>
      <w:r w:rsidRPr="000939E3">
        <w:t>ZSSK na jedného zamestnanca dokáže najazdiť iba dve tretiny výkonu českej dvojičky. Na druhej strane, prepraví o 20 % cestujúcich viac (t.j. osobové kilometre) (</w:t>
      </w:r>
      <w:r w:rsidRPr="000939E3">
        <w:fldChar w:fldCharType="begin"/>
      </w:r>
      <w:r w:rsidRPr="000939E3">
        <w:instrText xml:space="preserve"> REF _Ref4160601 \h </w:instrText>
      </w:r>
      <w:r w:rsidR="00DC481D" w:rsidRPr="000939E3">
        <w:instrText xml:space="preserve"> \* MERGEFORMAT </w:instrText>
      </w:r>
      <w:r w:rsidRPr="000939E3">
        <w:fldChar w:fldCharType="separate"/>
      </w:r>
      <w:r w:rsidR="00BF69CA" w:rsidRPr="000939E3">
        <w:t xml:space="preserve">Graf </w:t>
      </w:r>
      <w:r w:rsidR="00BF69CA">
        <w:rPr>
          <w:noProof/>
        </w:rPr>
        <w:t>61</w:t>
      </w:r>
      <w:r w:rsidRPr="000939E3">
        <w:fldChar w:fldCharType="end"/>
      </w:r>
      <w:r w:rsidRPr="000939E3">
        <w:t>). Tieto výsledky však ovplyvňuje cestovanie zadarmo pre niektoré skupiny obyvateľov.</w:t>
      </w:r>
    </w:p>
    <w:tbl>
      <w:tblPr>
        <w:tblStyle w:val="Mriekatabuky"/>
        <w:tblW w:w="9072" w:type="dxa"/>
        <w:tblCellMar>
          <w:left w:w="70" w:type="dxa"/>
          <w:right w:w="70" w:type="dxa"/>
        </w:tblCellMar>
        <w:tblLook w:val="04A0" w:firstRow="1" w:lastRow="0" w:firstColumn="1" w:lastColumn="0" w:noHBand="0" w:noVBand="1"/>
      </w:tblPr>
      <w:tblGrid>
        <w:gridCol w:w="4343"/>
        <w:gridCol w:w="222"/>
        <w:gridCol w:w="4507"/>
      </w:tblGrid>
      <w:tr w:rsidR="00207047" w:rsidRPr="000939E3" w14:paraId="02FE1C59" w14:textId="77777777" w:rsidTr="00792F13">
        <w:trPr>
          <w:cantSplit/>
          <w:trHeight w:val="20"/>
        </w:trPr>
        <w:tc>
          <w:tcPr>
            <w:tcW w:w="4389" w:type="dxa"/>
            <w:tcBorders>
              <w:top w:val="nil"/>
              <w:left w:val="nil"/>
              <w:bottom w:val="single" w:sz="4" w:space="0" w:color="auto"/>
              <w:right w:val="nil"/>
            </w:tcBorders>
            <w:noWrap/>
            <w:vAlign w:val="center"/>
          </w:tcPr>
          <w:p w14:paraId="68D33857" w14:textId="228910F0" w:rsidR="00207047" w:rsidRPr="000939E3" w:rsidRDefault="00207047" w:rsidP="00792F13">
            <w:pPr>
              <w:pStyle w:val="Popis"/>
              <w:rPr>
                <w:noProof/>
              </w:rPr>
            </w:pPr>
            <w:bookmarkStart w:id="300" w:name="_Ref4160570"/>
            <w:bookmarkStart w:id="301" w:name="_Toc34226931"/>
            <w:r w:rsidRPr="000939E3">
              <w:t xml:space="preserve">Graf </w:t>
            </w:r>
            <w:r w:rsidR="00E30BD2" w:rsidRPr="000939E3">
              <w:rPr>
                <w:noProof/>
              </w:rPr>
              <w:fldChar w:fldCharType="begin"/>
            </w:r>
            <w:r w:rsidR="00E30BD2" w:rsidRPr="000939E3">
              <w:rPr>
                <w:noProof/>
              </w:rPr>
              <w:instrText xml:space="preserve"> SEQ Graf \* ARABIC </w:instrText>
            </w:r>
            <w:r w:rsidR="00E30BD2" w:rsidRPr="000939E3">
              <w:rPr>
                <w:noProof/>
              </w:rPr>
              <w:fldChar w:fldCharType="separate"/>
            </w:r>
            <w:r w:rsidR="00BF69CA">
              <w:rPr>
                <w:noProof/>
              </w:rPr>
              <w:t>60</w:t>
            </w:r>
            <w:r w:rsidR="00E30BD2" w:rsidRPr="000939E3">
              <w:rPr>
                <w:noProof/>
              </w:rPr>
              <w:fldChar w:fldCharType="end"/>
            </w:r>
            <w:bookmarkEnd w:id="300"/>
            <w:r w:rsidR="00C92F45" w:rsidRPr="000939E3">
              <w:rPr>
                <w:noProof/>
              </w:rPr>
              <w:t>:</w:t>
            </w:r>
            <w:r w:rsidRPr="000939E3">
              <w:t xml:space="preserve"> Počet prepravených tonokilometrov</w:t>
            </w:r>
            <w:r w:rsidR="00FB4735">
              <w:t xml:space="preserve"> (v mil.) </w:t>
            </w:r>
            <w:r w:rsidRPr="000939E3">
              <w:t xml:space="preserve"> na</w:t>
            </w:r>
            <w:r w:rsidR="00A23789" w:rsidRPr="000939E3">
              <w:t> </w:t>
            </w:r>
            <w:r w:rsidRPr="000939E3">
              <w:t>zamestnanca (</w:t>
            </w:r>
            <w:r w:rsidR="00792F13" w:rsidRPr="000939E3">
              <w:t>2018</w:t>
            </w:r>
            <w:r w:rsidRPr="000939E3">
              <w:t>)</w:t>
            </w:r>
            <w:bookmarkEnd w:id="301"/>
          </w:p>
        </w:tc>
        <w:tc>
          <w:tcPr>
            <w:tcW w:w="222" w:type="dxa"/>
            <w:tcBorders>
              <w:top w:val="nil"/>
              <w:left w:val="nil"/>
              <w:bottom w:val="nil"/>
              <w:right w:val="nil"/>
            </w:tcBorders>
            <w:vAlign w:val="center"/>
          </w:tcPr>
          <w:p w14:paraId="0A254C9B" w14:textId="77777777" w:rsidR="00207047" w:rsidRPr="000939E3" w:rsidRDefault="00207047" w:rsidP="00B103B1">
            <w:pPr>
              <w:jc w:val="right"/>
              <w:rPr>
                <w:b/>
                <w:bCs/>
                <w:sz w:val="20"/>
                <w:szCs w:val="20"/>
              </w:rPr>
            </w:pPr>
          </w:p>
        </w:tc>
        <w:tc>
          <w:tcPr>
            <w:tcW w:w="4461" w:type="dxa"/>
            <w:tcBorders>
              <w:top w:val="nil"/>
              <w:left w:val="nil"/>
              <w:bottom w:val="single" w:sz="4" w:space="0" w:color="auto"/>
              <w:right w:val="nil"/>
            </w:tcBorders>
            <w:vAlign w:val="center"/>
          </w:tcPr>
          <w:p w14:paraId="53F89878" w14:textId="32E176FA" w:rsidR="00207047" w:rsidRPr="000939E3" w:rsidRDefault="00207047" w:rsidP="00ED2BC5">
            <w:pPr>
              <w:pStyle w:val="Popis"/>
              <w:rPr>
                <w:noProof/>
              </w:rPr>
            </w:pPr>
            <w:bookmarkStart w:id="302" w:name="_Ref4160601"/>
            <w:bookmarkStart w:id="303" w:name="_Toc34226932"/>
            <w:r w:rsidRPr="000939E3">
              <w:t xml:space="preserve">Graf </w:t>
            </w:r>
            <w:r w:rsidR="00E30BD2" w:rsidRPr="000939E3">
              <w:rPr>
                <w:noProof/>
              </w:rPr>
              <w:fldChar w:fldCharType="begin"/>
            </w:r>
            <w:r w:rsidR="00E30BD2" w:rsidRPr="000939E3">
              <w:rPr>
                <w:noProof/>
              </w:rPr>
              <w:instrText xml:space="preserve"> SEQ Graf \* ARABIC </w:instrText>
            </w:r>
            <w:r w:rsidR="00E30BD2" w:rsidRPr="000939E3">
              <w:rPr>
                <w:noProof/>
              </w:rPr>
              <w:fldChar w:fldCharType="separate"/>
            </w:r>
            <w:r w:rsidR="00BF69CA">
              <w:rPr>
                <w:noProof/>
              </w:rPr>
              <w:t>61</w:t>
            </w:r>
            <w:r w:rsidR="00E30BD2" w:rsidRPr="000939E3">
              <w:rPr>
                <w:noProof/>
              </w:rPr>
              <w:fldChar w:fldCharType="end"/>
            </w:r>
            <w:bookmarkEnd w:id="302"/>
            <w:r w:rsidR="00C92F45" w:rsidRPr="000939E3">
              <w:rPr>
                <w:noProof/>
              </w:rPr>
              <w:t>:</w:t>
            </w:r>
            <w:r w:rsidRPr="000939E3">
              <w:t xml:space="preserve"> Počet vlakokilometrov a osobokilometrov na</w:t>
            </w:r>
            <w:r w:rsidR="00A23789" w:rsidRPr="000939E3">
              <w:t> </w:t>
            </w:r>
            <w:r w:rsidRPr="000939E3">
              <w:t xml:space="preserve">zamestnanca (v tis. km; </w:t>
            </w:r>
            <w:r w:rsidR="00ED2BC5" w:rsidRPr="000939E3">
              <w:t>2018</w:t>
            </w:r>
            <w:r w:rsidRPr="000939E3">
              <w:t>)</w:t>
            </w:r>
            <w:bookmarkEnd w:id="303"/>
          </w:p>
        </w:tc>
      </w:tr>
      <w:tr w:rsidR="00207047" w:rsidRPr="000939E3" w14:paraId="40FED20C" w14:textId="77777777" w:rsidTr="00792F13">
        <w:tblPrEx>
          <w:tblCellMar>
            <w:left w:w="108" w:type="dxa"/>
            <w:right w:w="108" w:type="dxa"/>
          </w:tblCellMar>
        </w:tblPrEx>
        <w:trPr>
          <w:cantSplit/>
          <w:trHeight w:val="20"/>
        </w:trPr>
        <w:tc>
          <w:tcPr>
            <w:tcW w:w="4389" w:type="dxa"/>
            <w:tcBorders>
              <w:top w:val="single" w:sz="4" w:space="0" w:color="auto"/>
              <w:left w:val="nil"/>
              <w:bottom w:val="single" w:sz="4" w:space="0" w:color="auto"/>
              <w:right w:val="nil"/>
            </w:tcBorders>
            <w:noWrap/>
            <w:vAlign w:val="center"/>
          </w:tcPr>
          <w:p w14:paraId="69923342" w14:textId="79123C8B" w:rsidR="00207047" w:rsidRPr="000939E3" w:rsidRDefault="00792F13" w:rsidP="00FB4735">
            <w:pPr>
              <w:spacing w:after="0"/>
              <w:ind w:left="-108"/>
              <w:jc w:val="left"/>
              <w:rPr>
                <w:b/>
                <w:bCs/>
                <w:sz w:val="20"/>
                <w:szCs w:val="20"/>
              </w:rPr>
            </w:pPr>
            <w:r w:rsidRPr="00FB4735">
              <w:rPr>
                <w:noProof/>
                <w:sz w:val="16"/>
                <w:lang w:eastAsia="sk-SK"/>
              </w:rPr>
              <w:drawing>
                <wp:inline distT="0" distB="0" distL="0" distR="0" wp14:anchorId="447937F4" wp14:editId="25278B28">
                  <wp:extent cx="2708910" cy="2052016"/>
                  <wp:effectExtent l="0" t="0" r="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222" w:type="dxa"/>
            <w:tcBorders>
              <w:top w:val="nil"/>
              <w:left w:val="nil"/>
              <w:bottom w:val="nil"/>
              <w:right w:val="nil"/>
            </w:tcBorders>
            <w:vAlign w:val="center"/>
          </w:tcPr>
          <w:p w14:paraId="28C55C46" w14:textId="77777777" w:rsidR="00207047" w:rsidRPr="000939E3" w:rsidRDefault="00207047" w:rsidP="00B103B1">
            <w:pPr>
              <w:jc w:val="right"/>
              <w:rPr>
                <w:b/>
                <w:bCs/>
                <w:sz w:val="20"/>
                <w:szCs w:val="20"/>
              </w:rPr>
            </w:pPr>
          </w:p>
        </w:tc>
        <w:tc>
          <w:tcPr>
            <w:tcW w:w="4461" w:type="dxa"/>
            <w:tcBorders>
              <w:top w:val="single" w:sz="4" w:space="0" w:color="auto"/>
              <w:left w:val="nil"/>
              <w:bottom w:val="single" w:sz="4" w:space="0" w:color="auto"/>
              <w:right w:val="nil"/>
            </w:tcBorders>
            <w:vAlign w:val="center"/>
          </w:tcPr>
          <w:p w14:paraId="3671A61F" w14:textId="4E3A7502" w:rsidR="00207047" w:rsidRPr="000939E3" w:rsidRDefault="00792F13" w:rsidP="00792F13">
            <w:pPr>
              <w:spacing w:after="0"/>
              <w:ind w:left="-71"/>
              <w:jc w:val="left"/>
              <w:rPr>
                <w:b/>
                <w:bCs/>
                <w:sz w:val="20"/>
                <w:szCs w:val="20"/>
              </w:rPr>
            </w:pPr>
            <w:r w:rsidRPr="000939E3">
              <w:rPr>
                <w:noProof/>
                <w:lang w:eastAsia="sk-SK"/>
              </w:rPr>
              <w:drawing>
                <wp:inline distT="0" distB="0" distL="0" distR="0" wp14:anchorId="33A7B80D" wp14:editId="2532C920">
                  <wp:extent cx="2798948" cy="2043430"/>
                  <wp:effectExtent l="0" t="0" r="1905"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207047" w:rsidRPr="000939E3" w14:paraId="0A96BD6E" w14:textId="77777777" w:rsidTr="00792F13">
        <w:trPr>
          <w:cantSplit/>
          <w:trHeight w:val="20"/>
        </w:trPr>
        <w:tc>
          <w:tcPr>
            <w:tcW w:w="4389" w:type="dxa"/>
            <w:tcBorders>
              <w:top w:val="single" w:sz="4" w:space="0" w:color="auto"/>
              <w:left w:val="nil"/>
              <w:bottom w:val="nil"/>
              <w:right w:val="nil"/>
            </w:tcBorders>
            <w:noWrap/>
          </w:tcPr>
          <w:p w14:paraId="0ACCE796" w14:textId="77777777" w:rsidR="00207047" w:rsidRPr="000939E3" w:rsidRDefault="00207047" w:rsidP="008B4D8E">
            <w:pPr>
              <w:spacing w:after="0"/>
              <w:jc w:val="right"/>
              <w:rPr>
                <w:i/>
                <w:noProof/>
                <w:sz w:val="18"/>
                <w:lang w:eastAsia="sk-SK"/>
              </w:rPr>
            </w:pPr>
            <w:r w:rsidRPr="000939E3">
              <w:rPr>
                <w:i/>
                <w:noProof/>
                <w:sz w:val="18"/>
                <w:lang w:eastAsia="sk-SK"/>
              </w:rPr>
              <w:t>Zdroj: ÚHP, výročné správy spoločností</w:t>
            </w:r>
          </w:p>
        </w:tc>
        <w:tc>
          <w:tcPr>
            <w:tcW w:w="222" w:type="dxa"/>
            <w:tcBorders>
              <w:top w:val="nil"/>
              <w:left w:val="nil"/>
              <w:bottom w:val="nil"/>
              <w:right w:val="nil"/>
            </w:tcBorders>
          </w:tcPr>
          <w:p w14:paraId="71DD1512" w14:textId="77777777" w:rsidR="00207047" w:rsidRPr="000939E3" w:rsidRDefault="00207047" w:rsidP="008B4D8E">
            <w:pPr>
              <w:spacing w:after="0"/>
              <w:jc w:val="right"/>
              <w:rPr>
                <w:b/>
                <w:bCs/>
                <w:sz w:val="18"/>
                <w:szCs w:val="20"/>
              </w:rPr>
            </w:pPr>
          </w:p>
        </w:tc>
        <w:tc>
          <w:tcPr>
            <w:tcW w:w="4461" w:type="dxa"/>
            <w:tcBorders>
              <w:top w:val="single" w:sz="4" w:space="0" w:color="auto"/>
              <w:left w:val="nil"/>
              <w:bottom w:val="nil"/>
              <w:right w:val="nil"/>
            </w:tcBorders>
          </w:tcPr>
          <w:p w14:paraId="497E3A7E" w14:textId="77777777" w:rsidR="00207047" w:rsidRPr="000939E3" w:rsidRDefault="00207047" w:rsidP="008B4D8E">
            <w:pPr>
              <w:keepNext/>
              <w:spacing w:after="0"/>
              <w:jc w:val="right"/>
              <w:rPr>
                <w:i/>
                <w:noProof/>
                <w:sz w:val="18"/>
                <w:lang w:eastAsia="sk-SK"/>
              </w:rPr>
            </w:pPr>
            <w:r w:rsidRPr="000939E3">
              <w:rPr>
                <w:i/>
                <w:noProof/>
                <w:sz w:val="18"/>
                <w:lang w:eastAsia="sk-SK"/>
              </w:rPr>
              <w:t>Zdroj: ÚHP, výročné správy spoločností</w:t>
            </w:r>
          </w:p>
        </w:tc>
      </w:tr>
    </w:tbl>
    <w:p w14:paraId="69C28DC2" w14:textId="037064BD" w:rsidR="006C3FDD" w:rsidRPr="000939E3" w:rsidRDefault="00207047" w:rsidP="009924AF">
      <w:pPr>
        <w:spacing w:before="240"/>
      </w:pPr>
      <w:r w:rsidRPr="000939E3">
        <w:rPr>
          <w:b/>
        </w:rPr>
        <w:t>Efektivitu štátnych podnikov</w:t>
      </w:r>
      <w:r w:rsidR="00F51C1C" w:rsidRPr="000939E3">
        <w:rPr>
          <w:b/>
        </w:rPr>
        <w:t xml:space="preserve"> </w:t>
      </w:r>
      <w:r w:rsidRPr="000939E3">
        <w:rPr>
          <w:b/>
        </w:rPr>
        <w:t>by najlepšie posúdila samostatná detailná analýza aj s porovnaním obdobných súkromných spoločností na Slovensku a v zahraničí</w:t>
      </w:r>
      <w:r w:rsidRPr="000939E3">
        <w:t>. Príkladom takejto analýzy je audit Slovenského vodohospodárskeho podniku vykonaného v rámci revízie výdavkov na životné prostredie. Audit identifikoval kľúčové dôvody</w:t>
      </w:r>
      <w:r w:rsidR="008256B4" w:rsidRPr="000939E3">
        <w:t xml:space="preserve"> znižujúce</w:t>
      </w:r>
      <w:r w:rsidRPr="000939E3">
        <w:t xml:space="preserve"> efektivity podniku</w:t>
      </w:r>
      <w:r w:rsidR="00F51C1C" w:rsidRPr="000939E3">
        <w:t xml:space="preserve"> </w:t>
      </w:r>
      <w:r w:rsidR="00056736" w:rsidRPr="000939E3">
        <w:t>(</w:t>
      </w:r>
      <w:r w:rsidR="00056736" w:rsidRPr="000939E3">
        <w:fldChar w:fldCharType="begin"/>
      </w:r>
      <w:r w:rsidR="00056736" w:rsidRPr="000939E3">
        <w:instrText xml:space="preserve"> REF _Ref527112185 \h  \* MERGEFORMAT </w:instrText>
      </w:r>
      <w:r w:rsidR="00056736" w:rsidRPr="000939E3">
        <w:fldChar w:fldCharType="separate"/>
      </w:r>
      <w:r w:rsidR="00BF69CA" w:rsidRPr="00BF69CA">
        <w:t xml:space="preserve">Box </w:t>
      </w:r>
      <w:r w:rsidR="00BF69CA" w:rsidRPr="00BF69CA">
        <w:rPr>
          <w:noProof/>
        </w:rPr>
        <w:t>16</w:t>
      </w:r>
      <w:r w:rsidR="00056736" w:rsidRPr="000939E3">
        <w:fldChar w:fldCharType="end"/>
      </w:r>
      <w:r w:rsidR="00056736" w:rsidRPr="000939E3">
        <w:t>)</w:t>
      </w:r>
      <w:r w:rsidRPr="000939E3">
        <w:t xml:space="preserve">. </w:t>
      </w:r>
    </w:p>
    <w:p w14:paraId="2726DA8F" w14:textId="2DC1E16A" w:rsidR="006961FB" w:rsidRPr="000939E3" w:rsidRDefault="006C3FDD" w:rsidP="009924AF">
      <w:r w:rsidRPr="000939E3">
        <w:t xml:space="preserve">Implementáciou opatrení z auditu </w:t>
      </w:r>
      <w:r w:rsidR="00A55961">
        <w:t xml:space="preserve">z roku 2017 mal </w:t>
      </w:r>
      <w:r w:rsidR="008256B4" w:rsidRPr="000939E3">
        <w:t>Slovenský vodohospodársky</w:t>
      </w:r>
      <w:r w:rsidRPr="000939E3">
        <w:t xml:space="preserve"> podnik do konca roku 2020 znížiť svoje ročné prevádzkové náklady o 20 mil. eur a do ďalších dvoch rokov o dodatočných 10 mil. eur.</w:t>
      </w:r>
      <w:r w:rsidR="00AD1F0E" w:rsidRPr="000939E3">
        <w:t xml:space="preserve"> Z úspory plánovanej do roku 2020 je až 50 % (10 mil. eur) zníženie výdavko</w:t>
      </w:r>
      <w:r w:rsidR="00C13312" w:rsidRPr="000939E3">
        <w:t>v na kompenzácie zamestnancov.</w:t>
      </w:r>
    </w:p>
    <w:tbl>
      <w:tblPr>
        <w:tblStyle w:val="Mriekatabuky1"/>
        <w:tblpPr w:leftFromText="142" w:rightFromText="142" w:horzAnchor="margin" w:tblpYSpec="top"/>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CellMar>
          <w:left w:w="70" w:type="dxa"/>
          <w:right w:w="70" w:type="dxa"/>
        </w:tblCellMar>
        <w:tblLook w:val="04A0" w:firstRow="1" w:lastRow="0" w:firstColumn="1" w:lastColumn="0" w:noHBand="0" w:noVBand="1"/>
      </w:tblPr>
      <w:tblGrid>
        <w:gridCol w:w="9072"/>
      </w:tblGrid>
      <w:tr w:rsidR="00207047" w:rsidRPr="000939E3" w14:paraId="6CB99987" w14:textId="77777777" w:rsidTr="007E0AB1">
        <w:trPr>
          <w:trHeight w:val="7649"/>
        </w:trPr>
        <w:tc>
          <w:tcPr>
            <w:tcW w:w="5000" w:type="pct"/>
            <w:shd w:val="clear" w:color="auto" w:fill="BDD6EE" w:themeFill="accent1" w:themeFillTint="66"/>
          </w:tcPr>
          <w:p w14:paraId="14969F2C" w14:textId="5CB363AB" w:rsidR="00207047" w:rsidRPr="000939E3" w:rsidRDefault="00207047" w:rsidP="007E0AB1">
            <w:pPr>
              <w:keepNext/>
              <w:rPr>
                <w:b/>
              </w:rPr>
            </w:pPr>
            <w:r w:rsidRPr="000939E3">
              <w:br w:type="page"/>
            </w:r>
            <w:bookmarkStart w:id="304" w:name="_Ref527112185"/>
            <w:r w:rsidRPr="000939E3">
              <w:rPr>
                <w:b/>
              </w:rPr>
              <w:t xml:space="preserve">Box </w:t>
            </w:r>
            <w:r w:rsidRPr="000939E3">
              <w:rPr>
                <w:b/>
              </w:rPr>
              <w:fldChar w:fldCharType="begin"/>
            </w:r>
            <w:r w:rsidRPr="000939E3">
              <w:rPr>
                <w:b/>
              </w:rPr>
              <w:instrText xml:space="preserve"> SEQ Box \* ARABIC </w:instrText>
            </w:r>
            <w:r w:rsidRPr="000939E3">
              <w:rPr>
                <w:b/>
              </w:rPr>
              <w:fldChar w:fldCharType="separate"/>
            </w:r>
            <w:r w:rsidR="00BF69CA">
              <w:rPr>
                <w:b/>
                <w:noProof/>
              </w:rPr>
              <w:t>16</w:t>
            </w:r>
            <w:r w:rsidRPr="000939E3">
              <w:rPr>
                <w:b/>
              </w:rPr>
              <w:fldChar w:fldCharType="end"/>
            </w:r>
            <w:bookmarkEnd w:id="304"/>
            <w:r w:rsidR="00C92F45" w:rsidRPr="000939E3">
              <w:rPr>
                <w:b/>
              </w:rPr>
              <w:t>:</w:t>
            </w:r>
            <w:r w:rsidRPr="000939E3">
              <w:rPr>
                <w:b/>
              </w:rPr>
              <w:t xml:space="preserve"> Výkonnostný audit v SVP</w:t>
            </w:r>
          </w:p>
          <w:p w14:paraId="7165278F" w14:textId="5948DE60" w:rsidR="00207047" w:rsidRPr="000939E3" w:rsidRDefault="00207047" w:rsidP="007E0AB1">
            <w:r w:rsidRPr="000939E3">
              <w:rPr>
                <w:b/>
              </w:rPr>
              <w:t xml:space="preserve">Pre šetrenie finančných prostriedkov je potrebné optimalizovať prevádzkové a kapitálové náklady vrátane potenciálnej personálnej úspory. </w:t>
            </w:r>
            <w:r w:rsidRPr="000939E3">
              <w:t xml:space="preserve">Audit SVP spoločnosťou Boston Consulting Group (BCG) </w:t>
            </w:r>
            <w:r w:rsidR="00DE7FA8" w:rsidRPr="000939E3">
              <w:t xml:space="preserve">v roku 2017 </w:t>
            </w:r>
            <w:r w:rsidRPr="000939E3">
              <w:t xml:space="preserve">analyzoval súčasný stav a identifikoval kľúčové dôvody, ktoré znižujú úroveň efektivity podniku. Postupným zavádzaním efektívnejších postupov </w:t>
            </w:r>
            <w:r w:rsidR="00DE7FA8" w:rsidRPr="000939E3">
              <w:t xml:space="preserve">malo byť </w:t>
            </w:r>
            <w:r w:rsidRPr="000939E3">
              <w:t>SVP do konca roku 2020 schopné znížiť svoje ročné prevádzkové</w:t>
            </w:r>
            <w:r w:rsidR="0089104B" w:rsidRPr="000939E3">
              <w:t xml:space="preserve"> náklady </w:t>
            </w:r>
            <w:r w:rsidRPr="000939E3">
              <w:t>o 20 mil. eur a do ďalších dvoch rokov o dodatočných 10 mil. eur.</w:t>
            </w:r>
          </w:p>
          <w:tbl>
            <w:tblPr>
              <w:tblW w:w="5000" w:type="pct"/>
              <w:tblCellMar>
                <w:left w:w="70" w:type="dxa"/>
                <w:right w:w="70" w:type="dxa"/>
              </w:tblCellMar>
              <w:tblLook w:val="04A0" w:firstRow="1" w:lastRow="0" w:firstColumn="1" w:lastColumn="0" w:noHBand="0" w:noVBand="1"/>
            </w:tblPr>
            <w:tblGrid>
              <w:gridCol w:w="2402"/>
              <w:gridCol w:w="5717"/>
              <w:gridCol w:w="813"/>
            </w:tblGrid>
            <w:tr w:rsidR="00207047" w:rsidRPr="000939E3" w14:paraId="600896F8" w14:textId="77777777" w:rsidTr="00A23789">
              <w:trPr>
                <w:trHeight w:val="321"/>
              </w:trPr>
              <w:tc>
                <w:tcPr>
                  <w:tcW w:w="5000" w:type="pct"/>
                  <w:gridSpan w:val="3"/>
                  <w:tcBorders>
                    <w:top w:val="nil"/>
                    <w:left w:val="nil"/>
                    <w:bottom w:val="single" w:sz="4" w:space="0" w:color="auto"/>
                  </w:tcBorders>
                  <w:shd w:val="clear" w:color="auto" w:fill="auto"/>
                  <w:noWrap/>
                  <w:vAlign w:val="bottom"/>
                  <w:hideMark/>
                </w:tcPr>
                <w:p w14:paraId="50AB8B37" w14:textId="0DD2CC37" w:rsidR="00207047" w:rsidRPr="000939E3" w:rsidRDefault="00207047" w:rsidP="00D62879">
                  <w:pPr>
                    <w:pStyle w:val="Popis"/>
                    <w:framePr w:hSpace="142" w:wrap="around" w:hAnchor="margin" w:yAlign="top"/>
                    <w:rPr>
                      <w:color w:val="000000"/>
                    </w:rPr>
                  </w:pPr>
                  <w:r w:rsidRPr="000939E3">
                    <w:t>Plán zefektívnenia Slovenského vodohospodárskeho podniku, š.p. podľa BCG</w:t>
                  </w:r>
                </w:p>
              </w:tc>
            </w:tr>
            <w:tr w:rsidR="00207047" w:rsidRPr="000939E3" w14:paraId="7C879CE1" w14:textId="77777777" w:rsidTr="00CF399C">
              <w:trPr>
                <w:trHeight w:val="330"/>
              </w:trPr>
              <w:tc>
                <w:tcPr>
                  <w:tcW w:w="1345" w:type="pct"/>
                  <w:tcBorders>
                    <w:top w:val="nil"/>
                    <w:left w:val="nil"/>
                    <w:bottom w:val="single" w:sz="4" w:space="0" w:color="auto"/>
                    <w:right w:val="nil"/>
                  </w:tcBorders>
                  <w:shd w:val="clear" w:color="auto" w:fill="auto"/>
                  <w:noWrap/>
                  <w:vAlign w:val="center"/>
                  <w:hideMark/>
                </w:tcPr>
                <w:p w14:paraId="449487B4" w14:textId="77777777" w:rsidR="00207047" w:rsidRPr="000939E3" w:rsidRDefault="00207047" w:rsidP="00D62879">
                  <w:pPr>
                    <w:framePr w:hSpace="142" w:wrap="around" w:hAnchor="margin" w:yAlign="top"/>
                    <w:spacing w:after="0" w:line="240" w:lineRule="auto"/>
                    <w:rPr>
                      <w:color w:val="000000"/>
                      <w:lang w:eastAsia="sk-SK"/>
                    </w:rPr>
                  </w:pPr>
                  <w:r w:rsidRPr="000939E3">
                    <w:rPr>
                      <w:color w:val="000000" w:themeColor="text1"/>
                      <w:lang w:eastAsia="sk-SK"/>
                    </w:rPr>
                    <w:t>Fázy</w:t>
                  </w:r>
                </w:p>
              </w:tc>
              <w:tc>
                <w:tcPr>
                  <w:tcW w:w="3200" w:type="pct"/>
                  <w:tcBorders>
                    <w:top w:val="nil"/>
                    <w:left w:val="nil"/>
                    <w:bottom w:val="single" w:sz="4" w:space="0" w:color="auto"/>
                    <w:right w:val="nil"/>
                  </w:tcBorders>
                  <w:shd w:val="clear" w:color="auto" w:fill="auto"/>
                  <w:noWrap/>
                  <w:vAlign w:val="center"/>
                  <w:hideMark/>
                </w:tcPr>
                <w:p w14:paraId="1126D58B" w14:textId="77777777" w:rsidR="00207047" w:rsidRPr="000939E3" w:rsidRDefault="00207047" w:rsidP="00D62879">
                  <w:pPr>
                    <w:framePr w:hSpace="142" w:wrap="around" w:hAnchor="margin" w:yAlign="top"/>
                    <w:spacing w:after="0" w:line="240" w:lineRule="auto"/>
                    <w:rPr>
                      <w:color w:val="000000"/>
                      <w:lang w:eastAsia="sk-SK"/>
                    </w:rPr>
                  </w:pPr>
                  <w:r w:rsidRPr="000939E3">
                    <w:rPr>
                      <w:color w:val="000000" w:themeColor="text1"/>
                      <w:lang w:eastAsia="sk-SK"/>
                    </w:rPr>
                    <w:t>Opatrenia</w:t>
                  </w:r>
                </w:p>
              </w:tc>
              <w:tc>
                <w:tcPr>
                  <w:tcW w:w="455" w:type="pct"/>
                  <w:tcBorders>
                    <w:top w:val="nil"/>
                    <w:left w:val="nil"/>
                    <w:bottom w:val="single" w:sz="4" w:space="0" w:color="auto"/>
                    <w:right w:val="nil"/>
                  </w:tcBorders>
                  <w:shd w:val="clear" w:color="auto" w:fill="auto"/>
                  <w:noWrap/>
                  <w:vAlign w:val="center"/>
                  <w:hideMark/>
                </w:tcPr>
                <w:p w14:paraId="19DADE1C" w14:textId="77777777" w:rsidR="00207047" w:rsidRPr="000939E3" w:rsidRDefault="00207047" w:rsidP="00D62879">
                  <w:pPr>
                    <w:framePr w:hSpace="142" w:wrap="around" w:hAnchor="margin" w:yAlign="top"/>
                    <w:spacing w:after="0" w:line="240" w:lineRule="auto"/>
                    <w:jc w:val="center"/>
                    <w:rPr>
                      <w:color w:val="000000"/>
                      <w:lang w:eastAsia="sk-SK"/>
                    </w:rPr>
                  </w:pPr>
                  <w:r w:rsidRPr="000939E3">
                    <w:rPr>
                      <w:color w:val="000000" w:themeColor="text1"/>
                      <w:lang w:eastAsia="sk-SK"/>
                    </w:rPr>
                    <w:t>Časový plán</w:t>
                  </w:r>
                </w:p>
              </w:tc>
            </w:tr>
            <w:tr w:rsidR="00207047" w:rsidRPr="000939E3" w14:paraId="207179F7" w14:textId="77777777" w:rsidTr="00CF399C">
              <w:trPr>
                <w:trHeight w:val="330"/>
              </w:trPr>
              <w:tc>
                <w:tcPr>
                  <w:tcW w:w="1345" w:type="pct"/>
                  <w:tcBorders>
                    <w:top w:val="single" w:sz="4" w:space="0" w:color="auto"/>
                    <w:left w:val="nil"/>
                    <w:bottom w:val="single" w:sz="2" w:space="0" w:color="auto"/>
                    <w:right w:val="nil"/>
                  </w:tcBorders>
                  <w:shd w:val="clear" w:color="auto" w:fill="auto"/>
                  <w:noWrap/>
                  <w:vAlign w:val="bottom"/>
                  <w:hideMark/>
                </w:tcPr>
                <w:p w14:paraId="799A533A" w14:textId="77777777" w:rsidR="00207047" w:rsidRPr="000939E3" w:rsidRDefault="00207047" w:rsidP="00D62879">
                  <w:pPr>
                    <w:framePr w:hSpace="142" w:wrap="around" w:hAnchor="margin" w:yAlign="top"/>
                    <w:spacing w:after="0" w:line="240" w:lineRule="auto"/>
                    <w:rPr>
                      <w:color w:val="000000"/>
                      <w:lang w:eastAsia="sk-SK"/>
                    </w:rPr>
                  </w:pPr>
                  <w:r w:rsidRPr="000939E3">
                    <w:rPr>
                      <w:color w:val="000000" w:themeColor="text1"/>
                      <w:lang w:eastAsia="sk-SK"/>
                    </w:rPr>
                    <w:t>Implementácia najjednoduchších opatrení</w:t>
                  </w:r>
                </w:p>
              </w:tc>
              <w:tc>
                <w:tcPr>
                  <w:tcW w:w="3200" w:type="pct"/>
                  <w:tcBorders>
                    <w:top w:val="single" w:sz="4" w:space="0" w:color="auto"/>
                    <w:left w:val="nil"/>
                    <w:bottom w:val="single" w:sz="2" w:space="0" w:color="auto"/>
                    <w:right w:val="nil"/>
                  </w:tcBorders>
                  <w:shd w:val="clear" w:color="auto" w:fill="auto"/>
                  <w:noWrap/>
                  <w:vAlign w:val="center"/>
                  <w:hideMark/>
                </w:tcPr>
                <w:p w14:paraId="3077E310" w14:textId="77777777" w:rsidR="00207047" w:rsidRPr="000939E3" w:rsidRDefault="00207047" w:rsidP="00D62879">
                  <w:pPr>
                    <w:framePr w:hSpace="142" w:wrap="around" w:hAnchor="margin" w:yAlign="top"/>
                    <w:spacing w:after="0" w:line="240" w:lineRule="auto"/>
                    <w:rPr>
                      <w:color w:val="000000"/>
                      <w:lang w:eastAsia="sk-SK"/>
                    </w:rPr>
                  </w:pPr>
                  <w:r w:rsidRPr="000939E3">
                    <w:rPr>
                      <w:color w:val="000000" w:themeColor="text1"/>
                      <w:lang w:eastAsia="sk-SK"/>
                    </w:rPr>
                    <w:t>Optimalizácia nákupu, eliminácia nepotrebných činností, racionalizácia flotily mechanizmov</w:t>
                  </w:r>
                </w:p>
              </w:tc>
              <w:tc>
                <w:tcPr>
                  <w:tcW w:w="455" w:type="pct"/>
                  <w:tcBorders>
                    <w:top w:val="single" w:sz="4" w:space="0" w:color="auto"/>
                    <w:left w:val="nil"/>
                    <w:bottom w:val="single" w:sz="2" w:space="0" w:color="auto"/>
                    <w:right w:val="nil"/>
                  </w:tcBorders>
                  <w:shd w:val="clear" w:color="auto" w:fill="auto"/>
                  <w:noWrap/>
                  <w:vAlign w:val="center"/>
                  <w:hideMark/>
                </w:tcPr>
                <w:p w14:paraId="024EB48F" w14:textId="77777777" w:rsidR="00207047" w:rsidRPr="000939E3" w:rsidRDefault="00207047" w:rsidP="00D62879">
                  <w:pPr>
                    <w:framePr w:hSpace="142" w:wrap="around" w:hAnchor="margin" w:yAlign="top"/>
                    <w:spacing w:after="0" w:line="240" w:lineRule="auto"/>
                    <w:jc w:val="center"/>
                    <w:rPr>
                      <w:color w:val="000000"/>
                      <w:lang w:eastAsia="sk-SK"/>
                    </w:rPr>
                  </w:pPr>
                  <w:r w:rsidRPr="000939E3">
                    <w:rPr>
                      <w:color w:val="000000" w:themeColor="text1"/>
                      <w:lang w:eastAsia="sk-SK"/>
                    </w:rPr>
                    <w:t>2018</w:t>
                  </w:r>
                </w:p>
              </w:tc>
            </w:tr>
            <w:tr w:rsidR="00207047" w:rsidRPr="000939E3" w14:paraId="2E215CAA" w14:textId="77777777" w:rsidTr="00CF399C">
              <w:trPr>
                <w:trHeight w:val="330"/>
              </w:trPr>
              <w:tc>
                <w:tcPr>
                  <w:tcW w:w="1345" w:type="pct"/>
                  <w:tcBorders>
                    <w:top w:val="single" w:sz="2" w:space="0" w:color="auto"/>
                    <w:left w:val="nil"/>
                    <w:bottom w:val="single" w:sz="2" w:space="0" w:color="auto"/>
                    <w:right w:val="nil"/>
                  </w:tcBorders>
                  <w:shd w:val="clear" w:color="auto" w:fill="auto"/>
                  <w:noWrap/>
                  <w:vAlign w:val="bottom"/>
                  <w:hideMark/>
                </w:tcPr>
                <w:p w14:paraId="3C60AC0F" w14:textId="77777777" w:rsidR="00207047" w:rsidRPr="000939E3" w:rsidRDefault="00207047" w:rsidP="00D62879">
                  <w:pPr>
                    <w:framePr w:hSpace="142" w:wrap="around" w:hAnchor="margin" w:yAlign="top"/>
                    <w:spacing w:after="0" w:line="240" w:lineRule="auto"/>
                    <w:rPr>
                      <w:color w:val="000000"/>
                      <w:lang w:eastAsia="sk-SK"/>
                    </w:rPr>
                  </w:pPr>
                  <w:r w:rsidRPr="000939E3">
                    <w:rPr>
                      <w:color w:val="000000" w:themeColor="text1"/>
                      <w:lang w:eastAsia="sk-SK"/>
                    </w:rPr>
                    <w:t>Centralizácia a počiatočná optimalizácia</w:t>
                  </w:r>
                </w:p>
              </w:tc>
              <w:tc>
                <w:tcPr>
                  <w:tcW w:w="3200" w:type="pct"/>
                  <w:tcBorders>
                    <w:top w:val="single" w:sz="2" w:space="0" w:color="auto"/>
                    <w:left w:val="nil"/>
                    <w:bottom w:val="single" w:sz="2" w:space="0" w:color="auto"/>
                    <w:right w:val="nil"/>
                  </w:tcBorders>
                  <w:shd w:val="clear" w:color="auto" w:fill="auto"/>
                  <w:noWrap/>
                  <w:vAlign w:val="center"/>
                  <w:hideMark/>
                </w:tcPr>
                <w:p w14:paraId="63B5962F" w14:textId="77777777" w:rsidR="00207047" w:rsidRPr="000939E3" w:rsidRDefault="00207047" w:rsidP="00D62879">
                  <w:pPr>
                    <w:framePr w:hSpace="142" w:wrap="around" w:hAnchor="margin" w:yAlign="top"/>
                    <w:spacing w:after="0" w:line="240" w:lineRule="auto"/>
                    <w:rPr>
                      <w:color w:val="000000"/>
                      <w:lang w:eastAsia="sk-SK"/>
                    </w:rPr>
                  </w:pPr>
                  <w:r w:rsidRPr="000939E3">
                    <w:rPr>
                      <w:color w:val="000000" w:themeColor="text1"/>
                      <w:lang w:eastAsia="sk-SK"/>
                    </w:rPr>
                    <w:t>Manažérska centralizácia, centralizácia hlavných aj podporných činností, zvýšenie efektivity výkonu</w:t>
                  </w:r>
                </w:p>
              </w:tc>
              <w:tc>
                <w:tcPr>
                  <w:tcW w:w="455" w:type="pct"/>
                  <w:tcBorders>
                    <w:top w:val="single" w:sz="2" w:space="0" w:color="auto"/>
                    <w:left w:val="nil"/>
                    <w:bottom w:val="single" w:sz="2" w:space="0" w:color="auto"/>
                    <w:right w:val="nil"/>
                  </w:tcBorders>
                  <w:shd w:val="clear" w:color="auto" w:fill="auto"/>
                  <w:noWrap/>
                  <w:vAlign w:val="center"/>
                  <w:hideMark/>
                </w:tcPr>
                <w:p w14:paraId="484F8801" w14:textId="77777777" w:rsidR="00207047" w:rsidRPr="000939E3" w:rsidRDefault="00207047" w:rsidP="00D62879">
                  <w:pPr>
                    <w:framePr w:hSpace="142" w:wrap="around" w:hAnchor="margin" w:yAlign="top"/>
                    <w:spacing w:after="0" w:line="240" w:lineRule="auto"/>
                    <w:jc w:val="center"/>
                    <w:rPr>
                      <w:color w:val="000000"/>
                      <w:lang w:eastAsia="sk-SK"/>
                    </w:rPr>
                  </w:pPr>
                  <w:r w:rsidRPr="000939E3">
                    <w:rPr>
                      <w:color w:val="000000" w:themeColor="text1"/>
                      <w:lang w:eastAsia="sk-SK"/>
                    </w:rPr>
                    <w:t>2018-2020</w:t>
                  </w:r>
                </w:p>
              </w:tc>
            </w:tr>
            <w:tr w:rsidR="00207047" w:rsidRPr="000939E3" w14:paraId="3E45BE53" w14:textId="77777777" w:rsidTr="00CF399C">
              <w:trPr>
                <w:trHeight w:val="330"/>
              </w:trPr>
              <w:tc>
                <w:tcPr>
                  <w:tcW w:w="1345" w:type="pct"/>
                  <w:tcBorders>
                    <w:top w:val="single" w:sz="2" w:space="0" w:color="auto"/>
                    <w:left w:val="nil"/>
                    <w:bottom w:val="single" w:sz="4" w:space="0" w:color="auto"/>
                    <w:right w:val="nil"/>
                  </w:tcBorders>
                  <w:shd w:val="clear" w:color="auto" w:fill="auto"/>
                  <w:noWrap/>
                  <w:vAlign w:val="bottom"/>
                  <w:hideMark/>
                </w:tcPr>
                <w:p w14:paraId="50ECB87A" w14:textId="4D061B4D" w:rsidR="00207047" w:rsidRPr="000939E3" w:rsidRDefault="00207047" w:rsidP="00D62879">
                  <w:pPr>
                    <w:framePr w:hSpace="142" w:wrap="around" w:hAnchor="margin" w:yAlign="top"/>
                    <w:spacing w:after="0" w:line="240" w:lineRule="auto"/>
                    <w:jc w:val="left"/>
                    <w:rPr>
                      <w:color w:val="000000"/>
                      <w:lang w:eastAsia="sk-SK"/>
                    </w:rPr>
                  </w:pPr>
                  <w:r w:rsidRPr="000939E3">
                    <w:rPr>
                      <w:color w:val="000000" w:themeColor="text1"/>
                      <w:lang w:eastAsia="sk-SK"/>
                    </w:rPr>
                    <w:t>Ďalšia optimalizácia a</w:t>
                  </w:r>
                  <w:r w:rsidR="008256B4" w:rsidRPr="000939E3">
                    <w:rPr>
                      <w:color w:val="000000" w:themeColor="text1"/>
                      <w:lang w:eastAsia="sk-SK"/>
                    </w:rPr>
                    <w:t> </w:t>
                  </w:r>
                  <w:r w:rsidRPr="000939E3">
                    <w:rPr>
                      <w:color w:val="000000" w:themeColor="text1"/>
                      <w:lang w:eastAsia="sk-SK"/>
                    </w:rPr>
                    <w:t>outsourcing</w:t>
                  </w:r>
                </w:p>
              </w:tc>
              <w:tc>
                <w:tcPr>
                  <w:tcW w:w="3200" w:type="pct"/>
                  <w:tcBorders>
                    <w:top w:val="single" w:sz="2" w:space="0" w:color="auto"/>
                    <w:left w:val="nil"/>
                    <w:bottom w:val="single" w:sz="4" w:space="0" w:color="auto"/>
                    <w:right w:val="nil"/>
                  </w:tcBorders>
                  <w:shd w:val="clear" w:color="auto" w:fill="auto"/>
                  <w:noWrap/>
                  <w:vAlign w:val="center"/>
                  <w:hideMark/>
                </w:tcPr>
                <w:p w14:paraId="246E0E8B" w14:textId="77777777" w:rsidR="00207047" w:rsidRPr="000939E3" w:rsidRDefault="00207047" w:rsidP="00D62879">
                  <w:pPr>
                    <w:framePr w:hSpace="142" w:wrap="around" w:hAnchor="margin" w:yAlign="top"/>
                    <w:spacing w:after="0" w:line="240" w:lineRule="auto"/>
                    <w:rPr>
                      <w:color w:val="000000"/>
                      <w:lang w:eastAsia="sk-SK"/>
                    </w:rPr>
                  </w:pPr>
                  <w:r w:rsidRPr="000939E3">
                    <w:rPr>
                      <w:color w:val="000000" w:themeColor="text1"/>
                      <w:lang w:eastAsia="sk-SK"/>
                    </w:rPr>
                    <w:t>Pokročilejšie sledovanie a analýza výkonu, čiastočný outsourcing jednoduchších a podporných činností</w:t>
                  </w:r>
                </w:p>
              </w:tc>
              <w:tc>
                <w:tcPr>
                  <w:tcW w:w="455" w:type="pct"/>
                  <w:tcBorders>
                    <w:top w:val="single" w:sz="2" w:space="0" w:color="auto"/>
                    <w:left w:val="nil"/>
                    <w:bottom w:val="single" w:sz="4" w:space="0" w:color="auto"/>
                    <w:right w:val="nil"/>
                  </w:tcBorders>
                  <w:shd w:val="clear" w:color="auto" w:fill="auto"/>
                  <w:noWrap/>
                  <w:vAlign w:val="center"/>
                  <w:hideMark/>
                </w:tcPr>
                <w:p w14:paraId="2D30A564" w14:textId="77777777" w:rsidR="00207047" w:rsidRPr="000939E3" w:rsidRDefault="00207047" w:rsidP="00D62879">
                  <w:pPr>
                    <w:framePr w:hSpace="142" w:wrap="around" w:hAnchor="margin" w:yAlign="top"/>
                    <w:spacing w:after="0" w:line="240" w:lineRule="auto"/>
                    <w:jc w:val="center"/>
                    <w:rPr>
                      <w:color w:val="000000"/>
                      <w:lang w:eastAsia="sk-SK"/>
                    </w:rPr>
                  </w:pPr>
                  <w:r w:rsidRPr="000939E3">
                    <w:rPr>
                      <w:color w:val="000000" w:themeColor="text1"/>
                      <w:lang w:eastAsia="sk-SK"/>
                    </w:rPr>
                    <w:t>2020-2022</w:t>
                  </w:r>
                </w:p>
              </w:tc>
            </w:tr>
          </w:tbl>
          <w:p w14:paraId="14A35D8E" w14:textId="77777777" w:rsidR="00207047" w:rsidRPr="000939E3" w:rsidRDefault="00207047" w:rsidP="007E0AB1"/>
          <w:p w14:paraId="5A48DD89" w14:textId="77777777" w:rsidR="00207047" w:rsidRPr="000939E3" w:rsidRDefault="00207047" w:rsidP="007E0AB1">
            <w:pPr>
              <w:spacing w:after="0"/>
            </w:pPr>
            <w:r w:rsidRPr="000939E3">
              <w:t>Medzi hlavné zistenia v personálnej oblasti patria:</w:t>
            </w:r>
          </w:p>
          <w:p w14:paraId="3867BF84" w14:textId="77777777" w:rsidR="00207047" w:rsidRPr="000939E3" w:rsidRDefault="00207047" w:rsidP="007E0AB1">
            <w:pPr>
              <w:pStyle w:val="Odsekzoznamu"/>
              <w:numPr>
                <w:ilvl w:val="0"/>
                <w:numId w:val="4"/>
              </w:numPr>
              <w:spacing w:after="0" w:line="240" w:lineRule="auto"/>
              <w:jc w:val="both"/>
            </w:pPr>
            <w:r w:rsidRPr="000939E3">
              <w:t>duplicita činností kvôli decentralizovanému riadeniu (na troch úrovniach),</w:t>
            </w:r>
          </w:p>
          <w:p w14:paraId="7F2AF042" w14:textId="77777777" w:rsidR="00207047" w:rsidRPr="000939E3" w:rsidRDefault="00207047" w:rsidP="007E0AB1">
            <w:pPr>
              <w:pStyle w:val="Odsekzoznamu"/>
              <w:numPr>
                <w:ilvl w:val="0"/>
                <w:numId w:val="4"/>
              </w:numPr>
              <w:spacing w:after="0" w:line="240" w:lineRule="auto"/>
              <w:jc w:val="both"/>
            </w:pPr>
            <w:r w:rsidRPr="000939E3">
              <w:t>nízka miera centralizácie výkonných a podporných činností,</w:t>
            </w:r>
          </w:p>
          <w:p w14:paraId="2D5014DB" w14:textId="77777777" w:rsidR="00207047" w:rsidRPr="000939E3" w:rsidRDefault="00207047" w:rsidP="007E0AB1">
            <w:pPr>
              <w:pStyle w:val="Odsekzoznamu"/>
              <w:numPr>
                <w:ilvl w:val="0"/>
                <w:numId w:val="4"/>
              </w:numPr>
              <w:spacing w:after="0" w:line="240" w:lineRule="auto"/>
              <w:jc w:val="both"/>
            </w:pPr>
            <w:r w:rsidRPr="000939E3">
              <w:t>množstvo malých útvarov (manažér a dvaja, resp. traja podriadení),</w:t>
            </w:r>
          </w:p>
          <w:p w14:paraId="743CD937" w14:textId="0E5D0377" w:rsidR="00207047" w:rsidRPr="000939E3" w:rsidRDefault="00207047" w:rsidP="007E0AB1">
            <w:pPr>
              <w:pStyle w:val="Odsekzoznamu"/>
              <w:numPr>
                <w:ilvl w:val="0"/>
                <w:numId w:val="4"/>
              </w:numPr>
              <w:spacing w:after="0" w:line="240" w:lineRule="auto"/>
              <w:jc w:val="both"/>
            </w:pPr>
            <w:r w:rsidRPr="000939E3">
              <w:t>interné vykonávanie cyklických činností bez vyššej pridanej</w:t>
            </w:r>
            <w:r w:rsidR="008256B4" w:rsidRPr="000939E3">
              <w:t xml:space="preserve"> hodnoty</w:t>
            </w:r>
            <w:r w:rsidRPr="000939E3">
              <w:t>.</w:t>
            </w:r>
          </w:p>
          <w:p w14:paraId="5D661401" w14:textId="77777777" w:rsidR="00207047" w:rsidRPr="000939E3" w:rsidRDefault="00207047" w:rsidP="007E0AB1">
            <w:pPr>
              <w:spacing w:before="240" w:after="0"/>
            </w:pPr>
            <w:r w:rsidRPr="000939E3">
              <w:t xml:space="preserve">Medzi možné opatrenia patria: </w:t>
            </w:r>
          </w:p>
          <w:p w14:paraId="301A627A" w14:textId="77777777" w:rsidR="00207047" w:rsidRPr="000939E3" w:rsidRDefault="00207047" w:rsidP="007E0AB1">
            <w:pPr>
              <w:pStyle w:val="Odsekzoznamu"/>
              <w:numPr>
                <w:ilvl w:val="0"/>
                <w:numId w:val="5"/>
              </w:numPr>
              <w:spacing w:after="0" w:line="240" w:lineRule="auto"/>
              <w:ind w:left="781" w:hanging="425"/>
              <w:jc w:val="both"/>
            </w:pPr>
            <w:r w:rsidRPr="000939E3">
              <w:t>zníženie počtu zamestnancov o 9 % oproti roku 2015,</w:t>
            </w:r>
          </w:p>
          <w:p w14:paraId="7F409C50" w14:textId="77777777" w:rsidR="00207047" w:rsidRPr="000939E3" w:rsidRDefault="00207047" w:rsidP="007E0AB1">
            <w:pPr>
              <w:pStyle w:val="Odsekzoznamu"/>
              <w:numPr>
                <w:ilvl w:val="0"/>
                <w:numId w:val="5"/>
              </w:numPr>
              <w:spacing w:after="0" w:line="240" w:lineRule="auto"/>
              <w:ind w:left="781" w:hanging="425"/>
              <w:jc w:val="both"/>
            </w:pPr>
            <w:r w:rsidRPr="000939E3">
              <w:t>centralizované riadenie investícii.</w:t>
            </w:r>
          </w:p>
        </w:tc>
      </w:tr>
    </w:tbl>
    <w:p w14:paraId="54D7FAA0" w14:textId="77777777" w:rsidR="00500327" w:rsidRPr="000939E3" w:rsidRDefault="00500327" w:rsidP="00500327">
      <w:pPr>
        <w:spacing w:after="0"/>
        <w:rPr>
          <w:b/>
        </w:rPr>
      </w:pPr>
    </w:p>
    <w:p w14:paraId="04B695AB" w14:textId="67404F5B" w:rsidR="00500327" w:rsidRPr="000939E3" w:rsidRDefault="00500327" w:rsidP="008B4D8E">
      <w:pPr>
        <w:pStyle w:val="Nadpis2"/>
      </w:pPr>
      <w:bookmarkStart w:id="305" w:name="_Toc34050713"/>
      <w:r w:rsidRPr="000939E3">
        <w:t>Optimalizácia usporiadania samospráv</w:t>
      </w:r>
      <w:bookmarkEnd w:id="305"/>
    </w:p>
    <w:p w14:paraId="6EC6291B" w14:textId="6A210EB5" w:rsidR="00207047" w:rsidRPr="000939E3" w:rsidRDefault="00207047" w:rsidP="008B4D8E">
      <w:r w:rsidRPr="000939E3">
        <w:rPr>
          <w:b/>
        </w:rPr>
        <w:t xml:space="preserve">Sústredenie výkonu správy obcí do väčších celkov môže uvoľniť zdroje a priniesť kvalitnejšie služby. </w:t>
      </w:r>
      <w:r w:rsidRPr="000939E3">
        <w:t>Analýza IFP</w:t>
      </w:r>
      <w:r w:rsidR="009B6F2B" w:rsidRPr="000939E3">
        <w:t xml:space="preserve"> </w:t>
      </w:r>
      <w:r w:rsidR="00970784" w:rsidRPr="000939E3">
        <w:t>(2017)</w:t>
      </w:r>
      <w:r w:rsidRPr="000939E3">
        <w:t xml:space="preserve"> odhadla možné úspory výdavkov na správu na 51 – 316 mil. eur ročne v závislosti</w:t>
      </w:r>
      <w:r w:rsidR="00A23789" w:rsidRPr="000939E3">
        <w:t xml:space="preserve"> od </w:t>
      </w:r>
      <w:r w:rsidRPr="000939E3">
        <w:t>zvoleného modelu</w:t>
      </w:r>
      <w:r w:rsidR="00DE7FA8" w:rsidRPr="000939E3">
        <w:rPr>
          <w:b/>
        </w:rPr>
        <w:t>. V súčasnosti</w:t>
      </w:r>
      <w:r w:rsidR="00405665" w:rsidRPr="000939E3">
        <w:rPr>
          <w:b/>
        </w:rPr>
        <w:t xml:space="preserve"> by </w:t>
      </w:r>
      <w:r w:rsidR="00DE7FA8" w:rsidRPr="000939E3">
        <w:rPr>
          <w:b/>
        </w:rPr>
        <w:t>úspora dosiahla</w:t>
      </w:r>
      <w:r w:rsidR="00405665" w:rsidRPr="000939E3">
        <w:rPr>
          <w:b/>
        </w:rPr>
        <w:t xml:space="preserve"> 64 – 39</w:t>
      </w:r>
      <w:r w:rsidR="00DE6C19" w:rsidRPr="000939E3">
        <w:rPr>
          <w:b/>
        </w:rPr>
        <w:t>6</w:t>
      </w:r>
      <w:r w:rsidR="00405665" w:rsidRPr="000939E3">
        <w:rPr>
          <w:b/>
        </w:rPr>
        <w:t xml:space="preserve"> mil. eur ročne</w:t>
      </w:r>
      <w:r w:rsidRPr="000939E3">
        <w:t xml:space="preserve">. Parametrická zmena usporiadania je jedným z mála nástrojov, ktorými môže </w:t>
      </w:r>
      <w:r w:rsidR="008256B4" w:rsidRPr="000939E3">
        <w:t xml:space="preserve">NR SR iniciovať zmenu </w:t>
      </w:r>
      <w:r w:rsidRPr="000939E3">
        <w:t>zamestnanos</w:t>
      </w:r>
      <w:r w:rsidR="008256B4" w:rsidRPr="000939E3">
        <w:t>ti</w:t>
      </w:r>
      <w:r w:rsidRPr="000939E3">
        <w:t xml:space="preserve"> v samosprávach.</w:t>
      </w:r>
    </w:p>
    <w:p w14:paraId="1D660DC5" w14:textId="27B0D02C" w:rsidR="00BD7076" w:rsidRPr="000939E3" w:rsidRDefault="00F51DAC" w:rsidP="009924AF">
      <w:bookmarkStart w:id="306" w:name="_Ref4162558"/>
      <w:r w:rsidRPr="000939E3">
        <w:rPr>
          <w:b/>
        </w:rPr>
        <w:t>Samosprávy na Slovensku sú trikrát menšie ako priemer EÚ, povinnosť obcí poskytovať rovnaké služby bez ohľadu na veľkosť vedie k neefektivite.</w:t>
      </w:r>
      <w:r w:rsidRPr="000939E3">
        <w:t xml:space="preserve"> Priemerný počet obyvateľov slovenskej obce je 1 850, čo je 3-krát menej ako priemer EÚ 28 (5 765) a 5-krát menej ako priemer OECD (9 440). Obce do 250 obyvateľov vynakladajú na samotný výkon správy – platy a odmeny starostov, poslancov a niektorých úradníkov obce (prednosta, účtovník a pod.) a tiež na tovary a služby spotrebované na ich činnosť – až polovicu všetkých svojich výdavkov (</w:t>
      </w:r>
      <w:r w:rsidRPr="000939E3">
        <w:fldChar w:fldCharType="begin"/>
      </w:r>
      <w:r w:rsidRPr="000939E3">
        <w:instrText xml:space="preserve"> REF _Ref4674964 \h  \* MERGEFORMAT </w:instrText>
      </w:r>
      <w:r w:rsidRPr="000939E3">
        <w:fldChar w:fldCharType="separate"/>
      </w:r>
      <w:r w:rsidR="00BF69CA" w:rsidRPr="000939E3">
        <w:t xml:space="preserve">Graf </w:t>
      </w:r>
      <w:r w:rsidR="00BF69CA">
        <w:rPr>
          <w:noProof/>
        </w:rPr>
        <w:t>62</w:t>
      </w:r>
      <w:r w:rsidRPr="000939E3">
        <w:fldChar w:fldCharType="end"/>
      </w:r>
      <w:r w:rsidRPr="000939E3">
        <w:t>). Iba zvyšná polovica smeruje na poskytovanie služieb ako je matrika, údržba ciest, sociálna oblasť či rozvoj obce. Naopak, obce s počtom obyvateľov od 5 do 100 tisíc dokážu až takmer 90</w:t>
      </w:r>
      <w:r w:rsidR="009924AF" w:rsidRPr="000939E3">
        <w:t> % svojich výdavkov alokovať do </w:t>
      </w:r>
      <w:r w:rsidRPr="000939E3">
        <w:t>poskytovan</w:t>
      </w:r>
      <w:r w:rsidR="009924AF" w:rsidRPr="000939E3">
        <w:t>ia verejných služieb a rozvoja.</w:t>
      </w:r>
    </w:p>
    <w:p w14:paraId="5398EBC7" w14:textId="77777777" w:rsidR="00BD7076" w:rsidRPr="000939E3" w:rsidRDefault="00BD7076">
      <w:pPr>
        <w:spacing w:after="160" w:line="259" w:lineRule="auto"/>
        <w:jc w:val="left"/>
      </w:pPr>
      <w:r w:rsidRPr="000939E3">
        <w:br w:type="page"/>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2"/>
      </w:tblGrid>
      <w:tr w:rsidR="00636415" w:rsidRPr="000939E3" w14:paraId="3ED837BF" w14:textId="77777777" w:rsidTr="00860881">
        <w:trPr>
          <w:trHeight w:val="61"/>
        </w:trPr>
        <w:tc>
          <w:tcPr>
            <w:tcW w:w="5000" w:type="pct"/>
            <w:tcBorders>
              <w:bottom w:val="single" w:sz="4" w:space="0" w:color="auto"/>
            </w:tcBorders>
            <w:vAlign w:val="bottom"/>
          </w:tcPr>
          <w:p w14:paraId="55DA9D7A" w14:textId="3599A616" w:rsidR="00636415" w:rsidRPr="000939E3" w:rsidRDefault="00636415" w:rsidP="00860881">
            <w:pPr>
              <w:pStyle w:val="Popis"/>
              <w:rPr>
                <w:noProof/>
              </w:rPr>
            </w:pPr>
            <w:bookmarkStart w:id="307" w:name="_Ref4674964"/>
            <w:bookmarkStart w:id="308" w:name="_Toc34226933"/>
            <w:r w:rsidRPr="000939E3">
              <w:t xml:space="preserve">Graf </w:t>
            </w:r>
            <w:r w:rsidRPr="000939E3">
              <w:rPr>
                <w:noProof/>
              </w:rPr>
              <w:fldChar w:fldCharType="begin"/>
            </w:r>
            <w:r w:rsidRPr="000939E3">
              <w:rPr>
                <w:noProof/>
              </w:rPr>
              <w:instrText xml:space="preserve"> SEQ Graf \* ARABIC </w:instrText>
            </w:r>
            <w:r w:rsidRPr="000939E3">
              <w:rPr>
                <w:noProof/>
              </w:rPr>
              <w:fldChar w:fldCharType="separate"/>
            </w:r>
            <w:r w:rsidR="00BF69CA">
              <w:rPr>
                <w:noProof/>
              </w:rPr>
              <w:t>62</w:t>
            </w:r>
            <w:r w:rsidRPr="000939E3">
              <w:rPr>
                <w:noProof/>
              </w:rPr>
              <w:fldChar w:fldCharType="end"/>
            </w:r>
            <w:bookmarkEnd w:id="307"/>
            <w:r w:rsidRPr="000939E3">
              <w:rPr>
                <w:rStyle w:val="Bodytext295pt"/>
              </w:rPr>
              <w:t>: Počet obcí danej veľkosti a podiel výdavkov na správu (2015)</w:t>
            </w:r>
            <w:bookmarkEnd w:id="308"/>
          </w:p>
        </w:tc>
      </w:tr>
      <w:tr w:rsidR="00636415" w:rsidRPr="000939E3" w14:paraId="243832B3" w14:textId="77777777" w:rsidTr="00860881">
        <w:trPr>
          <w:trHeight w:val="2849"/>
        </w:trPr>
        <w:tc>
          <w:tcPr>
            <w:tcW w:w="5000" w:type="pct"/>
            <w:tcBorders>
              <w:top w:val="single" w:sz="4" w:space="0" w:color="auto"/>
              <w:bottom w:val="single" w:sz="4" w:space="0" w:color="auto"/>
            </w:tcBorders>
          </w:tcPr>
          <w:p w14:paraId="07DF7FD8" w14:textId="77777777" w:rsidR="00636415" w:rsidRPr="000939E3" w:rsidRDefault="00636415" w:rsidP="00860881">
            <w:pPr>
              <w:spacing w:after="0"/>
            </w:pPr>
            <w:r w:rsidRPr="000939E3">
              <w:rPr>
                <w:noProof/>
                <w:lang w:eastAsia="sk-SK"/>
              </w:rPr>
              <w:drawing>
                <wp:inline distT="0" distB="0" distL="0" distR="0" wp14:anchorId="0D27EE3F" wp14:editId="206CF592">
                  <wp:extent cx="5653378" cy="2360930"/>
                  <wp:effectExtent l="0" t="0" r="5080" b="1270"/>
                  <wp:docPr id="229" name="Graf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636415" w:rsidRPr="000939E3" w14:paraId="135A602A" w14:textId="77777777" w:rsidTr="00860881">
        <w:tblPrEx>
          <w:tblCellMar>
            <w:left w:w="108" w:type="dxa"/>
            <w:right w:w="108" w:type="dxa"/>
          </w:tblCellMar>
        </w:tblPrEx>
        <w:trPr>
          <w:trHeight w:val="194"/>
        </w:trPr>
        <w:tc>
          <w:tcPr>
            <w:tcW w:w="5000" w:type="pct"/>
            <w:tcBorders>
              <w:top w:val="single" w:sz="4" w:space="0" w:color="auto"/>
            </w:tcBorders>
          </w:tcPr>
          <w:p w14:paraId="1AFDBD78" w14:textId="77777777" w:rsidR="00636415" w:rsidRPr="000939E3" w:rsidRDefault="00636415" w:rsidP="00860881">
            <w:pPr>
              <w:spacing w:after="0" w:line="257" w:lineRule="auto"/>
              <w:jc w:val="right"/>
              <w:rPr>
                <w:rStyle w:val="Jemnodkaz"/>
                <w:rFonts w:eastAsiaTheme="minorHAnsi"/>
              </w:rPr>
            </w:pPr>
            <w:r w:rsidRPr="000939E3">
              <w:rPr>
                <w:rStyle w:val="Jemnodkaz"/>
                <w:rFonts w:eastAsiaTheme="minorHAnsi"/>
              </w:rPr>
              <w:t>Zdroj: IFP, 2017</w:t>
            </w:r>
          </w:p>
        </w:tc>
      </w:tr>
    </w:tbl>
    <w:p w14:paraId="338969F4" w14:textId="4B43521A" w:rsidR="001D6AA7" w:rsidRPr="000939E3" w:rsidRDefault="00C117CF" w:rsidP="003F6EA3">
      <w:pPr>
        <w:pStyle w:val="Nadpis1"/>
        <w:spacing w:after="0"/>
      </w:pPr>
      <w:bookmarkStart w:id="309" w:name="_Toc34050714"/>
      <w:bookmarkEnd w:id="306"/>
      <w:r w:rsidRPr="000939E3">
        <w:t>Prílohy</w:t>
      </w:r>
      <w:bookmarkEnd w:id="9"/>
      <w:bookmarkEnd w:id="309"/>
    </w:p>
    <w:p w14:paraId="460855FC" w14:textId="78AC16C7" w:rsidR="000041BE" w:rsidRPr="000939E3" w:rsidRDefault="000041BE" w:rsidP="000041BE">
      <w:pPr>
        <w:pStyle w:val="Popis"/>
        <w:spacing w:after="240"/>
        <w:rPr>
          <w:sz w:val="22"/>
          <w:szCs w:val="22"/>
          <w:lang w:eastAsia="en-US"/>
        </w:rPr>
      </w:pPr>
      <w:bookmarkStart w:id="310" w:name="_Ref11754505"/>
      <w:r w:rsidRPr="000939E3">
        <w:rPr>
          <w:sz w:val="22"/>
          <w:szCs w:val="22"/>
          <w:lang w:eastAsia="en-US"/>
        </w:rPr>
        <w:t xml:space="preserve">Príloha </w:t>
      </w:r>
      <w:r w:rsidRPr="000939E3">
        <w:rPr>
          <w:sz w:val="22"/>
          <w:szCs w:val="22"/>
          <w:lang w:eastAsia="en-US"/>
        </w:rPr>
        <w:fldChar w:fldCharType="begin"/>
      </w:r>
      <w:r w:rsidRPr="000939E3">
        <w:rPr>
          <w:sz w:val="22"/>
          <w:szCs w:val="22"/>
          <w:lang w:eastAsia="en-US"/>
        </w:rPr>
        <w:instrText xml:space="preserve"> SEQ Príloha \* ARABIC </w:instrText>
      </w:r>
      <w:r w:rsidRPr="000939E3">
        <w:rPr>
          <w:sz w:val="22"/>
          <w:szCs w:val="22"/>
          <w:lang w:eastAsia="en-US"/>
        </w:rPr>
        <w:fldChar w:fldCharType="separate"/>
      </w:r>
      <w:r w:rsidR="00BF69CA">
        <w:rPr>
          <w:noProof/>
          <w:sz w:val="22"/>
          <w:szCs w:val="22"/>
          <w:lang w:eastAsia="en-US"/>
        </w:rPr>
        <w:t>1</w:t>
      </w:r>
      <w:r w:rsidRPr="000939E3">
        <w:rPr>
          <w:sz w:val="22"/>
          <w:szCs w:val="22"/>
          <w:lang w:eastAsia="en-US"/>
        </w:rPr>
        <w:fldChar w:fldCharType="end"/>
      </w:r>
      <w:bookmarkEnd w:id="310"/>
      <w:r w:rsidRPr="000939E3">
        <w:rPr>
          <w:sz w:val="22"/>
          <w:szCs w:val="22"/>
          <w:lang w:eastAsia="en-US"/>
        </w:rPr>
        <w:t>: Výpočet potenciálu úspory osobných výdavkov v dôsledku zníženia počtu zamestnancov o 10%.</w:t>
      </w:r>
    </w:p>
    <w:p w14:paraId="48D771F3" w14:textId="58CFE187" w:rsidR="000041BE" w:rsidRPr="000939E3" w:rsidRDefault="00F51DAC" w:rsidP="000041BE">
      <w:r w:rsidRPr="000939E3">
        <w:t>Do</w:t>
      </w:r>
      <w:r w:rsidR="000041BE" w:rsidRPr="000939E3">
        <w:t xml:space="preserve"> výpočt</w:t>
      </w:r>
      <w:r w:rsidRPr="000939E3">
        <w:t>u</w:t>
      </w:r>
      <w:r w:rsidR="000041BE" w:rsidRPr="000939E3">
        <w:t xml:space="preserve"> potenciálu zníženia osobných výdavkov na úradníkov v štátnej správe o 10 % boli zahrnuté celkové osobné výdavky štátneho rozpočtu na štátnych zamestnancov a zamestnancov vykonávajúcich práce vo verejnom záujme. Do potenciálu nevstupujú osobné výdavky štátnych a verejných zamestnancov v regionálnom školstve (patriaci pod kapitoly MV SR, MPSVaR SR a MZ SR, ako aj nepedagogickí zamestnanci patriaci pod MV SR) a pracovníci v detských domovoch. Z potenciálu boli vyňatí aj štátni zamestnanci finančnej správy kvôli ich zjednoteniu s colníkmi od roku 2020.</w:t>
      </w:r>
    </w:p>
    <w:p w14:paraId="0C3B431C" w14:textId="529D1964" w:rsidR="000041BE" w:rsidRPr="000939E3" w:rsidRDefault="000041BE" w:rsidP="000041BE">
      <w:pPr>
        <w:pStyle w:val="Popis"/>
        <w:keepNext/>
      </w:pPr>
      <w:r w:rsidRPr="000939E3">
        <w:t>Tabuľka: Potenciál úspory osobných výdavkov v dôsledku zníženia úradníkov o 10 %</w:t>
      </w:r>
      <w:r w:rsidR="00F51DAC" w:rsidRPr="000939E3">
        <w:t xml:space="preserve"> (</w:t>
      </w:r>
      <w:r w:rsidR="003A7F24" w:rsidRPr="000939E3">
        <w:t xml:space="preserve">2020. </w:t>
      </w:r>
      <w:r w:rsidR="00F51DAC" w:rsidRPr="000939E3">
        <w:t>v mil. eur)</w:t>
      </w:r>
    </w:p>
    <w:tbl>
      <w:tblPr>
        <w:tblW w:w="5000" w:type="pct"/>
        <w:tblCellMar>
          <w:left w:w="70" w:type="dxa"/>
          <w:right w:w="70" w:type="dxa"/>
        </w:tblCellMar>
        <w:tblLook w:val="04A0" w:firstRow="1" w:lastRow="0" w:firstColumn="1" w:lastColumn="0" w:noHBand="0" w:noVBand="1"/>
      </w:tblPr>
      <w:tblGrid>
        <w:gridCol w:w="5819"/>
        <w:gridCol w:w="1820"/>
        <w:gridCol w:w="1433"/>
      </w:tblGrid>
      <w:tr w:rsidR="000041BE" w:rsidRPr="000939E3" w14:paraId="25A74831" w14:textId="77777777" w:rsidTr="00FB4735">
        <w:trPr>
          <w:trHeight w:val="113"/>
        </w:trPr>
        <w:tc>
          <w:tcPr>
            <w:tcW w:w="3207" w:type="pct"/>
            <w:tcBorders>
              <w:top w:val="nil"/>
              <w:left w:val="nil"/>
              <w:bottom w:val="single" w:sz="4" w:space="0" w:color="auto"/>
              <w:right w:val="nil"/>
            </w:tcBorders>
            <w:shd w:val="clear" w:color="auto" w:fill="auto"/>
            <w:noWrap/>
            <w:vAlign w:val="bottom"/>
            <w:hideMark/>
          </w:tcPr>
          <w:p w14:paraId="588A35C1" w14:textId="77777777" w:rsidR="000041BE" w:rsidRPr="000939E3" w:rsidRDefault="000041BE" w:rsidP="00FB4735">
            <w:pPr>
              <w:spacing w:after="0" w:line="240" w:lineRule="auto"/>
              <w:contextualSpacing/>
              <w:jc w:val="left"/>
              <w:rPr>
                <w:rFonts w:eastAsia="Times New Roman" w:cs="Times New Roman"/>
                <w:color w:val="000000"/>
                <w:sz w:val="20"/>
                <w:lang w:eastAsia="sk-SK"/>
              </w:rPr>
            </w:pPr>
            <w:r w:rsidRPr="000939E3">
              <w:rPr>
                <w:rFonts w:eastAsia="Times New Roman" w:cs="Times New Roman"/>
                <w:color w:val="000000"/>
                <w:sz w:val="20"/>
                <w:lang w:eastAsia="sk-SK"/>
              </w:rPr>
              <w:t> </w:t>
            </w:r>
          </w:p>
        </w:tc>
        <w:tc>
          <w:tcPr>
            <w:tcW w:w="1003" w:type="pct"/>
            <w:tcBorders>
              <w:top w:val="nil"/>
              <w:left w:val="nil"/>
              <w:bottom w:val="single" w:sz="4" w:space="0" w:color="auto"/>
              <w:right w:val="nil"/>
            </w:tcBorders>
            <w:shd w:val="clear" w:color="auto" w:fill="auto"/>
            <w:noWrap/>
            <w:vAlign w:val="center"/>
            <w:hideMark/>
          </w:tcPr>
          <w:p w14:paraId="493D09E0" w14:textId="77777777" w:rsidR="000041BE" w:rsidRPr="000939E3" w:rsidRDefault="000041BE" w:rsidP="00FB4735">
            <w:pPr>
              <w:spacing w:after="0" w:line="240" w:lineRule="auto"/>
              <w:contextualSpacing/>
              <w:jc w:val="right"/>
              <w:rPr>
                <w:rFonts w:eastAsia="Times New Roman" w:cs="Times New Roman"/>
                <w:b/>
                <w:bCs/>
                <w:color w:val="000000"/>
                <w:sz w:val="20"/>
                <w:lang w:eastAsia="sk-SK"/>
              </w:rPr>
            </w:pPr>
            <w:r w:rsidRPr="000939E3">
              <w:rPr>
                <w:rFonts w:eastAsia="Times New Roman" w:cs="Times New Roman"/>
                <w:b/>
                <w:bCs/>
                <w:color w:val="000000"/>
                <w:sz w:val="20"/>
                <w:lang w:eastAsia="sk-SK"/>
              </w:rPr>
              <w:t>Osobné výdavky</w:t>
            </w:r>
          </w:p>
        </w:tc>
        <w:tc>
          <w:tcPr>
            <w:tcW w:w="790" w:type="pct"/>
            <w:tcBorders>
              <w:top w:val="nil"/>
              <w:left w:val="nil"/>
              <w:bottom w:val="single" w:sz="4" w:space="0" w:color="auto"/>
              <w:right w:val="nil"/>
            </w:tcBorders>
            <w:shd w:val="clear" w:color="auto" w:fill="auto"/>
            <w:noWrap/>
            <w:vAlign w:val="center"/>
            <w:hideMark/>
          </w:tcPr>
          <w:p w14:paraId="45B0AB45" w14:textId="77777777" w:rsidR="000041BE" w:rsidRPr="000939E3" w:rsidRDefault="000041BE" w:rsidP="00FB4735">
            <w:pPr>
              <w:spacing w:after="0" w:line="240" w:lineRule="auto"/>
              <w:contextualSpacing/>
              <w:jc w:val="right"/>
              <w:rPr>
                <w:rFonts w:eastAsia="Times New Roman" w:cs="Times New Roman"/>
                <w:b/>
                <w:bCs/>
                <w:color w:val="000000"/>
                <w:sz w:val="20"/>
                <w:lang w:eastAsia="sk-SK"/>
              </w:rPr>
            </w:pPr>
            <w:r w:rsidRPr="000939E3">
              <w:rPr>
                <w:rFonts w:eastAsia="Times New Roman" w:cs="Times New Roman"/>
                <w:b/>
                <w:bCs/>
                <w:color w:val="000000"/>
                <w:sz w:val="20"/>
                <w:lang w:eastAsia="sk-SK"/>
              </w:rPr>
              <w:t>Viazanie 10 %</w:t>
            </w:r>
          </w:p>
        </w:tc>
      </w:tr>
      <w:tr w:rsidR="000041BE" w:rsidRPr="000939E3" w14:paraId="355C3C19" w14:textId="77777777" w:rsidTr="00FB4735">
        <w:trPr>
          <w:trHeight w:val="113"/>
        </w:trPr>
        <w:tc>
          <w:tcPr>
            <w:tcW w:w="3207" w:type="pct"/>
            <w:tcBorders>
              <w:top w:val="nil"/>
              <w:left w:val="nil"/>
              <w:bottom w:val="single" w:sz="4" w:space="0" w:color="auto"/>
              <w:right w:val="nil"/>
            </w:tcBorders>
            <w:shd w:val="clear" w:color="auto" w:fill="auto"/>
            <w:noWrap/>
            <w:vAlign w:val="center"/>
            <w:hideMark/>
          </w:tcPr>
          <w:p w14:paraId="1D893647" w14:textId="77777777" w:rsidR="000041BE" w:rsidRPr="000939E3" w:rsidRDefault="000041BE" w:rsidP="00FB4735">
            <w:pPr>
              <w:spacing w:after="0" w:line="240" w:lineRule="auto"/>
              <w:contextualSpacing/>
              <w:jc w:val="left"/>
              <w:rPr>
                <w:rFonts w:eastAsia="Times New Roman" w:cs="Times New Roman"/>
                <w:b/>
                <w:bCs/>
                <w:color w:val="000000"/>
                <w:sz w:val="20"/>
                <w:lang w:eastAsia="sk-SK"/>
              </w:rPr>
            </w:pPr>
            <w:r w:rsidRPr="000939E3">
              <w:rPr>
                <w:rFonts w:eastAsia="Times New Roman" w:cs="Times New Roman"/>
                <w:b/>
                <w:bCs/>
                <w:color w:val="000000"/>
                <w:sz w:val="20"/>
                <w:lang w:eastAsia="sk-SK"/>
              </w:rPr>
              <w:t>Štátni a verení zamestnanci spolu</w:t>
            </w:r>
          </w:p>
        </w:tc>
        <w:tc>
          <w:tcPr>
            <w:tcW w:w="1003" w:type="pct"/>
            <w:tcBorders>
              <w:top w:val="nil"/>
              <w:left w:val="nil"/>
              <w:bottom w:val="single" w:sz="4" w:space="0" w:color="auto"/>
              <w:right w:val="nil"/>
            </w:tcBorders>
            <w:shd w:val="clear" w:color="auto" w:fill="auto"/>
            <w:noWrap/>
            <w:vAlign w:val="center"/>
            <w:hideMark/>
          </w:tcPr>
          <w:p w14:paraId="33F3F74B" w14:textId="77777777" w:rsidR="000041BE" w:rsidRPr="000939E3" w:rsidRDefault="000041BE" w:rsidP="00FB4735">
            <w:pPr>
              <w:spacing w:after="0" w:line="240" w:lineRule="auto"/>
              <w:contextualSpacing/>
              <w:jc w:val="right"/>
              <w:rPr>
                <w:rFonts w:eastAsia="Times New Roman" w:cs="Times New Roman"/>
                <w:b/>
                <w:bCs/>
                <w:color w:val="000000"/>
                <w:sz w:val="20"/>
                <w:lang w:eastAsia="sk-SK"/>
              </w:rPr>
            </w:pPr>
            <w:r w:rsidRPr="000939E3">
              <w:rPr>
                <w:rFonts w:eastAsia="Times New Roman" w:cs="Times New Roman"/>
                <w:b/>
                <w:bCs/>
                <w:color w:val="000000"/>
                <w:sz w:val="20"/>
                <w:lang w:eastAsia="sk-SK"/>
              </w:rPr>
              <w:t>1 956,4</w:t>
            </w:r>
          </w:p>
        </w:tc>
        <w:tc>
          <w:tcPr>
            <w:tcW w:w="790" w:type="pct"/>
            <w:tcBorders>
              <w:top w:val="nil"/>
              <w:left w:val="nil"/>
              <w:bottom w:val="single" w:sz="4" w:space="0" w:color="auto"/>
              <w:right w:val="nil"/>
            </w:tcBorders>
            <w:shd w:val="clear" w:color="auto" w:fill="auto"/>
            <w:noWrap/>
            <w:vAlign w:val="center"/>
            <w:hideMark/>
          </w:tcPr>
          <w:p w14:paraId="3162C63F" w14:textId="77777777" w:rsidR="000041BE" w:rsidRPr="000939E3" w:rsidRDefault="000041BE" w:rsidP="00FB4735">
            <w:pPr>
              <w:spacing w:after="0" w:line="240" w:lineRule="auto"/>
              <w:contextualSpacing/>
              <w:jc w:val="right"/>
              <w:rPr>
                <w:rFonts w:eastAsia="Times New Roman" w:cs="Times New Roman"/>
                <w:b/>
                <w:bCs/>
                <w:color w:val="000000"/>
                <w:sz w:val="20"/>
                <w:lang w:eastAsia="sk-SK"/>
              </w:rPr>
            </w:pPr>
            <w:r w:rsidRPr="000939E3">
              <w:rPr>
                <w:rFonts w:eastAsia="Times New Roman" w:cs="Times New Roman"/>
                <w:b/>
                <w:bCs/>
                <w:color w:val="000000"/>
                <w:sz w:val="20"/>
                <w:lang w:eastAsia="sk-SK"/>
              </w:rPr>
              <w:t>195,6</w:t>
            </w:r>
          </w:p>
        </w:tc>
      </w:tr>
      <w:tr w:rsidR="000041BE" w:rsidRPr="000939E3" w14:paraId="59F75027" w14:textId="77777777" w:rsidTr="00FB4735">
        <w:trPr>
          <w:trHeight w:val="113"/>
        </w:trPr>
        <w:tc>
          <w:tcPr>
            <w:tcW w:w="3207" w:type="pct"/>
            <w:tcBorders>
              <w:top w:val="nil"/>
              <w:left w:val="nil"/>
              <w:bottom w:val="nil"/>
              <w:right w:val="nil"/>
            </w:tcBorders>
            <w:shd w:val="clear" w:color="auto" w:fill="auto"/>
            <w:noWrap/>
            <w:vAlign w:val="center"/>
            <w:hideMark/>
          </w:tcPr>
          <w:p w14:paraId="2E7A636D" w14:textId="77777777" w:rsidR="000041BE" w:rsidRPr="000939E3" w:rsidRDefault="000041BE" w:rsidP="00FB4735">
            <w:pPr>
              <w:spacing w:after="0" w:line="240" w:lineRule="auto"/>
              <w:ind w:firstLineChars="300" w:firstLine="600"/>
              <w:contextualSpacing/>
              <w:jc w:val="left"/>
              <w:rPr>
                <w:rFonts w:eastAsia="Times New Roman" w:cs="Times New Roman"/>
                <w:i/>
                <w:iCs/>
                <w:color w:val="000000"/>
                <w:sz w:val="20"/>
                <w:lang w:eastAsia="sk-SK"/>
              </w:rPr>
            </w:pPr>
            <w:r w:rsidRPr="000939E3">
              <w:rPr>
                <w:rFonts w:eastAsia="Times New Roman" w:cs="Times New Roman"/>
                <w:i/>
                <w:iCs/>
                <w:color w:val="000000"/>
                <w:sz w:val="20"/>
                <w:lang w:eastAsia="sk-SK"/>
              </w:rPr>
              <w:t>štátna služba (bez verejnej funkcie a cudziny)</w:t>
            </w:r>
          </w:p>
        </w:tc>
        <w:tc>
          <w:tcPr>
            <w:tcW w:w="1003" w:type="pct"/>
            <w:tcBorders>
              <w:top w:val="nil"/>
              <w:left w:val="nil"/>
              <w:bottom w:val="nil"/>
              <w:right w:val="nil"/>
            </w:tcBorders>
            <w:shd w:val="clear" w:color="auto" w:fill="auto"/>
            <w:noWrap/>
            <w:vAlign w:val="center"/>
            <w:hideMark/>
          </w:tcPr>
          <w:p w14:paraId="284505FF" w14:textId="77777777" w:rsidR="000041BE" w:rsidRPr="000939E3" w:rsidRDefault="000041BE" w:rsidP="00FB4735">
            <w:pPr>
              <w:spacing w:after="0" w:line="240" w:lineRule="auto"/>
              <w:contextualSpacing/>
              <w:jc w:val="right"/>
              <w:rPr>
                <w:rFonts w:eastAsia="Times New Roman" w:cs="Times New Roman"/>
                <w:color w:val="000000"/>
                <w:sz w:val="20"/>
                <w:lang w:eastAsia="sk-SK"/>
              </w:rPr>
            </w:pPr>
            <w:r w:rsidRPr="000939E3">
              <w:rPr>
                <w:rFonts w:eastAsia="Times New Roman" w:cs="Times New Roman"/>
                <w:color w:val="000000"/>
                <w:sz w:val="20"/>
                <w:lang w:eastAsia="sk-SK"/>
              </w:rPr>
              <w:t>876,1</w:t>
            </w:r>
          </w:p>
        </w:tc>
        <w:tc>
          <w:tcPr>
            <w:tcW w:w="790" w:type="pct"/>
            <w:tcBorders>
              <w:top w:val="nil"/>
              <w:left w:val="nil"/>
              <w:bottom w:val="nil"/>
              <w:right w:val="nil"/>
            </w:tcBorders>
            <w:shd w:val="clear" w:color="auto" w:fill="auto"/>
            <w:noWrap/>
            <w:vAlign w:val="center"/>
            <w:hideMark/>
          </w:tcPr>
          <w:p w14:paraId="7B03C05B" w14:textId="77777777" w:rsidR="000041BE" w:rsidRPr="000939E3" w:rsidRDefault="000041BE" w:rsidP="00FB4735">
            <w:pPr>
              <w:spacing w:after="0" w:line="240" w:lineRule="auto"/>
              <w:contextualSpacing/>
              <w:jc w:val="right"/>
              <w:rPr>
                <w:rFonts w:eastAsia="Times New Roman" w:cs="Times New Roman"/>
                <w:color w:val="000000"/>
                <w:sz w:val="20"/>
                <w:lang w:eastAsia="sk-SK"/>
              </w:rPr>
            </w:pPr>
            <w:r w:rsidRPr="000939E3">
              <w:rPr>
                <w:rFonts w:eastAsia="Times New Roman" w:cs="Times New Roman"/>
                <w:color w:val="000000"/>
                <w:sz w:val="20"/>
                <w:lang w:eastAsia="sk-SK"/>
              </w:rPr>
              <w:t>87,6</w:t>
            </w:r>
          </w:p>
        </w:tc>
      </w:tr>
      <w:tr w:rsidR="000041BE" w:rsidRPr="000939E3" w14:paraId="53EB860B" w14:textId="77777777" w:rsidTr="00FB4735">
        <w:trPr>
          <w:trHeight w:val="113"/>
        </w:trPr>
        <w:tc>
          <w:tcPr>
            <w:tcW w:w="3207" w:type="pct"/>
            <w:tcBorders>
              <w:top w:val="nil"/>
              <w:left w:val="nil"/>
              <w:bottom w:val="nil"/>
              <w:right w:val="nil"/>
            </w:tcBorders>
            <w:shd w:val="clear" w:color="auto" w:fill="auto"/>
            <w:noWrap/>
            <w:vAlign w:val="center"/>
            <w:hideMark/>
          </w:tcPr>
          <w:p w14:paraId="7FCAD3FC" w14:textId="77777777" w:rsidR="000041BE" w:rsidRPr="000939E3" w:rsidRDefault="000041BE" w:rsidP="00FB4735">
            <w:pPr>
              <w:spacing w:after="0" w:line="240" w:lineRule="auto"/>
              <w:ind w:firstLineChars="300" w:firstLine="600"/>
              <w:contextualSpacing/>
              <w:jc w:val="left"/>
              <w:rPr>
                <w:rFonts w:eastAsia="Times New Roman" w:cs="Times New Roman"/>
                <w:i/>
                <w:iCs/>
                <w:color w:val="000000"/>
                <w:sz w:val="20"/>
                <w:lang w:eastAsia="sk-SK"/>
              </w:rPr>
            </w:pPr>
            <w:r w:rsidRPr="000939E3">
              <w:rPr>
                <w:rFonts w:eastAsia="Times New Roman" w:cs="Times New Roman"/>
                <w:i/>
                <w:iCs/>
                <w:color w:val="000000"/>
                <w:sz w:val="20"/>
                <w:lang w:eastAsia="sk-SK"/>
              </w:rPr>
              <w:t>verejná služba (základná)</w:t>
            </w:r>
          </w:p>
        </w:tc>
        <w:tc>
          <w:tcPr>
            <w:tcW w:w="1003" w:type="pct"/>
            <w:tcBorders>
              <w:top w:val="nil"/>
              <w:left w:val="nil"/>
              <w:bottom w:val="nil"/>
              <w:right w:val="nil"/>
            </w:tcBorders>
            <w:shd w:val="clear" w:color="auto" w:fill="auto"/>
            <w:noWrap/>
            <w:vAlign w:val="center"/>
            <w:hideMark/>
          </w:tcPr>
          <w:p w14:paraId="2333795D" w14:textId="77777777" w:rsidR="000041BE" w:rsidRPr="000939E3" w:rsidRDefault="000041BE" w:rsidP="00FB4735">
            <w:pPr>
              <w:spacing w:after="0" w:line="240" w:lineRule="auto"/>
              <w:contextualSpacing/>
              <w:jc w:val="right"/>
              <w:rPr>
                <w:rFonts w:eastAsia="Times New Roman" w:cs="Times New Roman"/>
                <w:color w:val="000000"/>
                <w:sz w:val="20"/>
                <w:lang w:eastAsia="sk-SK"/>
              </w:rPr>
            </w:pPr>
            <w:r w:rsidRPr="000939E3">
              <w:rPr>
                <w:rFonts w:eastAsia="Times New Roman" w:cs="Times New Roman"/>
                <w:color w:val="000000"/>
                <w:sz w:val="20"/>
                <w:lang w:eastAsia="sk-SK"/>
              </w:rPr>
              <w:t>965,2</w:t>
            </w:r>
          </w:p>
        </w:tc>
        <w:tc>
          <w:tcPr>
            <w:tcW w:w="790" w:type="pct"/>
            <w:tcBorders>
              <w:top w:val="nil"/>
              <w:left w:val="nil"/>
              <w:bottom w:val="nil"/>
              <w:right w:val="nil"/>
            </w:tcBorders>
            <w:shd w:val="clear" w:color="auto" w:fill="auto"/>
            <w:noWrap/>
            <w:vAlign w:val="center"/>
            <w:hideMark/>
          </w:tcPr>
          <w:p w14:paraId="08C3A05B" w14:textId="77777777" w:rsidR="000041BE" w:rsidRPr="000939E3" w:rsidRDefault="000041BE" w:rsidP="00FB4735">
            <w:pPr>
              <w:spacing w:after="0" w:line="240" w:lineRule="auto"/>
              <w:contextualSpacing/>
              <w:jc w:val="right"/>
              <w:rPr>
                <w:rFonts w:eastAsia="Times New Roman" w:cs="Times New Roman"/>
                <w:color w:val="000000"/>
                <w:sz w:val="20"/>
                <w:lang w:eastAsia="sk-SK"/>
              </w:rPr>
            </w:pPr>
            <w:r w:rsidRPr="000939E3">
              <w:rPr>
                <w:rFonts w:eastAsia="Times New Roman" w:cs="Times New Roman"/>
                <w:color w:val="000000"/>
                <w:sz w:val="20"/>
                <w:lang w:eastAsia="sk-SK"/>
              </w:rPr>
              <w:t>96,5</w:t>
            </w:r>
          </w:p>
        </w:tc>
      </w:tr>
      <w:tr w:rsidR="000041BE" w:rsidRPr="000939E3" w14:paraId="29EF58EE" w14:textId="77777777" w:rsidTr="00FB4735">
        <w:trPr>
          <w:trHeight w:val="113"/>
        </w:trPr>
        <w:tc>
          <w:tcPr>
            <w:tcW w:w="3207" w:type="pct"/>
            <w:tcBorders>
              <w:top w:val="nil"/>
              <w:left w:val="nil"/>
              <w:bottom w:val="nil"/>
              <w:right w:val="nil"/>
            </w:tcBorders>
            <w:shd w:val="clear" w:color="auto" w:fill="auto"/>
            <w:noWrap/>
            <w:vAlign w:val="center"/>
            <w:hideMark/>
          </w:tcPr>
          <w:p w14:paraId="0D823CAD" w14:textId="77777777" w:rsidR="000041BE" w:rsidRPr="000939E3" w:rsidRDefault="000041BE" w:rsidP="00FB4735">
            <w:pPr>
              <w:spacing w:after="0" w:line="240" w:lineRule="auto"/>
              <w:ind w:firstLineChars="300" w:firstLine="600"/>
              <w:contextualSpacing/>
              <w:jc w:val="left"/>
              <w:rPr>
                <w:rFonts w:eastAsia="Times New Roman" w:cs="Times New Roman"/>
                <w:i/>
                <w:iCs/>
                <w:color w:val="000000"/>
                <w:sz w:val="20"/>
                <w:lang w:eastAsia="sk-SK"/>
              </w:rPr>
            </w:pPr>
            <w:r w:rsidRPr="000939E3">
              <w:rPr>
                <w:rFonts w:eastAsia="Times New Roman" w:cs="Times New Roman"/>
                <w:i/>
                <w:iCs/>
                <w:color w:val="000000"/>
                <w:sz w:val="20"/>
                <w:lang w:eastAsia="sk-SK"/>
              </w:rPr>
              <w:t>verejná služba (vybraní)</w:t>
            </w:r>
          </w:p>
        </w:tc>
        <w:tc>
          <w:tcPr>
            <w:tcW w:w="1003" w:type="pct"/>
            <w:tcBorders>
              <w:top w:val="nil"/>
              <w:left w:val="nil"/>
              <w:bottom w:val="nil"/>
              <w:right w:val="nil"/>
            </w:tcBorders>
            <w:shd w:val="clear" w:color="auto" w:fill="auto"/>
            <w:noWrap/>
            <w:vAlign w:val="center"/>
            <w:hideMark/>
          </w:tcPr>
          <w:p w14:paraId="585E62CE" w14:textId="77777777" w:rsidR="000041BE" w:rsidRPr="000939E3" w:rsidRDefault="000041BE" w:rsidP="00FB4735">
            <w:pPr>
              <w:spacing w:after="0" w:line="240" w:lineRule="auto"/>
              <w:contextualSpacing/>
              <w:jc w:val="right"/>
              <w:rPr>
                <w:rFonts w:eastAsia="Times New Roman" w:cs="Times New Roman"/>
                <w:color w:val="000000"/>
                <w:sz w:val="20"/>
                <w:lang w:eastAsia="sk-SK"/>
              </w:rPr>
            </w:pPr>
            <w:r w:rsidRPr="000939E3">
              <w:rPr>
                <w:rFonts w:eastAsia="Times New Roman" w:cs="Times New Roman"/>
                <w:color w:val="000000"/>
                <w:sz w:val="20"/>
                <w:lang w:eastAsia="sk-SK"/>
              </w:rPr>
              <w:t>61,2</w:t>
            </w:r>
          </w:p>
        </w:tc>
        <w:tc>
          <w:tcPr>
            <w:tcW w:w="790" w:type="pct"/>
            <w:tcBorders>
              <w:top w:val="nil"/>
              <w:left w:val="nil"/>
              <w:bottom w:val="nil"/>
              <w:right w:val="nil"/>
            </w:tcBorders>
            <w:shd w:val="clear" w:color="auto" w:fill="auto"/>
            <w:noWrap/>
            <w:vAlign w:val="center"/>
            <w:hideMark/>
          </w:tcPr>
          <w:p w14:paraId="38016E40" w14:textId="77777777" w:rsidR="000041BE" w:rsidRPr="000939E3" w:rsidRDefault="000041BE" w:rsidP="00FB4735">
            <w:pPr>
              <w:spacing w:after="0" w:line="240" w:lineRule="auto"/>
              <w:contextualSpacing/>
              <w:jc w:val="right"/>
              <w:rPr>
                <w:rFonts w:eastAsia="Times New Roman" w:cs="Times New Roman"/>
                <w:color w:val="000000"/>
                <w:sz w:val="20"/>
                <w:lang w:eastAsia="sk-SK"/>
              </w:rPr>
            </w:pPr>
            <w:r w:rsidRPr="000939E3">
              <w:rPr>
                <w:rFonts w:eastAsia="Times New Roman" w:cs="Times New Roman"/>
                <w:color w:val="000000"/>
                <w:sz w:val="20"/>
                <w:lang w:eastAsia="sk-SK"/>
              </w:rPr>
              <w:t>6,1</w:t>
            </w:r>
          </w:p>
        </w:tc>
      </w:tr>
      <w:tr w:rsidR="000041BE" w:rsidRPr="000939E3" w14:paraId="60E2B8CF" w14:textId="77777777" w:rsidTr="00FB4735">
        <w:trPr>
          <w:trHeight w:val="113"/>
        </w:trPr>
        <w:tc>
          <w:tcPr>
            <w:tcW w:w="3207" w:type="pct"/>
            <w:tcBorders>
              <w:top w:val="nil"/>
              <w:left w:val="nil"/>
              <w:bottom w:val="single" w:sz="4" w:space="0" w:color="auto"/>
              <w:right w:val="nil"/>
            </w:tcBorders>
            <w:shd w:val="clear" w:color="auto" w:fill="auto"/>
            <w:noWrap/>
            <w:vAlign w:val="center"/>
            <w:hideMark/>
          </w:tcPr>
          <w:p w14:paraId="5E336778" w14:textId="77777777" w:rsidR="000041BE" w:rsidRPr="000939E3" w:rsidRDefault="000041BE" w:rsidP="00FB4735">
            <w:pPr>
              <w:spacing w:after="0" w:line="240" w:lineRule="auto"/>
              <w:ind w:firstLineChars="300" w:firstLine="600"/>
              <w:contextualSpacing/>
              <w:jc w:val="left"/>
              <w:rPr>
                <w:rFonts w:eastAsia="Times New Roman" w:cs="Times New Roman"/>
                <w:i/>
                <w:iCs/>
                <w:color w:val="000000"/>
                <w:sz w:val="20"/>
                <w:lang w:eastAsia="sk-SK"/>
              </w:rPr>
            </w:pPr>
            <w:r w:rsidRPr="000939E3">
              <w:rPr>
                <w:rFonts w:eastAsia="Times New Roman" w:cs="Times New Roman"/>
                <w:i/>
                <w:iCs/>
                <w:color w:val="000000"/>
                <w:sz w:val="20"/>
                <w:lang w:eastAsia="sk-SK"/>
              </w:rPr>
              <w:t>verejná služba (zákonník práce)</w:t>
            </w:r>
          </w:p>
        </w:tc>
        <w:tc>
          <w:tcPr>
            <w:tcW w:w="1003" w:type="pct"/>
            <w:tcBorders>
              <w:top w:val="nil"/>
              <w:left w:val="nil"/>
              <w:bottom w:val="single" w:sz="4" w:space="0" w:color="auto"/>
              <w:right w:val="nil"/>
            </w:tcBorders>
            <w:shd w:val="clear" w:color="auto" w:fill="auto"/>
            <w:noWrap/>
            <w:vAlign w:val="center"/>
            <w:hideMark/>
          </w:tcPr>
          <w:p w14:paraId="75154B98" w14:textId="77777777" w:rsidR="000041BE" w:rsidRPr="000939E3" w:rsidRDefault="000041BE" w:rsidP="00FB4735">
            <w:pPr>
              <w:spacing w:after="0" w:line="240" w:lineRule="auto"/>
              <w:contextualSpacing/>
              <w:jc w:val="right"/>
              <w:rPr>
                <w:rFonts w:eastAsia="Times New Roman" w:cs="Times New Roman"/>
                <w:color w:val="000000"/>
                <w:sz w:val="20"/>
                <w:lang w:eastAsia="sk-SK"/>
              </w:rPr>
            </w:pPr>
            <w:r w:rsidRPr="000939E3">
              <w:rPr>
                <w:rFonts w:eastAsia="Times New Roman" w:cs="Times New Roman"/>
                <w:color w:val="000000"/>
                <w:sz w:val="20"/>
                <w:lang w:eastAsia="sk-SK"/>
              </w:rPr>
              <w:t>53,9</w:t>
            </w:r>
          </w:p>
        </w:tc>
        <w:tc>
          <w:tcPr>
            <w:tcW w:w="790" w:type="pct"/>
            <w:tcBorders>
              <w:top w:val="nil"/>
              <w:left w:val="nil"/>
              <w:bottom w:val="single" w:sz="4" w:space="0" w:color="auto"/>
              <w:right w:val="nil"/>
            </w:tcBorders>
            <w:shd w:val="clear" w:color="auto" w:fill="auto"/>
            <w:noWrap/>
            <w:vAlign w:val="center"/>
            <w:hideMark/>
          </w:tcPr>
          <w:p w14:paraId="4D0200BA" w14:textId="77777777" w:rsidR="000041BE" w:rsidRPr="000939E3" w:rsidRDefault="000041BE" w:rsidP="00FB4735">
            <w:pPr>
              <w:spacing w:after="0" w:line="240" w:lineRule="auto"/>
              <w:contextualSpacing/>
              <w:jc w:val="right"/>
              <w:rPr>
                <w:rFonts w:eastAsia="Times New Roman" w:cs="Times New Roman"/>
                <w:color w:val="000000"/>
                <w:sz w:val="20"/>
                <w:lang w:eastAsia="sk-SK"/>
              </w:rPr>
            </w:pPr>
            <w:r w:rsidRPr="000939E3">
              <w:rPr>
                <w:rFonts w:eastAsia="Times New Roman" w:cs="Times New Roman"/>
                <w:color w:val="000000"/>
                <w:sz w:val="20"/>
                <w:lang w:eastAsia="sk-SK"/>
              </w:rPr>
              <w:t>5,4</w:t>
            </w:r>
          </w:p>
        </w:tc>
      </w:tr>
      <w:tr w:rsidR="000041BE" w:rsidRPr="000939E3" w14:paraId="76A31156" w14:textId="77777777" w:rsidTr="00FB4735">
        <w:trPr>
          <w:trHeight w:val="113"/>
        </w:trPr>
        <w:tc>
          <w:tcPr>
            <w:tcW w:w="3207" w:type="pct"/>
            <w:tcBorders>
              <w:top w:val="nil"/>
              <w:left w:val="nil"/>
              <w:bottom w:val="single" w:sz="4" w:space="0" w:color="auto"/>
              <w:right w:val="nil"/>
            </w:tcBorders>
            <w:shd w:val="clear" w:color="auto" w:fill="auto"/>
            <w:noWrap/>
            <w:vAlign w:val="center"/>
            <w:hideMark/>
          </w:tcPr>
          <w:p w14:paraId="74D8C3D9" w14:textId="77777777" w:rsidR="000041BE" w:rsidRPr="000939E3" w:rsidRDefault="000041BE" w:rsidP="00FB4735">
            <w:pPr>
              <w:spacing w:after="0" w:line="240" w:lineRule="auto"/>
              <w:contextualSpacing/>
              <w:jc w:val="left"/>
              <w:rPr>
                <w:rFonts w:eastAsia="Times New Roman" w:cs="Times New Roman"/>
                <w:b/>
                <w:bCs/>
                <w:color w:val="000000"/>
                <w:sz w:val="20"/>
                <w:lang w:eastAsia="sk-SK"/>
              </w:rPr>
            </w:pPr>
            <w:r w:rsidRPr="000939E3">
              <w:rPr>
                <w:rFonts w:eastAsia="Times New Roman" w:cs="Times New Roman"/>
                <w:b/>
                <w:bCs/>
                <w:color w:val="000000"/>
                <w:sz w:val="20"/>
                <w:lang w:eastAsia="sk-SK"/>
              </w:rPr>
              <w:t>Výnimky spolu</w:t>
            </w:r>
          </w:p>
        </w:tc>
        <w:tc>
          <w:tcPr>
            <w:tcW w:w="1003" w:type="pct"/>
            <w:tcBorders>
              <w:top w:val="nil"/>
              <w:left w:val="nil"/>
              <w:bottom w:val="single" w:sz="4" w:space="0" w:color="auto"/>
              <w:right w:val="nil"/>
            </w:tcBorders>
            <w:shd w:val="clear" w:color="auto" w:fill="auto"/>
            <w:noWrap/>
            <w:vAlign w:val="center"/>
            <w:hideMark/>
          </w:tcPr>
          <w:p w14:paraId="3ADE5631" w14:textId="77777777" w:rsidR="000041BE" w:rsidRPr="000939E3" w:rsidRDefault="000041BE" w:rsidP="00FB4735">
            <w:pPr>
              <w:spacing w:after="0" w:line="240" w:lineRule="auto"/>
              <w:contextualSpacing/>
              <w:jc w:val="right"/>
              <w:rPr>
                <w:rFonts w:eastAsia="Times New Roman" w:cs="Times New Roman"/>
                <w:b/>
                <w:bCs/>
                <w:color w:val="000000"/>
                <w:sz w:val="20"/>
                <w:lang w:eastAsia="sk-SK"/>
              </w:rPr>
            </w:pPr>
            <w:r w:rsidRPr="000939E3">
              <w:rPr>
                <w:rFonts w:eastAsia="Times New Roman" w:cs="Times New Roman"/>
                <w:b/>
                <w:bCs/>
                <w:color w:val="000000"/>
                <w:sz w:val="20"/>
                <w:lang w:eastAsia="sk-SK"/>
              </w:rPr>
              <w:t>484,6</w:t>
            </w:r>
          </w:p>
        </w:tc>
        <w:tc>
          <w:tcPr>
            <w:tcW w:w="790" w:type="pct"/>
            <w:tcBorders>
              <w:top w:val="nil"/>
              <w:left w:val="nil"/>
              <w:bottom w:val="single" w:sz="4" w:space="0" w:color="auto"/>
              <w:right w:val="nil"/>
            </w:tcBorders>
            <w:shd w:val="clear" w:color="auto" w:fill="auto"/>
            <w:noWrap/>
            <w:vAlign w:val="center"/>
            <w:hideMark/>
          </w:tcPr>
          <w:p w14:paraId="7E9D611A" w14:textId="77777777" w:rsidR="000041BE" w:rsidRPr="000939E3" w:rsidRDefault="000041BE" w:rsidP="00FB4735">
            <w:pPr>
              <w:spacing w:after="0" w:line="240" w:lineRule="auto"/>
              <w:contextualSpacing/>
              <w:jc w:val="right"/>
              <w:rPr>
                <w:rFonts w:eastAsia="Times New Roman" w:cs="Times New Roman"/>
                <w:b/>
                <w:bCs/>
                <w:color w:val="000000"/>
                <w:sz w:val="20"/>
                <w:lang w:eastAsia="sk-SK"/>
              </w:rPr>
            </w:pPr>
            <w:r w:rsidRPr="000939E3">
              <w:rPr>
                <w:rFonts w:eastAsia="Times New Roman" w:cs="Times New Roman"/>
                <w:b/>
                <w:bCs/>
                <w:color w:val="000000"/>
                <w:sz w:val="20"/>
                <w:lang w:eastAsia="sk-SK"/>
              </w:rPr>
              <w:t>48,5</w:t>
            </w:r>
          </w:p>
        </w:tc>
      </w:tr>
      <w:tr w:rsidR="000041BE" w:rsidRPr="000939E3" w14:paraId="495875E0" w14:textId="77777777" w:rsidTr="00FB4735">
        <w:trPr>
          <w:trHeight w:val="113"/>
        </w:trPr>
        <w:tc>
          <w:tcPr>
            <w:tcW w:w="3207" w:type="pct"/>
            <w:tcBorders>
              <w:top w:val="nil"/>
              <w:left w:val="nil"/>
              <w:bottom w:val="nil"/>
              <w:right w:val="nil"/>
            </w:tcBorders>
            <w:shd w:val="clear" w:color="auto" w:fill="auto"/>
            <w:noWrap/>
            <w:vAlign w:val="center"/>
            <w:hideMark/>
          </w:tcPr>
          <w:p w14:paraId="68DD09D9" w14:textId="77777777" w:rsidR="000041BE" w:rsidRPr="000939E3" w:rsidRDefault="000041BE" w:rsidP="00FB4735">
            <w:pPr>
              <w:spacing w:after="0" w:line="240" w:lineRule="auto"/>
              <w:ind w:firstLineChars="300" w:firstLine="600"/>
              <w:contextualSpacing/>
              <w:jc w:val="left"/>
              <w:rPr>
                <w:rFonts w:eastAsia="Times New Roman" w:cs="Times New Roman"/>
                <w:i/>
                <w:iCs/>
                <w:color w:val="000000"/>
                <w:sz w:val="20"/>
                <w:lang w:eastAsia="sk-SK"/>
              </w:rPr>
            </w:pPr>
            <w:r w:rsidRPr="000939E3">
              <w:rPr>
                <w:rFonts w:eastAsia="Times New Roman" w:cs="Times New Roman"/>
                <w:i/>
                <w:iCs/>
                <w:color w:val="000000"/>
                <w:sz w:val="20"/>
                <w:lang w:eastAsia="sk-SK"/>
              </w:rPr>
              <w:t>nepedagogickí zamestnanci regionálneho školstva</w:t>
            </w:r>
          </w:p>
        </w:tc>
        <w:tc>
          <w:tcPr>
            <w:tcW w:w="1003" w:type="pct"/>
            <w:tcBorders>
              <w:top w:val="nil"/>
              <w:left w:val="nil"/>
              <w:bottom w:val="nil"/>
              <w:right w:val="nil"/>
            </w:tcBorders>
            <w:shd w:val="clear" w:color="auto" w:fill="auto"/>
            <w:noWrap/>
            <w:vAlign w:val="center"/>
            <w:hideMark/>
          </w:tcPr>
          <w:p w14:paraId="02CFC28C" w14:textId="77777777" w:rsidR="000041BE" w:rsidRPr="000939E3" w:rsidRDefault="000041BE" w:rsidP="00FB4735">
            <w:pPr>
              <w:spacing w:after="0" w:line="240" w:lineRule="auto"/>
              <w:contextualSpacing/>
              <w:jc w:val="right"/>
              <w:rPr>
                <w:rFonts w:eastAsia="Times New Roman" w:cs="Times New Roman"/>
                <w:color w:val="000000"/>
                <w:sz w:val="20"/>
                <w:lang w:eastAsia="sk-SK"/>
              </w:rPr>
            </w:pPr>
            <w:r w:rsidRPr="000939E3">
              <w:rPr>
                <w:rFonts w:eastAsia="Times New Roman" w:cs="Times New Roman"/>
                <w:color w:val="000000"/>
                <w:sz w:val="20"/>
                <w:lang w:eastAsia="sk-SK"/>
              </w:rPr>
              <w:t>251,8</w:t>
            </w:r>
          </w:p>
        </w:tc>
        <w:tc>
          <w:tcPr>
            <w:tcW w:w="790" w:type="pct"/>
            <w:tcBorders>
              <w:top w:val="nil"/>
              <w:left w:val="nil"/>
              <w:bottom w:val="nil"/>
              <w:right w:val="nil"/>
            </w:tcBorders>
            <w:shd w:val="clear" w:color="auto" w:fill="auto"/>
            <w:noWrap/>
            <w:vAlign w:val="center"/>
            <w:hideMark/>
          </w:tcPr>
          <w:p w14:paraId="776719DF" w14:textId="77777777" w:rsidR="000041BE" w:rsidRPr="000939E3" w:rsidRDefault="000041BE" w:rsidP="00FB4735">
            <w:pPr>
              <w:spacing w:after="0" w:line="240" w:lineRule="auto"/>
              <w:contextualSpacing/>
              <w:jc w:val="right"/>
              <w:rPr>
                <w:rFonts w:eastAsia="Times New Roman" w:cs="Times New Roman"/>
                <w:color w:val="000000"/>
                <w:sz w:val="20"/>
                <w:lang w:eastAsia="sk-SK"/>
              </w:rPr>
            </w:pPr>
            <w:r w:rsidRPr="000939E3">
              <w:rPr>
                <w:rFonts w:eastAsia="Times New Roman" w:cs="Times New Roman"/>
                <w:color w:val="000000"/>
                <w:sz w:val="20"/>
                <w:lang w:eastAsia="sk-SK"/>
              </w:rPr>
              <w:t>25,2</w:t>
            </w:r>
          </w:p>
        </w:tc>
      </w:tr>
      <w:tr w:rsidR="000041BE" w:rsidRPr="000939E3" w14:paraId="495B31EE" w14:textId="77777777" w:rsidTr="00FB4735">
        <w:trPr>
          <w:trHeight w:val="113"/>
        </w:trPr>
        <w:tc>
          <w:tcPr>
            <w:tcW w:w="3207" w:type="pct"/>
            <w:tcBorders>
              <w:top w:val="nil"/>
              <w:left w:val="nil"/>
              <w:bottom w:val="nil"/>
              <w:right w:val="nil"/>
            </w:tcBorders>
            <w:shd w:val="clear" w:color="auto" w:fill="auto"/>
            <w:noWrap/>
            <w:vAlign w:val="center"/>
            <w:hideMark/>
          </w:tcPr>
          <w:p w14:paraId="61AEF880" w14:textId="77777777" w:rsidR="000041BE" w:rsidRPr="000939E3" w:rsidRDefault="000041BE" w:rsidP="00FB4735">
            <w:pPr>
              <w:spacing w:after="0" w:line="240" w:lineRule="auto"/>
              <w:ind w:firstLineChars="300" w:firstLine="600"/>
              <w:contextualSpacing/>
              <w:jc w:val="left"/>
              <w:rPr>
                <w:rFonts w:eastAsia="Times New Roman" w:cs="Times New Roman"/>
                <w:i/>
                <w:iCs/>
                <w:color w:val="000000"/>
                <w:sz w:val="20"/>
                <w:lang w:eastAsia="sk-SK"/>
              </w:rPr>
            </w:pPr>
            <w:r w:rsidRPr="000939E3">
              <w:rPr>
                <w:rFonts w:eastAsia="Times New Roman" w:cs="Times New Roman"/>
                <w:i/>
                <w:iCs/>
                <w:color w:val="000000"/>
                <w:sz w:val="20"/>
                <w:lang w:eastAsia="sk-SK"/>
              </w:rPr>
              <w:t>finančná správa (bez colníkov)</w:t>
            </w:r>
          </w:p>
        </w:tc>
        <w:tc>
          <w:tcPr>
            <w:tcW w:w="1003" w:type="pct"/>
            <w:tcBorders>
              <w:top w:val="nil"/>
              <w:left w:val="nil"/>
              <w:bottom w:val="nil"/>
              <w:right w:val="nil"/>
            </w:tcBorders>
            <w:shd w:val="clear" w:color="auto" w:fill="auto"/>
            <w:noWrap/>
            <w:vAlign w:val="center"/>
            <w:hideMark/>
          </w:tcPr>
          <w:p w14:paraId="10803672" w14:textId="77777777" w:rsidR="000041BE" w:rsidRPr="000939E3" w:rsidRDefault="000041BE" w:rsidP="00FB4735">
            <w:pPr>
              <w:spacing w:after="0" w:line="240" w:lineRule="auto"/>
              <w:contextualSpacing/>
              <w:jc w:val="right"/>
              <w:rPr>
                <w:rFonts w:eastAsia="Times New Roman" w:cs="Times New Roman"/>
                <w:color w:val="000000"/>
                <w:sz w:val="20"/>
                <w:lang w:eastAsia="sk-SK"/>
              </w:rPr>
            </w:pPr>
            <w:r w:rsidRPr="000939E3">
              <w:rPr>
                <w:rFonts w:eastAsia="Times New Roman" w:cs="Times New Roman"/>
                <w:color w:val="000000"/>
                <w:sz w:val="20"/>
                <w:lang w:eastAsia="sk-SK"/>
              </w:rPr>
              <w:t>184,7</w:t>
            </w:r>
          </w:p>
        </w:tc>
        <w:tc>
          <w:tcPr>
            <w:tcW w:w="790" w:type="pct"/>
            <w:tcBorders>
              <w:top w:val="nil"/>
              <w:left w:val="nil"/>
              <w:bottom w:val="nil"/>
              <w:right w:val="nil"/>
            </w:tcBorders>
            <w:shd w:val="clear" w:color="auto" w:fill="auto"/>
            <w:noWrap/>
            <w:vAlign w:val="center"/>
            <w:hideMark/>
          </w:tcPr>
          <w:p w14:paraId="21B57521" w14:textId="77777777" w:rsidR="000041BE" w:rsidRPr="000939E3" w:rsidRDefault="000041BE" w:rsidP="00FB4735">
            <w:pPr>
              <w:spacing w:after="0" w:line="240" w:lineRule="auto"/>
              <w:contextualSpacing/>
              <w:jc w:val="right"/>
              <w:rPr>
                <w:rFonts w:eastAsia="Times New Roman" w:cs="Times New Roman"/>
                <w:color w:val="000000"/>
                <w:sz w:val="20"/>
                <w:lang w:eastAsia="sk-SK"/>
              </w:rPr>
            </w:pPr>
            <w:r w:rsidRPr="000939E3">
              <w:rPr>
                <w:rFonts w:eastAsia="Times New Roman" w:cs="Times New Roman"/>
                <w:color w:val="000000"/>
                <w:sz w:val="20"/>
                <w:lang w:eastAsia="sk-SK"/>
              </w:rPr>
              <w:t>18,5</w:t>
            </w:r>
          </w:p>
        </w:tc>
      </w:tr>
      <w:tr w:rsidR="000041BE" w:rsidRPr="000939E3" w14:paraId="58B94E4E" w14:textId="77777777" w:rsidTr="00FB4735">
        <w:trPr>
          <w:trHeight w:val="113"/>
        </w:trPr>
        <w:tc>
          <w:tcPr>
            <w:tcW w:w="3207" w:type="pct"/>
            <w:tcBorders>
              <w:top w:val="nil"/>
              <w:left w:val="nil"/>
              <w:bottom w:val="single" w:sz="4" w:space="0" w:color="auto"/>
              <w:right w:val="nil"/>
            </w:tcBorders>
            <w:shd w:val="clear" w:color="auto" w:fill="auto"/>
            <w:noWrap/>
            <w:vAlign w:val="center"/>
            <w:hideMark/>
          </w:tcPr>
          <w:p w14:paraId="4A97411D" w14:textId="77777777" w:rsidR="000041BE" w:rsidRPr="000939E3" w:rsidRDefault="000041BE" w:rsidP="00FB4735">
            <w:pPr>
              <w:spacing w:after="0" w:line="240" w:lineRule="auto"/>
              <w:ind w:firstLineChars="300" w:firstLine="600"/>
              <w:contextualSpacing/>
              <w:jc w:val="left"/>
              <w:rPr>
                <w:rFonts w:eastAsia="Times New Roman" w:cs="Times New Roman"/>
                <w:i/>
                <w:iCs/>
                <w:color w:val="000000"/>
                <w:sz w:val="20"/>
                <w:lang w:eastAsia="sk-SK"/>
              </w:rPr>
            </w:pPr>
            <w:r w:rsidRPr="000939E3">
              <w:rPr>
                <w:rFonts w:eastAsia="Times New Roman" w:cs="Times New Roman"/>
                <w:i/>
                <w:iCs/>
                <w:color w:val="000000"/>
                <w:sz w:val="20"/>
                <w:lang w:eastAsia="sk-SK"/>
              </w:rPr>
              <w:t>detské domovy</w:t>
            </w:r>
          </w:p>
        </w:tc>
        <w:tc>
          <w:tcPr>
            <w:tcW w:w="1003" w:type="pct"/>
            <w:tcBorders>
              <w:top w:val="nil"/>
              <w:left w:val="nil"/>
              <w:bottom w:val="single" w:sz="4" w:space="0" w:color="auto"/>
              <w:right w:val="nil"/>
            </w:tcBorders>
            <w:shd w:val="clear" w:color="auto" w:fill="auto"/>
            <w:noWrap/>
            <w:vAlign w:val="center"/>
            <w:hideMark/>
          </w:tcPr>
          <w:p w14:paraId="27A9E495" w14:textId="77777777" w:rsidR="000041BE" w:rsidRPr="000939E3" w:rsidRDefault="000041BE" w:rsidP="00FB4735">
            <w:pPr>
              <w:spacing w:after="0" w:line="240" w:lineRule="auto"/>
              <w:contextualSpacing/>
              <w:jc w:val="right"/>
              <w:rPr>
                <w:rFonts w:eastAsia="Times New Roman" w:cs="Times New Roman"/>
                <w:color w:val="000000"/>
                <w:sz w:val="20"/>
                <w:lang w:eastAsia="sk-SK"/>
              </w:rPr>
            </w:pPr>
            <w:r w:rsidRPr="000939E3">
              <w:rPr>
                <w:rFonts w:eastAsia="Times New Roman" w:cs="Times New Roman"/>
                <w:color w:val="000000"/>
                <w:sz w:val="20"/>
                <w:lang w:eastAsia="sk-SK"/>
              </w:rPr>
              <w:t>48,1</w:t>
            </w:r>
          </w:p>
        </w:tc>
        <w:tc>
          <w:tcPr>
            <w:tcW w:w="790" w:type="pct"/>
            <w:tcBorders>
              <w:top w:val="nil"/>
              <w:left w:val="nil"/>
              <w:bottom w:val="single" w:sz="4" w:space="0" w:color="auto"/>
              <w:right w:val="nil"/>
            </w:tcBorders>
            <w:shd w:val="clear" w:color="auto" w:fill="auto"/>
            <w:noWrap/>
            <w:vAlign w:val="center"/>
            <w:hideMark/>
          </w:tcPr>
          <w:p w14:paraId="3BB2E2F3" w14:textId="77777777" w:rsidR="000041BE" w:rsidRPr="000939E3" w:rsidRDefault="000041BE" w:rsidP="00FB4735">
            <w:pPr>
              <w:spacing w:after="0" w:line="240" w:lineRule="auto"/>
              <w:contextualSpacing/>
              <w:jc w:val="right"/>
              <w:rPr>
                <w:rFonts w:eastAsia="Times New Roman" w:cs="Times New Roman"/>
                <w:color w:val="000000"/>
                <w:sz w:val="20"/>
                <w:lang w:eastAsia="sk-SK"/>
              </w:rPr>
            </w:pPr>
            <w:r w:rsidRPr="000939E3">
              <w:rPr>
                <w:rFonts w:eastAsia="Times New Roman" w:cs="Times New Roman"/>
                <w:color w:val="000000"/>
                <w:sz w:val="20"/>
                <w:lang w:eastAsia="sk-SK"/>
              </w:rPr>
              <w:t>4,8</w:t>
            </w:r>
          </w:p>
        </w:tc>
      </w:tr>
      <w:tr w:rsidR="000041BE" w:rsidRPr="000939E3" w14:paraId="50B6B455" w14:textId="77777777" w:rsidTr="00FB4735">
        <w:trPr>
          <w:trHeight w:val="113"/>
        </w:trPr>
        <w:tc>
          <w:tcPr>
            <w:tcW w:w="3207" w:type="pct"/>
            <w:tcBorders>
              <w:top w:val="single" w:sz="4" w:space="0" w:color="auto"/>
              <w:left w:val="nil"/>
              <w:bottom w:val="single" w:sz="4" w:space="0" w:color="auto"/>
              <w:right w:val="nil"/>
            </w:tcBorders>
            <w:shd w:val="clear" w:color="auto" w:fill="auto"/>
            <w:noWrap/>
            <w:vAlign w:val="center"/>
            <w:hideMark/>
          </w:tcPr>
          <w:p w14:paraId="57FDF1DB" w14:textId="77777777" w:rsidR="000041BE" w:rsidRPr="000939E3" w:rsidRDefault="000041BE" w:rsidP="00FB4735">
            <w:pPr>
              <w:spacing w:after="0" w:line="240" w:lineRule="auto"/>
              <w:contextualSpacing/>
              <w:jc w:val="left"/>
              <w:rPr>
                <w:rFonts w:eastAsia="Times New Roman" w:cs="Times New Roman"/>
                <w:b/>
                <w:bCs/>
                <w:color w:val="000000"/>
                <w:sz w:val="20"/>
                <w:lang w:eastAsia="sk-SK"/>
              </w:rPr>
            </w:pPr>
            <w:r w:rsidRPr="000939E3">
              <w:rPr>
                <w:rFonts w:eastAsia="Times New Roman" w:cs="Times New Roman"/>
                <w:b/>
                <w:bCs/>
                <w:color w:val="000000"/>
                <w:sz w:val="20"/>
                <w:lang w:eastAsia="sk-SK"/>
              </w:rPr>
              <w:t>Potenciál úspory</w:t>
            </w:r>
          </w:p>
        </w:tc>
        <w:tc>
          <w:tcPr>
            <w:tcW w:w="1003" w:type="pct"/>
            <w:tcBorders>
              <w:top w:val="single" w:sz="4" w:space="0" w:color="auto"/>
              <w:left w:val="nil"/>
              <w:bottom w:val="single" w:sz="4" w:space="0" w:color="auto"/>
              <w:right w:val="nil"/>
            </w:tcBorders>
            <w:shd w:val="clear" w:color="auto" w:fill="auto"/>
            <w:noWrap/>
            <w:vAlign w:val="center"/>
            <w:hideMark/>
          </w:tcPr>
          <w:p w14:paraId="44345180" w14:textId="77777777" w:rsidR="000041BE" w:rsidRPr="000939E3" w:rsidRDefault="000041BE" w:rsidP="00FB4735">
            <w:pPr>
              <w:spacing w:after="0" w:line="240" w:lineRule="auto"/>
              <w:contextualSpacing/>
              <w:jc w:val="right"/>
              <w:rPr>
                <w:rFonts w:eastAsia="Times New Roman" w:cs="Times New Roman"/>
                <w:b/>
                <w:bCs/>
                <w:color w:val="000000"/>
                <w:sz w:val="20"/>
                <w:lang w:eastAsia="sk-SK"/>
              </w:rPr>
            </w:pPr>
          </w:p>
        </w:tc>
        <w:tc>
          <w:tcPr>
            <w:tcW w:w="790" w:type="pct"/>
            <w:tcBorders>
              <w:top w:val="single" w:sz="4" w:space="0" w:color="auto"/>
              <w:left w:val="nil"/>
              <w:bottom w:val="single" w:sz="4" w:space="0" w:color="auto"/>
              <w:right w:val="nil"/>
            </w:tcBorders>
            <w:shd w:val="clear" w:color="auto" w:fill="auto"/>
            <w:noWrap/>
            <w:vAlign w:val="center"/>
            <w:hideMark/>
          </w:tcPr>
          <w:p w14:paraId="26276767" w14:textId="77777777" w:rsidR="000041BE" w:rsidRPr="000939E3" w:rsidRDefault="000041BE" w:rsidP="00FB4735">
            <w:pPr>
              <w:spacing w:after="0" w:line="240" w:lineRule="auto"/>
              <w:contextualSpacing/>
              <w:jc w:val="right"/>
              <w:rPr>
                <w:rFonts w:eastAsia="Times New Roman" w:cs="Times New Roman"/>
                <w:b/>
                <w:color w:val="000000"/>
                <w:sz w:val="20"/>
                <w:lang w:eastAsia="sk-SK"/>
              </w:rPr>
            </w:pPr>
            <w:r w:rsidRPr="000939E3">
              <w:rPr>
                <w:rFonts w:eastAsia="Times New Roman" w:cs="Times New Roman"/>
                <w:b/>
                <w:color w:val="000000"/>
                <w:sz w:val="20"/>
                <w:lang w:eastAsia="sk-SK"/>
              </w:rPr>
              <w:t>147,2</w:t>
            </w:r>
          </w:p>
        </w:tc>
      </w:tr>
    </w:tbl>
    <w:p w14:paraId="0C30F986" w14:textId="77777777" w:rsidR="000041BE" w:rsidRPr="000939E3" w:rsidRDefault="000041BE" w:rsidP="000041BE">
      <w:pPr>
        <w:jc w:val="right"/>
        <w:rPr>
          <w:i/>
          <w:sz w:val="18"/>
        </w:rPr>
      </w:pPr>
      <w:r w:rsidRPr="000939E3">
        <w:rPr>
          <w:i/>
          <w:sz w:val="18"/>
        </w:rPr>
        <w:t>Zdroj: prepočet ÚHP na základe údajov RVS 2020</w:t>
      </w:r>
    </w:p>
    <w:p w14:paraId="72D48236" w14:textId="77777777" w:rsidR="00A61EDB" w:rsidRPr="000939E3" w:rsidRDefault="00A61EDB" w:rsidP="000041BE">
      <w:pPr>
        <w:jc w:val="right"/>
        <w:rPr>
          <w:i/>
          <w:sz w:val="18"/>
          <w:szCs w:val="18"/>
        </w:rPr>
        <w:sectPr w:rsidR="00A61EDB" w:rsidRPr="000939E3" w:rsidSect="00046EA7">
          <w:footerReference w:type="default" r:id="rId78"/>
          <w:pgSz w:w="11906" w:h="16838"/>
          <w:pgMar w:top="1417" w:right="1417" w:bottom="1417" w:left="1417" w:header="708" w:footer="708" w:gutter="0"/>
          <w:pgNumType w:start="3"/>
          <w:cols w:space="708"/>
          <w:docGrid w:linePitch="360"/>
        </w:sectPr>
      </w:pPr>
    </w:p>
    <w:p w14:paraId="1F86128B" w14:textId="2F115B3F" w:rsidR="00A61EDB" w:rsidRPr="000939E3" w:rsidRDefault="00A61EDB" w:rsidP="00FB4735">
      <w:pPr>
        <w:spacing w:after="0"/>
        <w:jc w:val="left"/>
        <w:rPr>
          <w:b/>
          <w:i/>
          <w:sz w:val="18"/>
          <w:szCs w:val="18"/>
        </w:rPr>
      </w:pPr>
      <w:bookmarkStart w:id="311" w:name="_Ref12001437"/>
      <w:r w:rsidRPr="000939E3">
        <w:rPr>
          <w:b/>
        </w:rPr>
        <w:t xml:space="preserve">Príloha </w:t>
      </w:r>
      <w:r w:rsidRPr="000939E3">
        <w:rPr>
          <w:b/>
        </w:rPr>
        <w:fldChar w:fldCharType="begin"/>
      </w:r>
      <w:r w:rsidRPr="000939E3">
        <w:rPr>
          <w:b/>
        </w:rPr>
        <w:instrText xml:space="preserve"> SEQ Príloha \* ARABIC </w:instrText>
      </w:r>
      <w:r w:rsidRPr="000939E3">
        <w:rPr>
          <w:b/>
        </w:rPr>
        <w:fldChar w:fldCharType="separate"/>
      </w:r>
      <w:r w:rsidR="00BF69CA">
        <w:rPr>
          <w:b/>
          <w:noProof/>
        </w:rPr>
        <w:t>2</w:t>
      </w:r>
      <w:r w:rsidRPr="000939E3">
        <w:rPr>
          <w:b/>
        </w:rPr>
        <w:fldChar w:fldCharType="end"/>
      </w:r>
      <w:bookmarkEnd w:id="311"/>
      <w:r w:rsidRPr="000939E3">
        <w:rPr>
          <w:b/>
        </w:rPr>
        <w:t>: Očakávané úspory z IT projektov</w:t>
      </w:r>
    </w:p>
    <w:tbl>
      <w:tblPr>
        <w:tblW w:w="13305" w:type="dxa"/>
        <w:tblLayout w:type="fixed"/>
        <w:tblLook w:val="04A0" w:firstRow="1" w:lastRow="0" w:firstColumn="1" w:lastColumn="0" w:noHBand="0" w:noVBand="1"/>
      </w:tblPr>
      <w:tblGrid>
        <w:gridCol w:w="1137"/>
        <w:gridCol w:w="5384"/>
        <w:gridCol w:w="984"/>
        <w:gridCol w:w="722"/>
        <w:gridCol w:w="726"/>
        <w:gridCol w:w="723"/>
        <w:gridCol w:w="724"/>
        <w:gridCol w:w="723"/>
        <w:gridCol w:w="724"/>
        <w:gridCol w:w="749"/>
        <w:gridCol w:w="709"/>
      </w:tblGrid>
      <w:tr w:rsidR="00E03E35" w:rsidRPr="000939E3" w14:paraId="0E2BEEC5" w14:textId="3BAE5506" w:rsidTr="007E0AB1">
        <w:trPr>
          <w:trHeight w:val="340"/>
          <w:tblHeader/>
        </w:trPr>
        <w:tc>
          <w:tcPr>
            <w:tcW w:w="1137" w:type="dxa"/>
            <w:vMerge w:val="restart"/>
            <w:tcBorders>
              <w:top w:val="single" w:sz="4" w:space="0" w:color="auto"/>
              <w:left w:val="single" w:sz="4" w:space="0" w:color="auto"/>
              <w:bottom w:val="single" w:sz="4" w:space="0" w:color="000000"/>
              <w:right w:val="nil"/>
            </w:tcBorders>
            <w:shd w:val="clear" w:color="auto" w:fill="auto"/>
            <w:vAlign w:val="center"/>
            <w:hideMark/>
          </w:tcPr>
          <w:p w14:paraId="6D0EB7E3" w14:textId="77777777" w:rsidR="00E03E35" w:rsidRPr="00FB4735" w:rsidRDefault="00E03E35" w:rsidP="00E03E35">
            <w:pPr>
              <w:spacing w:after="0" w:line="240" w:lineRule="auto"/>
              <w:jc w:val="left"/>
              <w:rPr>
                <w:rFonts w:eastAsia="Times New Roman" w:cs="Times New Roman"/>
                <w:b/>
                <w:bCs/>
                <w:color w:val="000000"/>
                <w:sz w:val="18"/>
                <w:szCs w:val="18"/>
              </w:rPr>
            </w:pPr>
            <w:bookmarkStart w:id="312" w:name="_Ref5995242"/>
            <w:r w:rsidRPr="00FB4735">
              <w:rPr>
                <w:rFonts w:eastAsia="Times New Roman" w:cs="Times New Roman"/>
                <w:b/>
                <w:bCs/>
                <w:color w:val="000000"/>
                <w:sz w:val="18"/>
                <w:szCs w:val="18"/>
              </w:rPr>
              <w:t>Predkladateľ (kapitola)</w:t>
            </w:r>
          </w:p>
        </w:tc>
        <w:tc>
          <w:tcPr>
            <w:tcW w:w="5384" w:type="dxa"/>
            <w:vMerge w:val="restart"/>
            <w:tcBorders>
              <w:top w:val="single" w:sz="4" w:space="0" w:color="auto"/>
              <w:left w:val="nil"/>
              <w:right w:val="nil"/>
            </w:tcBorders>
            <w:shd w:val="clear" w:color="auto" w:fill="auto"/>
            <w:vAlign w:val="center"/>
            <w:hideMark/>
          </w:tcPr>
          <w:p w14:paraId="68B1721A" w14:textId="01F16A71" w:rsidR="00E03E35" w:rsidRPr="00FB4735" w:rsidRDefault="00E03E35" w:rsidP="00E03E35">
            <w:pPr>
              <w:spacing w:after="0" w:line="240" w:lineRule="auto"/>
              <w:jc w:val="left"/>
              <w:rPr>
                <w:rFonts w:eastAsia="Times New Roman" w:cs="Times New Roman"/>
                <w:b/>
                <w:color w:val="000000"/>
                <w:sz w:val="18"/>
                <w:szCs w:val="18"/>
              </w:rPr>
            </w:pPr>
            <w:r w:rsidRPr="00FB4735">
              <w:rPr>
                <w:rFonts w:eastAsia="Times New Roman" w:cs="Times New Roman"/>
                <w:b/>
                <w:color w:val="000000"/>
                <w:sz w:val="18"/>
                <w:szCs w:val="18"/>
              </w:rPr>
              <w:t>Projekt</w:t>
            </w:r>
          </w:p>
        </w:tc>
        <w:tc>
          <w:tcPr>
            <w:tcW w:w="984" w:type="dxa"/>
            <w:vMerge w:val="restart"/>
            <w:tcBorders>
              <w:top w:val="single" w:sz="4" w:space="0" w:color="auto"/>
              <w:left w:val="nil"/>
              <w:bottom w:val="single" w:sz="4" w:space="0" w:color="000000"/>
              <w:right w:val="nil"/>
            </w:tcBorders>
            <w:shd w:val="clear" w:color="auto" w:fill="auto"/>
            <w:vAlign w:val="center"/>
            <w:hideMark/>
          </w:tcPr>
          <w:p w14:paraId="7A734C59" w14:textId="258D16BE" w:rsidR="00E03E35" w:rsidRPr="00FB4735" w:rsidRDefault="00E03E35" w:rsidP="00E03E35">
            <w:pPr>
              <w:spacing w:after="0" w:line="240" w:lineRule="auto"/>
              <w:jc w:val="left"/>
              <w:rPr>
                <w:rFonts w:eastAsia="Times New Roman" w:cs="Times New Roman"/>
                <w:color w:val="000000"/>
                <w:sz w:val="18"/>
                <w:szCs w:val="18"/>
              </w:rPr>
            </w:pPr>
            <w:r w:rsidRPr="00FB4735">
              <w:rPr>
                <w:rFonts w:eastAsia="Times New Roman" w:cs="Times New Roman"/>
                <w:color w:val="000000"/>
                <w:sz w:val="18"/>
                <w:szCs w:val="18"/>
              </w:rPr>
              <w:t>Druh úspory </w:t>
            </w:r>
          </w:p>
        </w:tc>
        <w:tc>
          <w:tcPr>
            <w:tcW w:w="1448"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444EAAB" w14:textId="77777777" w:rsidR="00E03E35" w:rsidRPr="00FB4735" w:rsidRDefault="00E03E35" w:rsidP="00E03E35">
            <w:pPr>
              <w:spacing w:after="0" w:line="240" w:lineRule="auto"/>
              <w:jc w:val="center"/>
              <w:rPr>
                <w:rFonts w:eastAsia="Times New Roman" w:cs="Times New Roman"/>
                <w:color w:val="000000"/>
                <w:sz w:val="18"/>
                <w:szCs w:val="18"/>
              </w:rPr>
            </w:pPr>
            <w:r w:rsidRPr="00FB4735">
              <w:rPr>
                <w:rFonts w:eastAsia="Times New Roman" w:cs="Times New Roman"/>
                <w:color w:val="000000"/>
                <w:sz w:val="18"/>
                <w:szCs w:val="18"/>
              </w:rPr>
              <w:t>úspora 2021</w:t>
            </w:r>
          </w:p>
        </w:tc>
        <w:tc>
          <w:tcPr>
            <w:tcW w:w="1447" w:type="dxa"/>
            <w:gridSpan w:val="2"/>
            <w:tcBorders>
              <w:top w:val="single" w:sz="4" w:space="0" w:color="auto"/>
              <w:left w:val="nil"/>
              <w:bottom w:val="nil"/>
              <w:right w:val="single" w:sz="4" w:space="0" w:color="000000"/>
            </w:tcBorders>
            <w:shd w:val="clear" w:color="auto" w:fill="auto"/>
            <w:noWrap/>
            <w:vAlign w:val="bottom"/>
            <w:hideMark/>
          </w:tcPr>
          <w:p w14:paraId="52EB712B" w14:textId="77777777" w:rsidR="00E03E35" w:rsidRPr="00FB4735" w:rsidRDefault="00E03E35" w:rsidP="00E03E35">
            <w:pPr>
              <w:spacing w:after="0" w:line="240" w:lineRule="auto"/>
              <w:jc w:val="center"/>
              <w:rPr>
                <w:rFonts w:eastAsia="Times New Roman" w:cs="Times New Roman"/>
                <w:color w:val="000000"/>
                <w:sz w:val="18"/>
                <w:szCs w:val="18"/>
              </w:rPr>
            </w:pPr>
            <w:r w:rsidRPr="00FB4735">
              <w:rPr>
                <w:rFonts w:eastAsia="Times New Roman" w:cs="Times New Roman"/>
                <w:color w:val="000000"/>
                <w:sz w:val="18"/>
                <w:szCs w:val="18"/>
              </w:rPr>
              <w:t>úspora 2022</w:t>
            </w:r>
          </w:p>
        </w:tc>
        <w:tc>
          <w:tcPr>
            <w:tcW w:w="1447" w:type="dxa"/>
            <w:gridSpan w:val="2"/>
            <w:tcBorders>
              <w:top w:val="single" w:sz="4" w:space="0" w:color="auto"/>
              <w:left w:val="nil"/>
              <w:bottom w:val="nil"/>
              <w:right w:val="single" w:sz="4" w:space="0" w:color="000000"/>
            </w:tcBorders>
            <w:shd w:val="clear" w:color="auto" w:fill="auto"/>
            <w:noWrap/>
            <w:vAlign w:val="bottom"/>
            <w:hideMark/>
          </w:tcPr>
          <w:p w14:paraId="2D6170AA" w14:textId="77777777" w:rsidR="00E03E35" w:rsidRPr="00FB4735" w:rsidRDefault="00E03E35" w:rsidP="00E03E35">
            <w:pPr>
              <w:spacing w:after="0" w:line="240" w:lineRule="auto"/>
              <w:jc w:val="center"/>
              <w:rPr>
                <w:rFonts w:eastAsia="Times New Roman" w:cs="Times New Roman"/>
                <w:color w:val="000000"/>
                <w:sz w:val="18"/>
                <w:szCs w:val="18"/>
              </w:rPr>
            </w:pPr>
            <w:r w:rsidRPr="00FB4735">
              <w:rPr>
                <w:rFonts w:eastAsia="Times New Roman" w:cs="Times New Roman"/>
                <w:color w:val="000000"/>
                <w:sz w:val="18"/>
                <w:szCs w:val="18"/>
              </w:rPr>
              <w:t>úspora 2023</w:t>
            </w:r>
          </w:p>
        </w:tc>
        <w:tc>
          <w:tcPr>
            <w:tcW w:w="1458" w:type="dxa"/>
            <w:gridSpan w:val="2"/>
            <w:tcBorders>
              <w:top w:val="single" w:sz="4" w:space="0" w:color="auto"/>
              <w:left w:val="nil"/>
              <w:bottom w:val="nil"/>
              <w:right w:val="single" w:sz="4" w:space="0" w:color="000000"/>
            </w:tcBorders>
            <w:vAlign w:val="bottom"/>
          </w:tcPr>
          <w:p w14:paraId="2A008AB1" w14:textId="3D85A56C" w:rsidR="00E03E35" w:rsidRPr="00FB4735" w:rsidRDefault="00E03E35" w:rsidP="00E03E35">
            <w:pPr>
              <w:spacing w:after="0" w:line="240" w:lineRule="auto"/>
              <w:jc w:val="center"/>
              <w:rPr>
                <w:rFonts w:eastAsia="Times New Roman" w:cs="Times New Roman"/>
                <w:color w:val="000000"/>
                <w:sz w:val="18"/>
                <w:szCs w:val="18"/>
              </w:rPr>
            </w:pPr>
            <w:r w:rsidRPr="00FB4735">
              <w:rPr>
                <w:rFonts w:eastAsia="Times New Roman" w:cs="Times New Roman"/>
                <w:color w:val="000000"/>
                <w:sz w:val="18"/>
                <w:szCs w:val="18"/>
              </w:rPr>
              <w:t>úspora 2029</w:t>
            </w:r>
          </w:p>
        </w:tc>
      </w:tr>
      <w:tr w:rsidR="00E03E35" w:rsidRPr="000939E3" w14:paraId="55C311FA" w14:textId="71D57506" w:rsidTr="007E0AB1">
        <w:trPr>
          <w:trHeight w:val="340"/>
          <w:tblHeader/>
        </w:trPr>
        <w:tc>
          <w:tcPr>
            <w:tcW w:w="1137" w:type="dxa"/>
            <w:vMerge/>
            <w:tcBorders>
              <w:top w:val="single" w:sz="4" w:space="0" w:color="auto"/>
              <w:left w:val="single" w:sz="4" w:space="0" w:color="auto"/>
              <w:bottom w:val="single" w:sz="4" w:space="0" w:color="000000"/>
              <w:right w:val="nil"/>
            </w:tcBorders>
            <w:vAlign w:val="center"/>
            <w:hideMark/>
          </w:tcPr>
          <w:p w14:paraId="4673BA35" w14:textId="77777777" w:rsidR="00E03E35" w:rsidRPr="00FB4735" w:rsidRDefault="00E03E35" w:rsidP="00E03E35">
            <w:pPr>
              <w:spacing w:after="0" w:line="240" w:lineRule="auto"/>
              <w:jc w:val="left"/>
              <w:rPr>
                <w:rFonts w:eastAsia="Times New Roman" w:cs="Times New Roman"/>
                <w:b/>
                <w:bCs/>
                <w:color w:val="000000"/>
                <w:sz w:val="18"/>
                <w:szCs w:val="18"/>
              </w:rPr>
            </w:pPr>
          </w:p>
        </w:tc>
        <w:tc>
          <w:tcPr>
            <w:tcW w:w="5384" w:type="dxa"/>
            <w:vMerge/>
            <w:tcBorders>
              <w:left w:val="nil"/>
              <w:bottom w:val="single" w:sz="4" w:space="0" w:color="auto"/>
              <w:right w:val="nil"/>
            </w:tcBorders>
            <w:shd w:val="clear" w:color="auto" w:fill="auto"/>
            <w:vAlign w:val="center"/>
            <w:hideMark/>
          </w:tcPr>
          <w:p w14:paraId="60BB5766" w14:textId="2647FE89" w:rsidR="00E03E35" w:rsidRPr="00FB4735" w:rsidRDefault="00E03E35" w:rsidP="00E03E35">
            <w:pPr>
              <w:spacing w:after="0" w:line="240" w:lineRule="auto"/>
              <w:jc w:val="left"/>
              <w:rPr>
                <w:rFonts w:eastAsia="Times New Roman" w:cs="Times New Roman"/>
                <w:color w:val="000000"/>
                <w:sz w:val="18"/>
                <w:szCs w:val="18"/>
              </w:rPr>
            </w:pPr>
          </w:p>
        </w:tc>
        <w:tc>
          <w:tcPr>
            <w:tcW w:w="984" w:type="dxa"/>
            <w:vMerge/>
            <w:tcBorders>
              <w:top w:val="single" w:sz="4" w:space="0" w:color="auto"/>
              <w:left w:val="nil"/>
              <w:bottom w:val="single" w:sz="4" w:space="0" w:color="000000"/>
              <w:right w:val="nil"/>
            </w:tcBorders>
            <w:vAlign w:val="center"/>
            <w:hideMark/>
          </w:tcPr>
          <w:p w14:paraId="0E14BD39" w14:textId="77777777" w:rsidR="00E03E35" w:rsidRPr="00FB4735" w:rsidRDefault="00E03E35" w:rsidP="00E03E35">
            <w:pPr>
              <w:spacing w:after="0" w:line="240" w:lineRule="auto"/>
              <w:jc w:val="left"/>
              <w:rPr>
                <w:rFonts w:eastAsia="Times New Roman" w:cs="Times New Roman"/>
                <w:color w:val="000000"/>
                <w:sz w:val="18"/>
                <w:szCs w:val="18"/>
              </w:rPr>
            </w:pPr>
          </w:p>
        </w:tc>
        <w:tc>
          <w:tcPr>
            <w:tcW w:w="722" w:type="dxa"/>
            <w:tcBorders>
              <w:top w:val="nil"/>
              <w:left w:val="single" w:sz="4" w:space="0" w:color="auto"/>
              <w:bottom w:val="single" w:sz="4" w:space="0" w:color="auto"/>
              <w:right w:val="nil"/>
            </w:tcBorders>
            <w:shd w:val="clear" w:color="auto" w:fill="auto"/>
            <w:vAlign w:val="center"/>
            <w:hideMark/>
          </w:tcPr>
          <w:p w14:paraId="4CABED07" w14:textId="61D35D6D" w:rsidR="00E03E35" w:rsidRPr="00FB4735" w:rsidRDefault="00E03E35" w:rsidP="00E03E35">
            <w:pPr>
              <w:spacing w:after="0" w:line="240" w:lineRule="auto"/>
              <w:jc w:val="center"/>
              <w:rPr>
                <w:rFonts w:eastAsia="Times New Roman" w:cs="Times New Roman"/>
                <w:color w:val="000000"/>
                <w:sz w:val="18"/>
                <w:szCs w:val="18"/>
              </w:rPr>
            </w:pPr>
            <w:r w:rsidRPr="00FB4735">
              <w:rPr>
                <w:rFonts w:eastAsia="Times New Roman" w:cs="Times New Roman"/>
                <w:color w:val="000000"/>
                <w:sz w:val="18"/>
                <w:szCs w:val="18"/>
              </w:rPr>
              <w:t>FTE</w:t>
            </w:r>
          </w:p>
        </w:tc>
        <w:tc>
          <w:tcPr>
            <w:tcW w:w="726" w:type="dxa"/>
            <w:tcBorders>
              <w:top w:val="nil"/>
              <w:left w:val="nil"/>
              <w:bottom w:val="single" w:sz="4" w:space="0" w:color="auto"/>
              <w:right w:val="single" w:sz="4" w:space="0" w:color="auto"/>
            </w:tcBorders>
            <w:shd w:val="clear" w:color="auto" w:fill="auto"/>
            <w:vAlign w:val="center"/>
            <w:hideMark/>
          </w:tcPr>
          <w:p w14:paraId="7AB0FDA8" w14:textId="37E2A6EA" w:rsidR="00E03E35" w:rsidRPr="00FB4735" w:rsidRDefault="00E03E35" w:rsidP="00E03E35">
            <w:pPr>
              <w:spacing w:after="0" w:line="240" w:lineRule="auto"/>
              <w:jc w:val="center"/>
              <w:rPr>
                <w:rFonts w:eastAsia="Times New Roman" w:cs="Times New Roman"/>
                <w:color w:val="000000"/>
                <w:sz w:val="18"/>
                <w:szCs w:val="18"/>
              </w:rPr>
            </w:pPr>
            <w:r w:rsidRPr="00FB4735">
              <w:rPr>
                <w:rFonts w:eastAsia="Times New Roman" w:cs="Times New Roman"/>
                <w:color w:val="000000"/>
                <w:sz w:val="18"/>
                <w:szCs w:val="18"/>
              </w:rPr>
              <w:t>mil. eur</w:t>
            </w:r>
          </w:p>
        </w:tc>
        <w:tc>
          <w:tcPr>
            <w:tcW w:w="723" w:type="dxa"/>
            <w:tcBorders>
              <w:top w:val="nil"/>
              <w:left w:val="nil"/>
              <w:bottom w:val="single" w:sz="4" w:space="0" w:color="auto"/>
              <w:right w:val="nil"/>
            </w:tcBorders>
            <w:shd w:val="clear" w:color="auto" w:fill="auto"/>
            <w:vAlign w:val="center"/>
            <w:hideMark/>
          </w:tcPr>
          <w:p w14:paraId="7300073F" w14:textId="1F6D035F" w:rsidR="00E03E35" w:rsidRPr="00FB4735" w:rsidRDefault="00E03E35" w:rsidP="00E03E35">
            <w:pPr>
              <w:spacing w:after="0" w:line="240" w:lineRule="auto"/>
              <w:jc w:val="center"/>
              <w:rPr>
                <w:rFonts w:eastAsia="Times New Roman" w:cs="Times New Roman"/>
                <w:color w:val="000000"/>
                <w:sz w:val="18"/>
                <w:szCs w:val="18"/>
              </w:rPr>
            </w:pPr>
            <w:r w:rsidRPr="00FB4735">
              <w:rPr>
                <w:rFonts w:eastAsia="Times New Roman" w:cs="Times New Roman"/>
                <w:color w:val="000000"/>
                <w:sz w:val="18"/>
                <w:szCs w:val="18"/>
              </w:rPr>
              <w:t>FTE</w:t>
            </w:r>
          </w:p>
        </w:tc>
        <w:tc>
          <w:tcPr>
            <w:tcW w:w="724" w:type="dxa"/>
            <w:tcBorders>
              <w:top w:val="nil"/>
              <w:left w:val="nil"/>
              <w:bottom w:val="single" w:sz="4" w:space="0" w:color="auto"/>
              <w:right w:val="single" w:sz="4" w:space="0" w:color="auto"/>
            </w:tcBorders>
            <w:shd w:val="clear" w:color="auto" w:fill="auto"/>
            <w:vAlign w:val="center"/>
            <w:hideMark/>
          </w:tcPr>
          <w:p w14:paraId="6322E768" w14:textId="5F05FB81" w:rsidR="00E03E35" w:rsidRPr="00FB4735" w:rsidRDefault="00E03E35" w:rsidP="00E03E35">
            <w:pPr>
              <w:spacing w:after="0" w:line="240" w:lineRule="auto"/>
              <w:jc w:val="center"/>
              <w:rPr>
                <w:rFonts w:eastAsia="Times New Roman" w:cs="Times New Roman"/>
                <w:color w:val="000000"/>
                <w:sz w:val="18"/>
                <w:szCs w:val="18"/>
              </w:rPr>
            </w:pPr>
            <w:r w:rsidRPr="00FB4735">
              <w:rPr>
                <w:rFonts w:eastAsia="Times New Roman" w:cs="Times New Roman"/>
                <w:color w:val="000000"/>
                <w:sz w:val="18"/>
                <w:szCs w:val="18"/>
              </w:rPr>
              <w:t>FTE</w:t>
            </w:r>
          </w:p>
        </w:tc>
        <w:tc>
          <w:tcPr>
            <w:tcW w:w="723" w:type="dxa"/>
            <w:tcBorders>
              <w:top w:val="nil"/>
              <w:left w:val="nil"/>
              <w:bottom w:val="single" w:sz="4" w:space="0" w:color="auto"/>
              <w:right w:val="nil"/>
            </w:tcBorders>
            <w:shd w:val="clear" w:color="auto" w:fill="auto"/>
            <w:vAlign w:val="center"/>
            <w:hideMark/>
          </w:tcPr>
          <w:p w14:paraId="4D1473CC" w14:textId="0B386612" w:rsidR="00E03E35" w:rsidRPr="00FB4735" w:rsidRDefault="00E03E35" w:rsidP="00E03E35">
            <w:pPr>
              <w:spacing w:after="0" w:line="240" w:lineRule="auto"/>
              <w:jc w:val="center"/>
              <w:rPr>
                <w:rFonts w:eastAsia="Times New Roman" w:cs="Times New Roman"/>
                <w:color w:val="000000"/>
                <w:sz w:val="18"/>
                <w:szCs w:val="18"/>
              </w:rPr>
            </w:pPr>
            <w:r w:rsidRPr="00FB4735">
              <w:rPr>
                <w:rFonts w:eastAsia="Times New Roman" w:cs="Times New Roman"/>
                <w:color w:val="000000"/>
                <w:sz w:val="18"/>
                <w:szCs w:val="18"/>
              </w:rPr>
              <w:t>FTE</w:t>
            </w:r>
          </w:p>
        </w:tc>
        <w:tc>
          <w:tcPr>
            <w:tcW w:w="724" w:type="dxa"/>
            <w:tcBorders>
              <w:top w:val="nil"/>
              <w:left w:val="nil"/>
              <w:bottom w:val="single" w:sz="4" w:space="0" w:color="auto"/>
              <w:right w:val="single" w:sz="4" w:space="0" w:color="auto"/>
            </w:tcBorders>
            <w:shd w:val="clear" w:color="auto" w:fill="auto"/>
            <w:vAlign w:val="center"/>
            <w:hideMark/>
          </w:tcPr>
          <w:p w14:paraId="24AB2BFB" w14:textId="2E4764F7" w:rsidR="00E03E35" w:rsidRPr="00FB4735" w:rsidRDefault="00E03E35" w:rsidP="00E03E35">
            <w:pPr>
              <w:spacing w:after="0" w:line="240" w:lineRule="auto"/>
              <w:jc w:val="center"/>
              <w:rPr>
                <w:rFonts w:eastAsia="Times New Roman" w:cs="Times New Roman"/>
                <w:color w:val="000000"/>
                <w:sz w:val="18"/>
                <w:szCs w:val="18"/>
              </w:rPr>
            </w:pPr>
            <w:r w:rsidRPr="00FB4735">
              <w:rPr>
                <w:rFonts w:eastAsia="Times New Roman" w:cs="Times New Roman"/>
                <w:color w:val="000000"/>
                <w:sz w:val="18"/>
                <w:szCs w:val="18"/>
              </w:rPr>
              <w:t>mil. eur</w:t>
            </w:r>
          </w:p>
        </w:tc>
        <w:tc>
          <w:tcPr>
            <w:tcW w:w="749" w:type="dxa"/>
            <w:tcBorders>
              <w:top w:val="nil"/>
              <w:left w:val="nil"/>
              <w:bottom w:val="single" w:sz="4" w:space="0" w:color="auto"/>
              <w:right w:val="nil"/>
            </w:tcBorders>
            <w:vAlign w:val="center"/>
          </w:tcPr>
          <w:p w14:paraId="5CFFA9AA" w14:textId="58A140A9" w:rsidR="00E03E35" w:rsidRPr="00FB4735" w:rsidRDefault="00E03E35" w:rsidP="00E03E35">
            <w:pPr>
              <w:tabs>
                <w:tab w:val="left" w:pos="1155"/>
              </w:tabs>
              <w:spacing w:after="0" w:line="240" w:lineRule="auto"/>
              <w:jc w:val="left"/>
              <w:rPr>
                <w:rFonts w:eastAsia="Times New Roman" w:cs="Times New Roman"/>
                <w:color w:val="000000"/>
                <w:sz w:val="18"/>
                <w:szCs w:val="18"/>
              </w:rPr>
            </w:pPr>
            <w:r w:rsidRPr="00FB4735">
              <w:rPr>
                <w:rFonts w:eastAsia="Times New Roman" w:cs="Times New Roman"/>
                <w:color w:val="000000"/>
                <w:sz w:val="18"/>
                <w:szCs w:val="18"/>
              </w:rPr>
              <w:t>FTE</w:t>
            </w:r>
          </w:p>
        </w:tc>
        <w:tc>
          <w:tcPr>
            <w:tcW w:w="709" w:type="dxa"/>
            <w:tcBorders>
              <w:top w:val="nil"/>
              <w:left w:val="nil"/>
              <w:bottom w:val="single" w:sz="4" w:space="0" w:color="auto"/>
              <w:right w:val="single" w:sz="4" w:space="0" w:color="auto"/>
            </w:tcBorders>
            <w:vAlign w:val="center"/>
          </w:tcPr>
          <w:p w14:paraId="24F76762" w14:textId="3D3A7613" w:rsidR="00E03E35" w:rsidRPr="00FB4735" w:rsidRDefault="00E03E35" w:rsidP="00E03E35">
            <w:pPr>
              <w:spacing w:after="0" w:line="240" w:lineRule="auto"/>
              <w:jc w:val="center"/>
              <w:rPr>
                <w:rFonts w:eastAsia="Times New Roman" w:cs="Times New Roman"/>
                <w:color w:val="000000"/>
                <w:sz w:val="18"/>
                <w:szCs w:val="18"/>
              </w:rPr>
            </w:pPr>
            <w:r w:rsidRPr="00FB4735">
              <w:rPr>
                <w:rFonts w:eastAsia="Times New Roman" w:cs="Times New Roman"/>
                <w:color w:val="000000"/>
                <w:sz w:val="18"/>
                <w:szCs w:val="18"/>
              </w:rPr>
              <w:t>mil. eur</w:t>
            </w:r>
          </w:p>
        </w:tc>
      </w:tr>
      <w:tr w:rsidR="00E03E35" w:rsidRPr="000939E3" w14:paraId="4673BF46" w14:textId="4245EC59" w:rsidTr="00FB4735">
        <w:trPr>
          <w:trHeight w:val="246"/>
        </w:trPr>
        <w:tc>
          <w:tcPr>
            <w:tcW w:w="1137" w:type="dxa"/>
            <w:tcBorders>
              <w:top w:val="nil"/>
              <w:left w:val="single" w:sz="4" w:space="0" w:color="auto"/>
              <w:bottom w:val="nil"/>
              <w:right w:val="nil"/>
            </w:tcBorders>
            <w:shd w:val="clear" w:color="000000" w:fill="DEEAF6"/>
            <w:noWrap/>
            <w:vAlign w:val="center"/>
          </w:tcPr>
          <w:p w14:paraId="37957CD6" w14:textId="384A5304"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MF SR</w:t>
            </w:r>
          </w:p>
        </w:tc>
        <w:tc>
          <w:tcPr>
            <w:tcW w:w="5384" w:type="dxa"/>
            <w:tcBorders>
              <w:top w:val="nil"/>
              <w:left w:val="nil"/>
              <w:bottom w:val="nil"/>
              <w:right w:val="nil"/>
            </w:tcBorders>
            <w:shd w:val="clear" w:color="000000" w:fill="DEEAF6"/>
            <w:noWrap/>
            <w:vAlign w:val="center"/>
          </w:tcPr>
          <w:p w14:paraId="7CE2EF7C" w14:textId="14535009"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Centrálny ekonomický systém</w:t>
            </w:r>
            <w:r w:rsidR="005E0C5A" w:rsidRPr="000939E3">
              <w:rPr>
                <w:color w:val="000000"/>
                <w:sz w:val="18"/>
                <w:szCs w:val="18"/>
              </w:rPr>
              <w:t>*</w:t>
            </w:r>
          </w:p>
        </w:tc>
        <w:tc>
          <w:tcPr>
            <w:tcW w:w="984" w:type="dxa"/>
            <w:tcBorders>
              <w:top w:val="nil"/>
              <w:left w:val="nil"/>
              <w:bottom w:val="nil"/>
              <w:right w:val="nil"/>
            </w:tcBorders>
            <w:shd w:val="clear" w:color="000000" w:fill="DEEAF6"/>
            <w:noWrap/>
            <w:vAlign w:val="center"/>
          </w:tcPr>
          <w:p w14:paraId="290A6EC5" w14:textId="6A1CBE88"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104845D3" w14:textId="6BC657C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3FAB635A" w14:textId="332318A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2D0F5A46" w14:textId="6474CB8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4106FC75" w14:textId="6FAFE6B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440FE3DA" w14:textId="4A33901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62</w:t>
            </w:r>
          </w:p>
        </w:tc>
        <w:tc>
          <w:tcPr>
            <w:tcW w:w="724" w:type="dxa"/>
            <w:tcBorders>
              <w:top w:val="nil"/>
              <w:left w:val="nil"/>
              <w:bottom w:val="nil"/>
              <w:right w:val="single" w:sz="4" w:space="0" w:color="auto"/>
            </w:tcBorders>
            <w:shd w:val="clear" w:color="000000" w:fill="DEEAF6"/>
            <w:noWrap/>
            <w:vAlign w:val="center"/>
          </w:tcPr>
          <w:p w14:paraId="30A509BF" w14:textId="372B9B7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1,2</w:t>
            </w:r>
          </w:p>
        </w:tc>
        <w:tc>
          <w:tcPr>
            <w:tcW w:w="749" w:type="dxa"/>
            <w:tcBorders>
              <w:top w:val="nil"/>
              <w:left w:val="nil"/>
              <w:bottom w:val="nil"/>
              <w:right w:val="nil"/>
            </w:tcBorders>
            <w:shd w:val="clear" w:color="000000" w:fill="DEEAF6"/>
            <w:vAlign w:val="center"/>
          </w:tcPr>
          <w:p w14:paraId="07636EE8" w14:textId="1EF73D2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1 032</w:t>
            </w:r>
          </w:p>
        </w:tc>
        <w:tc>
          <w:tcPr>
            <w:tcW w:w="709" w:type="dxa"/>
            <w:tcBorders>
              <w:top w:val="nil"/>
              <w:left w:val="nil"/>
              <w:bottom w:val="nil"/>
              <w:right w:val="single" w:sz="4" w:space="0" w:color="auto"/>
            </w:tcBorders>
            <w:shd w:val="clear" w:color="000000" w:fill="DEEAF6"/>
            <w:vAlign w:val="center"/>
          </w:tcPr>
          <w:p w14:paraId="0F88F2B1" w14:textId="0DF0F73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19,6</w:t>
            </w:r>
          </w:p>
        </w:tc>
      </w:tr>
      <w:tr w:rsidR="00E03E35" w:rsidRPr="000939E3" w14:paraId="2CEC3CB7" w14:textId="13D33A68" w:rsidTr="00FB4735">
        <w:trPr>
          <w:trHeight w:val="246"/>
        </w:trPr>
        <w:tc>
          <w:tcPr>
            <w:tcW w:w="1137" w:type="dxa"/>
            <w:tcBorders>
              <w:top w:val="nil"/>
              <w:left w:val="single" w:sz="4" w:space="0" w:color="auto"/>
              <w:bottom w:val="nil"/>
              <w:right w:val="nil"/>
            </w:tcBorders>
            <w:shd w:val="clear" w:color="auto" w:fill="auto"/>
            <w:noWrap/>
            <w:vAlign w:val="center"/>
          </w:tcPr>
          <w:p w14:paraId="617DC6EE"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314584E2"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5307A592" w14:textId="7049368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6767B937" w14:textId="43BE87D4"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11395165" w14:textId="7F6DAA4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5EF43E12" w14:textId="2D2B4775"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5AFE2316" w14:textId="7061142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6294E812" w14:textId="574F8618"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0597D5A8" w14:textId="20D823D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0,0</w:t>
            </w:r>
          </w:p>
        </w:tc>
        <w:tc>
          <w:tcPr>
            <w:tcW w:w="749" w:type="dxa"/>
            <w:tcBorders>
              <w:top w:val="nil"/>
              <w:left w:val="nil"/>
              <w:bottom w:val="nil"/>
              <w:right w:val="nil"/>
            </w:tcBorders>
            <w:vAlign w:val="center"/>
          </w:tcPr>
          <w:p w14:paraId="51111DDA" w14:textId="1EE459E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297473E9" w14:textId="395AE35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1,7</w:t>
            </w:r>
          </w:p>
        </w:tc>
      </w:tr>
      <w:tr w:rsidR="00E03E35" w:rsidRPr="000939E3" w14:paraId="5D21FBAF" w14:textId="738F7A19" w:rsidTr="00FB4735">
        <w:trPr>
          <w:trHeight w:val="246"/>
        </w:trPr>
        <w:tc>
          <w:tcPr>
            <w:tcW w:w="1137" w:type="dxa"/>
            <w:tcBorders>
              <w:top w:val="nil"/>
              <w:left w:val="single" w:sz="4" w:space="0" w:color="auto"/>
              <w:bottom w:val="nil"/>
              <w:right w:val="nil"/>
            </w:tcBorders>
            <w:shd w:val="clear" w:color="000000" w:fill="DEEAF6"/>
            <w:noWrap/>
            <w:vAlign w:val="center"/>
          </w:tcPr>
          <w:p w14:paraId="7DE1F22C" w14:textId="6ED05F50"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MF SR</w:t>
            </w:r>
          </w:p>
        </w:tc>
        <w:tc>
          <w:tcPr>
            <w:tcW w:w="5384" w:type="dxa"/>
            <w:tcBorders>
              <w:top w:val="nil"/>
              <w:left w:val="nil"/>
              <w:bottom w:val="nil"/>
              <w:right w:val="nil"/>
            </w:tcBorders>
            <w:shd w:val="clear" w:color="000000" w:fill="DEEAF6"/>
            <w:noWrap/>
            <w:vAlign w:val="center"/>
          </w:tcPr>
          <w:p w14:paraId="60147CF1" w14:textId="5B323026"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IS elektronickej fakturácie</w:t>
            </w:r>
            <w:r w:rsidR="005E0C5A" w:rsidRPr="000939E3">
              <w:rPr>
                <w:color w:val="000000"/>
                <w:sz w:val="18"/>
                <w:szCs w:val="18"/>
              </w:rPr>
              <w:t>*</w:t>
            </w:r>
          </w:p>
        </w:tc>
        <w:tc>
          <w:tcPr>
            <w:tcW w:w="984" w:type="dxa"/>
            <w:tcBorders>
              <w:top w:val="nil"/>
              <w:left w:val="nil"/>
              <w:bottom w:val="nil"/>
              <w:right w:val="nil"/>
            </w:tcBorders>
            <w:shd w:val="clear" w:color="000000" w:fill="DEEAF6"/>
            <w:noWrap/>
            <w:vAlign w:val="center"/>
          </w:tcPr>
          <w:p w14:paraId="0D0A063E" w14:textId="5F209D59"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549E2016" w14:textId="01414CE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5141C23C" w14:textId="412F1CA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62C55442" w14:textId="476AB5A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473E475C" w14:textId="63C82A4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3B447707" w14:textId="1109BDE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4C9722E1" w14:textId="3DC6386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49" w:type="dxa"/>
            <w:tcBorders>
              <w:top w:val="nil"/>
              <w:left w:val="nil"/>
              <w:bottom w:val="nil"/>
              <w:right w:val="nil"/>
            </w:tcBorders>
            <w:shd w:val="clear" w:color="000000" w:fill="DEEAF6"/>
            <w:vAlign w:val="center"/>
          </w:tcPr>
          <w:p w14:paraId="2822C176" w14:textId="786EB52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78</w:t>
            </w:r>
          </w:p>
        </w:tc>
        <w:tc>
          <w:tcPr>
            <w:tcW w:w="709" w:type="dxa"/>
            <w:tcBorders>
              <w:top w:val="nil"/>
              <w:left w:val="nil"/>
              <w:bottom w:val="nil"/>
              <w:right w:val="single" w:sz="4" w:space="0" w:color="auto"/>
            </w:tcBorders>
            <w:shd w:val="clear" w:color="000000" w:fill="DEEAF6"/>
            <w:vAlign w:val="center"/>
          </w:tcPr>
          <w:p w14:paraId="624C03B8" w14:textId="4A29D03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1,5</w:t>
            </w:r>
          </w:p>
        </w:tc>
      </w:tr>
      <w:tr w:rsidR="00E03E35" w:rsidRPr="000939E3" w14:paraId="64174E6E" w14:textId="1937A6C0" w:rsidTr="00FB4735">
        <w:trPr>
          <w:trHeight w:val="246"/>
        </w:trPr>
        <w:tc>
          <w:tcPr>
            <w:tcW w:w="1137" w:type="dxa"/>
            <w:tcBorders>
              <w:top w:val="nil"/>
              <w:left w:val="single" w:sz="4" w:space="0" w:color="auto"/>
              <w:bottom w:val="nil"/>
              <w:right w:val="nil"/>
            </w:tcBorders>
            <w:shd w:val="clear" w:color="auto" w:fill="auto"/>
            <w:noWrap/>
            <w:vAlign w:val="center"/>
          </w:tcPr>
          <w:p w14:paraId="7BC162A1"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44F1B692"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07F5D117" w14:textId="4126EA9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7C630EDB" w14:textId="0D0347D4"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7F3DEDE7" w14:textId="51E74BB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05DCAAFC" w14:textId="31513C38"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7D9846F5" w14:textId="148010C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55E714CC" w14:textId="1010735E"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1D15B040" w14:textId="6226A52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49" w:type="dxa"/>
            <w:tcBorders>
              <w:top w:val="nil"/>
              <w:left w:val="nil"/>
              <w:bottom w:val="nil"/>
              <w:right w:val="nil"/>
            </w:tcBorders>
            <w:vAlign w:val="center"/>
          </w:tcPr>
          <w:p w14:paraId="24DD48F8" w14:textId="7F9AB85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0704E5BA" w14:textId="6D9F908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-0,5</w:t>
            </w:r>
          </w:p>
        </w:tc>
      </w:tr>
      <w:tr w:rsidR="00E03E35" w:rsidRPr="000939E3" w14:paraId="102C4F73" w14:textId="61EDB91B" w:rsidTr="00FB4735">
        <w:trPr>
          <w:trHeight w:val="246"/>
        </w:trPr>
        <w:tc>
          <w:tcPr>
            <w:tcW w:w="1137" w:type="dxa"/>
            <w:tcBorders>
              <w:top w:val="nil"/>
              <w:left w:val="single" w:sz="4" w:space="0" w:color="auto"/>
              <w:bottom w:val="nil"/>
              <w:right w:val="nil"/>
            </w:tcBorders>
            <w:shd w:val="clear" w:color="000000" w:fill="DEEAF6"/>
            <w:noWrap/>
            <w:vAlign w:val="center"/>
          </w:tcPr>
          <w:p w14:paraId="6D28C13A" w14:textId="1D78E65C"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MF SR</w:t>
            </w:r>
          </w:p>
        </w:tc>
        <w:tc>
          <w:tcPr>
            <w:tcW w:w="5384" w:type="dxa"/>
            <w:tcBorders>
              <w:top w:val="nil"/>
              <w:left w:val="nil"/>
              <w:bottom w:val="nil"/>
              <w:right w:val="nil"/>
            </w:tcBorders>
            <w:shd w:val="clear" w:color="000000" w:fill="DEEAF6"/>
            <w:noWrap/>
            <w:vAlign w:val="center"/>
          </w:tcPr>
          <w:p w14:paraId="4F89C428" w14:textId="3D027D43"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Vybudovanie nosnej infraštruktúry bezpečného informačno-komunikačného systému FS SR</w:t>
            </w:r>
          </w:p>
        </w:tc>
        <w:tc>
          <w:tcPr>
            <w:tcW w:w="984" w:type="dxa"/>
            <w:tcBorders>
              <w:top w:val="nil"/>
              <w:left w:val="nil"/>
              <w:bottom w:val="nil"/>
              <w:right w:val="nil"/>
            </w:tcBorders>
            <w:shd w:val="clear" w:color="000000" w:fill="DEEAF6"/>
            <w:noWrap/>
            <w:vAlign w:val="center"/>
          </w:tcPr>
          <w:p w14:paraId="7337168F" w14:textId="65C23F41"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23695899" w14:textId="68018C4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1B78A7BF" w14:textId="1E6FA70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7EC80CC5" w14:textId="3C67C7E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5B9EDF38" w14:textId="746DD01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78E658B5" w14:textId="33D62D3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21</w:t>
            </w:r>
          </w:p>
        </w:tc>
        <w:tc>
          <w:tcPr>
            <w:tcW w:w="724" w:type="dxa"/>
            <w:tcBorders>
              <w:top w:val="nil"/>
              <w:left w:val="nil"/>
              <w:bottom w:val="nil"/>
              <w:right w:val="single" w:sz="4" w:space="0" w:color="auto"/>
            </w:tcBorders>
            <w:shd w:val="clear" w:color="000000" w:fill="DEEAF6"/>
            <w:noWrap/>
            <w:vAlign w:val="center"/>
          </w:tcPr>
          <w:p w14:paraId="37E61123" w14:textId="3A91B63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0,5</w:t>
            </w:r>
          </w:p>
        </w:tc>
        <w:tc>
          <w:tcPr>
            <w:tcW w:w="749" w:type="dxa"/>
            <w:tcBorders>
              <w:top w:val="nil"/>
              <w:left w:val="nil"/>
              <w:bottom w:val="nil"/>
              <w:right w:val="nil"/>
            </w:tcBorders>
            <w:shd w:val="clear" w:color="000000" w:fill="DEEAF6"/>
            <w:vAlign w:val="center"/>
          </w:tcPr>
          <w:p w14:paraId="6AF383B5" w14:textId="0307C23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21</w:t>
            </w:r>
          </w:p>
        </w:tc>
        <w:tc>
          <w:tcPr>
            <w:tcW w:w="709" w:type="dxa"/>
            <w:tcBorders>
              <w:top w:val="nil"/>
              <w:left w:val="nil"/>
              <w:bottom w:val="nil"/>
              <w:right w:val="single" w:sz="4" w:space="0" w:color="auto"/>
            </w:tcBorders>
            <w:shd w:val="clear" w:color="000000" w:fill="DEEAF6"/>
            <w:vAlign w:val="center"/>
          </w:tcPr>
          <w:p w14:paraId="77E324E9" w14:textId="5BB2328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0,5</w:t>
            </w:r>
          </w:p>
        </w:tc>
      </w:tr>
      <w:tr w:rsidR="00E03E35" w:rsidRPr="000939E3" w14:paraId="1075A01A" w14:textId="600BF242" w:rsidTr="00FB4735">
        <w:trPr>
          <w:trHeight w:val="246"/>
        </w:trPr>
        <w:tc>
          <w:tcPr>
            <w:tcW w:w="1137" w:type="dxa"/>
            <w:tcBorders>
              <w:top w:val="nil"/>
              <w:left w:val="single" w:sz="4" w:space="0" w:color="auto"/>
              <w:bottom w:val="nil"/>
              <w:right w:val="nil"/>
            </w:tcBorders>
            <w:shd w:val="clear" w:color="auto" w:fill="auto"/>
            <w:noWrap/>
            <w:vAlign w:val="center"/>
          </w:tcPr>
          <w:p w14:paraId="0EF09931"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3F3198EF"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6CC4E223" w14:textId="5E489B77"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58244655" w14:textId="228106D7"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02AB2132" w14:textId="4AF01B1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7A25275E" w14:textId="784BB836"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7E6447CB" w14:textId="0BE6E9A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6823373F" w14:textId="349F67A4"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2A0B5982" w14:textId="6257D79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-4,2</w:t>
            </w:r>
          </w:p>
        </w:tc>
        <w:tc>
          <w:tcPr>
            <w:tcW w:w="749" w:type="dxa"/>
            <w:tcBorders>
              <w:top w:val="nil"/>
              <w:left w:val="nil"/>
              <w:bottom w:val="nil"/>
              <w:right w:val="nil"/>
            </w:tcBorders>
            <w:vAlign w:val="center"/>
          </w:tcPr>
          <w:p w14:paraId="6B366786" w14:textId="5EF6B3F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4559B24E" w14:textId="3962EB1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-4,2</w:t>
            </w:r>
          </w:p>
        </w:tc>
      </w:tr>
      <w:tr w:rsidR="00E03E35" w:rsidRPr="000939E3" w14:paraId="10BEF0FF" w14:textId="1D1A3C7F" w:rsidTr="00FB4735">
        <w:trPr>
          <w:trHeight w:val="246"/>
        </w:trPr>
        <w:tc>
          <w:tcPr>
            <w:tcW w:w="1137" w:type="dxa"/>
            <w:tcBorders>
              <w:top w:val="nil"/>
              <w:left w:val="single" w:sz="4" w:space="0" w:color="auto"/>
              <w:bottom w:val="nil"/>
              <w:right w:val="nil"/>
            </w:tcBorders>
            <w:shd w:val="clear" w:color="000000" w:fill="DEEAF6"/>
            <w:noWrap/>
            <w:vAlign w:val="center"/>
          </w:tcPr>
          <w:p w14:paraId="0B8BD10D" w14:textId="22E19B76"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MH SR</w:t>
            </w:r>
          </w:p>
        </w:tc>
        <w:tc>
          <w:tcPr>
            <w:tcW w:w="5384" w:type="dxa"/>
            <w:tcBorders>
              <w:top w:val="nil"/>
              <w:left w:val="nil"/>
              <w:bottom w:val="nil"/>
              <w:right w:val="nil"/>
            </w:tcBorders>
            <w:shd w:val="clear" w:color="000000" w:fill="DEEAF6"/>
            <w:noWrap/>
            <w:vAlign w:val="center"/>
          </w:tcPr>
          <w:p w14:paraId="0DDF9DC4" w14:textId="4415C9FF"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IT platforma lepšej regulácie podľa stratégie RIA 2020</w:t>
            </w:r>
          </w:p>
        </w:tc>
        <w:tc>
          <w:tcPr>
            <w:tcW w:w="984" w:type="dxa"/>
            <w:tcBorders>
              <w:top w:val="nil"/>
              <w:left w:val="nil"/>
              <w:bottom w:val="nil"/>
              <w:right w:val="nil"/>
            </w:tcBorders>
            <w:shd w:val="clear" w:color="000000" w:fill="DEEAF6"/>
            <w:noWrap/>
            <w:vAlign w:val="center"/>
          </w:tcPr>
          <w:p w14:paraId="56B42AF7" w14:textId="12F30418"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58E11980" w14:textId="0FF0D90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w:t>
            </w:r>
          </w:p>
        </w:tc>
        <w:tc>
          <w:tcPr>
            <w:tcW w:w="726" w:type="dxa"/>
            <w:tcBorders>
              <w:top w:val="nil"/>
              <w:left w:val="nil"/>
              <w:bottom w:val="nil"/>
              <w:right w:val="single" w:sz="4" w:space="0" w:color="auto"/>
            </w:tcBorders>
            <w:shd w:val="clear" w:color="000000" w:fill="DEEAF6"/>
            <w:noWrap/>
            <w:vAlign w:val="center"/>
          </w:tcPr>
          <w:p w14:paraId="4E9C2030" w14:textId="25C1850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0,0</w:t>
            </w:r>
          </w:p>
        </w:tc>
        <w:tc>
          <w:tcPr>
            <w:tcW w:w="723" w:type="dxa"/>
            <w:tcBorders>
              <w:top w:val="nil"/>
              <w:left w:val="nil"/>
              <w:bottom w:val="nil"/>
              <w:right w:val="nil"/>
            </w:tcBorders>
            <w:shd w:val="clear" w:color="000000" w:fill="DEEAF6"/>
            <w:noWrap/>
            <w:vAlign w:val="center"/>
          </w:tcPr>
          <w:p w14:paraId="568B9F5D" w14:textId="0C1947F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w:t>
            </w:r>
          </w:p>
        </w:tc>
        <w:tc>
          <w:tcPr>
            <w:tcW w:w="724" w:type="dxa"/>
            <w:tcBorders>
              <w:top w:val="nil"/>
              <w:left w:val="nil"/>
              <w:bottom w:val="nil"/>
              <w:right w:val="single" w:sz="4" w:space="0" w:color="auto"/>
            </w:tcBorders>
            <w:shd w:val="clear" w:color="000000" w:fill="DEEAF6"/>
            <w:noWrap/>
            <w:vAlign w:val="center"/>
          </w:tcPr>
          <w:p w14:paraId="456D8907" w14:textId="40E9BFB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0,0</w:t>
            </w:r>
          </w:p>
        </w:tc>
        <w:tc>
          <w:tcPr>
            <w:tcW w:w="723" w:type="dxa"/>
            <w:tcBorders>
              <w:top w:val="nil"/>
              <w:left w:val="nil"/>
              <w:bottom w:val="nil"/>
              <w:right w:val="nil"/>
            </w:tcBorders>
            <w:shd w:val="clear" w:color="000000" w:fill="DEEAF6"/>
            <w:noWrap/>
            <w:vAlign w:val="center"/>
          </w:tcPr>
          <w:p w14:paraId="162EAE02" w14:textId="626BCCA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4</w:t>
            </w:r>
          </w:p>
        </w:tc>
        <w:tc>
          <w:tcPr>
            <w:tcW w:w="724" w:type="dxa"/>
            <w:tcBorders>
              <w:top w:val="nil"/>
              <w:left w:val="nil"/>
              <w:bottom w:val="nil"/>
              <w:right w:val="single" w:sz="4" w:space="0" w:color="auto"/>
            </w:tcBorders>
            <w:shd w:val="clear" w:color="000000" w:fill="DEEAF6"/>
            <w:noWrap/>
            <w:vAlign w:val="center"/>
          </w:tcPr>
          <w:p w14:paraId="17D63BC0" w14:textId="5C971D5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0,1</w:t>
            </w:r>
          </w:p>
        </w:tc>
        <w:tc>
          <w:tcPr>
            <w:tcW w:w="749" w:type="dxa"/>
            <w:tcBorders>
              <w:top w:val="nil"/>
              <w:left w:val="nil"/>
              <w:bottom w:val="nil"/>
              <w:right w:val="nil"/>
            </w:tcBorders>
            <w:shd w:val="clear" w:color="000000" w:fill="DEEAF6"/>
            <w:vAlign w:val="center"/>
          </w:tcPr>
          <w:p w14:paraId="0EDBBF10" w14:textId="2C4CE04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10</w:t>
            </w:r>
          </w:p>
        </w:tc>
        <w:tc>
          <w:tcPr>
            <w:tcW w:w="709" w:type="dxa"/>
            <w:tcBorders>
              <w:top w:val="nil"/>
              <w:left w:val="nil"/>
              <w:bottom w:val="nil"/>
              <w:right w:val="single" w:sz="4" w:space="0" w:color="auto"/>
            </w:tcBorders>
            <w:shd w:val="clear" w:color="000000" w:fill="DEEAF6"/>
            <w:vAlign w:val="center"/>
          </w:tcPr>
          <w:p w14:paraId="128F85AB" w14:textId="1C43F50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0,2</w:t>
            </w:r>
          </w:p>
        </w:tc>
      </w:tr>
      <w:tr w:rsidR="00E03E35" w:rsidRPr="000939E3" w14:paraId="3447466C" w14:textId="2707A712" w:rsidTr="00FB4735">
        <w:trPr>
          <w:trHeight w:val="246"/>
        </w:trPr>
        <w:tc>
          <w:tcPr>
            <w:tcW w:w="1137" w:type="dxa"/>
            <w:tcBorders>
              <w:top w:val="nil"/>
              <w:left w:val="single" w:sz="4" w:space="0" w:color="auto"/>
              <w:bottom w:val="nil"/>
              <w:right w:val="nil"/>
            </w:tcBorders>
            <w:shd w:val="clear" w:color="auto" w:fill="auto"/>
            <w:noWrap/>
            <w:vAlign w:val="center"/>
          </w:tcPr>
          <w:p w14:paraId="08301B9D"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38A0199F"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7103BC74" w14:textId="761CF2F3"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3761AA39" w14:textId="4FA13E73"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38CC1EC1" w14:textId="77E5AA7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09C4A7FC" w14:textId="40C8F477"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586D282A" w14:textId="7857484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0,1</w:t>
            </w:r>
          </w:p>
        </w:tc>
        <w:tc>
          <w:tcPr>
            <w:tcW w:w="723" w:type="dxa"/>
            <w:tcBorders>
              <w:top w:val="nil"/>
              <w:left w:val="nil"/>
              <w:bottom w:val="nil"/>
              <w:right w:val="nil"/>
            </w:tcBorders>
            <w:shd w:val="clear" w:color="auto" w:fill="auto"/>
            <w:noWrap/>
            <w:vAlign w:val="center"/>
          </w:tcPr>
          <w:p w14:paraId="6EAAC73F" w14:textId="477CBDD5"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28AA9C9F" w14:textId="178B7FE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0,0</w:t>
            </w:r>
          </w:p>
        </w:tc>
        <w:tc>
          <w:tcPr>
            <w:tcW w:w="749" w:type="dxa"/>
            <w:tcBorders>
              <w:top w:val="nil"/>
              <w:left w:val="nil"/>
              <w:bottom w:val="nil"/>
              <w:right w:val="nil"/>
            </w:tcBorders>
            <w:vAlign w:val="center"/>
          </w:tcPr>
          <w:p w14:paraId="15F287C1" w14:textId="5DB68D7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6BA12EFC" w14:textId="3F5F0D0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0,0</w:t>
            </w:r>
          </w:p>
        </w:tc>
      </w:tr>
      <w:tr w:rsidR="00E03E35" w:rsidRPr="000939E3" w14:paraId="1E0B3795" w14:textId="21946466" w:rsidTr="00FB4735">
        <w:trPr>
          <w:trHeight w:val="246"/>
        </w:trPr>
        <w:tc>
          <w:tcPr>
            <w:tcW w:w="1137" w:type="dxa"/>
            <w:tcBorders>
              <w:top w:val="nil"/>
              <w:left w:val="single" w:sz="4" w:space="0" w:color="auto"/>
              <w:bottom w:val="nil"/>
              <w:right w:val="nil"/>
            </w:tcBorders>
            <w:shd w:val="clear" w:color="000000" w:fill="DEEAF6"/>
            <w:noWrap/>
            <w:vAlign w:val="center"/>
          </w:tcPr>
          <w:p w14:paraId="2D655BBA" w14:textId="3C84128C"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MK SR</w:t>
            </w:r>
          </w:p>
        </w:tc>
        <w:tc>
          <w:tcPr>
            <w:tcW w:w="5384" w:type="dxa"/>
            <w:tcBorders>
              <w:top w:val="nil"/>
              <w:left w:val="nil"/>
              <w:bottom w:val="nil"/>
              <w:right w:val="nil"/>
            </w:tcBorders>
            <w:shd w:val="clear" w:color="000000" w:fill="DEEAF6"/>
            <w:noWrap/>
            <w:vAlign w:val="center"/>
          </w:tcPr>
          <w:p w14:paraId="247CB4C8" w14:textId="31C85D8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Pamiatkový informačný systém (PAMIS)</w:t>
            </w:r>
          </w:p>
        </w:tc>
        <w:tc>
          <w:tcPr>
            <w:tcW w:w="984" w:type="dxa"/>
            <w:tcBorders>
              <w:top w:val="nil"/>
              <w:left w:val="nil"/>
              <w:bottom w:val="nil"/>
              <w:right w:val="nil"/>
            </w:tcBorders>
            <w:shd w:val="clear" w:color="000000" w:fill="DEEAF6"/>
            <w:noWrap/>
            <w:vAlign w:val="center"/>
          </w:tcPr>
          <w:p w14:paraId="5F3017B3" w14:textId="6EB7CCC4"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530A0CF6" w14:textId="1C37702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43A01887" w14:textId="15D6E9E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6FD9C0BE" w14:textId="70D90DC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0FC420BA" w14:textId="51F3501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72284207" w14:textId="7E55058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0D7A0B2B" w14:textId="1EC2179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49" w:type="dxa"/>
            <w:tcBorders>
              <w:top w:val="nil"/>
              <w:left w:val="nil"/>
              <w:bottom w:val="nil"/>
              <w:right w:val="nil"/>
            </w:tcBorders>
            <w:shd w:val="clear" w:color="000000" w:fill="DEEAF6"/>
            <w:vAlign w:val="center"/>
          </w:tcPr>
          <w:p w14:paraId="2AFB7D1F" w14:textId="170EAB2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23</w:t>
            </w:r>
          </w:p>
        </w:tc>
        <w:tc>
          <w:tcPr>
            <w:tcW w:w="709" w:type="dxa"/>
            <w:tcBorders>
              <w:top w:val="nil"/>
              <w:left w:val="nil"/>
              <w:bottom w:val="nil"/>
              <w:right w:val="single" w:sz="4" w:space="0" w:color="auto"/>
            </w:tcBorders>
            <w:shd w:val="clear" w:color="000000" w:fill="DEEAF6"/>
            <w:vAlign w:val="center"/>
          </w:tcPr>
          <w:p w14:paraId="54DC516E" w14:textId="28C9E29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0,5</w:t>
            </w:r>
          </w:p>
        </w:tc>
      </w:tr>
      <w:tr w:rsidR="00E03E35" w:rsidRPr="000939E3" w14:paraId="607739B0" w14:textId="232CC187" w:rsidTr="00FB4735">
        <w:trPr>
          <w:trHeight w:val="246"/>
        </w:trPr>
        <w:tc>
          <w:tcPr>
            <w:tcW w:w="1137" w:type="dxa"/>
            <w:tcBorders>
              <w:top w:val="nil"/>
              <w:left w:val="single" w:sz="4" w:space="0" w:color="auto"/>
              <w:bottom w:val="nil"/>
              <w:right w:val="nil"/>
            </w:tcBorders>
            <w:shd w:val="clear" w:color="auto" w:fill="auto"/>
            <w:noWrap/>
            <w:vAlign w:val="center"/>
          </w:tcPr>
          <w:p w14:paraId="2F600321"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1164E514"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66B4ECCE" w14:textId="6405D33A"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45ED920C" w14:textId="4E855041"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4608AFD3" w14:textId="6B64B4F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564E06D8" w14:textId="117E4789"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0A697A78" w14:textId="348B1F6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0B8BF396" w14:textId="5841451B"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130C787E" w14:textId="5B04F29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49" w:type="dxa"/>
            <w:tcBorders>
              <w:top w:val="nil"/>
              <w:left w:val="nil"/>
              <w:bottom w:val="nil"/>
              <w:right w:val="nil"/>
            </w:tcBorders>
            <w:vAlign w:val="center"/>
          </w:tcPr>
          <w:p w14:paraId="34663D40" w14:textId="67DBD6F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07092659" w14:textId="77D26D1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-0,7</w:t>
            </w:r>
          </w:p>
        </w:tc>
      </w:tr>
      <w:tr w:rsidR="00E03E35" w:rsidRPr="000939E3" w14:paraId="16C4511C" w14:textId="0510D0B2" w:rsidTr="00FB4735">
        <w:trPr>
          <w:trHeight w:val="246"/>
        </w:trPr>
        <w:tc>
          <w:tcPr>
            <w:tcW w:w="1137" w:type="dxa"/>
            <w:tcBorders>
              <w:top w:val="nil"/>
              <w:left w:val="single" w:sz="4" w:space="0" w:color="auto"/>
              <w:bottom w:val="nil"/>
              <w:right w:val="nil"/>
            </w:tcBorders>
            <w:shd w:val="clear" w:color="000000" w:fill="DEEAF6"/>
            <w:noWrap/>
            <w:vAlign w:val="center"/>
          </w:tcPr>
          <w:p w14:paraId="58ECEC74" w14:textId="5EB0D1E4"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MPSVaR</w:t>
            </w:r>
          </w:p>
        </w:tc>
        <w:tc>
          <w:tcPr>
            <w:tcW w:w="5384" w:type="dxa"/>
            <w:tcBorders>
              <w:top w:val="nil"/>
              <w:left w:val="nil"/>
              <w:bottom w:val="nil"/>
              <w:right w:val="nil"/>
            </w:tcBorders>
            <w:shd w:val="clear" w:color="000000" w:fill="DEEAF6"/>
            <w:noWrap/>
            <w:vAlign w:val="center"/>
          </w:tcPr>
          <w:p w14:paraId="1437FDFA" w14:textId="40710872"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Elektronizácia služieb Národného inšpektorátu práce (inšpektori a úradníci)</w:t>
            </w:r>
          </w:p>
        </w:tc>
        <w:tc>
          <w:tcPr>
            <w:tcW w:w="984" w:type="dxa"/>
            <w:tcBorders>
              <w:top w:val="nil"/>
              <w:left w:val="nil"/>
              <w:bottom w:val="nil"/>
              <w:right w:val="nil"/>
            </w:tcBorders>
            <w:shd w:val="clear" w:color="000000" w:fill="DEEAF6"/>
            <w:noWrap/>
            <w:vAlign w:val="center"/>
          </w:tcPr>
          <w:p w14:paraId="43171F82" w14:textId="4B5DD77A"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6920A733" w14:textId="6A2049E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24BB3BBA" w14:textId="73BFC99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3DEF0D23" w14:textId="1FA5287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16D7C4E5" w14:textId="1E0EB7F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6EA93C1C" w14:textId="35B3A0C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25</w:t>
            </w:r>
          </w:p>
        </w:tc>
        <w:tc>
          <w:tcPr>
            <w:tcW w:w="724" w:type="dxa"/>
            <w:tcBorders>
              <w:top w:val="nil"/>
              <w:left w:val="nil"/>
              <w:bottom w:val="nil"/>
              <w:right w:val="single" w:sz="4" w:space="0" w:color="auto"/>
            </w:tcBorders>
            <w:shd w:val="clear" w:color="000000" w:fill="DEEAF6"/>
            <w:noWrap/>
            <w:vAlign w:val="center"/>
          </w:tcPr>
          <w:p w14:paraId="6D7403D7" w14:textId="472B87F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0,5</w:t>
            </w:r>
          </w:p>
        </w:tc>
        <w:tc>
          <w:tcPr>
            <w:tcW w:w="749" w:type="dxa"/>
            <w:tcBorders>
              <w:top w:val="nil"/>
              <w:left w:val="nil"/>
              <w:bottom w:val="nil"/>
              <w:right w:val="nil"/>
            </w:tcBorders>
            <w:shd w:val="clear" w:color="000000" w:fill="DEEAF6"/>
            <w:vAlign w:val="center"/>
          </w:tcPr>
          <w:p w14:paraId="696614DC" w14:textId="6C0B3BB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25</w:t>
            </w:r>
          </w:p>
        </w:tc>
        <w:tc>
          <w:tcPr>
            <w:tcW w:w="709" w:type="dxa"/>
            <w:tcBorders>
              <w:top w:val="nil"/>
              <w:left w:val="nil"/>
              <w:bottom w:val="nil"/>
              <w:right w:val="single" w:sz="4" w:space="0" w:color="auto"/>
            </w:tcBorders>
            <w:shd w:val="clear" w:color="000000" w:fill="DEEAF6"/>
            <w:vAlign w:val="center"/>
          </w:tcPr>
          <w:p w14:paraId="7122DE28" w14:textId="05FE851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0,5</w:t>
            </w:r>
          </w:p>
        </w:tc>
      </w:tr>
      <w:tr w:rsidR="00E03E35" w:rsidRPr="000939E3" w14:paraId="6B03F3DC" w14:textId="61B185C9" w:rsidTr="00FB4735">
        <w:trPr>
          <w:trHeight w:val="246"/>
        </w:trPr>
        <w:tc>
          <w:tcPr>
            <w:tcW w:w="1137" w:type="dxa"/>
            <w:tcBorders>
              <w:top w:val="nil"/>
              <w:left w:val="single" w:sz="4" w:space="0" w:color="auto"/>
              <w:bottom w:val="nil"/>
              <w:right w:val="nil"/>
            </w:tcBorders>
            <w:shd w:val="clear" w:color="auto" w:fill="auto"/>
            <w:noWrap/>
            <w:vAlign w:val="center"/>
          </w:tcPr>
          <w:p w14:paraId="04685859"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3211F226"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75836EE6" w14:textId="1043AFD3"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4E425841" w14:textId="0FBCF28B"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62408243" w14:textId="5EB17D8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5FD23D92" w14:textId="5A28DB36"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1F910633" w14:textId="6C6E918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19A7852E" w14:textId="68D23CB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4AAD0775" w14:textId="646F18F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-0,4</w:t>
            </w:r>
          </w:p>
        </w:tc>
        <w:tc>
          <w:tcPr>
            <w:tcW w:w="749" w:type="dxa"/>
            <w:tcBorders>
              <w:top w:val="nil"/>
              <w:left w:val="nil"/>
              <w:bottom w:val="nil"/>
              <w:right w:val="nil"/>
            </w:tcBorders>
            <w:vAlign w:val="center"/>
          </w:tcPr>
          <w:p w14:paraId="579E07E0" w14:textId="151D53D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72666787" w14:textId="2126E52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-0,5</w:t>
            </w:r>
          </w:p>
        </w:tc>
      </w:tr>
      <w:tr w:rsidR="00E03E35" w:rsidRPr="000939E3" w14:paraId="3A9A516A" w14:textId="5D9E9B61" w:rsidTr="00FB4735">
        <w:trPr>
          <w:trHeight w:val="246"/>
        </w:trPr>
        <w:tc>
          <w:tcPr>
            <w:tcW w:w="1137" w:type="dxa"/>
            <w:tcBorders>
              <w:top w:val="nil"/>
              <w:left w:val="single" w:sz="4" w:space="0" w:color="auto"/>
              <w:bottom w:val="nil"/>
              <w:right w:val="nil"/>
            </w:tcBorders>
            <w:shd w:val="clear" w:color="000000" w:fill="DEEAF6"/>
            <w:noWrap/>
            <w:vAlign w:val="center"/>
          </w:tcPr>
          <w:p w14:paraId="11AF2F64" w14:textId="6C310465"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MS SR</w:t>
            </w:r>
          </w:p>
        </w:tc>
        <w:tc>
          <w:tcPr>
            <w:tcW w:w="5384" w:type="dxa"/>
            <w:tcBorders>
              <w:top w:val="nil"/>
              <w:left w:val="nil"/>
              <w:bottom w:val="nil"/>
              <w:right w:val="nil"/>
            </w:tcBorders>
            <w:shd w:val="clear" w:color="000000" w:fill="DEEAF6"/>
            <w:noWrap/>
            <w:vAlign w:val="center"/>
          </w:tcPr>
          <w:p w14:paraId="08B9DB89" w14:textId="2F8275A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Obchodný register SR</w:t>
            </w:r>
          </w:p>
        </w:tc>
        <w:tc>
          <w:tcPr>
            <w:tcW w:w="984" w:type="dxa"/>
            <w:tcBorders>
              <w:top w:val="nil"/>
              <w:left w:val="nil"/>
              <w:bottom w:val="nil"/>
              <w:right w:val="nil"/>
            </w:tcBorders>
            <w:shd w:val="clear" w:color="000000" w:fill="DEEAF6"/>
            <w:noWrap/>
            <w:vAlign w:val="center"/>
          </w:tcPr>
          <w:p w14:paraId="5D27BFD4" w14:textId="3AE75A5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58F71689" w14:textId="5882501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16</w:t>
            </w:r>
          </w:p>
        </w:tc>
        <w:tc>
          <w:tcPr>
            <w:tcW w:w="726" w:type="dxa"/>
            <w:tcBorders>
              <w:top w:val="nil"/>
              <w:left w:val="nil"/>
              <w:bottom w:val="nil"/>
              <w:right w:val="single" w:sz="4" w:space="0" w:color="auto"/>
            </w:tcBorders>
            <w:shd w:val="clear" w:color="000000" w:fill="DEEAF6"/>
            <w:noWrap/>
            <w:vAlign w:val="center"/>
          </w:tcPr>
          <w:p w14:paraId="1A285C8A" w14:textId="1A4765F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0,3</w:t>
            </w:r>
          </w:p>
        </w:tc>
        <w:tc>
          <w:tcPr>
            <w:tcW w:w="723" w:type="dxa"/>
            <w:tcBorders>
              <w:top w:val="nil"/>
              <w:left w:val="nil"/>
              <w:bottom w:val="nil"/>
              <w:right w:val="nil"/>
            </w:tcBorders>
            <w:shd w:val="clear" w:color="000000" w:fill="DEEAF6"/>
            <w:noWrap/>
            <w:vAlign w:val="center"/>
          </w:tcPr>
          <w:p w14:paraId="1972DAA6" w14:textId="401E6B0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36</w:t>
            </w:r>
          </w:p>
        </w:tc>
        <w:tc>
          <w:tcPr>
            <w:tcW w:w="724" w:type="dxa"/>
            <w:tcBorders>
              <w:top w:val="nil"/>
              <w:left w:val="nil"/>
              <w:bottom w:val="nil"/>
              <w:right w:val="single" w:sz="4" w:space="0" w:color="auto"/>
            </w:tcBorders>
            <w:shd w:val="clear" w:color="000000" w:fill="DEEAF6"/>
            <w:noWrap/>
            <w:vAlign w:val="center"/>
          </w:tcPr>
          <w:p w14:paraId="663AD4D7" w14:textId="69FC9FE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0,6</w:t>
            </w:r>
          </w:p>
        </w:tc>
        <w:tc>
          <w:tcPr>
            <w:tcW w:w="723" w:type="dxa"/>
            <w:tcBorders>
              <w:top w:val="nil"/>
              <w:left w:val="nil"/>
              <w:bottom w:val="nil"/>
              <w:right w:val="nil"/>
            </w:tcBorders>
            <w:shd w:val="clear" w:color="000000" w:fill="DEEAF6"/>
            <w:noWrap/>
            <w:vAlign w:val="center"/>
          </w:tcPr>
          <w:p w14:paraId="7A042155" w14:textId="1B8FD2F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37</w:t>
            </w:r>
          </w:p>
        </w:tc>
        <w:tc>
          <w:tcPr>
            <w:tcW w:w="724" w:type="dxa"/>
            <w:tcBorders>
              <w:top w:val="nil"/>
              <w:left w:val="nil"/>
              <w:bottom w:val="nil"/>
              <w:right w:val="single" w:sz="4" w:space="0" w:color="auto"/>
            </w:tcBorders>
            <w:shd w:val="clear" w:color="000000" w:fill="DEEAF6"/>
            <w:noWrap/>
            <w:vAlign w:val="center"/>
          </w:tcPr>
          <w:p w14:paraId="0B7FA2EF" w14:textId="779C0F7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0,6</w:t>
            </w:r>
          </w:p>
        </w:tc>
        <w:tc>
          <w:tcPr>
            <w:tcW w:w="749" w:type="dxa"/>
            <w:tcBorders>
              <w:top w:val="nil"/>
              <w:left w:val="nil"/>
              <w:bottom w:val="nil"/>
              <w:right w:val="nil"/>
            </w:tcBorders>
            <w:shd w:val="clear" w:color="000000" w:fill="DEEAF6"/>
            <w:vAlign w:val="center"/>
          </w:tcPr>
          <w:p w14:paraId="0CF5DA76" w14:textId="390B012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51</w:t>
            </w:r>
          </w:p>
        </w:tc>
        <w:tc>
          <w:tcPr>
            <w:tcW w:w="709" w:type="dxa"/>
            <w:tcBorders>
              <w:top w:val="nil"/>
              <w:left w:val="nil"/>
              <w:bottom w:val="nil"/>
              <w:right w:val="single" w:sz="4" w:space="0" w:color="auto"/>
            </w:tcBorders>
            <w:shd w:val="clear" w:color="000000" w:fill="DEEAF6"/>
            <w:vAlign w:val="center"/>
          </w:tcPr>
          <w:p w14:paraId="28BBC376" w14:textId="76373D3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0,8</w:t>
            </w:r>
          </w:p>
        </w:tc>
      </w:tr>
      <w:tr w:rsidR="00E03E35" w:rsidRPr="000939E3" w14:paraId="1141FC75" w14:textId="46465CEF" w:rsidTr="00FB4735">
        <w:trPr>
          <w:trHeight w:val="246"/>
        </w:trPr>
        <w:tc>
          <w:tcPr>
            <w:tcW w:w="1137" w:type="dxa"/>
            <w:tcBorders>
              <w:top w:val="nil"/>
              <w:left w:val="single" w:sz="4" w:space="0" w:color="auto"/>
              <w:bottom w:val="nil"/>
              <w:right w:val="nil"/>
            </w:tcBorders>
            <w:shd w:val="clear" w:color="auto" w:fill="auto"/>
            <w:noWrap/>
            <w:vAlign w:val="center"/>
          </w:tcPr>
          <w:p w14:paraId="4D3217E3"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15CB4B24"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330E583B" w14:textId="4033FB83"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485B9318" w14:textId="2544A1BD"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7C26DA61" w14:textId="54FD9EA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7994B332" w14:textId="20BB97ED"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58AB7E06" w14:textId="57C0283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0,1</w:t>
            </w:r>
          </w:p>
        </w:tc>
        <w:tc>
          <w:tcPr>
            <w:tcW w:w="723" w:type="dxa"/>
            <w:tcBorders>
              <w:top w:val="nil"/>
              <w:left w:val="nil"/>
              <w:bottom w:val="nil"/>
              <w:right w:val="nil"/>
            </w:tcBorders>
            <w:shd w:val="clear" w:color="auto" w:fill="auto"/>
            <w:noWrap/>
            <w:vAlign w:val="center"/>
          </w:tcPr>
          <w:p w14:paraId="460E8592" w14:textId="01D41DB4"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36270044" w14:textId="418433B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0,2</w:t>
            </w:r>
          </w:p>
        </w:tc>
        <w:tc>
          <w:tcPr>
            <w:tcW w:w="749" w:type="dxa"/>
            <w:tcBorders>
              <w:top w:val="nil"/>
              <w:left w:val="nil"/>
              <w:bottom w:val="nil"/>
              <w:right w:val="nil"/>
            </w:tcBorders>
            <w:vAlign w:val="center"/>
          </w:tcPr>
          <w:p w14:paraId="4A7EFE9A" w14:textId="07BFFB1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14681937" w14:textId="6B0FD65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0,1</w:t>
            </w:r>
          </w:p>
        </w:tc>
      </w:tr>
      <w:tr w:rsidR="00E03E35" w:rsidRPr="000939E3" w14:paraId="768E31B1" w14:textId="789C0508" w:rsidTr="00FB4735">
        <w:trPr>
          <w:trHeight w:val="246"/>
        </w:trPr>
        <w:tc>
          <w:tcPr>
            <w:tcW w:w="1137" w:type="dxa"/>
            <w:tcBorders>
              <w:top w:val="nil"/>
              <w:left w:val="single" w:sz="4" w:space="0" w:color="auto"/>
              <w:bottom w:val="nil"/>
              <w:right w:val="nil"/>
            </w:tcBorders>
            <w:shd w:val="clear" w:color="000000" w:fill="DEEAF6"/>
            <w:noWrap/>
            <w:vAlign w:val="center"/>
          </w:tcPr>
          <w:p w14:paraId="2B7EE07C" w14:textId="599F1B5A"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MS SR</w:t>
            </w:r>
          </w:p>
        </w:tc>
        <w:tc>
          <w:tcPr>
            <w:tcW w:w="5384" w:type="dxa"/>
            <w:tcBorders>
              <w:top w:val="nil"/>
              <w:left w:val="nil"/>
              <w:bottom w:val="nil"/>
              <w:right w:val="nil"/>
            </w:tcBorders>
            <w:shd w:val="clear" w:color="000000" w:fill="DEEAF6"/>
            <w:noWrap/>
            <w:vAlign w:val="center"/>
          </w:tcPr>
          <w:p w14:paraId="3D76AF91" w14:textId="2D8353BB" w:rsidR="00E03E35" w:rsidRPr="000939E3" w:rsidRDefault="00E03E35" w:rsidP="00EF7FD8">
            <w:pPr>
              <w:spacing w:after="0" w:line="240" w:lineRule="auto"/>
              <w:jc w:val="left"/>
              <w:rPr>
                <w:rFonts w:eastAsia="Times New Roman" w:cs="Times New Roman"/>
                <w:color w:val="000000"/>
                <w:sz w:val="18"/>
                <w:szCs w:val="18"/>
                <w:lang w:val="en-US"/>
              </w:rPr>
            </w:pPr>
            <w:r w:rsidRPr="000939E3">
              <w:rPr>
                <w:color w:val="000000"/>
                <w:sz w:val="18"/>
                <w:szCs w:val="18"/>
              </w:rPr>
              <w:t xml:space="preserve">Optimalizácia procesov riadenia a prevádzky </w:t>
            </w:r>
            <w:r w:rsidR="00EF7FD8" w:rsidRPr="000939E3">
              <w:rPr>
                <w:color w:val="000000"/>
                <w:sz w:val="18"/>
                <w:szCs w:val="18"/>
              </w:rPr>
              <w:t>ZVJS</w:t>
            </w:r>
            <w:r w:rsidRPr="000939E3">
              <w:rPr>
                <w:color w:val="000000"/>
                <w:sz w:val="18"/>
                <w:szCs w:val="18"/>
              </w:rPr>
              <w:t xml:space="preserve"> (úradníci aj strážnici)</w:t>
            </w:r>
          </w:p>
        </w:tc>
        <w:tc>
          <w:tcPr>
            <w:tcW w:w="984" w:type="dxa"/>
            <w:tcBorders>
              <w:top w:val="nil"/>
              <w:left w:val="nil"/>
              <w:bottom w:val="nil"/>
              <w:right w:val="nil"/>
            </w:tcBorders>
            <w:shd w:val="clear" w:color="000000" w:fill="DEEAF6"/>
            <w:noWrap/>
            <w:vAlign w:val="center"/>
          </w:tcPr>
          <w:p w14:paraId="0D3A2233" w14:textId="5829353B"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0A3EADD0" w14:textId="3FEC008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219EA948" w14:textId="5BDC608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5ED0E2C8" w14:textId="30700B1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0E98F245" w14:textId="55652D7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1C92EBDA" w14:textId="258F1BF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4B6ED92B" w14:textId="7E30500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49" w:type="dxa"/>
            <w:tcBorders>
              <w:top w:val="nil"/>
              <w:left w:val="nil"/>
              <w:bottom w:val="nil"/>
              <w:right w:val="nil"/>
            </w:tcBorders>
            <w:shd w:val="clear" w:color="000000" w:fill="DEEAF6"/>
            <w:vAlign w:val="center"/>
          </w:tcPr>
          <w:p w14:paraId="0C066A30" w14:textId="1E7B2E6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520</w:t>
            </w:r>
          </w:p>
        </w:tc>
        <w:tc>
          <w:tcPr>
            <w:tcW w:w="709" w:type="dxa"/>
            <w:tcBorders>
              <w:top w:val="nil"/>
              <w:left w:val="nil"/>
              <w:bottom w:val="nil"/>
              <w:right w:val="single" w:sz="4" w:space="0" w:color="auto"/>
            </w:tcBorders>
            <w:shd w:val="clear" w:color="000000" w:fill="DEEAF6"/>
            <w:vAlign w:val="center"/>
          </w:tcPr>
          <w:p w14:paraId="1479EAA3" w14:textId="76B0FE9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9,9</w:t>
            </w:r>
          </w:p>
        </w:tc>
      </w:tr>
      <w:tr w:rsidR="00E03E35" w:rsidRPr="000939E3" w14:paraId="7C8057EF" w14:textId="242B23E4" w:rsidTr="00FB4735">
        <w:trPr>
          <w:trHeight w:val="246"/>
        </w:trPr>
        <w:tc>
          <w:tcPr>
            <w:tcW w:w="1137" w:type="dxa"/>
            <w:tcBorders>
              <w:top w:val="nil"/>
              <w:left w:val="single" w:sz="4" w:space="0" w:color="auto"/>
              <w:bottom w:val="nil"/>
              <w:right w:val="nil"/>
            </w:tcBorders>
            <w:shd w:val="clear" w:color="auto" w:fill="auto"/>
            <w:noWrap/>
            <w:vAlign w:val="center"/>
          </w:tcPr>
          <w:p w14:paraId="481542CB"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72B04A5F"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70221C8A" w14:textId="7F249FE7"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67ADC80D" w14:textId="3B175D3A"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10E0868C" w14:textId="0A603AB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10966AF3" w14:textId="28BA0EC6"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7591A7B1" w14:textId="04D5788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6FDB3313" w14:textId="0C7EA306"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474350D2" w14:textId="7140E2E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49" w:type="dxa"/>
            <w:tcBorders>
              <w:top w:val="nil"/>
              <w:left w:val="nil"/>
              <w:bottom w:val="nil"/>
              <w:right w:val="nil"/>
            </w:tcBorders>
            <w:vAlign w:val="center"/>
          </w:tcPr>
          <w:p w14:paraId="2A8F7988" w14:textId="614EEF2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260CAFE8" w14:textId="2C39564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-1,8</w:t>
            </w:r>
          </w:p>
        </w:tc>
      </w:tr>
      <w:tr w:rsidR="00E03E35" w:rsidRPr="000939E3" w14:paraId="027B6023" w14:textId="4FC51519" w:rsidTr="00FB4735">
        <w:trPr>
          <w:trHeight w:val="246"/>
        </w:trPr>
        <w:tc>
          <w:tcPr>
            <w:tcW w:w="1137" w:type="dxa"/>
            <w:tcBorders>
              <w:top w:val="nil"/>
              <w:left w:val="single" w:sz="4" w:space="0" w:color="auto"/>
              <w:bottom w:val="nil"/>
              <w:right w:val="nil"/>
            </w:tcBorders>
            <w:shd w:val="clear" w:color="000000" w:fill="DEEAF6"/>
            <w:noWrap/>
            <w:vAlign w:val="center"/>
          </w:tcPr>
          <w:p w14:paraId="62BA6F3F" w14:textId="2EAEC019"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MS SR</w:t>
            </w:r>
          </w:p>
        </w:tc>
        <w:tc>
          <w:tcPr>
            <w:tcW w:w="5384" w:type="dxa"/>
            <w:tcBorders>
              <w:top w:val="nil"/>
              <w:left w:val="nil"/>
              <w:bottom w:val="nil"/>
              <w:right w:val="nil"/>
            </w:tcBorders>
            <w:shd w:val="clear" w:color="000000" w:fill="DEEAF6"/>
            <w:noWrap/>
            <w:vAlign w:val="center"/>
          </w:tcPr>
          <w:p w14:paraId="254AB4CE" w14:textId="010C59AD"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Centralizovaný systém súdneho riadenia – CSSR</w:t>
            </w:r>
          </w:p>
        </w:tc>
        <w:tc>
          <w:tcPr>
            <w:tcW w:w="984" w:type="dxa"/>
            <w:tcBorders>
              <w:top w:val="nil"/>
              <w:left w:val="nil"/>
              <w:bottom w:val="nil"/>
              <w:right w:val="nil"/>
            </w:tcBorders>
            <w:shd w:val="clear" w:color="000000" w:fill="DEEAF6"/>
            <w:noWrap/>
            <w:vAlign w:val="center"/>
          </w:tcPr>
          <w:p w14:paraId="3E071269" w14:textId="51D8E61D"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305A1C3D" w14:textId="0900BD1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0BFA1EB0" w14:textId="7C6285B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15780734" w14:textId="6AB0114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38B91162" w14:textId="7F937DF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2EDCBEFC" w14:textId="5854A79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65978FFA" w14:textId="42AE996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49" w:type="dxa"/>
            <w:tcBorders>
              <w:top w:val="nil"/>
              <w:left w:val="nil"/>
              <w:bottom w:val="nil"/>
              <w:right w:val="nil"/>
            </w:tcBorders>
            <w:shd w:val="clear" w:color="000000" w:fill="DEEAF6"/>
            <w:vAlign w:val="center"/>
          </w:tcPr>
          <w:p w14:paraId="01870257" w14:textId="3F3F27A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502</w:t>
            </w:r>
          </w:p>
        </w:tc>
        <w:tc>
          <w:tcPr>
            <w:tcW w:w="709" w:type="dxa"/>
            <w:tcBorders>
              <w:top w:val="nil"/>
              <w:left w:val="nil"/>
              <w:bottom w:val="nil"/>
              <w:right w:val="single" w:sz="4" w:space="0" w:color="auto"/>
            </w:tcBorders>
            <w:shd w:val="clear" w:color="000000" w:fill="DEEAF6"/>
            <w:vAlign w:val="center"/>
          </w:tcPr>
          <w:p w14:paraId="56C7344D" w14:textId="74E136D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10,8</w:t>
            </w:r>
          </w:p>
        </w:tc>
      </w:tr>
      <w:tr w:rsidR="00E03E35" w:rsidRPr="000939E3" w14:paraId="11C7F3F5" w14:textId="332E4E1B" w:rsidTr="00FB4735">
        <w:trPr>
          <w:trHeight w:val="246"/>
        </w:trPr>
        <w:tc>
          <w:tcPr>
            <w:tcW w:w="1137" w:type="dxa"/>
            <w:tcBorders>
              <w:top w:val="nil"/>
              <w:left w:val="single" w:sz="4" w:space="0" w:color="auto"/>
              <w:bottom w:val="nil"/>
              <w:right w:val="nil"/>
            </w:tcBorders>
            <w:shd w:val="clear" w:color="auto" w:fill="auto"/>
            <w:noWrap/>
            <w:vAlign w:val="center"/>
          </w:tcPr>
          <w:p w14:paraId="5223CAEC"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422CA005"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4503B9F5" w14:textId="7F00C125"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3B01B330" w14:textId="5AFEA4BF"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4B440158" w14:textId="76031A6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0AF45CB2" w14:textId="701924FA"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5B94D654" w14:textId="0FAC8E5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77EF4129" w14:textId="69DCB13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30A3AA45" w14:textId="528835A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49" w:type="dxa"/>
            <w:tcBorders>
              <w:top w:val="nil"/>
              <w:left w:val="nil"/>
              <w:bottom w:val="nil"/>
              <w:right w:val="nil"/>
            </w:tcBorders>
            <w:vAlign w:val="center"/>
          </w:tcPr>
          <w:p w14:paraId="237C2C19" w14:textId="4E7ED58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12773D60" w14:textId="72D28D0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-0,0</w:t>
            </w:r>
          </w:p>
        </w:tc>
      </w:tr>
      <w:tr w:rsidR="00E03E35" w:rsidRPr="000939E3" w14:paraId="29C70215" w14:textId="037A3E02" w:rsidTr="00FB4735">
        <w:trPr>
          <w:trHeight w:val="246"/>
        </w:trPr>
        <w:tc>
          <w:tcPr>
            <w:tcW w:w="1137" w:type="dxa"/>
            <w:tcBorders>
              <w:top w:val="nil"/>
              <w:left w:val="single" w:sz="4" w:space="0" w:color="auto"/>
              <w:bottom w:val="nil"/>
              <w:right w:val="nil"/>
            </w:tcBorders>
            <w:shd w:val="clear" w:color="000000" w:fill="DEEAF6"/>
            <w:noWrap/>
            <w:vAlign w:val="center"/>
          </w:tcPr>
          <w:p w14:paraId="3EE6BE25" w14:textId="127968D1"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MŠVVaŠ SR</w:t>
            </w:r>
          </w:p>
        </w:tc>
        <w:tc>
          <w:tcPr>
            <w:tcW w:w="5384" w:type="dxa"/>
            <w:tcBorders>
              <w:top w:val="nil"/>
              <w:left w:val="nil"/>
              <w:bottom w:val="nil"/>
              <w:right w:val="nil"/>
            </w:tcBorders>
            <w:shd w:val="clear" w:color="000000" w:fill="DEEAF6"/>
            <w:noWrap/>
            <w:vAlign w:val="center"/>
          </w:tcPr>
          <w:p w14:paraId="35195780" w14:textId="56B6C59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Elektronizácia služieb regionálneho a vysokého školstva SR</w:t>
            </w:r>
          </w:p>
        </w:tc>
        <w:tc>
          <w:tcPr>
            <w:tcW w:w="984" w:type="dxa"/>
            <w:tcBorders>
              <w:top w:val="nil"/>
              <w:left w:val="nil"/>
              <w:bottom w:val="nil"/>
              <w:right w:val="nil"/>
            </w:tcBorders>
            <w:shd w:val="clear" w:color="000000" w:fill="DEEAF6"/>
            <w:noWrap/>
            <w:vAlign w:val="center"/>
          </w:tcPr>
          <w:p w14:paraId="283E9CF9" w14:textId="3CC7C78A"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0518BD46" w14:textId="573ED91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2121DE7A" w14:textId="211C218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2B60C311" w14:textId="4F3EF26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386</w:t>
            </w:r>
          </w:p>
        </w:tc>
        <w:tc>
          <w:tcPr>
            <w:tcW w:w="724" w:type="dxa"/>
            <w:tcBorders>
              <w:top w:val="nil"/>
              <w:left w:val="nil"/>
              <w:bottom w:val="nil"/>
              <w:right w:val="single" w:sz="4" w:space="0" w:color="auto"/>
            </w:tcBorders>
            <w:shd w:val="clear" w:color="000000" w:fill="DEEAF6"/>
            <w:noWrap/>
            <w:vAlign w:val="center"/>
          </w:tcPr>
          <w:p w14:paraId="3A28275C" w14:textId="3CE6931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7,3</w:t>
            </w:r>
          </w:p>
        </w:tc>
        <w:tc>
          <w:tcPr>
            <w:tcW w:w="723" w:type="dxa"/>
            <w:tcBorders>
              <w:top w:val="nil"/>
              <w:left w:val="nil"/>
              <w:bottom w:val="nil"/>
              <w:right w:val="nil"/>
            </w:tcBorders>
            <w:shd w:val="clear" w:color="000000" w:fill="DEEAF6"/>
            <w:noWrap/>
            <w:vAlign w:val="center"/>
          </w:tcPr>
          <w:p w14:paraId="317AD980" w14:textId="74A5B73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386</w:t>
            </w:r>
          </w:p>
        </w:tc>
        <w:tc>
          <w:tcPr>
            <w:tcW w:w="724" w:type="dxa"/>
            <w:tcBorders>
              <w:top w:val="nil"/>
              <w:left w:val="nil"/>
              <w:bottom w:val="nil"/>
              <w:right w:val="single" w:sz="4" w:space="0" w:color="auto"/>
            </w:tcBorders>
            <w:shd w:val="clear" w:color="000000" w:fill="DEEAF6"/>
            <w:noWrap/>
            <w:vAlign w:val="center"/>
          </w:tcPr>
          <w:p w14:paraId="50F6DE9D" w14:textId="14738FD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7,3</w:t>
            </w:r>
          </w:p>
        </w:tc>
        <w:tc>
          <w:tcPr>
            <w:tcW w:w="749" w:type="dxa"/>
            <w:tcBorders>
              <w:top w:val="nil"/>
              <w:left w:val="nil"/>
              <w:bottom w:val="nil"/>
              <w:right w:val="nil"/>
            </w:tcBorders>
            <w:shd w:val="clear" w:color="000000" w:fill="DEEAF6"/>
            <w:vAlign w:val="center"/>
          </w:tcPr>
          <w:p w14:paraId="3EC43CE4" w14:textId="30627F3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386</w:t>
            </w:r>
          </w:p>
        </w:tc>
        <w:tc>
          <w:tcPr>
            <w:tcW w:w="709" w:type="dxa"/>
            <w:tcBorders>
              <w:top w:val="nil"/>
              <w:left w:val="nil"/>
              <w:bottom w:val="nil"/>
              <w:right w:val="single" w:sz="4" w:space="0" w:color="auto"/>
            </w:tcBorders>
            <w:shd w:val="clear" w:color="000000" w:fill="DEEAF6"/>
            <w:vAlign w:val="center"/>
          </w:tcPr>
          <w:p w14:paraId="03A973B3" w14:textId="4DB7B68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7,3</w:t>
            </w:r>
          </w:p>
        </w:tc>
      </w:tr>
      <w:tr w:rsidR="00E03E35" w:rsidRPr="000939E3" w14:paraId="2C3B6FE9" w14:textId="16C84A82" w:rsidTr="00FB4735">
        <w:trPr>
          <w:trHeight w:val="246"/>
        </w:trPr>
        <w:tc>
          <w:tcPr>
            <w:tcW w:w="1137" w:type="dxa"/>
            <w:tcBorders>
              <w:top w:val="nil"/>
              <w:left w:val="single" w:sz="4" w:space="0" w:color="auto"/>
              <w:bottom w:val="nil"/>
              <w:right w:val="nil"/>
            </w:tcBorders>
            <w:shd w:val="clear" w:color="auto" w:fill="auto"/>
            <w:noWrap/>
            <w:vAlign w:val="center"/>
          </w:tcPr>
          <w:p w14:paraId="52A79953"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02B1D9C0"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7BFB50FF" w14:textId="1BE22672"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735F33F5" w14:textId="4DE9AF3E"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26592F5F" w14:textId="18F4B07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467B229B" w14:textId="7E22C85A"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7CEB7F01" w14:textId="176D1FF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-0,7</w:t>
            </w:r>
          </w:p>
        </w:tc>
        <w:tc>
          <w:tcPr>
            <w:tcW w:w="723" w:type="dxa"/>
            <w:tcBorders>
              <w:top w:val="nil"/>
              <w:left w:val="nil"/>
              <w:bottom w:val="nil"/>
              <w:right w:val="nil"/>
            </w:tcBorders>
            <w:shd w:val="clear" w:color="auto" w:fill="auto"/>
            <w:noWrap/>
            <w:vAlign w:val="center"/>
          </w:tcPr>
          <w:p w14:paraId="71743C60" w14:textId="506FA5D6"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133D2830" w14:textId="6639E68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-0,7</w:t>
            </w:r>
          </w:p>
        </w:tc>
        <w:tc>
          <w:tcPr>
            <w:tcW w:w="749" w:type="dxa"/>
            <w:tcBorders>
              <w:top w:val="nil"/>
              <w:left w:val="nil"/>
              <w:bottom w:val="nil"/>
              <w:right w:val="nil"/>
            </w:tcBorders>
            <w:vAlign w:val="center"/>
          </w:tcPr>
          <w:p w14:paraId="6390B203" w14:textId="564E609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1CDF24B6" w14:textId="17DCC25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-0,7</w:t>
            </w:r>
          </w:p>
        </w:tc>
      </w:tr>
      <w:tr w:rsidR="00E03E35" w:rsidRPr="000939E3" w14:paraId="42387847" w14:textId="37901889" w:rsidTr="00FB4735">
        <w:trPr>
          <w:trHeight w:val="246"/>
        </w:trPr>
        <w:tc>
          <w:tcPr>
            <w:tcW w:w="1137" w:type="dxa"/>
            <w:tcBorders>
              <w:top w:val="nil"/>
              <w:left w:val="single" w:sz="4" w:space="0" w:color="auto"/>
              <w:bottom w:val="nil"/>
              <w:right w:val="nil"/>
            </w:tcBorders>
            <w:shd w:val="clear" w:color="000000" w:fill="DEEAF6"/>
            <w:noWrap/>
            <w:vAlign w:val="center"/>
          </w:tcPr>
          <w:p w14:paraId="7F411981" w14:textId="0B179D7B"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MV SR</w:t>
            </w:r>
          </w:p>
        </w:tc>
        <w:tc>
          <w:tcPr>
            <w:tcW w:w="5384" w:type="dxa"/>
            <w:tcBorders>
              <w:top w:val="nil"/>
              <w:left w:val="nil"/>
              <w:bottom w:val="nil"/>
              <w:right w:val="nil"/>
            </w:tcBorders>
            <w:shd w:val="clear" w:color="000000" w:fill="DEEAF6"/>
            <w:noWrap/>
            <w:vAlign w:val="center"/>
          </w:tcPr>
          <w:p w14:paraId="7F7C5E39" w14:textId="24013B6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Centrálne komponenty správneho konania vo verejnej správe</w:t>
            </w:r>
          </w:p>
        </w:tc>
        <w:tc>
          <w:tcPr>
            <w:tcW w:w="984" w:type="dxa"/>
            <w:tcBorders>
              <w:top w:val="nil"/>
              <w:left w:val="nil"/>
              <w:bottom w:val="nil"/>
              <w:right w:val="nil"/>
            </w:tcBorders>
            <w:shd w:val="clear" w:color="000000" w:fill="DEEAF6"/>
            <w:noWrap/>
            <w:vAlign w:val="center"/>
          </w:tcPr>
          <w:p w14:paraId="6137B45B" w14:textId="5E51598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310EE672" w14:textId="71E3775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23AB5FA9" w14:textId="3E66176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00818B5F" w14:textId="6D9C995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04CC7F1A" w14:textId="2BB29C8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3434B5C7" w14:textId="7E2BDAA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461</w:t>
            </w:r>
          </w:p>
        </w:tc>
        <w:tc>
          <w:tcPr>
            <w:tcW w:w="724" w:type="dxa"/>
            <w:tcBorders>
              <w:top w:val="nil"/>
              <w:left w:val="nil"/>
              <w:bottom w:val="nil"/>
              <w:right w:val="single" w:sz="4" w:space="0" w:color="auto"/>
            </w:tcBorders>
            <w:shd w:val="clear" w:color="000000" w:fill="DEEAF6"/>
            <w:noWrap/>
            <w:vAlign w:val="center"/>
          </w:tcPr>
          <w:p w14:paraId="652E7481" w14:textId="7370434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11,2</w:t>
            </w:r>
          </w:p>
        </w:tc>
        <w:tc>
          <w:tcPr>
            <w:tcW w:w="749" w:type="dxa"/>
            <w:tcBorders>
              <w:top w:val="nil"/>
              <w:left w:val="nil"/>
              <w:bottom w:val="nil"/>
              <w:right w:val="nil"/>
            </w:tcBorders>
            <w:shd w:val="clear" w:color="000000" w:fill="DEEAF6"/>
            <w:vAlign w:val="center"/>
          </w:tcPr>
          <w:p w14:paraId="3B661FAE" w14:textId="34D222D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415</w:t>
            </w:r>
          </w:p>
        </w:tc>
        <w:tc>
          <w:tcPr>
            <w:tcW w:w="709" w:type="dxa"/>
            <w:tcBorders>
              <w:top w:val="nil"/>
              <w:left w:val="nil"/>
              <w:bottom w:val="nil"/>
              <w:right w:val="single" w:sz="4" w:space="0" w:color="auto"/>
            </w:tcBorders>
            <w:shd w:val="clear" w:color="000000" w:fill="DEEAF6"/>
            <w:vAlign w:val="center"/>
          </w:tcPr>
          <w:p w14:paraId="2E09FF03" w14:textId="7C90159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10,1</w:t>
            </w:r>
          </w:p>
        </w:tc>
      </w:tr>
      <w:tr w:rsidR="00E03E35" w:rsidRPr="000939E3" w14:paraId="6022D57B" w14:textId="5088D541" w:rsidTr="00FB4735">
        <w:trPr>
          <w:trHeight w:val="246"/>
        </w:trPr>
        <w:tc>
          <w:tcPr>
            <w:tcW w:w="1137" w:type="dxa"/>
            <w:tcBorders>
              <w:top w:val="nil"/>
              <w:left w:val="single" w:sz="4" w:space="0" w:color="auto"/>
              <w:bottom w:val="nil"/>
              <w:right w:val="nil"/>
            </w:tcBorders>
            <w:shd w:val="clear" w:color="auto" w:fill="auto"/>
            <w:noWrap/>
            <w:vAlign w:val="center"/>
          </w:tcPr>
          <w:p w14:paraId="0B6B243F"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285A404E"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2961CBC0" w14:textId="3E98CFCB"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27D24F4E" w14:textId="0768707F"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4A3932E9" w14:textId="4CB0722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0F62EABE" w14:textId="28174C75"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60D4232F" w14:textId="20DCF0A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4556A9B3" w14:textId="57083F4E"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28B919E3" w14:textId="727185F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-2,2</w:t>
            </w:r>
          </w:p>
        </w:tc>
        <w:tc>
          <w:tcPr>
            <w:tcW w:w="749" w:type="dxa"/>
            <w:tcBorders>
              <w:top w:val="nil"/>
              <w:left w:val="nil"/>
              <w:bottom w:val="nil"/>
              <w:right w:val="nil"/>
            </w:tcBorders>
            <w:vAlign w:val="center"/>
          </w:tcPr>
          <w:p w14:paraId="653099E6" w14:textId="082D9E3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2C69FD2D" w14:textId="591B681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-2,2</w:t>
            </w:r>
          </w:p>
        </w:tc>
      </w:tr>
      <w:tr w:rsidR="00E03E35" w:rsidRPr="000939E3" w14:paraId="3E6A9F41" w14:textId="792263A9" w:rsidTr="00FB4735">
        <w:trPr>
          <w:trHeight w:val="246"/>
        </w:trPr>
        <w:tc>
          <w:tcPr>
            <w:tcW w:w="1137" w:type="dxa"/>
            <w:tcBorders>
              <w:top w:val="nil"/>
              <w:left w:val="single" w:sz="4" w:space="0" w:color="auto"/>
              <w:bottom w:val="nil"/>
              <w:right w:val="nil"/>
            </w:tcBorders>
            <w:shd w:val="clear" w:color="000000" w:fill="DEEAF6"/>
            <w:noWrap/>
            <w:vAlign w:val="center"/>
          </w:tcPr>
          <w:p w14:paraId="3364BC7B" w14:textId="0B751878"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MV SR</w:t>
            </w:r>
          </w:p>
        </w:tc>
        <w:tc>
          <w:tcPr>
            <w:tcW w:w="5384" w:type="dxa"/>
            <w:tcBorders>
              <w:top w:val="nil"/>
              <w:left w:val="nil"/>
              <w:bottom w:val="nil"/>
              <w:right w:val="nil"/>
            </w:tcBorders>
            <w:shd w:val="clear" w:color="000000" w:fill="DEEAF6"/>
            <w:noWrap/>
            <w:vAlign w:val="center"/>
          </w:tcPr>
          <w:p w14:paraId="3A9F8AA2" w14:textId="26386C77" w:rsidR="00E03E35" w:rsidRPr="000939E3" w:rsidRDefault="00E03E35" w:rsidP="00E03E35">
            <w:pPr>
              <w:spacing w:after="0" w:line="240" w:lineRule="auto"/>
              <w:jc w:val="left"/>
              <w:rPr>
                <w:rFonts w:eastAsia="Times New Roman" w:cs="Times New Roman"/>
                <w:color w:val="000000"/>
                <w:sz w:val="18"/>
                <w:szCs w:val="18"/>
                <w:lang w:val="de-DE"/>
              </w:rPr>
            </w:pPr>
            <w:r w:rsidRPr="000939E3">
              <w:rPr>
                <w:color w:val="000000"/>
                <w:sz w:val="18"/>
                <w:szCs w:val="18"/>
              </w:rPr>
              <w:t>Digitálne pracovné prostredie zamestnanca MV SR (workdesk)</w:t>
            </w:r>
          </w:p>
        </w:tc>
        <w:tc>
          <w:tcPr>
            <w:tcW w:w="984" w:type="dxa"/>
            <w:tcBorders>
              <w:top w:val="nil"/>
              <w:left w:val="nil"/>
              <w:bottom w:val="nil"/>
              <w:right w:val="nil"/>
            </w:tcBorders>
            <w:shd w:val="clear" w:color="000000" w:fill="DEEAF6"/>
            <w:noWrap/>
            <w:vAlign w:val="center"/>
          </w:tcPr>
          <w:p w14:paraId="15963B6D" w14:textId="5DA5E5E6"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3F727E85" w14:textId="40718C2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266C7774" w14:textId="5F19DD8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2A2F6D64" w14:textId="7E5544F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78845D68" w14:textId="284369E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090054F2" w14:textId="3D43C44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6CC78C9F" w14:textId="6BCD921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49" w:type="dxa"/>
            <w:tcBorders>
              <w:top w:val="nil"/>
              <w:left w:val="nil"/>
              <w:bottom w:val="nil"/>
              <w:right w:val="nil"/>
            </w:tcBorders>
            <w:shd w:val="clear" w:color="000000" w:fill="DEEAF6"/>
            <w:vAlign w:val="center"/>
          </w:tcPr>
          <w:p w14:paraId="7D3E790C" w14:textId="486A3BF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291</w:t>
            </w:r>
          </w:p>
        </w:tc>
        <w:tc>
          <w:tcPr>
            <w:tcW w:w="709" w:type="dxa"/>
            <w:tcBorders>
              <w:top w:val="nil"/>
              <w:left w:val="nil"/>
              <w:bottom w:val="nil"/>
              <w:right w:val="single" w:sz="4" w:space="0" w:color="auto"/>
            </w:tcBorders>
            <w:shd w:val="clear" w:color="000000" w:fill="DEEAF6"/>
            <w:vAlign w:val="center"/>
          </w:tcPr>
          <w:p w14:paraId="37565311" w14:textId="2E8B7B2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7,1</w:t>
            </w:r>
          </w:p>
        </w:tc>
      </w:tr>
      <w:tr w:rsidR="00E03E35" w:rsidRPr="000939E3" w14:paraId="0FA0CDAB" w14:textId="05BD72A5" w:rsidTr="00FB4735">
        <w:trPr>
          <w:trHeight w:val="246"/>
        </w:trPr>
        <w:tc>
          <w:tcPr>
            <w:tcW w:w="1137" w:type="dxa"/>
            <w:tcBorders>
              <w:top w:val="nil"/>
              <w:left w:val="single" w:sz="4" w:space="0" w:color="auto"/>
              <w:bottom w:val="nil"/>
              <w:right w:val="nil"/>
            </w:tcBorders>
            <w:shd w:val="clear" w:color="auto" w:fill="auto"/>
            <w:noWrap/>
            <w:vAlign w:val="center"/>
          </w:tcPr>
          <w:p w14:paraId="1B6C653F"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2874D331"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24D6C636" w14:textId="38013E45"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5E7EBD10" w14:textId="22BEBD8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3F27F889" w14:textId="0A78A89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7B7684EB" w14:textId="51E7D768"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0CD633D2" w14:textId="463F9FF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108EA9ED" w14:textId="11E90294"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4C19AA23" w14:textId="3314A98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49" w:type="dxa"/>
            <w:tcBorders>
              <w:top w:val="nil"/>
              <w:left w:val="nil"/>
              <w:bottom w:val="nil"/>
              <w:right w:val="nil"/>
            </w:tcBorders>
            <w:vAlign w:val="center"/>
          </w:tcPr>
          <w:p w14:paraId="5FA2323F" w14:textId="3AB9727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4FE3D1A6" w14:textId="776A37A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-1,5</w:t>
            </w:r>
          </w:p>
        </w:tc>
      </w:tr>
      <w:tr w:rsidR="00E03E35" w:rsidRPr="000939E3" w14:paraId="682E3C39" w14:textId="71EE9F80" w:rsidTr="00FB4735">
        <w:trPr>
          <w:trHeight w:val="246"/>
        </w:trPr>
        <w:tc>
          <w:tcPr>
            <w:tcW w:w="1137" w:type="dxa"/>
            <w:tcBorders>
              <w:top w:val="nil"/>
              <w:left w:val="single" w:sz="4" w:space="0" w:color="auto"/>
              <w:bottom w:val="nil"/>
              <w:right w:val="nil"/>
            </w:tcBorders>
            <w:shd w:val="clear" w:color="000000" w:fill="DEEAF6"/>
            <w:noWrap/>
            <w:vAlign w:val="center"/>
          </w:tcPr>
          <w:p w14:paraId="26FEE181" w14:textId="40E68A8A"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MV SR</w:t>
            </w:r>
          </w:p>
        </w:tc>
        <w:tc>
          <w:tcPr>
            <w:tcW w:w="5384" w:type="dxa"/>
            <w:tcBorders>
              <w:top w:val="nil"/>
              <w:left w:val="nil"/>
              <w:bottom w:val="nil"/>
              <w:right w:val="nil"/>
            </w:tcBorders>
            <w:shd w:val="clear" w:color="000000" w:fill="DEEAF6"/>
            <w:noWrap/>
            <w:vAlign w:val="center"/>
          </w:tcPr>
          <w:p w14:paraId="1B1DD72D" w14:textId="675DADDE"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Register zbraní a streliva</w:t>
            </w:r>
          </w:p>
        </w:tc>
        <w:tc>
          <w:tcPr>
            <w:tcW w:w="984" w:type="dxa"/>
            <w:tcBorders>
              <w:top w:val="nil"/>
              <w:left w:val="nil"/>
              <w:bottom w:val="nil"/>
              <w:right w:val="nil"/>
            </w:tcBorders>
            <w:shd w:val="clear" w:color="000000" w:fill="DEEAF6"/>
            <w:noWrap/>
            <w:vAlign w:val="center"/>
          </w:tcPr>
          <w:p w14:paraId="62D48D7F" w14:textId="0FE40068"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0F452B2A" w14:textId="38F058B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6B959E8E" w14:textId="7787600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65F0A58B" w14:textId="1F7B012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5C0BBE5B" w14:textId="4CE8C3B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4992825F" w14:textId="18A9D97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50</w:t>
            </w:r>
          </w:p>
        </w:tc>
        <w:tc>
          <w:tcPr>
            <w:tcW w:w="724" w:type="dxa"/>
            <w:tcBorders>
              <w:top w:val="nil"/>
              <w:left w:val="nil"/>
              <w:bottom w:val="nil"/>
              <w:right w:val="single" w:sz="4" w:space="0" w:color="auto"/>
            </w:tcBorders>
            <w:shd w:val="clear" w:color="000000" w:fill="DEEAF6"/>
            <w:noWrap/>
            <w:vAlign w:val="center"/>
          </w:tcPr>
          <w:p w14:paraId="14A06423" w14:textId="47087FB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1,0</w:t>
            </w:r>
          </w:p>
        </w:tc>
        <w:tc>
          <w:tcPr>
            <w:tcW w:w="749" w:type="dxa"/>
            <w:tcBorders>
              <w:top w:val="nil"/>
              <w:left w:val="nil"/>
              <w:bottom w:val="nil"/>
              <w:right w:val="nil"/>
            </w:tcBorders>
            <w:shd w:val="clear" w:color="000000" w:fill="DEEAF6"/>
            <w:vAlign w:val="center"/>
          </w:tcPr>
          <w:p w14:paraId="65AEA7A9" w14:textId="2C18BFB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50</w:t>
            </w:r>
          </w:p>
        </w:tc>
        <w:tc>
          <w:tcPr>
            <w:tcW w:w="709" w:type="dxa"/>
            <w:tcBorders>
              <w:top w:val="nil"/>
              <w:left w:val="nil"/>
              <w:bottom w:val="nil"/>
              <w:right w:val="single" w:sz="4" w:space="0" w:color="auto"/>
            </w:tcBorders>
            <w:shd w:val="clear" w:color="000000" w:fill="DEEAF6"/>
            <w:vAlign w:val="center"/>
          </w:tcPr>
          <w:p w14:paraId="6A69D54D" w14:textId="4C7F8B5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1,0</w:t>
            </w:r>
          </w:p>
        </w:tc>
      </w:tr>
      <w:tr w:rsidR="00E03E35" w:rsidRPr="000939E3" w14:paraId="6EEB3818" w14:textId="7928E913" w:rsidTr="00FB4735">
        <w:trPr>
          <w:trHeight w:val="246"/>
        </w:trPr>
        <w:tc>
          <w:tcPr>
            <w:tcW w:w="1137" w:type="dxa"/>
            <w:tcBorders>
              <w:top w:val="nil"/>
              <w:left w:val="single" w:sz="4" w:space="0" w:color="auto"/>
              <w:bottom w:val="nil"/>
              <w:right w:val="nil"/>
            </w:tcBorders>
            <w:shd w:val="clear" w:color="auto" w:fill="auto"/>
            <w:noWrap/>
            <w:vAlign w:val="center"/>
          </w:tcPr>
          <w:p w14:paraId="50C948AC"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54F5D2E3"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75A83796" w14:textId="5411B431"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51696FA0" w14:textId="463A93FE"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54EC29F6" w14:textId="504C491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03129E3C" w14:textId="199D050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7C4D0B6E" w14:textId="37D7635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32BC7E8A" w14:textId="5D0AF378"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044F3D31" w14:textId="082B2DE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-0,3</w:t>
            </w:r>
          </w:p>
        </w:tc>
        <w:tc>
          <w:tcPr>
            <w:tcW w:w="749" w:type="dxa"/>
            <w:tcBorders>
              <w:top w:val="nil"/>
              <w:left w:val="nil"/>
              <w:bottom w:val="nil"/>
              <w:right w:val="nil"/>
            </w:tcBorders>
            <w:vAlign w:val="center"/>
          </w:tcPr>
          <w:p w14:paraId="07249866" w14:textId="7B8C61D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318272A4" w14:textId="5393338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-0,3</w:t>
            </w:r>
          </w:p>
        </w:tc>
      </w:tr>
      <w:tr w:rsidR="00E03E35" w:rsidRPr="000939E3" w14:paraId="507AC211" w14:textId="7474D76A" w:rsidTr="00FB4735">
        <w:trPr>
          <w:trHeight w:val="246"/>
        </w:trPr>
        <w:tc>
          <w:tcPr>
            <w:tcW w:w="1137" w:type="dxa"/>
            <w:tcBorders>
              <w:top w:val="nil"/>
              <w:left w:val="single" w:sz="4" w:space="0" w:color="auto"/>
              <w:bottom w:val="nil"/>
              <w:right w:val="nil"/>
            </w:tcBorders>
            <w:shd w:val="clear" w:color="000000" w:fill="DEEAF6"/>
            <w:noWrap/>
            <w:vAlign w:val="center"/>
          </w:tcPr>
          <w:p w14:paraId="50D3F2DE" w14:textId="512D8129"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MV SR</w:t>
            </w:r>
          </w:p>
        </w:tc>
        <w:tc>
          <w:tcPr>
            <w:tcW w:w="5384" w:type="dxa"/>
            <w:tcBorders>
              <w:top w:val="nil"/>
              <w:left w:val="nil"/>
              <w:bottom w:val="nil"/>
              <w:right w:val="nil"/>
            </w:tcBorders>
            <w:shd w:val="clear" w:color="000000" w:fill="DEEAF6"/>
            <w:noWrap/>
            <w:vAlign w:val="center"/>
          </w:tcPr>
          <w:p w14:paraId="6E191C1E" w14:textId="59C0F309"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Riadenie procesov a dát pre OÚ, PZ a HaZZ</w:t>
            </w:r>
          </w:p>
        </w:tc>
        <w:tc>
          <w:tcPr>
            <w:tcW w:w="984" w:type="dxa"/>
            <w:tcBorders>
              <w:top w:val="nil"/>
              <w:left w:val="nil"/>
              <w:bottom w:val="nil"/>
              <w:right w:val="nil"/>
            </w:tcBorders>
            <w:shd w:val="clear" w:color="000000" w:fill="DEEAF6"/>
            <w:noWrap/>
            <w:vAlign w:val="center"/>
          </w:tcPr>
          <w:p w14:paraId="54589333" w14:textId="5A3884BF"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6513DF5F" w14:textId="4549837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466D232B" w14:textId="3045D55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63EAF26C" w14:textId="0215FAF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47631637" w14:textId="2048B9F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3F5814EC" w14:textId="2112ADA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31276C84" w14:textId="649C61E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49" w:type="dxa"/>
            <w:tcBorders>
              <w:top w:val="nil"/>
              <w:left w:val="nil"/>
              <w:bottom w:val="nil"/>
              <w:right w:val="nil"/>
            </w:tcBorders>
            <w:shd w:val="clear" w:color="000000" w:fill="DEEAF6"/>
            <w:vAlign w:val="center"/>
          </w:tcPr>
          <w:p w14:paraId="23061E53" w14:textId="5E65391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52</w:t>
            </w:r>
          </w:p>
        </w:tc>
        <w:tc>
          <w:tcPr>
            <w:tcW w:w="709" w:type="dxa"/>
            <w:tcBorders>
              <w:top w:val="nil"/>
              <w:left w:val="nil"/>
              <w:bottom w:val="nil"/>
              <w:right w:val="single" w:sz="4" w:space="0" w:color="auto"/>
            </w:tcBorders>
            <w:shd w:val="clear" w:color="000000" w:fill="DEEAF6"/>
            <w:vAlign w:val="center"/>
          </w:tcPr>
          <w:p w14:paraId="4178F58B" w14:textId="6C4BA3C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5,2</w:t>
            </w:r>
          </w:p>
        </w:tc>
      </w:tr>
      <w:tr w:rsidR="00E03E35" w:rsidRPr="000939E3" w14:paraId="5B8DFC9F" w14:textId="5870AF09" w:rsidTr="00FB4735">
        <w:trPr>
          <w:trHeight w:val="246"/>
        </w:trPr>
        <w:tc>
          <w:tcPr>
            <w:tcW w:w="1137" w:type="dxa"/>
            <w:tcBorders>
              <w:top w:val="nil"/>
              <w:left w:val="single" w:sz="4" w:space="0" w:color="auto"/>
              <w:bottom w:val="nil"/>
              <w:right w:val="nil"/>
            </w:tcBorders>
            <w:shd w:val="clear" w:color="auto" w:fill="auto"/>
            <w:noWrap/>
            <w:vAlign w:val="center"/>
          </w:tcPr>
          <w:p w14:paraId="1073F646"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4BBB84B7"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73DF3D8A" w14:textId="2CD62E1B"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5648C7E6" w14:textId="2FB3998D"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4129AAA1" w14:textId="1816849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7683C7CA" w14:textId="32E9BB46"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38948067" w14:textId="4BC2302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340EB82D" w14:textId="73BE9CE3"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33BC5823" w14:textId="7295A44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49" w:type="dxa"/>
            <w:tcBorders>
              <w:top w:val="nil"/>
              <w:left w:val="nil"/>
              <w:bottom w:val="nil"/>
              <w:right w:val="nil"/>
            </w:tcBorders>
            <w:vAlign w:val="center"/>
          </w:tcPr>
          <w:p w14:paraId="1471F6E8" w14:textId="71CD174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75F7C86E" w14:textId="640301F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-1,6</w:t>
            </w:r>
          </w:p>
        </w:tc>
      </w:tr>
      <w:tr w:rsidR="00E03E35" w:rsidRPr="000939E3" w14:paraId="2F4FA07B" w14:textId="3DD10DD6" w:rsidTr="00FB4735">
        <w:trPr>
          <w:trHeight w:val="246"/>
        </w:trPr>
        <w:tc>
          <w:tcPr>
            <w:tcW w:w="1137" w:type="dxa"/>
            <w:tcBorders>
              <w:top w:val="nil"/>
              <w:left w:val="single" w:sz="4" w:space="0" w:color="auto"/>
              <w:bottom w:val="nil"/>
              <w:right w:val="nil"/>
            </w:tcBorders>
            <w:shd w:val="clear" w:color="000000" w:fill="DEEAF6"/>
            <w:noWrap/>
            <w:vAlign w:val="center"/>
          </w:tcPr>
          <w:p w14:paraId="71214BA8" w14:textId="62704935"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MV SR</w:t>
            </w:r>
          </w:p>
        </w:tc>
        <w:tc>
          <w:tcPr>
            <w:tcW w:w="5384" w:type="dxa"/>
            <w:tcBorders>
              <w:top w:val="nil"/>
              <w:left w:val="nil"/>
              <w:bottom w:val="nil"/>
              <w:right w:val="nil"/>
            </w:tcBorders>
            <w:shd w:val="clear" w:color="000000" w:fill="DEEAF6"/>
            <w:noWrap/>
            <w:vAlign w:val="center"/>
          </w:tcPr>
          <w:p w14:paraId="25605B74" w14:textId="08B57197"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Živnostenský register</w:t>
            </w:r>
          </w:p>
        </w:tc>
        <w:tc>
          <w:tcPr>
            <w:tcW w:w="984" w:type="dxa"/>
            <w:tcBorders>
              <w:top w:val="nil"/>
              <w:left w:val="nil"/>
              <w:bottom w:val="nil"/>
              <w:right w:val="nil"/>
            </w:tcBorders>
            <w:shd w:val="clear" w:color="000000" w:fill="DEEAF6"/>
            <w:noWrap/>
            <w:vAlign w:val="center"/>
          </w:tcPr>
          <w:p w14:paraId="7CA12882" w14:textId="33D36095"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4D9C0C58" w14:textId="4F2D0CD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76927564" w14:textId="0E5296B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6BAE6CF8" w14:textId="116C683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1D9758D0" w14:textId="06E78E6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5236DAA2" w14:textId="7C4EDFA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38</w:t>
            </w:r>
          </w:p>
        </w:tc>
        <w:tc>
          <w:tcPr>
            <w:tcW w:w="724" w:type="dxa"/>
            <w:tcBorders>
              <w:top w:val="nil"/>
              <w:left w:val="nil"/>
              <w:bottom w:val="nil"/>
              <w:right w:val="single" w:sz="4" w:space="0" w:color="auto"/>
            </w:tcBorders>
            <w:shd w:val="clear" w:color="000000" w:fill="DEEAF6"/>
            <w:noWrap/>
            <w:vAlign w:val="center"/>
          </w:tcPr>
          <w:p w14:paraId="1D6E6619" w14:textId="78E6180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0,8</w:t>
            </w:r>
          </w:p>
        </w:tc>
        <w:tc>
          <w:tcPr>
            <w:tcW w:w="749" w:type="dxa"/>
            <w:tcBorders>
              <w:top w:val="nil"/>
              <w:left w:val="nil"/>
              <w:bottom w:val="nil"/>
              <w:right w:val="nil"/>
            </w:tcBorders>
            <w:shd w:val="clear" w:color="000000" w:fill="DEEAF6"/>
            <w:vAlign w:val="center"/>
          </w:tcPr>
          <w:p w14:paraId="3FDCD427" w14:textId="2E33A33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38</w:t>
            </w:r>
          </w:p>
        </w:tc>
        <w:tc>
          <w:tcPr>
            <w:tcW w:w="709" w:type="dxa"/>
            <w:tcBorders>
              <w:top w:val="nil"/>
              <w:left w:val="nil"/>
              <w:bottom w:val="nil"/>
              <w:right w:val="single" w:sz="4" w:space="0" w:color="auto"/>
            </w:tcBorders>
            <w:shd w:val="clear" w:color="000000" w:fill="DEEAF6"/>
            <w:vAlign w:val="center"/>
          </w:tcPr>
          <w:p w14:paraId="180C978C" w14:textId="0E0998D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0,8</w:t>
            </w:r>
          </w:p>
        </w:tc>
      </w:tr>
      <w:tr w:rsidR="00E03E35" w:rsidRPr="000939E3" w14:paraId="612DB2E3" w14:textId="361E904E" w:rsidTr="007E0AB1">
        <w:trPr>
          <w:trHeight w:val="246"/>
        </w:trPr>
        <w:tc>
          <w:tcPr>
            <w:tcW w:w="1137" w:type="dxa"/>
            <w:tcBorders>
              <w:top w:val="nil"/>
              <w:left w:val="single" w:sz="4" w:space="0" w:color="auto"/>
              <w:right w:val="nil"/>
            </w:tcBorders>
            <w:shd w:val="clear" w:color="auto" w:fill="auto"/>
            <w:noWrap/>
            <w:vAlign w:val="center"/>
          </w:tcPr>
          <w:p w14:paraId="1CCC4888"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right w:val="nil"/>
            </w:tcBorders>
            <w:shd w:val="clear" w:color="auto" w:fill="auto"/>
            <w:noWrap/>
            <w:vAlign w:val="center"/>
          </w:tcPr>
          <w:p w14:paraId="64074592"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right w:val="nil"/>
            </w:tcBorders>
            <w:shd w:val="clear" w:color="auto" w:fill="auto"/>
            <w:noWrap/>
            <w:vAlign w:val="center"/>
          </w:tcPr>
          <w:p w14:paraId="0604ECC7" w14:textId="2139A03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right w:val="nil"/>
            </w:tcBorders>
            <w:shd w:val="clear" w:color="auto" w:fill="auto"/>
            <w:noWrap/>
            <w:vAlign w:val="center"/>
          </w:tcPr>
          <w:p w14:paraId="05FC2FA4" w14:textId="3AC325B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right w:val="single" w:sz="4" w:space="0" w:color="auto"/>
            </w:tcBorders>
            <w:shd w:val="clear" w:color="auto" w:fill="auto"/>
            <w:noWrap/>
            <w:vAlign w:val="center"/>
          </w:tcPr>
          <w:p w14:paraId="36BC5389" w14:textId="6B8B5E0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right w:val="nil"/>
            </w:tcBorders>
            <w:shd w:val="clear" w:color="auto" w:fill="auto"/>
            <w:noWrap/>
            <w:vAlign w:val="center"/>
          </w:tcPr>
          <w:p w14:paraId="71DD8802" w14:textId="5CA356B6"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right w:val="single" w:sz="4" w:space="0" w:color="auto"/>
            </w:tcBorders>
            <w:shd w:val="clear" w:color="auto" w:fill="auto"/>
            <w:noWrap/>
            <w:vAlign w:val="center"/>
          </w:tcPr>
          <w:p w14:paraId="5AB79B61" w14:textId="01425D1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right w:val="nil"/>
            </w:tcBorders>
            <w:shd w:val="clear" w:color="auto" w:fill="auto"/>
            <w:noWrap/>
            <w:vAlign w:val="center"/>
          </w:tcPr>
          <w:p w14:paraId="50D0AC62" w14:textId="69F8D33A"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right w:val="single" w:sz="4" w:space="0" w:color="auto"/>
            </w:tcBorders>
            <w:shd w:val="clear" w:color="auto" w:fill="auto"/>
            <w:noWrap/>
            <w:vAlign w:val="center"/>
          </w:tcPr>
          <w:p w14:paraId="707204C3" w14:textId="09CC3C8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-0,0</w:t>
            </w:r>
          </w:p>
        </w:tc>
        <w:tc>
          <w:tcPr>
            <w:tcW w:w="749" w:type="dxa"/>
            <w:tcBorders>
              <w:top w:val="nil"/>
              <w:left w:val="nil"/>
              <w:right w:val="nil"/>
            </w:tcBorders>
            <w:vAlign w:val="center"/>
          </w:tcPr>
          <w:p w14:paraId="0D05609D" w14:textId="7B3BC26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right w:val="single" w:sz="4" w:space="0" w:color="auto"/>
            </w:tcBorders>
            <w:vAlign w:val="center"/>
          </w:tcPr>
          <w:p w14:paraId="4D92CDE3" w14:textId="3E9E4A8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-0,0</w:t>
            </w:r>
          </w:p>
        </w:tc>
      </w:tr>
      <w:tr w:rsidR="00E03E35" w:rsidRPr="000939E3" w14:paraId="5576261D" w14:textId="13F1573B" w:rsidTr="007E0AB1">
        <w:trPr>
          <w:trHeight w:val="246"/>
        </w:trPr>
        <w:tc>
          <w:tcPr>
            <w:tcW w:w="1137" w:type="dxa"/>
            <w:tcBorders>
              <w:top w:val="nil"/>
              <w:left w:val="single" w:sz="4" w:space="0" w:color="auto"/>
              <w:right w:val="nil"/>
            </w:tcBorders>
            <w:shd w:val="clear" w:color="000000" w:fill="DEEAF6"/>
            <w:noWrap/>
            <w:vAlign w:val="center"/>
          </w:tcPr>
          <w:p w14:paraId="313486A8" w14:textId="599D0337"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MZ SR</w:t>
            </w:r>
          </w:p>
        </w:tc>
        <w:tc>
          <w:tcPr>
            <w:tcW w:w="5384" w:type="dxa"/>
            <w:tcBorders>
              <w:top w:val="nil"/>
              <w:left w:val="nil"/>
              <w:right w:val="nil"/>
            </w:tcBorders>
            <w:shd w:val="clear" w:color="000000" w:fill="DEEAF6"/>
            <w:noWrap/>
            <w:vAlign w:val="center"/>
          </w:tcPr>
          <w:p w14:paraId="471EACDA" w14:textId="77913257"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Analytický nástroj pre podporu ekonomickej regulácie zo strany MZ SR</w:t>
            </w:r>
          </w:p>
        </w:tc>
        <w:tc>
          <w:tcPr>
            <w:tcW w:w="984" w:type="dxa"/>
            <w:tcBorders>
              <w:top w:val="nil"/>
              <w:left w:val="nil"/>
              <w:right w:val="nil"/>
            </w:tcBorders>
            <w:shd w:val="clear" w:color="000000" w:fill="DEEAF6"/>
            <w:noWrap/>
            <w:vAlign w:val="center"/>
          </w:tcPr>
          <w:p w14:paraId="7EDA0E85" w14:textId="184519E3"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right w:val="nil"/>
            </w:tcBorders>
            <w:shd w:val="clear" w:color="000000" w:fill="DEEAF6"/>
            <w:noWrap/>
            <w:vAlign w:val="center"/>
          </w:tcPr>
          <w:p w14:paraId="0E6BF0AB" w14:textId="2DFECAB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right w:val="single" w:sz="4" w:space="0" w:color="auto"/>
            </w:tcBorders>
            <w:shd w:val="clear" w:color="000000" w:fill="DEEAF6"/>
            <w:noWrap/>
            <w:vAlign w:val="center"/>
          </w:tcPr>
          <w:p w14:paraId="5DFC7668" w14:textId="22B2CF1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right w:val="nil"/>
            </w:tcBorders>
            <w:shd w:val="clear" w:color="000000" w:fill="DEEAF6"/>
            <w:noWrap/>
            <w:vAlign w:val="center"/>
          </w:tcPr>
          <w:p w14:paraId="39576D04" w14:textId="40BFFA6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right w:val="single" w:sz="4" w:space="0" w:color="auto"/>
            </w:tcBorders>
            <w:shd w:val="clear" w:color="000000" w:fill="DEEAF6"/>
            <w:noWrap/>
            <w:vAlign w:val="center"/>
          </w:tcPr>
          <w:p w14:paraId="69FE083E" w14:textId="1FF51E3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right w:val="nil"/>
            </w:tcBorders>
            <w:shd w:val="clear" w:color="000000" w:fill="DEEAF6"/>
            <w:noWrap/>
            <w:vAlign w:val="center"/>
          </w:tcPr>
          <w:p w14:paraId="518F31E7" w14:textId="1995596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w:t>
            </w:r>
          </w:p>
        </w:tc>
        <w:tc>
          <w:tcPr>
            <w:tcW w:w="724" w:type="dxa"/>
            <w:tcBorders>
              <w:top w:val="nil"/>
              <w:left w:val="nil"/>
              <w:right w:val="single" w:sz="4" w:space="0" w:color="auto"/>
            </w:tcBorders>
            <w:shd w:val="clear" w:color="000000" w:fill="DEEAF6"/>
            <w:noWrap/>
            <w:vAlign w:val="center"/>
          </w:tcPr>
          <w:p w14:paraId="7D7A3CA9" w14:textId="1192D4E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-0,1</w:t>
            </w:r>
          </w:p>
        </w:tc>
        <w:tc>
          <w:tcPr>
            <w:tcW w:w="749" w:type="dxa"/>
            <w:tcBorders>
              <w:top w:val="nil"/>
              <w:left w:val="nil"/>
              <w:right w:val="nil"/>
            </w:tcBorders>
            <w:shd w:val="clear" w:color="000000" w:fill="DEEAF6"/>
            <w:vAlign w:val="center"/>
          </w:tcPr>
          <w:p w14:paraId="295FA0DE" w14:textId="48FF572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w:t>
            </w:r>
          </w:p>
        </w:tc>
        <w:tc>
          <w:tcPr>
            <w:tcW w:w="709" w:type="dxa"/>
            <w:tcBorders>
              <w:top w:val="nil"/>
              <w:left w:val="nil"/>
              <w:right w:val="single" w:sz="4" w:space="0" w:color="auto"/>
            </w:tcBorders>
            <w:shd w:val="clear" w:color="000000" w:fill="DEEAF6"/>
            <w:vAlign w:val="center"/>
          </w:tcPr>
          <w:p w14:paraId="2CAC3D23" w14:textId="06BF187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0,0</w:t>
            </w:r>
          </w:p>
        </w:tc>
      </w:tr>
      <w:tr w:rsidR="00E03E35" w:rsidRPr="000939E3" w14:paraId="46175413" w14:textId="66B24539" w:rsidTr="007E0AB1">
        <w:trPr>
          <w:trHeight w:val="246"/>
        </w:trPr>
        <w:tc>
          <w:tcPr>
            <w:tcW w:w="1137" w:type="dxa"/>
            <w:tcBorders>
              <w:left w:val="single" w:sz="4" w:space="0" w:color="auto"/>
              <w:bottom w:val="single" w:sz="4" w:space="0" w:color="auto"/>
              <w:right w:val="nil"/>
            </w:tcBorders>
            <w:shd w:val="clear" w:color="auto" w:fill="auto"/>
            <w:noWrap/>
            <w:vAlign w:val="center"/>
          </w:tcPr>
          <w:p w14:paraId="30A11727"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left w:val="nil"/>
              <w:bottom w:val="single" w:sz="4" w:space="0" w:color="auto"/>
              <w:right w:val="nil"/>
            </w:tcBorders>
            <w:shd w:val="clear" w:color="auto" w:fill="auto"/>
            <w:noWrap/>
            <w:vAlign w:val="center"/>
          </w:tcPr>
          <w:p w14:paraId="2F020D3C"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left w:val="nil"/>
              <w:bottom w:val="single" w:sz="4" w:space="0" w:color="auto"/>
              <w:right w:val="nil"/>
            </w:tcBorders>
            <w:shd w:val="clear" w:color="auto" w:fill="auto"/>
            <w:noWrap/>
            <w:vAlign w:val="center"/>
          </w:tcPr>
          <w:p w14:paraId="7CC27702" w14:textId="6C1B120E"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left w:val="single" w:sz="4" w:space="0" w:color="auto"/>
              <w:bottom w:val="single" w:sz="4" w:space="0" w:color="auto"/>
              <w:right w:val="nil"/>
            </w:tcBorders>
            <w:shd w:val="clear" w:color="auto" w:fill="auto"/>
            <w:noWrap/>
            <w:vAlign w:val="center"/>
          </w:tcPr>
          <w:p w14:paraId="4B5C7B1E" w14:textId="65908816"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left w:val="nil"/>
              <w:bottom w:val="single" w:sz="4" w:space="0" w:color="auto"/>
              <w:right w:val="single" w:sz="4" w:space="0" w:color="auto"/>
            </w:tcBorders>
            <w:shd w:val="clear" w:color="auto" w:fill="auto"/>
            <w:noWrap/>
            <w:vAlign w:val="center"/>
          </w:tcPr>
          <w:p w14:paraId="35EBFD40" w14:textId="74C1AE7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left w:val="nil"/>
              <w:bottom w:val="single" w:sz="4" w:space="0" w:color="auto"/>
              <w:right w:val="nil"/>
            </w:tcBorders>
            <w:shd w:val="clear" w:color="auto" w:fill="auto"/>
            <w:noWrap/>
            <w:vAlign w:val="center"/>
          </w:tcPr>
          <w:p w14:paraId="395F4170" w14:textId="45503DAA"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left w:val="nil"/>
              <w:bottom w:val="single" w:sz="4" w:space="0" w:color="auto"/>
              <w:right w:val="single" w:sz="4" w:space="0" w:color="auto"/>
            </w:tcBorders>
            <w:shd w:val="clear" w:color="auto" w:fill="auto"/>
            <w:noWrap/>
            <w:vAlign w:val="center"/>
          </w:tcPr>
          <w:p w14:paraId="165E4094" w14:textId="325A829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left w:val="nil"/>
              <w:bottom w:val="single" w:sz="4" w:space="0" w:color="auto"/>
              <w:right w:val="nil"/>
            </w:tcBorders>
            <w:shd w:val="clear" w:color="auto" w:fill="auto"/>
            <w:noWrap/>
            <w:vAlign w:val="center"/>
          </w:tcPr>
          <w:p w14:paraId="38E02DE8" w14:textId="5550C0E8"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left w:val="nil"/>
              <w:bottom w:val="single" w:sz="4" w:space="0" w:color="auto"/>
              <w:right w:val="single" w:sz="4" w:space="0" w:color="auto"/>
            </w:tcBorders>
            <w:shd w:val="clear" w:color="auto" w:fill="auto"/>
            <w:noWrap/>
            <w:vAlign w:val="center"/>
          </w:tcPr>
          <w:p w14:paraId="0B4DE358" w14:textId="16056D4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-0,2</w:t>
            </w:r>
          </w:p>
        </w:tc>
        <w:tc>
          <w:tcPr>
            <w:tcW w:w="749" w:type="dxa"/>
            <w:tcBorders>
              <w:left w:val="nil"/>
              <w:bottom w:val="single" w:sz="4" w:space="0" w:color="auto"/>
              <w:right w:val="nil"/>
            </w:tcBorders>
            <w:vAlign w:val="center"/>
          </w:tcPr>
          <w:p w14:paraId="44B7BF0E" w14:textId="693D42C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left w:val="nil"/>
              <w:bottom w:val="single" w:sz="4" w:space="0" w:color="auto"/>
              <w:right w:val="single" w:sz="4" w:space="0" w:color="auto"/>
            </w:tcBorders>
            <w:vAlign w:val="center"/>
          </w:tcPr>
          <w:p w14:paraId="60168FEB" w14:textId="6E38E42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-0,1</w:t>
            </w:r>
          </w:p>
        </w:tc>
      </w:tr>
      <w:tr w:rsidR="00E03E35" w:rsidRPr="000939E3" w14:paraId="62FB75F6" w14:textId="5C9C2002" w:rsidTr="007E0AB1">
        <w:trPr>
          <w:trHeight w:val="246"/>
        </w:trPr>
        <w:tc>
          <w:tcPr>
            <w:tcW w:w="1137" w:type="dxa"/>
            <w:tcBorders>
              <w:top w:val="single" w:sz="4" w:space="0" w:color="auto"/>
              <w:left w:val="single" w:sz="4" w:space="0" w:color="auto"/>
              <w:bottom w:val="nil"/>
              <w:right w:val="nil"/>
            </w:tcBorders>
            <w:shd w:val="clear" w:color="000000" w:fill="DEEAF6"/>
            <w:noWrap/>
            <w:vAlign w:val="center"/>
          </w:tcPr>
          <w:p w14:paraId="08014415" w14:textId="1794932B"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MZ SR</w:t>
            </w:r>
          </w:p>
        </w:tc>
        <w:tc>
          <w:tcPr>
            <w:tcW w:w="5384" w:type="dxa"/>
            <w:tcBorders>
              <w:top w:val="single" w:sz="4" w:space="0" w:color="auto"/>
              <w:left w:val="nil"/>
              <w:bottom w:val="nil"/>
              <w:right w:val="nil"/>
            </w:tcBorders>
            <w:shd w:val="clear" w:color="000000" w:fill="DEEAF6"/>
            <w:noWrap/>
            <w:vAlign w:val="center"/>
          </w:tcPr>
          <w:p w14:paraId="339D91AD" w14:textId="39DE8FB2"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Integrovaný systém úradov verejného zdravotníctva</w:t>
            </w:r>
          </w:p>
        </w:tc>
        <w:tc>
          <w:tcPr>
            <w:tcW w:w="984" w:type="dxa"/>
            <w:tcBorders>
              <w:top w:val="single" w:sz="4" w:space="0" w:color="auto"/>
              <w:left w:val="nil"/>
              <w:bottom w:val="nil"/>
              <w:right w:val="nil"/>
            </w:tcBorders>
            <w:shd w:val="clear" w:color="000000" w:fill="DEEAF6"/>
            <w:noWrap/>
            <w:vAlign w:val="center"/>
          </w:tcPr>
          <w:p w14:paraId="3EEA6E98" w14:textId="2A3B668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single" w:sz="4" w:space="0" w:color="auto"/>
              <w:left w:val="single" w:sz="4" w:space="0" w:color="auto"/>
              <w:bottom w:val="nil"/>
              <w:right w:val="nil"/>
            </w:tcBorders>
            <w:shd w:val="clear" w:color="000000" w:fill="DEEAF6"/>
            <w:noWrap/>
            <w:vAlign w:val="center"/>
          </w:tcPr>
          <w:p w14:paraId="42A18167" w14:textId="43D9DC4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single" w:sz="4" w:space="0" w:color="auto"/>
              <w:left w:val="nil"/>
              <w:bottom w:val="nil"/>
              <w:right w:val="single" w:sz="4" w:space="0" w:color="auto"/>
            </w:tcBorders>
            <w:shd w:val="clear" w:color="000000" w:fill="DEEAF6"/>
            <w:noWrap/>
            <w:vAlign w:val="center"/>
          </w:tcPr>
          <w:p w14:paraId="48EE317F" w14:textId="17E389D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single" w:sz="4" w:space="0" w:color="auto"/>
              <w:left w:val="nil"/>
              <w:bottom w:val="nil"/>
              <w:right w:val="nil"/>
            </w:tcBorders>
            <w:shd w:val="clear" w:color="000000" w:fill="DEEAF6"/>
            <w:noWrap/>
            <w:vAlign w:val="center"/>
          </w:tcPr>
          <w:p w14:paraId="74EDB03F" w14:textId="0F2B1FD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318</w:t>
            </w:r>
          </w:p>
        </w:tc>
        <w:tc>
          <w:tcPr>
            <w:tcW w:w="724" w:type="dxa"/>
            <w:tcBorders>
              <w:top w:val="single" w:sz="4" w:space="0" w:color="auto"/>
              <w:left w:val="nil"/>
              <w:bottom w:val="nil"/>
              <w:right w:val="single" w:sz="4" w:space="0" w:color="auto"/>
            </w:tcBorders>
            <w:shd w:val="clear" w:color="000000" w:fill="DEEAF6"/>
            <w:noWrap/>
            <w:vAlign w:val="center"/>
          </w:tcPr>
          <w:p w14:paraId="5D8F5C4B" w14:textId="04708FA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7,0</w:t>
            </w:r>
          </w:p>
        </w:tc>
        <w:tc>
          <w:tcPr>
            <w:tcW w:w="723" w:type="dxa"/>
            <w:tcBorders>
              <w:top w:val="single" w:sz="4" w:space="0" w:color="auto"/>
              <w:left w:val="nil"/>
              <w:bottom w:val="nil"/>
              <w:right w:val="nil"/>
            </w:tcBorders>
            <w:shd w:val="clear" w:color="000000" w:fill="DEEAF6"/>
            <w:noWrap/>
            <w:vAlign w:val="center"/>
          </w:tcPr>
          <w:p w14:paraId="5FD48961" w14:textId="6D440E1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304</w:t>
            </w:r>
          </w:p>
        </w:tc>
        <w:tc>
          <w:tcPr>
            <w:tcW w:w="724" w:type="dxa"/>
            <w:tcBorders>
              <w:top w:val="single" w:sz="4" w:space="0" w:color="auto"/>
              <w:left w:val="nil"/>
              <w:bottom w:val="nil"/>
              <w:right w:val="single" w:sz="4" w:space="0" w:color="auto"/>
            </w:tcBorders>
            <w:shd w:val="clear" w:color="000000" w:fill="DEEAF6"/>
            <w:noWrap/>
            <w:vAlign w:val="center"/>
          </w:tcPr>
          <w:p w14:paraId="77A729CC" w14:textId="66DDCEC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6,7</w:t>
            </w:r>
          </w:p>
        </w:tc>
        <w:tc>
          <w:tcPr>
            <w:tcW w:w="749" w:type="dxa"/>
            <w:tcBorders>
              <w:top w:val="single" w:sz="4" w:space="0" w:color="auto"/>
              <w:left w:val="nil"/>
              <w:bottom w:val="nil"/>
              <w:right w:val="nil"/>
            </w:tcBorders>
            <w:shd w:val="clear" w:color="000000" w:fill="DEEAF6"/>
            <w:vAlign w:val="center"/>
          </w:tcPr>
          <w:p w14:paraId="4203971A" w14:textId="66520E7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275</w:t>
            </w:r>
          </w:p>
        </w:tc>
        <w:tc>
          <w:tcPr>
            <w:tcW w:w="709" w:type="dxa"/>
            <w:tcBorders>
              <w:top w:val="single" w:sz="4" w:space="0" w:color="auto"/>
              <w:left w:val="nil"/>
              <w:bottom w:val="nil"/>
              <w:right w:val="single" w:sz="4" w:space="0" w:color="auto"/>
            </w:tcBorders>
            <w:shd w:val="clear" w:color="000000" w:fill="DEEAF6"/>
            <w:vAlign w:val="center"/>
          </w:tcPr>
          <w:p w14:paraId="6C84CD4F" w14:textId="7500EBB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6,1</w:t>
            </w:r>
          </w:p>
        </w:tc>
      </w:tr>
      <w:tr w:rsidR="00E03E35" w:rsidRPr="000939E3" w14:paraId="11C7B504" w14:textId="3DC52EB5" w:rsidTr="00FB4735">
        <w:trPr>
          <w:trHeight w:val="246"/>
        </w:trPr>
        <w:tc>
          <w:tcPr>
            <w:tcW w:w="1137" w:type="dxa"/>
            <w:tcBorders>
              <w:top w:val="nil"/>
              <w:left w:val="single" w:sz="4" w:space="0" w:color="auto"/>
              <w:bottom w:val="nil"/>
              <w:right w:val="nil"/>
            </w:tcBorders>
            <w:shd w:val="clear" w:color="auto" w:fill="auto"/>
            <w:noWrap/>
            <w:vAlign w:val="center"/>
          </w:tcPr>
          <w:p w14:paraId="63E94C23"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081AB887"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0425D668" w14:textId="3F5F2C63"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3A9F1292" w14:textId="41369D45"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03984D20" w14:textId="673C289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04D36F30" w14:textId="09EE48D5"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3E5D3E82" w14:textId="156CBF4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-0,7</w:t>
            </w:r>
          </w:p>
        </w:tc>
        <w:tc>
          <w:tcPr>
            <w:tcW w:w="723" w:type="dxa"/>
            <w:tcBorders>
              <w:top w:val="nil"/>
              <w:left w:val="nil"/>
              <w:bottom w:val="nil"/>
              <w:right w:val="nil"/>
            </w:tcBorders>
            <w:shd w:val="clear" w:color="auto" w:fill="auto"/>
            <w:noWrap/>
            <w:vAlign w:val="center"/>
          </w:tcPr>
          <w:p w14:paraId="1A33D24D" w14:textId="07F33E4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51179BFA" w14:textId="19A996D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-0,7</w:t>
            </w:r>
          </w:p>
        </w:tc>
        <w:tc>
          <w:tcPr>
            <w:tcW w:w="749" w:type="dxa"/>
            <w:tcBorders>
              <w:top w:val="nil"/>
              <w:left w:val="nil"/>
              <w:bottom w:val="nil"/>
              <w:right w:val="nil"/>
            </w:tcBorders>
            <w:vAlign w:val="center"/>
          </w:tcPr>
          <w:p w14:paraId="0FEDBE8A" w14:textId="1A0D916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509DBBE1" w14:textId="158FCC3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-0,7</w:t>
            </w:r>
          </w:p>
        </w:tc>
      </w:tr>
      <w:tr w:rsidR="00E03E35" w:rsidRPr="000939E3" w14:paraId="6D807079" w14:textId="4E3D96AE" w:rsidTr="00FB4735">
        <w:trPr>
          <w:trHeight w:val="246"/>
        </w:trPr>
        <w:tc>
          <w:tcPr>
            <w:tcW w:w="1137" w:type="dxa"/>
            <w:tcBorders>
              <w:top w:val="nil"/>
              <w:left w:val="single" w:sz="4" w:space="0" w:color="auto"/>
              <w:bottom w:val="nil"/>
              <w:right w:val="nil"/>
            </w:tcBorders>
            <w:shd w:val="clear" w:color="000000" w:fill="DEEAF6"/>
            <w:noWrap/>
            <w:vAlign w:val="center"/>
          </w:tcPr>
          <w:p w14:paraId="35782336" w14:textId="489A7C33"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MZ SR</w:t>
            </w:r>
          </w:p>
        </w:tc>
        <w:tc>
          <w:tcPr>
            <w:tcW w:w="5384" w:type="dxa"/>
            <w:tcBorders>
              <w:top w:val="nil"/>
              <w:left w:val="nil"/>
              <w:bottom w:val="nil"/>
              <w:right w:val="nil"/>
            </w:tcBorders>
            <w:shd w:val="clear" w:color="000000" w:fill="DEEAF6"/>
            <w:noWrap/>
            <w:vAlign w:val="center"/>
          </w:tcPr>
          <w:p w14:paraId="5CEB9067" w14:textId="699B9408"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Implementácia a integrácia podporného informačného systému (IS ÚRPO)</w:t>
            </w:r>
          </w:p>
        </w:tc>
        <w:tc>
          <w:tcPr>
            <w:tcW w:w="984" w:type="dxa"/>
            <w:tcBorders>
              <w:top w:val="nil"/>
              <w:left w:val="nil"/>
              <w:bottom w:val="nil"/>
              <w:right w:val="nil"/>
            </w:tcBorders>
            <w:shd w:val="clear" w:color="000000" w:fill="DEEAF6"/>
            <w:noWrap/>
            <w:vAlign w:val="center"/>
          </w:tcPr>
          <w:p w14:paraId="540FABB0" w14:textId="108AD924"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783A6AD5" w14:textId="39B8F29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74215CCB" w14:textId="073EC99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3EF1DBD8" w14:textId="0EC89E0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5F8BD04C" w14:textId="4163CCF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11C2E3DB" w14:textId="2CBABF5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100</w:t>
            </w:r>
          </w:p>
        </w:tc>
        <w:tc>
          <w:tcPr>
            <w:tcW w:w="724" w:type="dxa"/>
            <w:tcBorders>
              <w:top w:val="nil"/>
              <w:left w:val="nil"/>
              <w:bottom w:val="nil"/>
              <w:right w:val="single" w:sz="4" w:space="0" w:color="auto"/>
            </w:tcBorders>
            <w:shd w:val="clear" w:color="000000" w:fill="DEEAF6"/>
            <w:noWrap/>
            <w:vAlign w:val="center"/>
          </w:tcPr>
          <w:p w14:paraId="7CABFFC7" w14:textId="134BAC3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2,2</w:t>
            </w:r>
          </w:p>
        </w:tc>
        <w:tc>
          <w:tcPr>
            <w:tcW w:w="749" w:type="dxa"/>
            <w:tcBorders>
              <w:top w:val="nil"/>
              <w:left w:val="nil"/>
              <w:bottom w:val="nil"/>
              <w:right w:val="nil"/>
            </w:tcBorders>
            <w:shd w:val="clear" w:color="000000" w:fill="DEEAF6"/>
            <w:vAlign w:val="center"/>
          </w:tcPr>
          <w:p w14:paraId="36F336CE" w14:textId="5919E57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100</w:t>
            </w:r>
          </w:p>
        </w:tc>
        <w:tc>
          <w:tcPr>
            <w:tcW w:w="709" w:type="dxa"/>
            <w:tcBorders>
              <w:top w:val="nil"/>
              <w:left w:val="nil"/>
              <w:bottom w:val="nil"/>
              <w:right w:val="single" w:sz="4" w:space="0" w:color="auto"/>
            </w:tcBorders>
            <w:shd w:val="clear" w:color="000000" w:fill="DEEAF6"/>
            <w:vAlign w:val="center"/>
          </w:tcPr>
          <w:p w14:paraId="2BCA794A" w14:textId="5184BDE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2,2</w:t>
            </w:r>
          </w:p>
        </w:tc>
      </w:tr>
      <w:tr w:rsidR="00E03E35" w:rsidRPr="000939E3" w14:paraId="5E541064" w14:textId="119BCAD3" w:rsidTr="00FB4735">
        <w:trPr>
          <w:trHeight w:val="246"/>
        </w:trPr>
        <w:tc>
          <w:tcPr>
            <w:tcW w:w="1137" w:type="dxa"/>
            <w:tcBorders>
              <w:top w:val="nil"/>
              <w:left w:val="single" w:sz="4" w:space="0" w:color="auto"/>
              <w:bottom w:val="nil"/>
              <w:right w:val="nil"/>
            </w:tcBorders>
            <w:shd w:val="clear" w:color="auto" w:fill="auto"/>
            <w:noWrap/>
            <w:vAlign w:val="center"/>
          </w:tcPr>
          <w:p w14:paraId="7367C378"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6EC2D9FD"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4431A171" w14:textId="6C761F2E"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3F0B407F" w14:textId="0A9726DE"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2DB616D0" w14:textId="63BACF9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3D95F8C3" w14:textId="10B9BB01"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3D752A74" w14:textId="4047DA3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52EA8745" w14:textId="1F8B93C7"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0A5447D3" w14:textId="48B0EF5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0,2</w:t>
            </w:r>
          </w:p>
        </w:tc>
        <w:tc>
          <w:tcPr>
            <w:tcW w:w="749" w:type="dxa"/>
            <w:tcBorders>
              <w:top w:val="nil"/>
              <w:left w:val="nil"/>
              <w:bottom w:val="nil"/>
              <w:right w:val="nil"/>
            </w:tcBorders>
            <w:vAlign w:val="center"/>
          </w:tcPr>
          <w:p w14:paraId="75097E12" w14:textId="46D9CED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20C0CA4F" w14:textId="2CE0F4D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0,2</w:t>
            </w:r>
          </w:p>
        </w:tc>
      </w:tr>
      <w:tr w:rsidR="00E03E35" w:rsidRPr="000939E3" w14:paraId="1BD5491D" w14:textId="1F1E0162" w:rsidTr="00FB4735">
        <w:trPr>
          <w:trHeight w:val="246"/>
        </w:trPr>
        <w:tc>
          <w:tcPr>
            <w:tcW w:w="1137" w:type="dxa"/>
            <w:tcBorders>
              <w:top w:val="nil"/>
              <w:left w:val="single" w:sz="4" w:space="0" w:color="auto"/>
              <w:bottom w:val="nil"/>
              <w:right w:val="nil"/>
            </w:tcBorders>
            <w:shd w:val="clear" w:color="000000" w:fill="DEEAF6"/>
            <w:noWrap/>
            <w:vAlign w:val="center"/>
          </w:tcPr>
          <w:p w14:paraId="5A05A2A5" w14:textId="4D1D6A57"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MŽP SR</w:t>
            </w:r>
          </w:p>
        </w:tc>
        <w:tc>
          <w:tcPr>
            <w:tcW w:w="5384" w:type="dxa"/>
            <w:tcBorders>
              <w:top w:val="nil"/>
              <w:left w:val="nil"/>
              <w:bottom w:val="nil"/>
              <w:right w:val="nil"/>
            </w:tcBorders>
            <w:shd w:val="clear" w:color="000000" w:fill="DEEAF6"/>
            <w:noWrap/>
            <w:vAlign w:val="center"/>
          </w:tcPr>
          <w:p w14:paraId="253D7760" w14:textId="403F27D9"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Jednotný prístup k priestorovým údajom a</w:t>
            </w:r>
            <w:r w:rsidR="005E0C5A" w:rsidRPr="000939E3">
              <w:rPr>
                <w:color w:val="000000"/>
                <w:sz w:val="18"/>
                <w:szCs w:val="18"/>
              </w:rPr>
              <w:t> </w:t>
            </w:r>
            <w:r w:rsidRPr="000939E3">
              <w:rPr>
                <w:color w:val="000000"/>
                <w:sz w:val="18"/>
                <w:szCs w:val="18"/>
              </w:rPr>
              <w:t>službám</w:t>
            </w:r>
            <w:r w:rsidR="005E0C5A" w:rsidRPr="000939E3">
              <w:rPr>
                <w:color w:val="000000"/>
                <w:sz w:val="18"/>
                <w:szCs w:val="18"/>
              </w:rPr>
              <w:t>*</w:t>
            </w:r>
          </w:p>
        </w:tc>
        <w:tc>
          <w:tcPr>
            <w:tcW w:w="984" w:type="dxa"/>
            <w:tcBorders>
              <w:top w:val="nil"/>
              <w:left w:val="nil"/>
              <w:bottom w:val="nil"/>
              <w:right w:val="nil"/>
            </w:tcBorders>
            <w:shd w:val="clear" w:color="000000" w:fill="DEEAF6"/>
            <w:noWrap/>
            <w:vAlign w:val="center"/>
          </w:tcPr>
          <w:p w14:paraId="421952C6" w14:textId="2782B634"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608958E9" w14:textId="5C94BCB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1024BA77" w14:textId="51195BF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6C121635" w14:textId="54E9697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0CEAEB30" w14:textId="197F110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2B4D54B3" w14:textId="3ABD38D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29</w:t>
            </w:r>
          </w:p>
        </w:tc>
        <w:tc>
          <w:tcPr>
            <w:tcW w:w="724" w:type="dxa"/>
            <w:tcBorders>
              <w:top w:val="nil"/>
              <w:left w:val="nil"/>
              <w:bottom w:val="nil"/>
              <w:right w:val="single" w:sz="4" w:space="0" w:color="auto"/>
            </w:tcBorders>
            <w:shd w:val="clear" w:color="000000" w:fill="DEEAF6"/>
            <w:noWrap/>
            <w:vAlign w:val="center"/>
          </w:tcPr>
          <w:p w14:paraId="50B71CB6" w14:textId="083AA79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0,6</w:t>
            </w:r>
          </w:p>
        </w:tc>
        <w:tc>
          <w:tcPr>
            <w:tcW w:w="749" w:type="dxa"/>
            <w:tcBorders>
              <w:top w:val="nil"/>
              <w:left w:val="nil"/>
              <w:bottom w:val="nil"/>
              <w:right w:val="nil"/>
            </w:tcBorders>
            <w:shd w:val="clear" w:color="000000" w:fill="DEEAF6"/>
            <w:vAlign w:val="center"/>
          </w:tcPr>
          <w:p w14:paraId="289B529F" w14:textId="4D3CF02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103</w:t>
            </w:r>
          </w:p>
        </w:tc>
        <w:tc>
          <w:tcPr>
            <w:tcW w:w="709" w:type="dxa"/>
            <w:tcBorders>
              <w:top w:val="nil"/>
              <w:left w:val="nil"/>
              <w:bottom w:val="nil"/>
              <w:right w:val="single" w:sz="4" w:space="0" w:color="auto"/>
            </w:tcBorders>
            <w:shd w:val="clear" w:color="000000" w:fill="DEEAF6"/>
            <w:vAlign w:val="center"/>
          </w:tcPr>
          <w:p w14:paraId="5D27C76B" w14:textId="35D5D1E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2,3</w:t>
            </w:r>
          </w:p>
        </w:tc>
      </w:tr>
      <w:tr w:rsidR="00E03E35" w:rsidRPr="000939E3" w14:paraId="2911CB18" w14:textId="5A1A4443" w:rsidTr="00FB4735">
        <w:trPr>
          <w:trHeight w:val="246"/>
        </w:trPr>
        <w:tc>
          <w:tcPr>
            <w:tcW w:w="1137" w:type="dxa"/>
            <w:tcBorders>
              <w:top w:val="nil"/>
              <w:left w:val="single" w:sz="4" w:space="0" w:color="auto"/>
              <w:bottom w:val="nil"/>
              <w:right w:val="nil"/>
            </w:tcBorders>
            <w:shd w:val="clear" w:color="auto" w:fill="auto"/>
            <w:noWrap/>
            <w:vAlign w:val="center"/>
          </w:tcPr>
          <w:p w14:paraId="60628C97"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3FB85964"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1E4A37AF" w14:textId="66E23434"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2046ECB3" w14:textId="0EF98BF4"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5BF34460" w14:textId="167ADA0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1E92FD4E" w14:textId="020BC00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080C586E" w14:textId="17D177F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5CA92530" w14:textId="59F4593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6004893D" w14:textId="0E10321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49" w:type="dxa"/>
            <w:tcBorders>
              <w:top w:val="nil"/>
              <w:left w:val="nil"/>
              <w:bottom w:val="nil"/>
              <w:right w:val="nil"/>
            </w:tcBorders>
            <w:vAlign w:val="center"/>
          </w:tcPr>
          <w:p w14:paraId="2426862E" w14:textId="1E5F117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3CB9A9DD" w14:textId="402D21D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-0,5</w:t>
            </w:r>
          </w:p>
        </w:tc>
      </w:tr>
      <w:tr w:rsidR="00E03E35" w:rsidRPr="000939E3" w14:paraId="2E617DAC" w14:textId="39B64FDD" w:rsidTr="00FB4735">
        <w:trPr>
          <w:trHeight w:val="246"/>
        </w:trPr>
        <w:tc>
          <w:tcPr>
            <w:tcW w:w="1137" w:type="dxa"/>
            <w:tcBorders>
              <w:top w:val="nil"/>
              <w:left w:val="single" w:sz="4" w:space="0" w:color="auto"/>
              <w:bottom w:val="nil"/>
              <w:right w:val="nil"/>
            </w:tcBorders>
            <w:shd w:val="clear" w:color="000000" w:fill="DEEAF6"/>
            <w:noWrap/>
            <w:vAlign w:val="center"/>
          </w:tcPr>
          <w:p w14:paraId="2AA91AB5" w14:textId="1E795197"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SP</w:t>
            </w:r>
          </w:p>
        </w:tc>
        <w:tc>
          <w:tcPr>
            <w:tcW w:w="5384" w:type="dxa"/>
            <w:tcBorders>
              <w:top w:val="nil"/>
              <w:left w:val="nil"/>
              <w:bottom w:val="nil"/>
              <w:right w:val="nil"/>
            </w:tcBorders>
            <w:shd w:val="clear" w:color="000000" w:fill="DEEAF6"/>
            <w:noWrap/>
            <w:vAlign w:val="center"/>
          </w:tcPr>
          <w:p w14:paraId="34725411" w14:textId="2F3BBEB6"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xml:space="preserve">Modernizácia dávkových agend Sociálnej poisťovne </w:t>
            </w:r>
          </w:p>
        </w:tc>
        <w:tc>
          <w:tcPr>
            <w:tcW w:w="984" w:type="dxa"/>
            <w:tcBorders>
              <w:top w:val="nil"/>
              <w:left w:val="nil"/>
              <w:bottom w:val="nil"/>
              <w:right w:val="nil"/>
            </w:tcBorders>
            <w:shd w:val="clear" w:color="000000" w:fill="DEEAF6"/>
            <w:noWrap/>
            <w:vAlign w:val="center"/>
          </w:tcPr>
          <w:p w14:paraId="210FE080" w14:textId="22101014"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79245D8C" w14:textId="5D459F7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0325B5E7" w14:textId="5302732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58C02413" w14:textId="2008E62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18</w:t>
            </w:r>
          </w:p>
        </w:tc>
        <w:tc>
          <w:tcPr>
            <w:tcW w:w="724" w:type="dxa"/>
            <w:tcBorders>
              <w:top w:val="nil"/>
              <w:left w:val="nil"/>
              <w:bottom w:val="nil"/>
              <w:right w:val="single" w:sz="4" w:space="0" w:color="auto"/>
            </w:tcBorders>
            <w:shd w:val="clear" w:color="000000" w:fill="DEEAF6"/>
            <w:noWrap/>
            <w:vAlign w:val="center"/>
          </w:tcPr>
          <w:p w14:paraId="5E34DFD8" w14:textId="107336F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0,4</w:t>
            </w:r>
          </w:p>
        </w:tc>
        <w:tc>
          <w:tcPr>
            <w:tcW w:w="723" w:type="dxa"/>
            <w:tcBorders>
              <w:top w:val="nil"/>
              <w:left w:val="nil"/>
              <w:bottom w:val="nil"/>
              <w:right w:val="nil"/>
            </w:tcBorders>
            <w:shd w:val="clear" w:color="000000" w:fill="DEEAF6"/>
            <w:noWrap/>
            <w:vAlign w:val="center"/>
          </w:tcPr>
          <w:p w14:paraId="2D7C4460" w14:textId="2F10B42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64</w:t>
            </w:r>
          </w:p>
        </w:tc>
        <w:tc>
          <w:tcPr>
            <w:tcW w:w="724" w:type="dxa"/>
            <w:tcBorders>
              <w:top w:val="nil"/>
              <w:left w:val="nil"/>
              <w:bottom w:val="nil"/>
              <w:right w:val="single" w:sz="4" w:space="0" w:color="auto"/>
            </w:tcBorders>
            <w:shd w:val="clear" w:color="000000" w:fill="DEEAF6"/>
            <w:noWrap/>
            <w:vAlign w:val="center"/>
          </w:tcPr>
          <w:p w14:paraId="1357E7BA" w14:textId="2EDBA01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1,4</w:t>
            </w:r>
          </w:p>
        </w:tc>
        <w:tc>
          <w:tcPr>
            <w:tcW w:w="749" w:type="dxa"/>
            <w:tcBorders>
              <w:top w:val="nil"/>
              <w:left w:val="nil"/>
              <w:bottom w:val="nil"/>
              <w:right w:val="nil"/>
            </w:tcBorders>
            <w:shd w:val="clear" w:color="000000" w:fill="DEEAF6"/>
            <w:vAlign w:val="center"/>
          </w:tcPr>
          <w:p w14:paraId="2A6D68E4" w14:textId="3A98A7F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90</w:t>
            </w:r>
          </w:p>
        </w:tc>
        <w:tc>
          <w:tcPr>
            <w:tcW w:w="709" w:type="dxa"/>
            <w:tcBorders>
              <w:top w:val="nil"/>
              <w:left w:val="nil"/>
              <w:bottom w:val="nil"/>
              <w:right w:val="single" w:sz="4" w:space="0" w:color="auto"/>
            </w:tcBorders>
            <w:shd w:val="clear" w:color="000000" w:fill="DEEAF6"/>
            <w:vAlign w:val="center"/>
          </w:tcPr>
          <w:p w14:paraId="22229D31" w14:textId="0D703E8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1,9</w:t>
            </w:r>
          </w:p>
        </w:tc>
      </w:tr>
      <w:tr w:rsidR="00E03E35" w:rsidRPr="000939E3" w14:paraId="1B057C19" w14:textId="24F5145A" w:rsidTr="00FB4735">
        <w:trPr>
          <w:trHeight w:val="246"/>
        </w:trPr>
        <w:tc>
          <w:tcPr>
            <w:tcW w:w="1137" w:type="dxa"/>
            <w:tcBorders>
              <w:top w:val="nil"/>
              <w:left w:val="single" w:sz="4" w:space="0" w:color="auto"/>
              <w:bottom w:val="nil"/>
              <w:right w:val="nil"/>
            </w:tcBorders>
            <w:shd w:val="clear" w:color="auto" w:fill="auto"/>
            <w:noWrap/>
            <w:vAlign w:val="center"/>
          </w:tcPr>
          <w:p w14:paraId="6D1F04AD"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5A034ED7"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4BF480D2" w14:textId="261C1A7D"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7DFED5A5" w14:textId="1F30E589"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34572795" w14:textId="31E26E1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0E9656B9" w14:textId="56A75B53"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3889B7A5" w14:textId="6D67649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165716E0" w14:textId="328B65E7"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2615525D" w14:textId="28D10F6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2,8</w:t>
            </w:r>
          </w:p>
        </w:tc>
        <w:tc>
          <w:tcPr>
            <w:tcW w:w="749" w:type="dxa"/>
            <w:tcBorders>
              <w:top w:val="nil"/>
              <w:left w:val="nil"/>
              <w:bottom w:val="nil"/>
              <w:right w:val="nil"/>
            </w:tcBorders>
            <w:vAlign w:val="center"/>
          </w:tcPr>
          <w:p w14:paraId="211A6979" w14:textId="7749D7D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691A9955" w14:textId="66EAF82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2,9</w:t>
            </w:r>
          </w:p>
        </w:tc>
      </w:tr>
      <w:tr w:rsidR="00E03E35" w:rsidRPr="000939E3" w14:paraId="2F128B89" w14:textId="3C794D83" w:rsidTr="00FB4735">
        <w:trPr>
          <w:trHeight w:val="246"/>
        </w:trPr>
        <w:tc>
          <w:tcPr>
            <w:tcW w:w="1137" w:type="dxa"/>
            <w:tcBorders>
              <w:top w:val="nil"/>
              <w:left w:val="single" w:sz="4" w:space="0" w:color="auto"/>
              <w:bottom w:val="nil"/>
              <w:right w:val="nil"/>
            </w:tcBorders>
            <w:shd w:val="clear" w:color="000000" w:fill="DEEAF6"/>
            <w:noWrap/>
            <w:vAlign w:val="center"/>
          </w:tcPr>
          <w:p w14:paraId="3C769B68" w14:textId="5F3EB2ED"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ŠU SR</w:t>
            </w:r>
          </w:p>
        </w:tc>
        <w:tc>
          <w:tcPr>
            <w:tcW w:w="5384" w:type="dxa"/>
            <w:tcBorders>
              <w:top w:val="nil"/>
              <w:left w:val="nil"/>
              <w:bottom w:val="nil"/>
              <w:right w:val="nil"/>
            </w:tcBorders>
            <w:shd w:val="clear" w:color="000000" w:fill="DEEAF6"/>
            <w:noWrap/>
            <w:vAlign w:val="center"/>
          </w:tcPr>
          <w:p w14:paraId="2D34B3D5" w14:textId="0363283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Jednotný informačný systém štatistických údajov</w:t>
            </w:r>
          </w:p>
        </w:tc>
        <w:tc>
          <w:tcPr>
            <w:tcW w:w="984" w:type="dxa"/>
            <w:tcBorders>
              <w:top w:val="nil"/>
              <w:left w:val="nil"/>
              <w:bottom w:val="nil"/>
              <w:right w:val="nil"/>
            </w:tcBorders>
            <w:shd w:val="clear" w:color="000000" w:fill="DEEAF6"/>
            <w:noWrap/>
            <w:vAlign w:val="center"/>
          </w:tcPr>
          <w:p w14:paraId="59E3BE0E" w14:textId="0E0B3C2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10FF0A76" w14:textId="600E3F2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23410F82" w14:textId="1D9AEAA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11FCC260" w14:textId="5B29F1A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28B98FAE" w14:textId="732932D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71C9BF87" w14:textId="0E91514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102</w:t>
            </w:r>
          </w:p>
        </w:tc>
        <w:tc>
          <w:tcPr>
            <w:tcW w:w="724" w:type="dxa"/>
            <w:tcBorders>
              <w:top w:val="nil"/>
              <w:left w:val="nil"/>
              <w:bottom w:val="nil"/>
              <w:right w:val="single" w:sz="4" w:space="0" w:color="auto"/>
            </w:tcBorders>
            <w:shd w:val="clear" w:color="000000" w:fill="DEEAF6"/>
            <w:noWrap/>
            <w:vAlign w:val="center"/>
          </w:tcPr>
          <w:p w14:paraId="63C59C85" w14:textId="77E705F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2,1</w:t>
            </w:r>
          </w:p>
        </w:tc>
        <w:tc>
          <w:tcPr>
            <w:tcW w:w="749" w:type="dxa"/>
            <w:tcBorders>
              <w:top w:val="nil"/>
              <w:left w:val="nil"/>
              <w:bottom w:val="nil"/>
              <w:right w:val="nil"/>
            </w:tcBorders>
            <w:shd w:val="clear" w:color="000000" w:fill="DEEAF6"/>
            <w:vAlign w:val="center"/>
          </w:tcPr>
          <w:p w14:paraId="5D0DC78C" w14:textId="74DC253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102</w:t>
            </w:r>
          </w:p>
        </w:tc>
        <w:tc>
          <w:tcPr>
            <w:tcW w:w="709" w:type="dxa"/>
            <w:tcBorders>
              <w:top w:val="nil"/>
              <w:left w:val="nil"/>
              <w:bottom w:val="nil"/>
              <w:right w:val="single" w:sz="4" w:space="0" w:color="auto"/>
            </w:tcBorders>
            <w:shd w:val="clear" w:color="000000" w:fill="DEEAF6"/>
            <w:vAlign w:val="center"/>
          </w:tcPr>
          <w:p w14:paraId="149F6931" w14:textId="3C8CF5E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2,1</w:t>
            </w:r>
          </w:p>
        </w:tc>
      </w:tr>
      <w:tr w:rsidR="00E03E35" w:rsidRPr="000939E3" w14:paraId="5302F540" w14:textId="42934508" w:rsidTr="00FB4735">
        <w:trPr>
          <w:trHeight w:val="246"/>
        </w:trPr>
        <w:tc>
          <w:tcPr>
            <w:tcW w:w="1137" w:type="dxa"/>
            <w:tcBorders>
              <w:top w:val="nil"/>
              <w:left w:val="single" w:sz="4" w:space="0" w:color="auto"/>
              <w:bottom w:val="nil"/>
              <w:right w:val="nil"/>
            </w:tcBorders>
            <w:shd w:val="clear" w:color="auto" w:fill="auto"/>
            <w:noWrap/>
            <w:vAlign w:val="center"/>
          </w:tcPr>
          <w:p w14:paraId="757FCBDA"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42BC562B"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4E427FB8" w14:textId="06C2F5BE"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682A9659" w14:textId="005A247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44D6D2BC" w14:textId="1D3488D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005F608D" w14:textId="0371B99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6607A410" w14:textId="3CEA44F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4E2DE569" w14:textId="02640FB9"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51C6CF13" w14:textId="53BBDFD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-0,4</w:t>
            </w:r>
          </w:p>
        </w:tc>
        <w:tc>
          <w:tcPr>
            <w:tcW w:w="749" w:type="dxa"/>
            <w:tcBorders>
              <w:top w:val="nil"/>
              <w:left w:val="nil"/>
              <w:bottom w:val="nil"/>
              <w:right w:val="nil"/>
            </w:tcBorders>
            <w:vAlign w:val="center"/>
          </w:tcPr>
          <w:p w14:paraId="323E1556" w14:textId="6986CDF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26CC21A5" w14:textId="73994B0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-0,4</w:t>
            </w:r>
          </w:p>
        </w:tc>
      </w:tr>
      <w:tr w:rsidR="00E03E35" w:rsidRPr="000939E3" w14:paraId="11509832" w14:textId="00337356" w:rsidTr="00FB4735">
        <w:trPr>
          <w:trHeight w:val="246"/>
        </w:trPr>
        <w:tc>
          <w:tcPr>
            <w:tcW w:w="1137" w:type="dxa"/>
            <w:tcBorders>
              <w:top w:val="nil"/>
              <w:left w:val="single" w:sz="4" w:space="0" w:color="auto"/>
              <w:bottom w:val="nil"/>
              <w:right w:val="nil"/>
            </w:tcBorders>
            <w:shd w:val="clear" w:color="000000" w:fill="DEEAF6"/>
            <w:noWrap/>
            <w:vAlign w:val="center"/>
          </w:tcPr>
          <w:p w14:paraId="338780ED" w14:textId="5AE16AB8"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ÚPREKAPS</w:t>
            </w:r>
          </w:p>
        </w:tc>
        <w:tc>
          <w:tcPr>
            <w:tcW w:w="5384" w:type="dxa"/>
            <w:tcBorders>
              <w:top w:val="nil"/>
              <w:left w:val="nil"/>
              <w:bottom w:val="nil"/>
              <w:right w:val="nil"/>
            </w:tcBorders>
            <w:shd w:val="clear" w:color="000000" w:fill="DEEAF6"/>
            <w:noWrap/>
            <w:vAlign w:val="center"/>
          </w:tcPr>
          <w:p w14:paraId="7069D46B" w14:textId="14C800D2"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Projekt rozvoja IS pre elektronické služby RÚ</w:t>
            </w:r>
          </w:p>
        </w:tc>
        <w:tc>
          <w:tcPr>
            <w:tcW w:w="984" w:type="dxa"/>
            <w:tcBorders>
              <w:top w:val="nil"/>
              <w:left w:val="nil"/>
              <w:bottom w:val="nil"/>
              <w:right w:val="nil"/>
            </w:tcBorders>
            <w:shd w:val="clear" w:color="000000" w:fill="DEEAF6"/>
            <w:noWrap/>
            <w:vAlign w:val="center"/>
          </w:tcPr>
          <w:p w14:paraId="27070249" w14:textId="57D421F3"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52EF7645" w14:textId="002740D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47992768" w14:textId="7CEE6E1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5989A1AA" w14:textId="62022BD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100BCB48" w14:textId="0859BED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2F823870" w14:textId="75FAF3C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50</w:t>
            </w:r>
          </w:p>
        </w:tc>
        <w:tc>
          <w:tcPr>
            <w:tcW w:w="724" w:type="dxa"/>
            <w:tcBorders>
              <w:top w:val="nil"/>
              <w:left w:val="nil"/>
              <w:bottom w:val="nil"/>
              <w:right w:val="single" w:sz="4" w:space="0" w:color="auto"/>
            </w:tcBorders>
            <w:shd w:val="clear" w:color="000000" w:fill="DEEAF6"/>
            <w:noWrap/>
            <w:vAlign w:val="center"/>
          </w:tcPr>
          <w:p w14:paraId="31BBEBC4" w14:textId="37660F0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1,0</w:t>
            </w:r>
          </w:p>
        </w:tc>
        <w:tc>
          <w:tcPr>
            <w:tcW w:w="749" w:type="dxa"/>
            <w:tcBorders>
              <w:top w:val="nil"/>
              <w:left w:val="nil"/>
              <w:bottom w:val="nil"/>
              <w:right w:val="nil"/>
            </w:tcBorders>
            <w:shd w:val="clear" w:color="000000" w:fill="DEEAF6"/>
            <w:vAlign w:val="center"/>
          </w:tcPr>
          <w:p w14:paraId="37302EE4" w14:textId="615C3AC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50</w:t>
            </w:r>
          </w:p>
        </w:tc>
        <w:tc>
          <w:tcPr>
            <w:tcW w:w="709" w:type="dxa"/>
            <w:tcBorders>
              <w:top w:val="nil"/>
              <w:left w:val="nil"/>
              <w:bottom w:val="nil"/>
              <w:right w:val="single" w:sz="4" w:space="0" w:color="auto"/>
            </w:tcBorders>
            <w:shd w:val="clear" w:color="000000" w:fill="DEEAF6"/>
            <w:vAlign w:val="center"/>
          </w:tcPr>
          <w:p w14:paraId="50DC6D27" w14:textId="2A47514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1,0</w:t>
            </w:r>
          </w:p>
        </w:tc>
      </w:tr>
      <w:tr w:rsidR="00E03E35" w:rsidRPr="000939E3" w14:paraId="15CBD757" w14:textId="335452E1" w:rsidTr="00FB4735">
        <w:trPr>
          <w:trHeight w:val="246"/>
        </w:trPr>
        <w:tc>
          <w:tcPr>
            <w:tcW w:w="1137" w:type="dxa"/>
            <w:tcBorders>
              <w:top w:val="nil"/>
              <w:left w:val="single" w:sz="4" w:space="0" w:color="auto"/>
              <w:bottom w:val="nil"/>
              <w:right w:val="nil"/>
            </w:tcBorders>
            <w:shd w:val="clear" w:color="auto" w:fill="auto"/>
            <w:noWrap/>
            <w:vAlign w:val="center"/>
          </w:tcPr>
          <w:p w14:paraId="5BEB6F68"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721DE04A"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7F326C38" w14:textId="0D054BF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4C6E8B91" w14:textId="1F3EEC7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47ED10D1" w14:textId="4C014BA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6CAB0547" w14:textId="68BFD34E"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77F66F73" w14:textId="221A336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441E75F4" w14:textId="62339923"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5F9FF020" w14:textId="7086CAE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-0,2</w:t>
            </w:r>
          </w:p>
        </w:tc>
        <w:tc>
          <w:tcPr>
            <w:tcW w:w="749" w:type="dxa"/>
            <w:tcBorders>
              <w:top w:val="nil"/>
              <w:left w:val="nil"/>
              <w:bottom w:val="nil"/>
              <w:right w:val="nil"/>
            </w:tcBorders>
            <w:vAlign w:val="center"/>
          </w:tcPr>
          <w:p w14:paraId="2C4CDE70" w14:textId="7E23BF8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44FC3E35" w14:textId="3C78CCA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-0,2</w:t>
            </w:r>
          </w:p>
        </w:tc>
      </w:tr>
      <w:tr w:rsidR="00E03E35" w:rsidRPr="000939E3" w14:paraId="6C897ECC" w14:textId="1BEB4123" w:rsidTr="00FB4735">
        <w:trPr>
          <w:trHeight w:val="246"/>
        </w:trPr>
        <w:tc>
          <w:tcPr>
            <w:tcW w:w="1137" w:type="dxa"/>
            <w:tcBorders>
              <w:top w:val="nil"/>
              <w:left w:val="single" w:sz="4" w:space="0" w:color="auto"/>
              <w:bottom w:val="nil"/>
              <w:right w:val="nil"/>
            </w:tcBorders>
            <w:shd w:val="clear" w:color="000000" w:fill="DEEAF6"/>
            <w:noWrap/>
            <w:vAlign w:val="center"/>
          </w:tcPr>
          <w:p w14:paraId="4810E4AB" w14:textId="01501EAE"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ÚPVII</w:t>
            </w:r>
          </w:p>
        </w:tc>
        <w:tc>
          <w:tcPr>
            <w:tcW w:w="5384" w:type="dxa"/>
            <w:tcBorders>
              <w:top w:val="nil"/>
              <w:left w:val="nil"/>
              <w:bottom w:val="nil"/>
              <w:right w:val="nil"/>
            </w:tcBorders>
            <w:shd w:val="clear" w:color="000000" w:fill="DEEAF6"/>
            <w:noWrap/>
            <w:vAlign w:val="center"/>
          </w:tcPr>
          <w:p w14:paraId="4B215993" w14:textId="79B59DE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Komplexný informačný systém riadenia výkonnosti a podpory</w:t>
            </w:r>
          </w:p>
        </w:tc>
        <w:tc>
          <w:tcPr>
            <w:tcW w:w="984" w:type="dxa"/>
            <w:tcBorders>
              <w:top w:val="nil"/>
              <w:left w:val="nil"/>
              <w:bottom w:val="nil"/>
              <w:right w:val="nil"/>
            </w:tcBorders>
            <w:shd w:val="clear" w:color="000000" w:fill="DEEAF6"/>
            <w:noWrap/>
            <w:vAlign w:val="center"/>
          </w:tcPr>
          <w:p w14:paraId="597633FE" w14:textId="47786716"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26B57E14" w14:textId="7117A23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1BB280D6" w14:textId="32B6EF0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2A0554BB" w14:textId="2EFD7BE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w:t>
            </w:r>
          </w:p>
        </w:tc>
        <w:tc>
          <w:tcPr>
            <w:tcW w:w="724" w:type="dxa"/>
            <w:tcBorders>
              <w:top w:val="nil"/>
              <w:left w:val="nil"/>
              <w:bottom w:val="nil"/>
              <w:right w:val="single" w:sz="4" w:space="0" w:color="auto"/>
            </w:tcBorders>
            <w:shd w:val="clear" w:color="000000" w:fill="DEEAF6"/>
            <w:noWrap/>
            <w:vAlign w:val="center"/>
          </w:tcPr>
          <w:p w14:paraId="29904C3F" w14:textId="4D86E68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0,1</w:t>
            </w:r>
          </w:p>
        </w:tc>
        <w:tc>
          <w:tcPr>
            <w:tcW w:w="723" w:type="dxa"/>
            <w:tcBorders>
              <w:top w:val="nil"/>
              <w:left w:val="nil"/>
              <w:bottom w:val="nil"/>
              <w:right w:val="nil"/>
            </w:tcBorders>
            <w:shd w:val="clear" w:color="000000" w:fill="DEEAF6"/>
            <w:noWrap/>
            <w:vAlign w:val="center"/>
          </w:tcPr>
          <w:p w14:paraId="1FC9DD36" w14:textId="4B4740F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w:t>
            </w:r>
          </w:p>
        </w:tc>
        <w:tc>
          <w:tcPr>
            <w:tcW w:w="724" w:type="dxa"/>
            <w:tcBorders>
              <w:top w:val="nil"/>
              <w:left w:val="nil"/>
              <w:bottom w:val="nil"/>
              <w:right w:val="single" w:sz="4" w:space="0" w:color="auto"/>
            </w:tcBorders>
            <w:shd w:val="clear" w:color="000000" w:fill="DEEAF6"/>
            <w:noWrap/>
            <w:vAlign w:val="center"/>
          </w:tcPr>
          <w:p w14:paraId="1E382FAB" w14:textId="0794B8E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0,1</w:t>
            </w:r>
          </w:p>
        </w:tc>
        <w:tc>
          <w:tcPr>
            <w:tcW w:w="749" w:type="dxa"/>
            <w:tcBorders>
              <w:top w:val="nil"/>
              <w:left w:val="nil"/>
              <w:bottom w:val="nil"/>
              <w:right w:val="nil"/>
            </w:tcBorders>
            <w:shd w:val="clear" w:color="000000" w:fill="DEEAF6"/>
            <w:vAlign w:val="center"/>
          </w:tcPr>
          <w:p w14:paraId="001DEF2D" w14:textId="6F860F9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w:t>
            </w:r>
          </w:p>
        </w:tc>
        <w:tc>
          <w:tcPr>
            <w:tcW w:w="709" w:type="dxa"/>
            <w:tcBorders>
              <w:top w:val="nil"/>
              <w:left w:val="nil"/>
              <w:bottom w:val="nil"/>
              <w:right w:val="single" w:sz="4" w:space="0" w:color="auto"/>
            </w:tcBorders>
            <w:shd w:val="clear" w:color="000000" w:fill="DEEAF6"/>
            <w:vAlign w:val="center"/>
          </w:tcPr>
          <w:p w14:paraId="2B2E92F0" w14:textId="051205D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0,1</w:t>
            </w:r>
          </w:p>
        </w:tc>
      </w:tr>
      <w:tr w:rsidR="00E03E35" w:rsidRPr="000939E3" w14:paraId="5EB8C40E" w14:textId="34C7D602" w:rsidTr="00FB4735">
        <w:trPr>
          <w:trHeight w:val="246"/>
        </w:trPr>
        <w:tc>
          <w:tcPr>
            <w:tcW w:w="1137" w:type="dxa"/>
            <w:tcBorders>
              <w:top w:val="nil"/>
              <w:left w:val="single" w:sz="4" w:space="0" w:color="auto"/>
              <w:bottom w:val="nil"/>
              <w:right w:val="nil"/>
            </w:tcBorders>
            <w:shd w:val="clear" w:color="auto" w:fill="auto"/>
            <w:noWrap/>
            <w:vAlign w:val="center"/>
          </w:tcPr>
          <w:p w14:paraId="71D2437B"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2A73AAC3"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326AD607" w14:textId="1F7753F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47A1A68E" w14:textId="3FDBEC9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1F7F7186" w14:textId="730F2A0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7732F6A5" w14:textId="27CB2C1A"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792D1764" w14:textId="38679CB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-0,2</w:t>
            </w:r>
          </w:p>
        </w:tc>
        <w:tc>
          <w:tcPr>
            <w:tcW w:w="723" w:type="dxa"/>
            <w:tcBorders>
              <w:top w:val="nil"/>
              <w:left w:val="nil"/>
              <w:bottom w:val="nil"/>
              <w:right w:val="nil"/>
            </w:tcBorders>
            <w:shd w:val="clear" w:color="auto" w:fill="auto"/>
            <w:noWrap/>
            <w:vAlign w:val="center"/>
          </w:tcPr>
          <w:p w14:paraId="51E7567B" w14:textId="79F3E5F4"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32ED8FF7" w14:textId="1CC9BAC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-0,3</w:t>
            </w:r>
          </w:p>
        </w:tc>
        <w:tc>
          <w:tcPr>
            <w:tcW w:w="749" w:type="dxa"/>
            <w:tcBorders>
              <w:top w:val="nil"/>
              <w:left w:val="nil"/>
              <w:bottom w:val="nil"/>
              <w:right w:val="nil"/>
            </w:tcBorders>
            <w:vAlign w:val="center"/>
          </w:tcPr>
          <w:p w14:paraId="53558296" w14:textId="0210196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7169D5E0" w14:textId="3EAA359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-0,3</w:t>
            </w:r>
          </w:p>
        </w:tc>
      </w:tr>
      <w:tr w:rsidR="00E03E35" w:rsidRPr="000939E3" w14:paraId="5CBBB68A" w14:textId="043EF9B3" w:rsidTr="00FB4735">
        <w:trPr>
          <w:trHeight w:val="246"/>
        </w:trPr>
        <w:tc>
          <w:tcPr>
            <w:tcW w:w="1137" w:type="dxa"/>
            <w:tcBorders>
              <w:top w:val="nil"/>
              <w:left w:val="single" w:sz="4" w:space="0" w:color="auto"/>
              <w:bottom w:val="nil"/>
              <w:right w:val="nil"/>
            </w:tcBorders>
            <w:shd w:val="clear" w:color="000000" w:fill="DEEAF6"/>
            <w:noWrap/>
            <w:vAlign w:val="center"/>
          </w:tcPr>
          <w:p w14:paraId="7146384E" w14:textId="22D7BBA7"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ÚPVII</w:t>
            </w:r>
          </w:p>
        </w:tc>
        <w:tc>
          <w:tcPr>
            <w:tcW w:w="5384" w:type="dxa"/>
            <w:tcBorders>
              <w:top w:val="nil"/>
              <w:left w:val="nil"/>
              <w:bottom w:val="nil"/>
              <w:right w:val="nil"/>
            </w:tcBorders>
            <w:shd w:val="clear" w:color="000000" w:fill="DEEAF6"/>
            <w:noWrap/>
            <w:vAlign w:val="center"/>
          </w:tcPr>
          <w:p w14:paraId="2DEB05C4" w14:textId="4946CA9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Otvorené údaje 2.0 - Rozvoj centrálnych komponentov pre kvalitné zabezpečenie otvorených údajov</w:t>
            </w:r>
          </w:p>
        </w:tc>
        <w:tc>
          <w:tcPr>
            <w:tcW w:w="984" w:type="dxa"/>
            <w:tcBorders>
              <w:top w:val="nil"/>
              <w:left w:val="nil"/>
              <w:bottom w:val="nil"/>
              <w:right w:val="nil"/>
            </w:tcBorders>
            <w:shd w:val="clear" w:color="000000" w:fill="DEEAF6"/>
            <w:noWrap/>
            <w:vAlign w:val="center"/>
          </w:tcPr>
          <w:p w14:paraId="2C490CBE" w14:textId="3BD5C86F"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097A9504" w14:textId="1377272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3EB37293" w14:textId="5D262BC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053F4D1E" w14:textId="1C697F7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687E37F6" w14:textId="164C488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4D35BDD2" w14:textId="078761C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w:t>
            </w:r>
          </w:p>
        </w:tc>
        <w:tc>
          <w:tcPr>
            <w:tcW w:w="724" w:type="dxa"/>
            <w:tcBorders>
              <w:top w:val="nil"/>
              <w:left w:val="nil"/>
              <w:bottom w:val="nil"/>
              <w:right w:val="single" w:sz="4" w:space="0" w:color="auto"/>
            </w:tcBorders>
            <w:shd w:val="clear" w:color="000000" w:fill="DEEAF6"/>
            <w:noWrap/>
            <w:vAlign w:val="center"/>
          </w:tcPr>
          <w:p w14:paraId="21BFF8E2" w14:textId="6FBDBC2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0,0</w:t>
            </w:r>
          </w:p>
        </w:tc>
        <w:tc>
          <w:tcPr>
            <w:tcW w:w="749" w:type="dxa"/>
            <w:tcBorders>
              <w:top w:val="nil"/>
              <w:left w:val="nil"/>
              <w:bottom w:val="nil"/>
              <w:right w:val="nil"/>
            </w:tcBorders>
            <w:shd w:val="clear" w:color="000000" w:fill="DEEAF6"/>
            <w:vAlign w:val="center"/>
          </w:tcPr>
          <w:p w14:paraId="45634B7F" w14:textId="5CE7B68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w:t>
            </w:r>
          </w:p>
        </w:tc>
        <w:tc>
          <w:tcPr>
            <w:tcW w:w="709" w:type="dxa"/>
            <w:tcBorders>
              <w:top w:val="nil"/>
              <w:left w:val="nil"/>
              <w:bottom w:val="nil"/>
              <w:right w:val="single" w:sz="4" w:space="0" w:color="auto"/>
            </w:tcBorders>
            <w:shd w:val="clear" w:color="000000" w:fill="DEEAF6"/>
            <w:vAlign w:val="center"/>
          </w:tcPr>
          <w:p w14:paraId="7EFDFD4C" w14:textId="40521FD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0,0</w:t>
            </w:r>
          </w:p>
        </w:tc>
      </w:tr>
      <w:tr w:rsidR="00E03E35" w:rsidRPr="000939E3" w14:paraId="6F6CE47E" w14:textId="70EB526E" w:rsidTr="00FB4735">
        <w:trPr>
          <w:trHeight w:val="246"/>
        </w:trPr>
        <w:tc>
          <w:tcPr>
            <w:tcW w:w="1137" w:type="dxa"/>
            <w:tcBorders>
              <w:top w:val="nil"/>
              <w:left w:val="single" w:sz="4" w:space="0" w:color="auto"/>
              <w:bottom w:val="nil"/>
              <w:right w:val="nil"/>
            </w:tcBorders>
            <w:shd w:val="clear" w:color="auto" w:fill="auto"/>
            <w:noWrap/>
            <w:vAlign w:val="center"/>
          </w:tcPr>
          <w:p w14:paraId="2856AE11"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2060852A"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31E15E92" w14:textId="299CBAA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2DF5D75D" w14:textId="7CB04A16"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4B53D9D6" w14:textId="1217368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6AD8B26B" w14:textId="1F9317A2"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16419E3F" w14:textId="68FE65B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6E609599" w14:textId="0291CCDF"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0A581010" w14:textId="2E6D25E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0,2</w:t>
            </w:r>
          </w:p>
        </w:tc>
        <w:tc>
          <w:tcPr>
            <w:tcW w:w="749" w:type="dxa"/>
            <w:tcBorders>
              <w:top w:val="nil"/>
              <w:left w:val="nil"/>
              <w:bottom w:val="nil"/>
              <w:right w:val="nil"/>
            </w:tcBorders>
            <w:vAlign w:val="center"/>
          </w:tcPr>
          <w:p w14:paraId="6CFB2597" w14:textId="2C5322A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0EC62FB0" w14:textId="0C65191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0,2</w:t>
            </w:r>
          </w:p>
        </w:tc>
      </w:tr>
      <w:tr w:rsidR="00E03E35" w:rsidRPr="000939E3" w14:paraId="1C20972D" w14:textId="642031CD" w:rsidTr="00FB4735">
        <w:trPr>
          <w:trHeight w:val="246"/>
        </w:trPr>
        <w:tc>
          <w:tcPr>
            <w:tcW w:w="1137" w:type="dxa"/>
            <w:tcBorders>
              <w:top w:val="nil"/>
              <w:left w:val="single" w:sz="4" w:space="0" w:color="auto"/>
              <w:bottom w:val="nil"/>
              <w:right w:val="nil"/>
            </w:tcBorders>
            <w:shd w:val="clear" w:color="000000" w:fill="DEEAF6"/>
            <w:noWrap/>
            <w:vAlign w:val="center"/>
          </w:tcPr>
          <w:p w14:paraId="3F8695D5" w14:textId="1D805895"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ÚPVII</w:t>
            </w:r>
          </w:p>
        </w:tc>
        <w:tc>
          <w:tcPr>
            <w:tcW w:w="5384" w:type="dxa"/>
            <w:tcBorders>
              <w:top w:val="nil"/>
              <w:left w:val="nil"/>
              <w:bottom w:val="nil"/>
              <w:right w:val="nil"/>
            </w:tcBorders>
            <w:shd w:val="clear" w:color="000000" w:fill="DEEAF6"/>
            <w:noWrap/>
            <w:vAlign w:val="center"/>
          </w:tcPr>
          <w:p w14:paraId="292EE120" w14:textId="60248698"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Dátová integrácia: sprístupnenie údajovej základne VS vrátane otvorených údajov prostredníctvom platformy dátovej integrácie</w:t>
            </w:r>
            <w:r w:rsidR="005E0C5A" w:rsidRPr="000939E3">
              <w:rPr>
                <w:color w:val="000000"/>
                <w:sz w:val="18"/>
                <w:szCs w:val="18"/>
              </w:rPr>
              <w:t>*</w:t>
            </w:r>
          </w:p>
        </w:tc>
        <w:tc>
          <w:tcPr>
            <w:tcW w:w="984" w:type="dxa"/>
            <w:tcBorders>
              <w:top w:val="nil"/>
              <w:left w:val="nil"/>
              <w:bottom w:val="nil"/>
              <w:right w:val="nil"/>
            </w:tcBorders>
            <w:shd w:val="clear" w:color="000000" w:fill="DEEAF6"/>
            <w:noWrap/>
            <w:vAlign w:val="center"/>
          </w:tcPr>
          <w:p w14:paraId="067F4CD0" w14:textId="3C0F35B5"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5CB28647" w14:textId="2E8C2A4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74</w:t>
            </w:r>
          </w:p>
        </w:tc>
        <w:tc>
          <w:tcPr>
            <w:tcW w:w="726" w:type="dxa"/>
            <w:tcBorders>
              <w:top w:val="nil"/>
              <w:left w:val="nil"/>
              <w:bottom w:val="nil"/>
              <w:right w:val="single" w:sz="4" w:space="0" w:color="auto"/>
            </w:tcBorders>
            <w:shd w:val="clear" w:color="000000" w:fill="DEEAF6"/>
            <w:noWrap/>
            <w:vAlign w:val="center"/>
          </w:tcPr>
          <w:p w14:paraId="47D62CE8" w14:textId="523E071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1,3</w:t>
            </w:r>
          </w:p>
        </w:tc>
        <w:tc>
          <w:tcPr>
            <w:tcW w:w="723" w:type="dxa"/>
            <w:tcBorders>
              <w:top w:val="nil"/>
              <w:left w:val="nil"/>
              <w:bottom w:val="nil"/>
              <w:right w:val="nil"/>
            </w:tcBorders>
            <w:shd w:val="clear" w:color="000000" w:fill="DEEAF6"/>
            <w:noWrap/>
            <w:vAlign w:val="center"/>
          </w:tcPr>
          <w:p w14:paraId="7E859552" w14:textId="30A29A0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132</w:t>
            </w:r>
          </w:p>
        </w:tc>
        <w:tc>
          <w:tcPr>
            <w:tcW w:w="724" w:type="dxa"/>
            <w:tcBorders>
              <w:top w:val="nil"/>
              <w:left w:val="nil"/>
              <w:bottom w:val="nil"/>
              <w:right w:val="single" w:sz="4" w:space="0" w:color="auto"/>
            </w:tcBorders>
            <w:shd w:val="clear" w:color="000000" w:fill="DEEAF6"/>
            <w:noWrap/>
            <w:vAlign w:val="center"/>
          </w:tcPr>
          <w:p w14:paraId="65BE7135" w14:textId="68FCD45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2,3</w:t>
            </w:r>
          </w:p>
        </w:tc>
        <w:tc>
          <w:tcPr>
            <w:tcW w:w="723" w:type="dxa"/>
            <w:tcBorders>
              <w:top w:val="nil"/>
              <w:left w:val="nil"/>
              <w:bottom w:val="nil"/>
              <w:right w:val="nil"/>
            </w:tcBorders>
            <w:shd w:val="clear" w:color="000000" w:fill="DEEAF6"/>
            <w:noWrap/>
            <w:vAlign w:val="center"/>
          </w:tcPr>
          <w:p w14:paraId="5609F95C" w14:textId="466BE65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126</w:t>
            </w:r>
          </w:p>
        </w:tc>
        <w:tc>
          <w:tcPr>
            <w:tcW w:w="724" w:type="dxa"/>
            <w:tcBorders>
              <w:top w:val="nil"/>
              <w:left w:val="nil"/>
              <w:bottom w:val="nil"/>
              <w:right w:val="single" w:sz="4" w:space="0" w:color="auto"/>
            </w:tcBorders>
            <w:shd w:val="clear" w:color="000000" w:fill="DEEAF6"/>
            <w:noWrap/>
            <w:vAlign w:val="center"/>
          </w:tcPr>
          <w:p w14:paraId="57B028F8" w14:textId="3470DA1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2,2</w:t>
            </w:r>
          </w:p>
        </w:tc>
        <w:tc>
          <w:tcPr>
            <w:tcW w:w="749" w:type="dxa"/>
            <w:tcBorders>
              <w:top w:val="nil"/>
              <w:left w:val="nil"/>
              <w:bottom w:val="nil"/>
              <w:right w:val="nil"/>
            </w:tcBorders>
            <w:shd w:val="clear" w:color="000000" w:fill="DEEAF6"/>
            <w:vAlign w:val="center"/>
          </w:tcPr>
          <w:p w14:paraId="5290B2DC" w14:textId="686C9F6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78</w:t>
            </w:r>
          </w:p>
        </w:tc>
        <w:tc>
          <w:tcPr>
            <w:tcW w:w="709" w:type="dxa"/>
            <w:tcBorders>
              <w:top w:val="nil"/>
              <w:left w:val="nil"/>
              <w:bottom w:val="nil"/>
              <w:right w:val="single" w:sz="4" w:space="0" w:color="auto"/>
            </w:tcBorders>
            <w:shd w:val="clear" w:color="000000" w:fill="DEEAF6"/>
            <w:vAlign w:val="center"/>
          </w:tcPr>
          <w:p w14:paraId="42236E86" w14:textId="2A2CA2A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1,4</w:t>
            </w:r>
          </w:p>
        </w:tc>
      </w:tr>
      <w:tr w:rsidR="00E03E35" w:rsidRPr="000939E3" w14:paraId="31D193BB" w14:textId="6453D77B" w:rsidTr="00FB4735">
        <w:trPr>
          <w:trHeight w:val="246"/>
        </w:trPr>
        <w:tc>
          <w:tcPr>
            <w:tcW w:w="1137" w:type="dxa"/>
            <w:tcBorders>
              <w:top w:val="nil"/>
              <w:left w:val="single" w:sz="4" w:space="0" w:color="auto"/>
              <w:bottom w:val="nil"/>
              <w:right w:val="nil"/>
            </w:tcBorders>
            <w:shd w:val="clear" w:color="auto" w:fill="auto"/>
            <w:noWrap/>
            <w:vAlign w:val="center"/>
          </w:tcPr>
          <w:p w14:paraId="29544E19"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2244EA21"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48D6ADAF" w14:textId="0D682E18"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6ED1E72A" w14:textId="70BD1141"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059E393D" w14:textId="204BCFD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220679C2" w14:textId="1771543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6D79BB79" w14:textId="71B92F3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721A1368" w14:textId="6854BA93"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6D675FC2" w14:textId="15868DC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-0,3</w:t>
            </w:r>
          </w:p>
        </w:tc>
        <w:tc>
          <w:tcPr>
            <w:tcW w:w="749" w:type="dxa"/>
            <w:tcBorders>
              <w:top w:val="nil"/>
              <w:left w:val="nil"/>
              <w:bottom w:val="nil"/>
              <w:right w:val="nil"/>
            </w:tcBorders>
            <w:vAlign w:val="center"/>
          </w:tcPr>
          <w:p w14:paraId="3E84265F" w14:textId="65F9756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7F7E6A7D" w14:textId="2E1A3BD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-0,3</w:t>
            </w:r>
          </w:p>
        </w:tc>
      </w:tr>
      <w:tr w:rsidR="00E03E35" w:rsidRPr="000939E3" w14:paraId="26A29B85" w14:textId="2FC83153" w:rsidTr="00FB4735">
        <w:trPr>
          <w:trHeight w:val="246"/>
        </w:trPr>
        <w:tc>
          <w:tcPr>
            <w:tcW w:w="1137" w:type="dxa"/>
            <w:tcBorders>
              <w:top w:val="nil"/>
              <w:left w:val="single" w:sz="4" w:space="0" w:color="auto"/>
              <w:bottom w:val="nil"/>
              <w:right w:val="nil"/>
            </w:tcBorders>
            <w:shd w:val="clear" w:color="000000" w:fill="DEEAF6"/>
            <w:noWrap/>
            <w:vAlign w:val="center"/>
          </w:tcPr>
          <w:p w14:paraId="501D4952" w14:textId="3F76D397"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ÚPVII</w:t>
            </w:r>
          </w:p>
        </w:tc>
        <w:tc>
          <w:tcPr>
            <w:tcW w:w="5384" w:type="dxa"/>
            <w:tcBorders>
              <w:top w:val="nil"/>
              <w:left w:val="nil"/>
              <w:bottom w:val="nil"/>
              <w:right w:val="nil"/>
            </w:tcBorders>
            <w:shd w:val="clear" w:color="000000" w:fill="DEEAF6"/>
            <w:noWrap/>
            <w:vAlign w:val="center"/>
          </w:tcPr>
          <w:p w14:paraId="0E92A735" w14:textId="51E88433"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Zvyšovanie úžitkovej hodnoty digitálnych služieb pre občanov, podnikateľov a inštitúcie verejnej správy (slovensko.sk 2.0)</w:t>
            </w:r>
            <w:r w:rsidR="005E0C5A" w:rsidRPr="000939E3">
              <w:rPr>
                <w:color w:val="000000"/>
                <w:sz w:val="18"/>
                <w:szCs w:val="18"/>
              </w:rPr>
              <w:t>*</w:t>
            </w:r>
          </w:p>
        </w:tc>
        <w:tc>
          <w:tcPr>
            <w:tcW w:w="984" w:type="dxa"/>
            <w:tcBorders>
              <w:top w:val="nil"/>
              <w:left w:val="nil"/>
              <w:bottom w:val="nil"/>
              <w:right w:val="nil"/>
            </w:tcBorders>
            <w:shd w:val="clear" w:color="000000" w:fill="DEEAF6"/>
            <w:noWrap/>
            <w:vAlign w:val="center"/>
          </w:tcPr>
          <w:p w14:paraId="2B255C9E" w14:textId="3702B249"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535EF45C" w14:textId="7D7E5FF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7CD15AE4" w14:textId="7434E24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0698C522" w14:textId="2BD9530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6</w:t>
            </w:r>
          </w:p>
        </w:tc>
        <w:tc>
          <w:tcPr>
            <w:tcW w:w="724" w:type="dxa"/>
            <w:tcBorders>
              <w:top w:val="nil"/>
              <w:left w:val="nil"/>
              <w:bottom w:val="nil"/>
              <w:right w:val="single" w:sz="4" w:space="0" w:color="auto"/>
            </w:tcBorders>
            <w:shd w:val="clear" w:color="000000" w:fill="DEEAF6"/>
            <w:noWrap/>
            <w:vAlign w:val="center"/>
          </w:tcPr>
          <w:p w14:paraId="2DCF56D6" w14:textId="4B51EA0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0,1</w:t>
            </w:r>
          </w:p>
        </w:tc>
        <w:tc>
          <w:tcPr>
            <w:tcW w:w="723" w:type="dxa"/>
            <w:tcBorders>
              <w:top w:val="nil"/>
              <w:left w:val="nil"/>
              <w:bottom w:val="nil"/>
              <w:right w:val="nil"/>
            </w:tcBorders>
            <w:shd w:val="clear" w:color="000000" w:fill="DEEAF6"/>
            <w:noWrap/>
            <w:vAlign w:val="center"/>
          </w:tcPr>
          <w:p w14:paraId="06430D0A" w14:textId="208D311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4</w:t>
            </w:r>
          </w:p>
        </w:tc>
        <w:tc>
          <w:tcPr>
            <w:tcW w:w="724" w:type="dxa"/>
            <w:tcBorders>
              <w:top w:val="nil"/>
              <w:left w:val="nil"/>
              <w:bottom w:val="nil"/>
              <w:right w:val="single" w:sz="4" w:space="0" w:color="auto"/>
            </w:tcBorders>
            <w:shd w:val="clear" w:color="000000" w:fill="DEEAF6"/>
            <w:noWrap/>
            <w:vAlign w:val="center"/>
          </w:tcPr>
          <w:p w14:paraId="5557DC13" w14:textId="63A131E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0,1</w:t>
            </w:r>
          </w:p>
        </w:tc>
        <w:tc>
          <w:tcPr>
            <w:tcW w:w="749" w:type="dxa"/>
            <w:tcBorders>
              <w:top w:val="nil"/>
              <w:left w:val="nil"/>
              <w:bottom w:val="nil"/>
              <w:right w:val="nil"/>
            </w:tcBorders>
            <w:shd w:val="clear" w:color="000000" w:fill="DEEAF6"/>
            <w:vAlign w:val="center"/>
          </w:tcPr>
          <w:p w14:paraId="79895C6A" w14:textId="3A04FA2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w:t>
            </w:r>
          </w:p>
        </w:tc>
        <w:tc>
          <w:tcPr>
            <w:tcW w:w="709" w:type="dxa"/>
            <w:tcBorders>
              <w:top w:val="nil"/>
              <w:left w:val="nil"/>
              <w:bottom w:val="nil"/>
              <w:right w:val="single" w:sz="4" w:space="0" w:color="auto"/>
            </w:tcBorders>
            <w:shd w:val="clear" w:color="000000" w:fill="DEEAF6"/>
            <w:vAlign w:val="center"/>
          </w:tcPr>
          <w:p w14:paraId="2E1916FE" w14:textId="6BFDBF0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0,0</w:t>
            </w:r>
          </w:p>
        </w:tc>
      </w:tr>
      <w:tr w:rsidR="00E03E35" w:rsidRPr="000939E3" w14:paraId="09F50A05" w14:textId="1393DFF3" w:rsidTr="00FB4735">
        <w:trPr>
          <w:trHeight w:val="246"/>
        </w:trPr>
        <w:tc>
          <w:tcPr>
            <w:tcW w:w="1137" w:type="dxa"/>
            <w:tcBorders>
              <w:top w:val="nil"/>
              <w:left w:val="single" w:sz="4" w:space="0" w:color="auto"/>
              <w:bottom w:val="nil"/>
              <w:right w:val="nil"/>
            </w:tcBorders>
            <w:shd w:val="clear" w:color="auto" w:fill="auto"/>
            <w:noWrap/>
            <w:vAlign w:val="center"/>
          </w:tcPr>
          <w:p w14:paraId="47351642"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5AA3ACC1"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54274C97" w14:textId="00972C7E"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02B22CF4" w14:textId="42929E7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087335EE" w14:textId="0DD4FF2A"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46E8A229" w14:textId="3F4DB058"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65A1E04A" w14:textId="227301C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-0,0</w:t>
            </w:r>
          </w:p>
        </w:tc>
        <w:tc>
          <w:tcPr>
            <w:tcW w:w="723" w:type="dxa"/>
            <w:tcBorders>
              <w:top w:val="nil"/>
              <w:left w:val="nil"/>
              <w:bottom w:val="nil"/>
              <w:right w:val="nil"/>
            </w:tcBorders>
            <w:shd w:val="clear" w:color="auto" w:fill="auto"/>
            <w:noWrap/>
            <w:vAlign w:val="center"/>
          </w:tcPr>
          <w:p w14:paraId="0E266CE6" w14:textId="3116FE2A"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732C6A40" w14:textId="5A215BC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-1,3</w:t>
            </w:r>
          </w:p>
        </w:tc>
        <w:tc>
          <w:tcPr>
            <w:tcW w:w="749" w:type="dxa"/>
            <w:tcBorders>
              <w:top w:val="nil"/>
              <w:left w:val="nil"/>
              <w:bottom w:val="nil"/>
              <w:right w:val="nil"/>
            </w:tcBorders>
            <w:vAlign w:val="center"/>
          </w:tcPr>
          <w:p w14:paraId="383C6AC3" w14:textId="4CCC0A2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2B03204E" w14:textId="4AADB6C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-2,4</w:t>
            </w:r>
          </w:p>
        </w:tc>
      </w:tr>
      <w:tr w:rsidR="00E03E35" w:rsidRPr="000939E3" w14:paraId="3ABE04A0" w14:textId="31FB1E90" w:rsidTr="00FB4735">
        <w:trPr>
          <w:trHeight w:val="246"/>
        </w:trPr>
        <w:tc>
          <w:tcPr>
            <w:tcW w:w="1137" w:type="dxa"/>
            <w:tcBorders>
              <w:top w:val="nil"/>
              <w:left w:val="single" w:sz="4" w:space="0" w:color="auto"/>
              <w:bottom w:val="nil"/>
              <w:right w:val="nil"/>
            </w:tcBorders>
            <w:shd w:val="clear" w:color="000000" w:fill="DEEAF6"/>
            <w:noWrap/>
            <w:vAlign w:val="center"/>
          </w:tcPr>
          <w:p w14:paraId="188E2388" w14:textId="054AF1BA"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ÚV SR</w:t>
            </w:r>
          </w:p>
        </w:tc>
        <w:tc>
          <w:tcPr>
            <w:tcW w:w="5384" w:type="dxa"/>
            <w:tcBorders>
              <w:top w:val="nil"/>
              <w:left w:val="nil"/>
              <w:bottom w:val="nil"/>
              <w:right w:val="nil"/>
            </w:tcBorders>
            <w:shd w:val="clear" w:color="000000" w:fill="DEEAF6"/>
            <w:noWrap/>
            <w:vAlign w:val="center"/>
          </w:tcPr>
          <w:p w14:paraId="1FF5D759" w14:textId="33476D29"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Centrálny informačný systém štátnej služby</w:t>
            </w:r>
            <w:r w:rsidR="005E0C5A" w:rsidRPr="000939E3">
              <w:rPr>
                <w:color w:val="000000"/>
                <w:sz w:val="18"/>
                <w:szCs w:val="18"/>
              </w:rPr>
              <w:t>*</w:t>
            </w:r>
          </w:p>
        </w:tc>
        <w:tc>
          <w:tcPr>
            <w:tcW w:w="984" w:type="dxa"/>
            <w:tcBorders>
              <w:top w:val="nil"/>
              <w:left w:val="nil"/>
              <w:bottom w:val="nil"/>
              <w:right w:val="nil"/>
            </w:tcBorders>
            <w:shd w:val="clear" w:color="000000" w:fill="DEEAF6"/>
            <w:noWrap/>
            <w:vAlign w:val="center"/>
          </w:tcPr>
          <w:p w14:paraId="35533AFD" w14:textId="4B73263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550AC497" w14:textId="1B8EAE2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1924B60A" w14:textId="4BBCE12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306867AA" w14:textId="2816186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4" w:type="dxa"/>
            <w:tcBorders>
              <w:top w:val="nil"/>
              <w:left w:val="nil"/>
              <w:bottom w:val="nil"/>
              <w:right w:val="single" w:sz="4" w:space="0" w:color="auto"/>
            </w:tcBorders>
            <w:shd w:val="clear" w:color="000000" w:fill="DEEAF6"/>
            <w:noWrap/>
            <w:vAlign w:val="center"/>
          </w:tcPr>
          <w:p w14:paraId="305DA9EB" w14:textId="72B286E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000000" w:fill="DEEAF6"/>
            <w:noWrap/>
            <w:vAlign w:val="center"/>
          </w:tcPr>
          <w:p w14:paraId="144C68F3" w14:textId="45EE05D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-19</w:t>
            </w:r>
          </w:p>
        </w:tc>
        <w:tc>
          <w:tcPr>
            <w:tcW w:w="724" w:type="dxa"/>
            <w:tcBorders>
              <w:top w:val="nil"/>
              <w:left w:val="nil"/>
              <w:bottom w:val="nil"/>
              <w:right w:val="single" w:sz="4" w:space="0" w:color="auto"/>
            </w:tcBorders>
            <w:shd w:val="clear" w:color="000000" w:fill="DEEAF6"/>
            <w:noWrap/>
            <w:vAlign w:val="center"/>
          </w:tcPr>
          <w:p w14:paraId="5262FE2E" w14:textId="5762CC51"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-0,4</w:t>
            </w:r>
          </w:p>
        </w:tc>
        <w:tc>
          <w:tcPr>
            <w:tcW w:w="749" w:type="dxa"/>
            <w:tcBorders>
              <w:top w:val="nil"/>
              <w:left w:val="nil"/>
              <w:bottom w:val="nil"/>
              <w:right w:val="nil"/>
            </w:tcBorders>
            <w:shd w:val="clear" w:color="000000" w:fill="DEEAF6"/>
            <w:vAlign w:val="center"/>
          </w:tcPr>
          <w:p w14:paraId="0D73E3EA" w14:textId="044516A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36</w:t>
            </w:r>
          </w:p>
        </w:tc>
        <w:tc>
          <w:tcPr>
            <w:tcW w:w="709" w:type="dxa"/>
            <w:tcBorders>
              <w:top w:val="nil"/>
              <w:left w:val="nil"/>
              <w:bottom w:val="nil"/>
              <w:right w:val="single" w:sz="4" w:space="0" w:color="auto"/>
            </w:tcBorders>
            <w:shd w:val="clear" w:color="000000" w:fill="DEEAF6"/>
            <w:vAlign w:val="center"/>
          </w:tcPr>
          <w:p w14:paraId="09D04612" w14:textId="69827BE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0,7</w:t>
            </w:r>
          </w:p>
        </w:tc>
      </w:tr>
      <w:tr w:rsidR="00E03E35" w:rsidRPr="000939E3" w14:paraId="0190E054" w14:textId="161CC628" w:rsidTr="00FB4735">
        <w:trPr>
          <w:trHeight w:val="246"/>
        </w:trPr>
        <w:tc>
          <w:tcPr>
            <w:tcW w:w="1137" w:type="dxa"/>
            <w:tcBorders>
              <w:top w:val="nil"/>
              <w:left w:val="single" w:sz="4" w:space="0" w:color="auto"/>
              <w:bottom w:val="nil"/>
              <w:right w:val="nil"/>
            </w:tcBorders>
            <w:shd w:val="clear" w:color="auto" w:fill="auto"/>
            <w:noWrap/>
            <w:vAlign w:val="center"/>
          </w:tcPr>
          <w:p w14:paraId="26C446C4"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52DBA278"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4EF4CA8E" w14:textId="4DD81D17"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200B982F" w14:textId="76E0E2D4"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77D9FA71" w14:textId="2C6AD94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0069CA2C" w14:textId="1A1F233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757DBD0B" w14:textId="37977A7B"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73CA3EA3" w14:textId="494297AD"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30D1F42B" w14:textId="1AC19D4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49" w:type="dxa"/>
            <w:tcBorders>
              <w:top w:val="nil"/>
              <w:left w:val="nil"/>
              <w:bottom w:val="nil"/>
              <w:right w:val="nil"/>
            </w:tcBorders>
            <w:vAlign w:val="center"/>
          </w:tcPr>
          <w:p w14:paraId="10ACA420" w14:textId="10BB163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68EAA70C" w14:textId="7451088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-0,2</w:t>
            </w:r>
          </w:p>
        </w:tc>
      </w:tr>
      <w:tr w:rsidR="00E03E35" w:rsidRPr="000939E3" w14:paraId="1753EA59" w14:textId="0D17723F" w:rsidTr="00FB4735">
        <w:trPr>
          <w:trHeight w:val="246"/>
        </w:trPr>
        <w:tc>
          <w:tcPr>
            <w:tcW w:w="1137" w:type="dxa"/>
            <w:tcBorders>
              <w:top w:val="nil"/>
              <w:left w:val="single" w:sz="4" w:space="0" w:color="auto"/>
              <w:bottom w:val="nil"/>
              <w:right w:val="nil"/>
            </w:tcBorders>
            <w:shd w:val="clear" w:color="000000" w:fill="DEEAF6"/>
            <w:noWrap/>
            <w:vAlign w:val="center"/>
          </w:tcPr>
          <w:p w14:paraId="2DFAADAA" w14:textId="63C06813"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ÚVO</w:t>
            </w:r>
          </w:p>
        </w:tc>
        <w:tc>
          <w:tcPr>
            <w:tcW w:w="5384" w:type="dxa"/>
            <w:tcBorders>
              <w:top w:val="nil"/>
              <w:left w:val="nil"/>
              <w:bottom w:val="nil"/>
              <w:right w:val="nil"/>
            </w:tcBorders>
            <w:shd w:val="clear" w:color="000000" w:fill="DEEAF6"/>
            <w:noWrap/>
            <w:vAlign w:val="center"/>
          </w:tcPr>
          <w:p w14:paraId="04E5209D" w14:textId="744C6EE6"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Systém verejného obstarávania (SVO)</w:t>
            </w:r>
            <w:r w:rsidR="005E0C5A" w:rsidRPr="000939E3">
              <w:rPr>
                <w:color w:val="000000"/>
                <w:sz w:val="18"/>
                <w:szCs w:val="18"/>
              </w:rPr>
              <w:t>*</w:t>
            </w:r>
          </w:p>
        </w:tc>
        <w:tc>
          <w:tcPr>
            <w:tcW w:w="984" w:type="dxa"/>
            <w:tcBorders>
              <w:top w:val="nil"/>
              <w:left w:val="nil"/>
              <w:bottom w:val="nil"/>
              <w:right w:val="nil"/>
            </w:tcBorders>
            <w:shd w:val="clear" w:color="000000" w:fill="DEEAF6"/>
            <w:noWrap/>
            <w:vAlign w:val="center"/>
          </w:tcPr>
          <w:p w14:paraId="6520DB72" w14:textId="3B6D5955"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bottom w:val="nil"/>
              <w:right w:val="nil"/>
            </w:tcBorders>
            <w:shd w:val="clear" w:color="000000" w:fill="DEEAF6"/>
            <w:noWrap/>
            <w:vAlign w:val="center"/>
          </w:tcPr>
          <w:p w14:paraId="388F93A5" w14:textId="6D08F33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bottom w:val="nil"/>
              <w:right w:val="single" w:sz="4" w:space="0" w:color="auto"/>
            </w:tcBorders>
            <w:shd w:val="clear" w:color="000000" w:fill="DEEAF6"/>
            <w:noWrap/>
            <w:vAlign w:val="center"/>
          </w:tcPr>
          <w:p w14:paraId="77200066" w14:textId="0B67369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-0,0</w:t>
            </w:r>
          </w:p>
        </w:tc>
        <w:tc>
          <w:tcPr>
            <w:tcW w:w="723" w:type="dxa"/>
            <w:tcBorders>
              <w:top w:val="nil"/>
              <w:left w:val="nil"/>
              <w:bottom w:val="nil"/>
              <w:right w:val="nil"/>
            </w:tcBorders>
            <w:shd w:val="clear" w:color="000000" w:fill="DEEAF6"/>
            <w:noWrap/>
            <w:vAlign w:val="center"/>
          </w:tcPr>
          <w:p w14:paraId="21BC32A1" w14:textId="11A5D590"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341</w:t>
            </w:r>
          </w:p>
        </w:tc>
        <w:tc>
          <w:tcPr>
            <w:tcW w:w="724" w:type="dxa"/>
            <w:tcBorders>
              <w:top w:val="nil"/>
              <w:left w:val="nil"/>
              <w:bottom w:val="nil"/>
              <w:right w:val="single" w:sz="4" w:space="0" w:color="auto"/>
            </w:tcBorders>
            <w:shd w:val="clear" w:color="000000" w:fill="DEEAF6"/>
            <w:noWrap/>
            <w:vAlign w:val="center"/>
          </w:tcPr>
          <w:p w14:paraId="4BEF21C8" w14:textId="21FEAA3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6,5</w:t>
            </w:r>
          </w:p>
        </w:tc>
        <w:tc>
          <w:tcPr>
            <w:tcW w:w="723" w:type="dxa"/>
            <w:tcBorders>
              <w:top w:val="nil"/>
              <w:left w:val="nil"/>
              <w:bottom w:val="nil"/>
              <w:right w:val="nil"/>
            </w:tcBorders>
            <w:shd w:val="clear" w:color="000000" w:fill="DEEAF6"/>
            <w:noWrap/>
            <w:vAlign w:val="center"/>
          </w:tcPr>
          <w:p w14:paraId="2FEFC096" w14:textId="41D4BC99"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338</w:t>
            </w:r>
          </w:p>
        </w:tc>
        <w:tc>
          <w:tcPr>
            <w:tcW w:w="724" w:type="dxa"/>
            <w:tcBorders>
              <w:top w:val="nil"/>
              <w:left w:val="nil"/>
              <w:bottom w:val="nil"/>
              <w:right w:val="single" w:sz="4" w:space="0" w:color="auto"/>
            </w:tcBorders>
            <w:shd w:val="clear" w:color="000000" w:fill="DEEAF6"/>
            <w:noWrap/>
            <w:vAlign w:val="center"/>
          </w:tcPr>
          <w:p w14:paraId="1BBC068C" w14:textId="1954116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6,4</w:t>
            </w:r>
          </w:p>
        </w:tc>
        <w:tc>
          <w:tcPr>
            <w:tcW w:w="749" w:type="dxa"/>
            <w:tcBorders>
              <w:top w:val="nil"/>
              <w:left w:val="nil"/>
              <w:bottom w:val="nil"/>
              <w:right w:val="nil"/>
            </w:tcBorders>
            <w:shd w:val="clear" w:color="000000" w:fill="DEEAF6"/>
            <w:vAlign w:val="center"/>
          </w:tcPr>
          <w:p w14:paraId="730D40DC" w14:textId="492C4B66"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342</w:t>
            </w:r>
          </w:p>
        </w:tc>
        <w:tc>
          <w:tcPr>
            <w:tcW w:w="709" w:type="dxa"/>
            <w:tcBorders>
              <w:top w:val="nil"/>
              <w:left w:val="nil"/>
              <w:bottom w:val="nil"/>
              <w:right w:val="single" w:sz="4" w:space="0" w:color="auto"/>
            </w:tcBorders>
            <w:shd w:val="clear" w:color="000000" w:fill="DEEAF6"/>
            <w:vAlign w:val="center"/>
          </w:tcPr>
          <w:p w14:paraId="57868A2A" w14:textId="43555D9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6,5</w:t>
            </w:r>
          </w:p>
        </w:tc>
      </w:tr>
      <w:tr w:rsidR="00E03E35" w:rsidRPr="000939E3" w14:paraId="6606BA26" w14:textId="5F6F5EB3" w:rsidTr="00FB4735">
        <w:trPr>
          <w:trHeight w:val="246"/>
        </w:trPr>
        <w:tc>
          <w:tcPr>
            <w:tcW w:w="1137" w:type="dxa"/>
            <w:tcBorders>
              <w:top w:val="nil"/>
              <w:left w:val="single" w:sz="4" w:space="0" w:color="auto"/>
              <w:bottom w:val="nil"/>
              <w:right w:val="nil"/>
            </w:tcBorders>
            <w:shd w:val="clear" w:color="auto" w:fill="auto"/>
            <w:noWrap/>
            <w:vAlign w:val="center"/>
          </w:tcPr>
          <w:p w14:paraId="095228BC"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nil"/>
              <w:right w:val="nil"/>
            </w:tcBorders>
            <w:shd w:val="clear" w:color="auto" w:fill="auto"/>
            <w:noWrap/>
            <w:vAlign w:val="center"/>
          </w:tcPr>
          <w:p w14:paraId="2FF163F4"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nil"/>
              <w:right w:val="nil"/>
            </w:tcBorders>
            <w:shd w:val="clear" w:color="auto" w:fill="auto"/>
            <w:noWrap/>
            <w:vAlign w:val="center"/>
          </w:tcPr>
          <w:p w14:paraId="5A944F32" w14:textId="3CF5873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nil"/>
              <w:right w:val="nil"/>
            </w:tcBorders>
            <w:shd w:val="clear" w:color="auto" w:fill="auto"/>
            <w:noWrap/>
            <w:vAlign w:val="center"/>
          </w:tcPr>
          <w:p w14:paraId="06AF1CEA" w14:textId="3251E6E8"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nil"/>
              <w:right w:val="single" w:sz="4" w:space="0" w:color="auto"/>
            </w:tcBorders>
            <w:shd w:val="clear" w:color="auto" w:fill="auto"/>
            <w:noWrap/>
            <w:vAlign w:val="center"/>
          </w:tcPr>
          <w:p w14:paraId="06F4F821" w14:textId="0B143185"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bottom w:val="nil"/>
              <w:right w:val="nil"/>
            </w:tcBorders>
            <w:shd w:val="clear" w:color="auto" w:fill="auto"/>
            <w:noWrap/>
            <w:vAlign w:val="center"/>
          </w:tcPr>
          <w:p w14:paraId="7EDFC986" w14:textId="20BC69A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6A431B14" w14:textId="772CDC57"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-0,7</w:t>
            </w:r>
          </w:p>
        </w:tc>
        <w:tc>
          <w:tcPr>
            <w:tcW w:w="723" w:type="dxa"/>
            <w:tcBorders>
              <w:top w:val="nil"/>
              <w:left w:val="nil"/>
              <w:bottom w:val="nil"/>
              <w:right w:val="nil"/>
            </w:tcBorders>
            <w:shd w:val="clear" w:color="auto" w:fill="auto"/>
            <w:noWrap/>
            <w:vAlign w:val="center"/>
          </w:tcPr>
          <w:p w14:paraId="2B72C2C8" w14:textId="0F0DDECF"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nil"/>
              <w:right w:val="single" w:sz="4" w:space="0" w:color="auto"/>
            </w:tcBorders>
            <w:shd w:val="clear" w:color="auto" w:fill="auto"/>
            <w:noWrap/>
            <w:vAlign w:val="center"/>
          </w:tcPr>
          <w:p w14:paraId="6CA73770" w14:textId="22295F9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-0,7</w:t>
            </w:r>
          </w:p>
        </w:tc>
        <w:tc>
          <w:tcPr>
            <w:tcW w:w="749" w:type="dxa"/>
            <w:tcBorders>
              <w:top w:val="nil"/>
              <w:left w:val="nil"/>
              <w:bottom w:val="nil"/>
              <w:right w:val="nil"/>
            </w:tcBorders>
            <w:vAlign w:val="center"/>
          </w:tcPr>
          <w:p w14:paraId="283C77D4" w14:textId="284462F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nil"/>
              <w:right w:val="single" w:sz="4" w:space="0" w:color="auto"/>
            </w:tcBorders>
            <w:vAlign w:val="center"/>
          </w:tcPr>
          <w:p w14:paraId="4E90D304" w14:textId="62959264"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-0,7</w:t>
            </w:r>
          </w:p>
        </w:tc>
      </w:tr>
      <w:tr w:rsidR="00E03E35" w:rsidRPr="000939E3" w14:paraId="2883A91B" w14:textId="24FC2010" w:rsidTr="00FB4735">
        <w:trPr>
          <w:trHeight w:val="246"/>
        </w:trPr>
        <w:tc>
          <w:tcPr>
            <w:tcW w:w="1137" w:type="dxa"/>
            <w:tcBorders>
              <w:top w:val="nil"/>
              <w:left w:val="single" w:sz="4" w:space="0" w:color="auto"/>
              <w:bottom w:val="nil"/>
              <w:right w:val="nil"/>
            </w:tcBorders>
            <w:shd w:val="clear" w:color="000000" w:fill="DEEAF6"/>
            <w:noWrap/>
            <w:vAlign w:val="center"/>
          </w:tcPr>
          <w:p w14:paraId="2B202464" w14:textId="1F1DFF6A"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ZSSK</w:t>
            </w:r>
          </w:p>
        </w:tc>
        <w:tc>
          <w:tcPr>
            <w:tcW w:w="5384" w:type="dxa"/>
            <w:tcBorders>
              <w:top w:val="nil"/>
              <w:left w:val="nil"/>
              <w:bottom w:val="nil"/>
              <w:right w:val="nil"/>
            </w:tcBorders>
            <w:shd w:val="clear" w:color="000000" w:fill="DEEAF6"/>
            <w:noWrap/>
            <w:vAlign w:val="center"/>
          </w:tcPr>
          <w:p w14:paraId="0B20C8FA" w14:textId="5CDC4D5D"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Informačný systém komplexného vybavenia cestujúcich</w:t>
            </w:r>
          </w:p>
        </w:tc>
        <w:tc>
          <w:tcPr>
            <w:tcW w:w="984" w:type="dxa"/>
            <w:tcBorders>
              <w:top w:val="nil"/>
              <w:left w:val="nil"/>
              <w:bottom w:val="nil"/>
              <w:right w:val="nil"/>
            </w:tcBorders>
            <w:shd w:val="clear" w:color="000000" w:fill="DEEAF6"/>
            <w:noWrap/>
            <w:vAlign w:val="center"/>
          </w:tcPr>
          <w:p w14:paraId="03CADE97" w14:textId="0A90CA0C"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ľudia</w:t>
            </w:r>
          </w:p>
        </w:tc>
        <w:tc>
          <w:tcPr>
            <w:tcW w:w="722" w:type="dxa"/>
            <w:tcBorders>
              <w:top w:val="nil"/>
              <w:left w:val="single" w:sz="4" w:space="0" w:color="auto"/>
              <w:right w:val="nil"/>
            </w:tcBorders>
            <w:shd w:val="clear" w:color="000000" w:fill="DEEAF6"/>
            <w:noWrap/>
            <w:vAlign w:val="center"/>
          </w:tcPr>
          <w:p w14:paraId="18C9EA13" w14:textId="6FA3D8F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6" w:type="dxa"/>
            <w:tcBorders>
              <w:top w:val="nil"/>
              <w:left w:val="nil"/>
              <w:right w:val="single" w:sz="4" w:space="0" w:color="auto"/>
            </w:tcBorders>
            <w:shd w:val="clear" w:color="000000" w:fill="DEEAF6"/>
            <w:noWrap/>
            <w:vAlign w:val="center"/>
          </w:tcPr>
          <w:p w14:paraId="15259C9E" w14:textId="7BC86FA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w:t>
            </w:r>
          </w:p>
        </w:tc>
        <w:tc>
          <w:tcPr>
            <w:tcW w:w="723" w:type="dxa"/>
            <w:tcBorders>
              <w:top w:val="nil"/>
              <w:left w:val="nil"/>
              <w:right w:val="nil"/>
            </w:tcBorders>
            <w:shd w:val="clear" w:color="000000" w:fill="DEEAF6"/>
            <w:noWrap/>
            <w:vAlign w:val="center"/>
          </w:tcPr>
          <w:p w14:paraId="5EF61856" w14:textId="53710CC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11</w:t>
            </w:r>
          </w:p>
        </w:tc>
        <w:tc>
          <w:tcPr>
            <w:tcW w:w="724" w:type="dxa"/>
            <w:tcBorders>
              <w:top w:val="nil"/>
              <w:left w:val="nil"/>
              <w:right w:val="single" w:sz="4" w:space="0" w:color="auto"/>
            </w:tcBorders>
            <w:shd w:val="clear" w:color="000000" w:fill="DEEAF6"/>
            <w:noWrap/>
            <w:vAlign w:val="center"/>
          </w:tcPr>
          <w:p w14:paraId="22108B43" w14:textId="3304DCE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0,2</w:t>
            </w:r>
          </w:p>
        </w:tc>
        <w:tc>
          <w:tcPr>
            <w:tcW w:w="723" w:type="dxa"/>
            <w:tcBorders>
              <w:top w:val="nil"/>
              <w:left w:val="nil"/>
              <w:right w:val="nil"/>
            </w:tcBorders>
            <w:shd w:val="clear" w:color="000000" w:fill="DEEAF6"/>
            <w:noWrap/>
            <w:vAlign w:val="center"/>
          </w:tcPr>
          <w:p w14:paraId="6FBB5205" w14:textId="5C9C62B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11</w:t>
            </w:r>
          </w:p>
        </w:tc>
        <w:tc>
          <w:tcPr>
            <w:tcW w:w="724" w:type="dxa"/>
            <w:tcBorders>
              <w:top w:val="nil"/>
              <w:left w:val="nil"/>
              <w:right w:val="single" w:sz="4" w:space="0" w:color="auto"/>
            </w:tcBorders>
            <w:shd w:val="clear" w:color="000000" w:fill="DEEAF6"/>
            <w:noWrap/>
            <w:vAlign w:val="center"/>
          </w:tcPr>
          <w:p w14:paraId="00466B01" w14:textId="7684C30D"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0,2</w:t>
            </w:r>
          </w:p>
        </w:tc>
        <w:tc>
          <w:tcPr>
            <w:tcW w:w="749" w:type="dxa"/>
            <w:tcBorders>
              <w:top w:val="nil"/>
              <w:left w:val="nil"/>
              <w:right w:val="nil"/>
            </w:tcBorders>
            <w:shd w:val="clear" w:color="000000" w:fill="DEEAF6"/>
            <w:vAlign w:val="center"/>
          </w:tcPr>
          <w:p w14:paraId="1C45AE17" w14:textId="5E3BB41F"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11</w:t>
            </w:r>
          </w:p>
        </w:tc>
        <w:tc>
          <w:tcPr>
            <w:tcW w:w="709" w:type="dxa"/>
            <w:tcBorders>
              <w:top w:val="nil"/>
              <w:left w:val="nil"/>
              <w:right w:val="single" w:sz="4" w:space="0" w:color="auto"/>
            </w:tcBorders>
            <w:shd w:val="clear" w:color="000000" w:fill="DEEAF6"/>
            <w:vAlign w:val="center"/>
          </w:tcPr>
          <w:p w14:paraId="7766D6F5" w14:textId="3379E068"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0,2</w:t>
            </w:r>
          </w:p>
        </w:tc>
      </w:tr>
      <w:tr w:rsidR="00E03E35" w:rsidRPr="000939E3" w14:paraId="115385EB" w14:textId="3F516A58" w:rsidTr="00FB4735">
        <w:trPr>
          <w:trHeight w:val="246"/>
        </w:trPr>
        <w:tc>
          <w:tcPr>
            <w:tcW w:w="1137" w:type="dxa"/>
            <w:tcBorders>
              <w:top w:val="nil"/>
              <w:left w:val="single" w:sz="4" w:space="0" w:color="auto"/>
              <w:bottom w:val="single" w:sz="4" w:space="0" w:color="auto"/>
              <w:right w:val="nil"/>
            </w:tcBorders>
            <w:shd w:val="clear" w:color="auto" w:fill="auto"/>
            <w:noWrap/>
            <w:vAlign w:val="center"/>
          </w:tcPr>
          <w:p w14:paraId="5DFB3CF0" w14:textId="65A2B2C5"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5384" w:type="dxa"/>
            <w:tcBorders>
              <w:top w:val="nil"/>
              <w:left w:val="nil"/>
              <w:bottom w:val="single" w:sz="4" w:space="0" w:color="auto"/>
              <w:right w:val="nil"/>
            </w:tcBorders>
            <w:shd w:val="clear" w:color="auto" w:fill="auto"/>
            <w:noWrap/>
            <w:vAlign w:val="center"/>
          </w:tcPr>
          <w:p w14:paraId="0A5D9A08" w14:textId="2DB12A3A"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984" w:type="dxa"/>
            <w:tcBorders>
              <w:top w:val="nil"/>
              <w:left w:val="nil"/>
              <w:bottom w:val="single" w:sz="4" w:space="0" w:color="auto"/>
              <w:right w:val="nil"/>
            </w:tcBorders>
            <w:shd w:val="clear" w:color="auto" w:fill="auto"/>
            <w:noWrap/>
            <w:vAlign w:val="center"/>
          </w:tcPr>
          <w:p w14:paraId="43EAEC63" w14:textId="00ADB3D0"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prevádzka</w:t>
            </w:r>
          </w:p>
        </w:tc>
        <w:tc>
          <w:tcPr>
            <w:tcW w:w="722" w:type="dxa"/>
            <w:tcBorders>
              <w:top w:val="nil"/>
              <w:left w:val="single" w:sz="4" w:space="0" w:color="auto"/>
              <w:bottom w:val="single" w:sz="4" w:space="0" w:color="auto"/>
              <w:right w:val="nil"/>
            </w:tcBorders>
            <w:shd w:val="clear" w:color="auto" w:fill="auto"/>
            <w:noWrap/>
            <w:vAlign w:val="center"/>
          </w:tcPr>
          <w:p w14:paraId="267B76BF" w14:textId="22D7E3A5"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center"/>
          </w:tcPr>
          <w:p w14:paraId="69873CA0" w14:textId="4F44E372"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1,6</w:t>
            </w:r>
          </w:p>
        </w:tc>
        <w:tc>
          <w:tcPr>
            <w:tcW w:w="723" w:type="dxa"/>
            <w:tcBorders>
              <w:top w:val="nil"/>
              <w:left w:val="nil"/>
              <w:bottom w:val="single" w:sz="4" w:space="0" w:color="auto"/>
              <w:right w:val="nil"/>
            </w:tcBorders>
            <w:shd w:val="clear" w:color="auto" w:fill="auto"/>
            <w:noWrap/>
            <w:vAlign w:val="center"/>
          </w:tcPr>
          <w:p w14:paraId="042DABA8" w14:textId="20D65BBA"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single" w:sz="4" w:space="0" w:color="auto"/>
              <w:right w:val="single" w:sz="4" w:space="0" w:color="auto"/>
            </w:tcBorders>
            <w:shd w:val="clear" w:color="auto" w:fill="auto"/>
            <w:noWrap/>
            <w:vAlign w:val="center"/>
          </w:tcPr>
          <w:p w14:paraId="671F043A" w14:textId="5A89BF7E"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1,0</w:t>
            </w:r>
          </w:p>
        </w:tc>
        <w:tc>
          <w:tcPr>
            <w:tcW w:w="723" w:type="dxa"/>
            <w:tcBorders>
              <w:top w:val="nil"/>
              <w:left w:val="nil"/>
              <w:bottom w:val="single" w:sz="4" w:space="0" w:color="auto"/>
              <w:right w:val="nil"/>
            </w:tcBorders>
            <w:shd w:val="clear" w:color="auto" w:fill="auto"/>
            <w:noWrap/>
            <w:vAlign w:val="center"/>
          </w:tcPr>
          <w:p w14:paraId="2BF207C1" w14:textId="71842534"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724" w:type="dxa"/>
            <w:tcBorders>
              <w:top w:val="nil"/>
              <w:left w:val="nil"/>
              <w:bottom w:val="single" w:sz="4" w:space="0" w:color="auto"/>
              <w:right w:val="single" w:sz="4" w:space="0" w:color="auto"/>
            </w:tcBorders>
            <w:shd w:val="clear" w:color="auto" w:fill="auto"/>
            <w:noWrap/>
            <w:vAlign w:val="center"/>
          </w:tcPr>
          <w:p w14:paraId="7F20330D" w14:textId="7594335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1,0</w:t>
            </w:r>
          </w:p>
        </w:tc>
        <w:tc>
          <w:tcPr>
            <w:tcW w:w="749" w:type="dxa"/>
            <w:tcBorders>
              <w:top w:val="nil"/>
              <w:left w:val="nil"/>
              <w:bottom w:val="single" w:sz="4" w:space="0" w:color="auto"/>
              <w:right w:val="nil"/>
            </w:tcBorders>
            <w:vAlign w:val="center"/>
          </w:tcPr>
          <w:p w14:paraId="4C85A29C" w14:textId="5181E5AC"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 </w:t>
            </w:r>
          </w:p>
        </w:tc>
        <w:tc>
          <w:tcPr>
            <w:tcW w:w="709" w:type="dxa"/>
            <w:tcBorders>
              <w:top w:val="nil"/>
              <w:left w:val="nil"/>
              <w:bottom w:val="single" w:sz="4" w:space="0" w:color="auto"/>
              <w:right w:val="single" w:sz="4" w:space="0" w:color="auto"/>
            </w:tcBorders>
            <w:vAlign w:val="center"/>
          </w:tcPr>
          <w:p w14:paraId="316976D4" w14:textId="7F54CE53" w:rsidR="00E03E35" w:rsidRPr="000939E3" w:rsidRDefault="00E03E35" w:rsidP="00E03E35">
            <w:pPr>
              <w:spacing w:after="0" w:line="240" w:lineRule="auto"/>
              <w:jc w:val="right"/>
              <w:rPr>
                <w:rFonts w:eastAsia="Times New Roman" w:cs="Times New Roman"/>
                <w:color w:val="000000"/>
                <w:sz w:val="18"/>
                <w:szCs w:val="18"/>
                <w:lang w:val="en-US"/>
              </w:rPr>
            </w:pPr>
            <w:r w:rsidRPr="000939E3">
              <w:rPr>
                <w:color w:val="000000"/>
                <w:sz w:val="18"/>
                <w:szCs w:val="18"/>
              </w:rPr>
              <w:t>1,5</w:t>
            </w:r>
          </w:p>
        </w:tc>
      </w:tr>
      <w:tr w:rsidR="00E03E35" w:rsidRPr="000939E3" w14:paraId="2EE888DF" w14:textId="36007A15" w:rsidTr="00FB4735">
        <w:trPr>
          <w:trHeight w:val="246"/>
        </w:trPr>
        <w:tc>
          <w:tcPr>
            <w:tcW w:w="1137" w:type="dxa"/>
            <w:tcBorders>
              <w:top w:val="nil"/>
              <w:left w:val="single" w:sz="4" w:space="0" w:color="auto"/>
              <w:right w:val="nil"/>
            </w:tcBorders>
            <w:shd w:val="clear" w:color="000000" w:fill="DEEAF6"/>
            <w:noWrap/>
            <w:vAlign w:val="center"/>
            <w:hideMark/>
          </w:tcPr>
          <w:p w14:paraId="4C453627" w14:textId="7EE3A290" w:rsidR="00E03E35" w:rsidRPr="000939E3" w:rsidRDefault="00E03E35" w:rsidP="00E03E35">
            <w:pPr>
              <w:spacing w:after="0" w:line="240" w:lineRule="auto"/>
              <w:jc w:val="left"/>
              <w:rPr>
                <w:rFonts w:eastAsia="Times New Roman" w:cs="Times New Roman"/>
                <w:b/>
                <w:bCs/>
                <w:color w:val="000000"/>
                <w:sz w:val="18"/>
                <w:szCs w:val="18"/>
                <w:lang w:val="en-US"/>
              </w:rPr>
            </w:pPr>
            <w:r w:rsidRPr="000939E3">
              <w:rPr>
                <w:b/>
                <w:bCs/>
                <w:color w:val="000000"/>
                <w:sz w:val="18"/>
                <w:szCs w:val="18"/>
              </w:rPr>
              <w:t>spolu</w:t>
            </w:r>
          </w:p>
        </w:tc>
        <w:tc>
          <w:tcPr>
            <w:tcW w:w="5384" w:type="dxa"/>
            <w:tcBorders>
              <w:top w:val="nil"/>
              <w:left w:val="nil"/>
              <w:right w:val="nil"/>
            </w:tcBorders>
            <w:shd w:val="clear" w:color="000000" w:fill="DEEAF6"/>
            <w:noWrap/>
            <w:vAlign w:val="center"/>
            <w:hideMark/>
          </w:tcPr>
          <w:p w14:paraId="163B4F56" w14:textId="2419A56E" w:rsidR="00E03E35" w:rsidRPr="000939E3" w:rsidRDefault="00E03E35" w:rsidP="00E03E35">
            <w:pPr>
              <w:spacing w:after="0" w:line="240" w:lineRule="auto"/>
              <w:jc w:val="left"/>
              <w:rPr>
                <w:rFonts w:eastAsia="Times New Roman" w:cs="Times New Roman"/>
                <w:color w:val="000000"/>
                <w:sz w:val="18"/>
                <w:szCs w:val="18"/>
                <w:lang w:val="en-US"/>
              </w:rPr>
            </w:pPr>
            <w:r w:rsidRPr="000939E3">
              <w:rPr>
                <w:color w:val="000000"/>
                <w:sz w:val="18"/>
                <w:szCs w:val="18"/>
              </w:rPr>
              <w:t> </w:t>
            </w:r>
          </w:p>
        </w:tc>
        <w:tc>
          <w:tcPr>
            <w:tcW w:w="984" w:type="dxa"/>
            <w:tcBorders>
              <w:top w:val="nil"/>
              <w:left w:val="nil"/>
              <w:right w:val="nil"/>
            </w:tcBorders>
            <w:shd w:val="clear" w:color="000000" w:fill="DEEAF6"/>
            <w:noWrap/>
            <w:vAlign w:val="center"/>
            <w:hideMark/>
          </w:tcPr>
          <w:p w14:paraId="7C5F4F8F" w14:textId="2CE72BE0" w:rsidR="00E03E35" w:rsidRPr="000939E3" w:rsidRDefault="00E03E35" w:rsidP="00E03E35">
            <w:pPr>
              <w:spacing w:after="0" w:line="240" w:lineRule="auto"/>
              <w:jc w:val="left"/>
              <w:rPr>
                <w:rFonts w:eastAsia="Times New Roman" w:cs="Times New Roman"/>
                <w:b/>
                <w:color w:val="000000"/>
                <w:sz w:val="18"/>
                <w:szCs w:val="18"/>
                <w:lang w:val="en-US"/>
              </w:rPr>
            </w:pPr>
            <w:r w:rsidRPr="000939E3">
              <w:rPr>
                <w:color w:val="000000"/>
                <w:sz w:val="18"/>
                <w:szCs w:val="18"/>
              </w:rPr>
              <w:t>ľudia</w:t>
            </w:r>
          </w:p>
        </w:tc>
        <w:tc>
          <w:tcPr>
            <w:tcW w:w="722" w:type="dxa"/>
            <w:tcBorders>
              <w:top w:val="single" w:sz="4" w:space="0" w:color="auto"/>
              <w:left w:val="single" w:sz="4" w:space="0" w:color="auto"/>
              <w:right w:val="nil"/>
            </w:tcBorders>
            <w:shd w:val="clear" w:color="000000" w:fill="DEEAF6"/>
            <w:noWrap/>
            <w:vAlign w:val="center"/>
            <w:hideMark/>
          </w:tcPr>
          <w:p w14:paraId="6F7C1F6D" w14:textId="5FD4747F" w:rsidR="00E03E35" w:rsidRPr="000939E3" w:rsidRDefault="00E03E35" w:rsidP="00E03E35">
            <w:pPr>
              <w:spacing w:after="0" w:line="240" w:lineRule="auto"/>
              <w:jc w:val="right"/>
              <w:rPr>
                <w:rFonts w:eastAsia="Times New Roman" w:cs="Times New Roman"/>
                <w:b/>
                <w:color w:val="000000"/>
                <w:sz w:val="18"/>
                <w:szCs w:val="18"/>
                <w:lang w:val="en-US"/>
              </w:rPr>
            </w:pPr>
            <w:r w:rsidRPr="000939E3">
              <w:rPr>
                <w:color w:val="000000"/>
                <w:sz w:val="18"/>
                <w:szCs w:val="18"/>
              </w:rPr>
              <w:t>91</w:t>
            </w:r>
          </w:p>
        </w:tc>
        <w:tc>
          <w:tcPr>
            <w:tcW w:w="726" w:type="dxa"/>
            <w:tcBorders>
              <w:top w:val="single" w:sz="4" w:space="0" w:color="auto"/>
              <w:left w:val="nil"/>
              <w:right w:val="single" w:sz="4" w:space="0" w:color="auto"/>
            </w:tcBorders>
            <w:shd w:val="clear" w:color="000000" w:fill="DEEAF6"/>
            <w:noWrap/>
            <w:vAlign w:val="center"/>
            <w:hideMark/>
          </w:tcPr>
          <w:p w14:paraId="07CE89D1" w14:textId="56A58236" w:rsidR="00E03E35" w:rsidRPr="000939E3" w:rsidRDefault="00E03E35" w:rsidP="00E03E35">
            <w:pPr>
              <w:spacing w:after="0" w:line="240" w:lineRule="auto"/>
              <w:jc w:val="right"/>
              <w:rPr>
                <w:rFonts w:eastAsia="Times New Roman" w:cs="Times New Roman"/>
                <w:b/>
                <w:color w:val="000000"/>
                <w:sz w:val="18"/>
                <w:szCs w:val="18"/>
                <w:lang w:val="en-US"/>
              </w:rPr>
            </w:pPr>
            <w:r w:rsidRPr="000939E3">
              <w:rPr>
                <w:color w:val="000000"/>
                <w:sz w:val="18"/>
                <w:szCs w:val="18"/>
              </w:rPr>
              <w:t>1,6</w:t>
            </w:r>
          </w:p>
        </w:tc>
        <w:tc>
          <w:tcPr>
            <w:tcW w:w="723" w:type="dxa"/>
            <w:tcBorders>
              <w:top w:val="single" w:sz="4" w:space="0" w:color="auto"/>
              <w:left w:val="nil"/>
              <w:right w:val="nil"/>
            </w:tcBorders>
            <w:shd w:val="clear" w:color="000000" w:fill="DEEAF6"/>
            <w:noWrap/>
            <w:vAlign w:val="center"/>
            <w:hideMark/>
          </w:tcPr>
          <w:p w14:paraId="1989DC16" w14:textId="4832CDB9" w:rsidR="00E03E35" w:rsidRPr="000939E3" w:rsidRDefault="00E03E35" w:rsidP="00E03E35">
            <w:pPr>
              <w:spacing w:after="0" w:line="240" w:lineRule="auto"/>
              <w:jc w:val="right"/>
              <w:rPr>
                <w:rFonts w:eastAsia="Times New Roman" w:cs="Times New Roman"/>
                <w:b/>
                <w:color w:val="000000"/>
                <w:sz w:val="18"/>
                <w:szCs w:val="18"/>
                <w:lang w:val="en-US"/>
              </w:rPr>
            </w:pPr>
            <w:r w:rsidRPr="000939E3">
              <w:rPr>
                <w:color w:val="000000"/>
                <w:sz w:val="18"/>
                <w:szCs w:val="18"/>
              </w:rPr>
              <w:t>1 254</w:t>
            </w:r>
          </w:p>
        </w:tc>
        <w:tc>
          <w:tcPr>
            <w:tcW w:w="724" w:type="dxa"/>
            <w:tcBorders>
              <w:top w:val="single" w:sz="4" w:space="0" w:color="auto"/>
              <w:left w:val="nil"/>
              <w:right w:val="single" w:sz="4" w:space="0" w:color="auto"/>
            </w:tcBorders>
            <w:shd w:val="clear" w:color="000000" w:fill="DEEAF6"/>
            <w:noWrap/>
            <w:vAlign w:val="center"/>
            <w:hideMark/>
          </w:tcPr>
          <w:p w14:paraId="58CD0491" w14:textId="223EC104" w:rsidR="00E03E35" w:rsidRPr="000939E3" w:rsidRDefault="00E03E35" w:rsidP="00E03E35">
            <w:pPr>
              <w:spacing w:after="0" w:line="240" w:lineRule="auto"/>
              <w:jc w:val="right"/>
              <w:rPr>
                <w:rFonts w:eastAsia="Times New Roman" w:cs="Times New Roman"/>
                <w:b/>
                <w:color w:val="000000"/>
                <w:sz w:val="18"/>
                <w:szCs w:val="18"/>
                <w:lang w:val="en-US"/>
              </w:rPr>
            </w:pPr>
            <w:r w:rsidRPr="000939E3">
              <w:rPr>
                <w:color w:val="000000"/>
                <w:sz w:val="18"/>
                <w:szCs w:val="18"/>
              </w:rPr>
              <w:t>24,6</w:t>
            </w:r>
          </w:p>
        </w:tc>
        <w:tc>
          <w:tcPr>
            <w:tcW w:w="723" w:type="dxa"/>
            <w:tcBorders>
              <w:top w:val="single" w:sz="4" w:space="0" w:color="auto"/>
              <w:left w:val="nil"/>
              <w:right w:val="nil"/>
            </w:tcBorders>
            <w:shd w:val="clear" w:color="000000" w:fill="DEEAF6"/>
            <w:noWrap/>
            <w:vAlign w:val="center"/>
            <w:hideMark/>
          </w:tcPr>
          <w:p w14:paraId="4C3520F1" w14:textId="2398ECE3" w:rsidR="00E03E35" w:rsidRPr="000939E3" w:rsidRDefault="00E03E35" w:rsidP="00E03E35">
            <w:pPr>
              <w:spacing w:after="0" w:line="240" w:lineRule="auto"/>
              <w:jc w:val="right"/>
              <w:rPr>
                <w:rFonts w:eastAsia="Times New Roman" w:cs="Times New Roman"/>
                <w:b/>
                <w:color w:val="000000"/>
                <w:sz w:val="18"/>
                <w:szCs w:val="18"/>
                <w:lang w:val="en-US"/>
              </w:rPr>
            </w:pPr>
            <w:r w:rsidRPr="000939E3">
              <w:rPr>
                <w:color w:val="000000"/>
                <w:sz w:val="18"/>
                <w:szCs w:val="18"/>
              </w:rPr>
              <w:t>2 194</w:t>
            </w:r>
          </w:p>
        </w:tc>
        <w:tc>
          <w:tcPr>
            <w:tcW w:w="724" w:type="dxa"/>
            <w:tcBorders>
              <w:top w:val="single" w:sz="4" w:space="0" w:color="auto"/>
              <w:left w:val="nil"/>
              <w:right w:val="single" w:sz="4" w:space="0" w:color="auto"/>
            </w:tcBorders>
            <w:shd w:val="clear" w:color="000000" w:fill="DEEAF6"/>
            <w:noWrap/>
            <w:vAlign w:val="center"/>
            <w:hideMark/>
          </w:tcPr>
          <w:p w14:paraId="2D3D9777" w14:textId="5B04CF2A" w:rsidR="00E03E35" w:rsidRPr="000939E3" w:rsidRDefault="00E03E35" w:rsidP="00E03E35">
            <w:pPr>
              <w:spacing w:after="0" w:line="240" w:lineRule="auto"/>
              <w:jc w:val="right"/>
              <w:rPr>
                <w:rFonts w:eastAsia="Times New Roman" w:cs="Times New Roman"/>
                <w:b/>
                <w:color w:val="000000"/>
                <w:sz w:val="18"/>
                <w:szCs w:val="18"/>
                <w:lang w:val="en-US"/>
              </w:rPr>
            </w:pPr>
            <w:r w:rsidRPr="000939E3">
              <w:rPr>
                <w:color w:val="000000"/>
                <w:sz w:val="18"/>
                <w:szCs w:val="18"/>
              </w:rPr>
              <w:t>45,6</w:t>
            </w:r>
          </w:p>
        </w:tc>
        <w:tc>
          <w:tcPr>
            <w:tcW w:w="749" w:type="dxa"/>
            <w:tcBorders>
              <w:top w:val="single" w:sz="4" w:space="0" w:color="auto"/>
              <w:left w:val="nil"/>
              <w:right w:val="nil"/>
            </w:tcBorders>
            <w:shd w:val="clear" w:color="000000" w:fill="DEEAF6"/>
            <w:vAlign w:val="center"/>
          </w:tcPr>
          <w:p w14:paraId="74434D8F" w14:textId="628C6D13" w:rsidR="00E03E35" w:rsidRPr="000939E3" w:rsidRDefault="00E03E35" w:rsidP="00E03E35">
            <w:pPr>
              <w:spacing w:after="0" w:line="240" w:lineRule="auto"/>
              <w:jc w:val="right"/>
              <w:rPr>
                <w:rFonts w:eastAsia="Times New Roman" w:cs="Times New Roman"/>
                <w:b/>
                <w:color w:val="000000"/>
                <w:sz w:val="18"/>
                <w:szCs w:val="18"/>
                <w:lang w:val="en-US"/>
              </w:rPr>
            </w:pPr>
            <w:r w:rsidRPr="000939E3">
              <w:rPr>
                <w:color w:val="000000"/>
                <w:sz w:val="18"/>
                <w:szCs w:val="18"/>
              </w:rPr>
              <w:t>4 690</w:t>
            </w:r>
          </w:p>
        </w:tc>
        <w:tc>
          <w:tcPr>
            <w:tcW w:w="709" w:type="dxa"/>
            <w:tcBorders>
              <w:top w:val="single" w:sz="4" w:space="0" w:color="auto"/>
              <w:left w:val="nil"/>
              <w:right w:val="single" w:sz="4" w:space="0" w:color="auto"/>
            </w:tcBorders>
            <w:shd w:val="clear" w:color="000000" w:fill="DEEAF6"/>
            <w:vAlign w:val="center"/>
          </w:tcPr>
          <w:p w14:paraId="4B585404" w14:textId="4041648B" w:rsidR="00E03E35" w:rsidRPr="000939E3" w:rsidRDefault="00E03E35" w:rsidP="00E03E35">
            <w:pPr>
              <w:spacing w:after="0" w:line="240" w:lineRule="auto"/>
              <w:jc w:val="right"/>
              <w:rPr>
                <w:rFonts w:eastAsia="Times New Roman" w:cs="Times New Roman"/>
                <w:b/>
                <w:color w:val="000000"/>
                <w:sz w:val="18"/>
                <w:szCs w:val="18"/>
                <w:lang w:val="en-US"/>
              </w:rPr>
            </w:pPr>
            <w:r w:rsidRPr="000939E3">
              <w:rPr>
                <w:color w:val="000000"/>
                <w:sz w:val="18"/>
                <w:szCs w:val="18"/>
              </w:rPr>
              <w:t>100,3</w:t>
            </w:r>
          </w:p>
        </w:tc>
      </w:tr>
      <w:tr w:rsidR="00E03E35" w:rsidRPr="000939E3" w14:paraId="3DD9C253" w14:textId="169BF5DF" w:rsidTr="00FB4735">
        <w:trPr>
          <w:trHeight w:val="246"/>
        </w:trPr>
        <w:tc>
          <w:tcPr>
            <w:tcW w:w="1137" w:type="dxa"/>
            <w:tcBorders>
              <w:top w:val="nil"/>
              <w:left w:val="single" w:sz="4" w:space="0" w:color="auto"/>
              <w:bottom w:val="single" w:sz="4" w:space="0" w:color="auto"/>
              <w:right w:val="nil"/>
            </w:tcBorders>
            <w:shd w:val="clear" w:color="auto" w:fill="auto"/>
            <w:noWrap/>
            <w:vAlign w:val="center"/>
            <w:hideMark/>
          </w:tcPr>
          <w:p w14:paraId="29D7A848" w14:textId="77777777" w:rsidR="00E03E35" w:rsidRPr="000939E3" w:rsidRDefault="00E03E35" w:rsidP="00E03E35">
            <w:pPr>
              <w:spacing w:after="0" w:line="240" w:lineRule="auto"/>
              <w:jc w:val="right"/>
              <w:rPr>
                <w:rFonts w:eastAsia="Times New Roman" w:cs="Times New Roman"/>
                <w:color w:val="000000"/>
                <w:sz w:val="18"/>
                <w:szCs w:val="18"/>
                <w:lang w:val="en-US"/>
              </w:rPr>
            </w:pPr>
          </w:p>
        </w:tc>
        <w:tc>
          <w:tcPr>
            <w:tcW w:w="5384" w:type="dxa"/>
            <w:tcBorders>
              <w:top w:val="nil"/>
              <w:left w:val="nil"/>
              <w:bottom w:val="single" w:sz="4" w:space="0" w:color="auto"/>
              <w:right w:val="nil"/>
            </w:tcBorders>
            <w:shd w:val="clear" w:color="auto" w:fill="auto"/>
            <w:noWrap/>
            <w:vAlign w:val="center"/>
            <w:hideMark/>
          </w:tcPr>
          <w:p w14:paraId="515FA0C1" w14:textId="77777777" w:rsidR="00E03E35" w:rsidRPr="000939E3" w:rsidRDefault="00E03E35" w:rsidP="00E03E35">
            <w:pPr>
              <w:spacing w:after="0" w:line="240" w:lineRule="auto"/>
              <w:jc w:val="left"/>
              <w:rPr>
                <w:rFonts w:eastAsia="Times New Roman" w:cs="Times New Roman"/>
                <w:sz w:val="18"/>
                <w:szCs w:val="18"/>
                <w:lang w:val="en-US"/>
              </w:rPr>
            </w:pPr>
          </w:p>
        </w:tc>
        <w:tc>
          <w:tcPr>
            <w:tcW w:w="984" w:type="dxa"/>
            <w:tcBorders>
              <w:top w:val="nil"/>
              <w:left w:val="nil"/>
              <w:bottom w:val="single" w:sz="4" w:space="0" w:color="auto"/>
              <w:right w:val="nil"/>
            </w:tcBorders>
            <w:shd w:val="clear" w:color="auto" w:fill="auto"/>
            <w:noWrap/>
            <w:vAlign w:val="center"/>
            <w:hideMark/>
          </w:tcPr>
          <w:p w14:paraId="5CA6FAB5" w14:textId="4BD134DD" w:rsidR="00E03E35" w:rsidRPr="000939E3" w:rsidRDefault="00E03E35" w:rsidP="00E03E35">
            <w:pPr>
              <w:spacing w:after="0" w:line="240" w:lineRule="auto"/>
              <w:jc w:val="left"/>
              <w:rPr>
                <w:rFonts w:eastAsia="Times New Roman" w:cs="Times New Roman"/>
                <w:b/>
                <w:color w:val="000000"/>
                <w:sz w:val="18"/>
                <w:szCs w:val="18"/>
                <w:lang w:val="en-US"/>
              </w:rPr>
            </w:pPr>
            <w:r w:rsidRPr="000939E3">
              <w:rPr>
                <w:color w:val="000000"/>
                <w:sz w:val="18"/>
                <w:szCs w:val="18"/>
              </w:rPr>
              <w:t>prevádzka</w:t>
            </w:r>
          </w:p>
        </w:tc>
        <w:tc>
          <w:tcPr>
            <w:tcW w:w="722" w:type="dxa"/>
            <w:tcBorders>
              <w:top w:val="nil"/>
              <w:left w:val="single" w:sz="4" w:space="0" w:color="auto"/>
              <w:bottom w:val="single" w:sz="4" w:space="0" w:color="auto"/>
              <w:right w:val="nil"/>
            </w:tcBorders>
            <w:shd w:val="clear" w:color="auto" w:fill="auto"/>
            <w:noWrap/>
            <w:vAlign w:val="center"/>
            <w:hideMark/>
          </w:tcPr>
          <w:p w14:paraId="0CECCF7E" w14:textId="13D30DF5" w:rsidR="00E03E35" w:rsidRPr="000939E3" w:rsidRDefault="00E03E35" w:rsidP="00E03E35">
            <w:pPr>
              <w:spacing w:after="0" w:line="240" w:lineRule="auto"/>
              <w:jc w:val="left"/>
              <w:rPr>
                <w:rFonts w:eastAsia="Times New Roman" w:cs="Times New Roman"/>
                <w:b/>
                <w:color w:val="000000"/>
                <w:sz w:val="18"/>
                <w:szCs w:val="18"/>
                <w:lang w:val="en-US"/>
              </w:rPr>
            </w:pPr>
            <w:r w:rsidRPr="000939E3">
              <w:rPr>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center"/>
            <w:hideMark/>
          </w:tcPr>
          <w:p w14:paraId="73E0D12A" w14:textId="654840EC" w:rsidR="00E03E35" w:rsidRPr="000939E3" w:rsidRDefault="00E03E35" w:rsidP="00E03E35">
            <w:pPr>
              <w:spacing w:after="0" w:line="240" w:lineRule="auto"/>
              <w:jc w:val="right"/>
              <w:rPr>
                <w:rFonts w:eastAsia="Times New Roman" w:cs="Times New Roman"/>
                <w:b/>
                <w:color w:val="000000"/>
                <w:sz w:val="18"/>
                <w:szCs w:val="18"/>
                <w:lang w:val="en-US"/>
              </w:rPr>
            </w:pPr>
            <w:r w:rsidRPr="000939E3">
              <w:rPr>
                <w:color w:val="000000"/>
                <w:sz w:val="18"/>
                <w:szCs w:val="18"/>
              </w:rPr>
              <w:t>1,6</w:t>
            </w:r>
          </w:p>
        </w:tc>
        <w:tc>
          <w:tcPr>
            <w:tcW w:w="723" w:type="dxa"/>
            <w:tcBorders>
              <w:top w:val="nil"/>
              <w:left w:val="nil"/>
              <w:bottom w:val="single" w:sz="4" w:space="0" w:color="auto"/>
              <w:right w:val="nil"/>
            </w:tcBorders>
            <w:shd w:val="clear" w:color="auto" w:fill="auto"/>
            <w:noWrap/>
            <w:vAlign w:val="center"/>
            <w:hideMark/>
          </w:tcPr>
          <w:p w14:paraId="12C52189" w14:textId="462ED5FF" w:rsidR="00E03E35" w:rsidRPr="000939E3" w:rsidRDefault="00E03E35" w:rsidP="00E03E35">
            <w:pPr>
              <w:spacing w:after="0" w:line="240" w:lineRule="auto"/>
              <w:jc w:val="left"/>
              <w:rPr>
                <w:rFonts w:eastAsia="Times New Roman" w:cs="Times New Roman"/>
                <w:b/>
                <w:color w:val="000000"/>
                <w:sz w:val="18"/>
                <w:szCs w:val="18"/>
                <w:lang w:val="en-US"/>
              </w:rPr>
            </w:pPr>
            <w:r w:rsidRPr="000939E3">
              <w:rPr>
                <w:color w:val="000000"/>
                <w:sz w:val="18"/>
                <w:szCs w:val="18"/>
              </w:rPr>
              <w:t> </w:t>
            </w:r>
          </w:p>
        </w:tc>
        <w:tc>
          <w:tcPr>
            <w:tcW w:w="724" w:type="dxa"/>
            <w:tcBorders>
              <w:top w:val="nil"/>
              <w:left w:val="nil"/>
              <w:bottom w:val="single" w:sz="4" w:space="0" w:color="auto"/>
              <w:right w:val="single" w:sz="4" w:space="0" w:color="auto"/>
            </w:tcBorders>
            <w:shd w:val="clear" w:color="auto" w:fill="auto"/>
            <w:noWrap/>
            <w:vAlign w:val="center"/>
            <w:hideMark/>
          </w:tcPr>
          <w:p w14:paraId="2FA44030" w14:textId="2C84CACD" w:rsidR="00E03E35" w:rsidRPr="000939E3" w:rsidRDefault="00E03E35" w:rsidP="00E03E35">
            <w:pPr>
              <w:spacing w:after="0" w:line="240" w:lineRule="auto"/>
              <w:jc w:val="right"/>
              <w:rPr>
                <w:rFonts w:eastAsia="Times New Roman" w:cs="Times New Roman"/>
                <w:b/>
                <w:color w:val="000000"/>
                <w:sz w:val="18"/>
                <w:szCs w:val="18"/>
                <w:lang w:val="en-US"/>
              </w:rPr>
            </w:pPr>
            <w:r w:rsidRPr="000939E3">
              <w:rPr>
                <w:color w:val="000000"/>
                <w:sz w:val="18"/>
                <w:szCs w:val="18"/>
              </w:rPr>
              <w:t>-1,2</w:t>
            </w:r>
          </w:p>
        </w:tc>
        <w:tc>
          <w:tcPr>
            <w:tcW w:w="723" w:type="dxa"/>
            <w:tcBorders>
              <w:top w:val="nil"/>
              <w:left w:val="nil"/>
              <w:bottom w:val="single" w:sz="4" w:space="0" w:color="auto"/>
              <w:right w:val="nil"/>
            </w:tcBorders>
            <w:shd w:val="clear" w:color="auto" w:fill="auto"/>
            <w:noWrap/>
            <w:vAlign w:val="center"/>
            <w:hideMark/>
          </w:tcPr>
          <w:p w14:paraId="4B3F4CDA" w14:textId="22850F30" w:rsidR="00E03E35" w:rsidRPr="000939E3" w:rsidRDefault="00E03E35" w:rsidP="00E03E35">
            <w:pPr>
              <w:spacing w:after="0" w:line="240" w:lineRule="auto"/>
              <w:jc w:val="left"/>
              <w:rPr>
                <w:rFonts w:eastAsia="Times New Roman" w:cs="Times New Roman"/>
                <w:b/>
                <w:color w:val="000000"/>
                <w:sz w:val="18"/>
                <w:szCs w:val="18"/>
                <w:lang w:val="en-US"/>
              </w:rPr>
            </w:pPr>
            <w:r w:rsidRPr="000939E3">
              <w:rPr>
                <w:color w:val="000000"/>
                <w:sz w:val="18"/>
                <w:szCs w:val="18"/>
              </w:rPr>
              <w:t> </w:t>
            </w:r>
          </w:p>
        </w:tc>
        <w:tc>
          <w:tcPr>
            <w:tcW w:w="724" w:type="dxa"/>
            <w:tcBorders>
              <w:top w:val="nil"/>
              <w:left w:val="nil"/>
              <w:bottom w:val="single" w:sz="4" w:space="0" w:color="auto"/>
              <w:right w:val="single" w:sz="4" w:space="0" w:color="auto"/>
            </w:tcBorders>
            <w:shd w:val="clear" w:color="auto" w:fill="auto"/>
            <w:noWrap/>
            <w:vAlign w:val="center"/>
            <w:hideMark/>
          </w:tcPr>
          <w:p w14:paraId="567411BF" w14:textId="7065544B" w:rsidR="00E03E35" w:rsidRPr="000939E3" w:rsidRDefault="00E03E35" w:rsidP="00E03E35">
            <w:pPr>
              <w:spacing w:after="0" w:line="240" w:lineRule="auto"/>
              <w:jc w:val="right"/>
              <w:rPr>
                <w:rFonts w:eastAsia="Times New Roman" w:cs="Times New Roman"/>
                <w:b/>
                <w:color w:val="000000"/>
                <w:sz w:val="18"/>
                <w:szCs w:val="18"/>
                <w:lang w:val="en-US"/>
              </w:rPr>
            </w:pPr>
            <w:r w:rsidRPr="000939E3">
              <w:rPr>
                <w:color w:val="000000"/>
                <w:sz w:val="18"/>
                <w:szCs w:val="18"/>
              </w:rPr>
              <w:t>-7,6</w:t>
            </w:r>
          </w:p>
        </w:tc>
        <w:tc>
          <w:tcPr>
            <w:tcW w:w="749" w:type="dxa"/>
            <w:tcBorders>
              <w:top w:val="nil"/>
              <w:left w:val="nil"/>
              <w:bottom w:val="single" w:sz="4" w:space="0" w:color="auto"/>
              <w:right w:val="nil"/>
            </w:tcBorders>
            <w:vAlign w:val="center"/>
          </w:tcPr>
          <w:p w14:paraId="7E34795D" w14:textId="7A5FB29C" w:rsidR="00E03E35" w:rsidRPr="000939E3" w:rsidRDefault="00E03E35" w:rsidP="00E03E35">
            <w:pPr>
              <w:spacing w:after="0" w:line="240" w:lineRule="auto"/>
              <w:jc w:val="right"/>
              <w:rPr>
                <w:rFonts w:eastAsia="Times New Roman" w:cs="Times New Roman"/>
                <w:b/>
                <w:color w:val="000000"/>
                <w:sz w:val="18"/>
                <w:szCs w:val="18"/>
                <w:lang w:val="en-US"/>
              </w:rPr>
            </w:pPr>
            <w:r w:rsidRPr="000939E3">
              <w:rPr>
                <w:color w:val="000000"/>
                <w:sz w:val="18"/>
                <w:szCs w:val="18"/>
              </w:rPr>
              <w:t> </w:t>
            </w:r>
          </w:p>
        </w:tc>
        <w:tc>
          <w:tcPr>
            <w:tcW w:w="709" w:type="dxa"/>
            <w:tcBorders>
              <w:top w:val="nil"/>
              <w:left w:val="nil"/>
              <w:bottom w:val="single" w:sz="4" w:space="0" w:color="auto"/>
              <w:right w:val="single" w:sz="4" w:space="0" w:color="auto"/>
            </w:tcBorders>
            <w:vAlign w:val="center"/>
          </w:tcPr>
          <w:p w14:paraId="78342C5F" w14:textId="44540421" w:rsidR="00E03E35" w:rsidRPr="000939E3" w:rsidRDefault="00E03E35" w:rsidP="00E03E35">
            <w:pPr>
              <w:spacing w:after="0" w:line="240" w:lineRule="auto"/>
              <w:jc w:val="right"/>
              <w:rPr>
                <w:rFonts w:eastAsia="Times New Roman" w:cs="Times New Roman"/>
                <w:b/>
                <w:color w:val="000000"/>
                <w:sz w:val="18"/>
                <w:szCs w:val="18"/>
                <w:lang w:val="en-US"/>
              </w:rPr>
            </w:pPr>
            <w:r w:rsidRPr="000939E3">
              <w:rPr>
                <w:color w:val="000000"/>
                <w:sz w:val="18"/>
                <w:szCs w:val="18"/>
              </w:rPr>
              <w:t>-13,2</w:t>
            </w:r>
          </w:p>
        </w:tc>
      </w:tr>
      <w:tr w:rsidR="00FB4735" w:rsidRPr="000939E3" w14:paraId="579F0B93" w14:textId="77777777" w:rsidTr="00FB4735">
        <w:trPr>
          <w:trHeight w:val="246"/>
        </w:trPr>
        <w:tc>
          <w:tcPr>
            <w:tcW w:w="6521" w:type="dxa"/>
            <w:gridSpan w:val="2"/>
            <w:tcBorders>
              <w:top w:val="single" w:sz="4" w:space="0" w:color="auto"/>
              <w:left w:val="nil"/>
              <w:bottom w:val="nil"/>
            </w:tcBorders>
            <w:shd w:val="clear" w:color="auto" w:fill="auto"/>
            <w:noWrap/>
            <w:vAlign w:val="center"/>
          </w:tcPr>
          <w:p w14:paraId="3EC4B730" w14:textId="1B57DE82" w:rsidR="00FB4735" w:rsidRPr="00FB4735" w:rsidRDefault="00FB4735" w:rsidP="005E0C5A">
            <w:pPr>
              <w:spacing w:after="0" w:line="240" w:lineRule="auto"/>
              <w:rPr>
                <w:rFonts w:eastAsia="Times New Roman" w:cs="Times New Roman"/>
                <w:i/>
                <w:sz w:val="18"/>
                <w:szCs w:val="18"/>
              </w:rPr>
            </w:pPr>
            <w:r w:rsidRPr="00FB4735">
              <w:rPr>
                <w:i/>
                <w:sz w:val="18"/>
                <w:szCs w:val="18"/>
              </w:rPr>
              <w:t>*Zahŕňa úspory aj v iných rezortoch.</w:t>
            </w:r>
          </w:p>
        </w:tc>
        <w:tc>
          <w:tcPr>
            <w:tcW w:w="984" w:type="dxa"/>
            <w:tcBorders>
              <w:top w:val="single" w:sz="4" w:space="0" w:color="auto"/>
              <w:bottom w:val="nil"/>
            </w:tcBorders>
            <w:shd w:val="clear" w:color="auto" w:fill="auto"/>
            <w:noWrap/>
            <w:vAlign w:val="center"/>
          </w:tcPr>
          <w:p w14:paraId="1BB48561" w14:textId="77777777" w:rsidR="00FB4735" w:rsidRPr="000939E3" w:rsidRDefault="00FB4735" w:rsidP="00E03E35">
            <w:pPr>
              <w:spacing w:after="0" w:line="240" w:lineRule="auto"/>
              <w:jc w:val="left"/>
              <w:rPr>
                <w:color w:val="000000"/>
                <w:sz w:val="18"/>
                <w:szCs w:val="18"/>
              </w:rPr>
            </w:pPr>
          </w:p>
        </w:tc>
        <w:tc>
          <w:tcPr>
            <w:tcW w:w="722" w:type="dxa"/>
            <w:tcBorders>
              <w:top w:val="single" w:sz="4" w:space="0" w:color="auto"/>
              <w:bottom w:val="nil"/>
            </w:tcBorders>
            <w:shd w:val="clear" w:color="auto" w:fill="auto"/>
            <w:noWrap/>
            <w:vAlign w:val="center"/>
          </w:tcPr>
          <w:p w14:paraId="776DA503" w14:textId="77777777" w:rsidR="00FB4735" w:rsidRPr="000939E3" w:rsidRDefault="00FB4735" w:rsidP="00E03E35">
            <w:pPr>
              <w:spacing w:after="0" w:line="240" w:lineRule="auto"/>
              <w:jc w:val="left"/>
              <w:rPr>
                <w:color w:val="000000"/>
                <w:sz w:val="18"/>
                <w:szCs w:val="18"/>
              </w:rPr>
            </w:pPr>
          </w:p>
        </w:tc>
        <w:tc>
          <w:tcPr>
            <w:tcW w:w="726" w:type="dxa"/>
            <w:tcBorders>
              <w:top w:val="single" w:sz="4" w:space="0" w:color="auto"/>
              <w:bottom w:val="nil"/>
            </w:tcBorders>
            <w:shd w:val="clear" w:color="auto" w:fill="auto"/>
            <w:noWrap/>
            <w:vAlign w:val="center"/>
          </w:tcPr>
          <w:p w14:paraId="44606EEF" w14:textId="77777777" w:rsidR="00FB4735" w:rsidRPr="000939E3" w:rsidRDefault="00FB4735" w:rsidP="00E03E35">
            <w:pPr>
              <w:spacing w:after="0" w:line="240" w:lineRule="auto"/>
              <w:jc w:val="right"/>
              <w:rPr>
                <w:color w:val="000000"/>
                <w:sz w:val="18"/>
                <w:szCs w:val="18"/>
              </w:rPr>
            </w:pPr>
          </w:p>
        </w:tc>
        <w:tc>
          <w:tcPr>
            <w:tcW w:w="723" w:type="dxa"/>
            <w:tcBorders>
              <w:top w:val="single" w:sz="4" w:space="0" w:color="auto"/>
              <w:bottom w:val="nil"/>
            </w:tcBorders>
            <w:shd w:val="clear" w:color="auto" w:fill="auto"/>
            <w:noWrap/>
            <w:vAlign w:val="center"/>
          </w:tcPr>
          <w:p w14:paraId="428C90A1" w14:textId="77777777" w:rsidR="00FB4735" w:rsidRPr="000939E3" w:rsidRDefault="00FB4735" w:rsidP="00E03E35">
            <w:pPr>
              <w:spacing w:after="0" w:line="240" w:lineRule="auto"/>
              <w:jc w:val="left"/>
              <w:rPr>
                <w:color w:val="000000"/>
                <w:sz w:val="18"/>
                <w:szCs w:val="18"/>
              </w:rPr>
            </w:pPr>
          </w:p>
        </w:tc>
        <w:tc>
          <w:tcPr>
            <w:tcW w:w="724" w:type="dxa"/>
            <w:tcBorders>
              <w:top w:val="single" w:sz="4" w:space="0" w:color="auto"/>
              <w:bottom w:val="nil"/>
            </w:tcBorders>
            <w:shd w:val="clear" w:color="auto" w:fill="auto"/>
            <w:noWrap/>
            <w:vAlign w:val="center"/>
          </w:tcPr>
          <w:p w14:paraId="2595471B" w14:textId="77777777" w:rsidR="00FB4735" w:rsidRPr="000939E3" w:rsidRDefault="00FB4735" w:rsidP="00E03E35">
            <w:pPr>
              <w:spacing w:after="0" w:line="240" w:lineRule="auto"/>
              <w:jc w:val="right"/>
              <w:rPr>
                <w:color w:val="000000"/>
                <w:sz w:val="18"/>
                <w:szCs w:val="18"/>
              </w:rPr>
            </w:pPr>
          </w:p>
        </w:tc>
        <w:tc>
          <w:tcPr>
            <w:tcW w:w="723" w:type="dxa"/>
            <w:tcBorders>
              <w:top w:val="single" w:sz="4" w:space="0" w:color="auto"/>
              <w:bottom w:val="nil"/>
            </w:tcBorders>
            <w:shd w:val="clear" w:color="auto" w:fill="auto"/>
            <w:noWrap/>
            <w:vAlign w:val="center"/>
          </w:tcPr>
          <w:p w14:paraId="6AD5AFBF" w14:textId="77777777" w:rsidR="00FB4735" w:rsidRPr="000939E3" w:rsidRDefault="00FB4735" w:rsidP="00E03E35">
            <w:pPr>
              <w:spacing w:after="0" w:line="240" w:lineRule="auto"/>
              <w:jc w:val="left"/>
              <w:rPr>
                <w:color w:val="000000"/>
                <w:sz w:val="18"/>
                <w:szCs w:val="18"/>
              </w:rPr>
            </w:pPr>
          </w:p>
        </w:tc>
        <w:tc>
          <w:tcPr>
            <w:tcW w:w="2182" w:type="dxa"/>
            <w:gridSpan w:val="3"/>
            <w:tcBorders>
              <w:top w:val="single" w:sz="4" w:space="0" w:color="auto"/>
              <w:bottom w:val="nil"/>
            </w:tcBorders>
            <w:shd w:val="clear" w:color="auto" w:fill="auto"/>
            <w:noWrap/>
          </w:tcPr>
          <w:p w14:paraId="179F5C27" w14:textId="373293A2" w:rsidR="00FB4735" w:rsidRPr="00FB4735" w:rsidRDefault="00FB4735" w:rsidP="00FB4735">
            <w:pPr>
              <w:spacing w:after="0" w:line="240" w:lineRule="auto"/>
              <w:jc w:val="right"/>
              <w:rPr>
                <w:i/>
                <w:color w:val="000000"/>
                <w:sz w:val="18"/>
                <w:szCs w:val="18"/>
              </w:rPr>
            </w:pPr>
            <w:r>
              <w:rPr>
                <w:i/>
                <w:color w:val="000000"/>
                <w:sz w:val="18"/>
                <w:szCs w:val="18"/>
              </w:rPr>
              <w:t>Zdroj: ÚHP</w:t>
            </w:r>
          </w:p>
        </w:tc>
      </w:tr>
    </w:tbl>
    <w:p w14:paraId="772C09FA" w14:textId="77777777" w:rsidR="00626763" w:rsidRPr="000939E3" w:rsidRDefault="00626763" w:rsidP="00626763">
      <w:pPr>
        <w:sectPr w:rsidR="00626763" w:rsidRPr="000939E3" w:rsidSect="00E03E35">
          <w:pgSz w:w="16838" w:h="11906" w:orient="landscape"/>
          <w:pgMar w:top="1417" w:right="1417" w:bottom="1417" w:left="1417" w:header="708" w:footer="708" w:gutter="0"/>
          <w:cols w:space="708"/>
          <w:docGrid w:linePitch="360"/>
        </w:sectPr>
      </w:pPr>
    </w:p>
    <w:p w14:paraId="500C877D" w14:textId="5F2C07BE" w:rsidR="000041BE" w:rsidRPr="000939E3" w:rsidRDefault="000041BE" w:rsidP="00565A86">
      <w:pPr>
        <w:pStyle w:val="Popis"/>
        <w:spacing w:after="120"/>
        <w:rPr>
          <w:sz w:val="22"/>
        </w:rPr>
      </w:pPr>
      <w:bookmarkStart w:id="313" w:name="_Ref13492023"/>
      <w:r w:rsidRPr="000939E3">
        <w:rPr>
          <w:sz w:val="22"/>
        </w:rPr>
        <w:t xml:space="preserve">Príloha </w:t>
      </w:r>
      <w:r w:rsidRPr="000939E3">
        <w:rPr>
          <w:sz w:val="22"/>
        </w:rPr>
        <w:fldChar w:fldCharType="begin"/>
      </w:r>
      <w:r w:rsidRPr="000939E3">
        <w:rPr>
          <w:sz w:val="22"/>
        </w:rPr>
        <w:instrText xml:space="preserve"> SEQ Príloha \* ARABIC </w:instrText>
      </w:r>
      <w:r w:rsidRPr="000939E3">
        <w:rPr>
          <w:sz w:val="22"/>
        </w:rPr>
        <w:fldChar w:fldCharType="separate"/>
      </w:r>
      <w:r w:rsidR="00BF69CA">
        <w:rPr>
          <w:noProof/>
          <w:sz w:val="22"/>
        </w:rPr>
        <w:t>3</w:t>
      </w:r>
      <w:r w:rsidRPr="000939E3">
        <w:rPr>
          <w:sz w:val="22"/>
        </w:rPr>
        <w:fldChar w:fldCharType="end"/>
      </w:r>
      <w:bookmarkEnd w:id="312"/>
      <w:bookmarkEnd w:id="313"/>
      <w:r w:rsidRPr="000939E3">
        <w:rPr>
          <w:sz w:val="22"/>
        </w:rPr>
        <w:t>: Prehľad kategórií a položiek ekonomickej klasifikácie vstupujúcich do mzdových a osobných výdavkov a kompenzácií zamestnancov podľa ESA 2010</w:t>
      </w:r>
    </w:p>
    <w:tbl>
      <w:tblPr>
        <w:tblW w:w="5000" w:type="pct"/>
        <w:tblCellMar>
          <w:left w:w="70" w:type="dxa"/>
          <w:right w:w="70" w:type="dxa"/>
        </w:tblCellMar>
        <w:tblLook w:val="04A0" w:firstRow="1" w:lastRow="0" w:firstColumn="1" w:lastColumn="0" w:noHBand="0" w:noVBand="1"/>
      </w:tblPr>
      <w:tblGrid>
        <w:gridCol w:w="562"/>
        <w:gridCol w:w="560"/>
        <w:gridCol w:w="560"/>
        <w:gridCol w:w="7380"/>
      </w:tblGrid>
      <w:tr w:rsidR="000041BE" w:rsidRPr="000939E3" w14:paraId="660EA724" w14:textId="77777777" w:rsidTr="00D61CAD">
        <w:trPr>
          <w:trHeight w:val="300"/>
        </w:trPr>
        <w:tc>
          <w:tcPr>
            <w:tcW w:w="31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BB6AEF0" w14:textId="77777777" w:rsidR="000041BE" w:rsidRPr="000939E3" w:rsidRDefault="000041BE" w:rsidP="00D61CAD">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Kompenzácie zamestnancov</w:t>
            </w:r>
          </w:p>
        </w:tc>
        <w:tc>
          <w:tcPr>
            <w:tcW w:w="30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A61EF92" w14:textId="77777777" w:rsidR="000041BE" w:rsidRPr="000939E3" w:rsidRDefault="000041BE" w:rsidP="00D61CAD">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Osobné výdavky</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A30B1B2" w14:textId="77777777" w:rsidR="000041BE" w:rsidRPr="000939E3" w:rsidRDefault="000041BE" w:rsidP="00D61CAD">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Mzdové výdavky</w:t>
            </w:r>
          </w:p>
        </w:tc>
        <w:tc>
          <w:tcPr>
            <w:tcW w:w="4072" w:type="pct"/>
            <w:tcBorders>
              <w:top w:val="single" w:sz="4" w:space="0" w:color="auto"/>
              <w:left w:val="nil"/>
              <w:bottom w:val="single" w:sz="4" w:space="0" w:color="auto"/>
              <w:right w:val="single" w:sz="4" w:space="0" w:color="auto"/>
            </w:tcBorders>
            <w:shd w:val="clear" w:color="auto" w:fill="auto"/>
            <w:noWrap/>
            <w:vAlign w:val="bottom"/>
            <w:hideMark/>
          </w:tcPr>
          <w:p w14:paraId="591DC4AB" w14:textId="77777777" w:rsidR="000041BE" w:rsidRPr="000939E3" w:rsidRDefault="000041BE" w:rsidP="00D61CAD">
            <w:pPr>
              <w:spacing w:after="0" w:line="240" w:lineRule="auto"/>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610 Mzdy, platy, služobné príjmy a ostatné osobné vyrovnania</w:t>
            </w:r>
          </w:p>
        </w:tc>
      </w:tr>
      <w:tr w:rsidR="000041BE" w:rsidRPr="000939E3" w14:paraId="178DE143"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5B2EF3CE"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334C1CF9"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0A004EF5"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4072" w:type="pct"/>
            <w:tcBorders>
              <w:top w:val="nil"/>
              <w:left w:val="nil"/>
              <w:bottom w:val="nil"/>
              <w:right w:val="single" w:sz="4" w:space="0" w:color="auto"/>
            </w:tcBorders>
            <w:shd w:val="clear" w:color="auto" w:fill="auto"/>
            <w:noWrap/>
            <w:vAlign w:val="bottom"/>
            <w:hideMark/>
          </w:tcPr>
          <w:p w14:paraId="48E1BFF4" w14:textId="77777777" w:rsidR="000041BE" w:rsidRPr="000939E3" w:rsidRDefault="000041BE" w:rsidP="00D61CAD">
            <w:pPr>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611 Tarifný plat, osobný plat, základný plat, funkčný plat, hodnostný plat, plat, vrátane ich náhrad</w:t>
            </w:r>
          </w:p>
        </w:tc>
      </w:tr>
      <w:tr w:rsidR="000041BE" w:rsidRPr="000939E3" w14:paraId="5C98832D"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39079737"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7340E495"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1B8E0C89"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4072" w:type="pct"/>
            <w:tcBorders>
              <w:top w:val="nil"/>
              <w:left w:val="nil"/>
              <w:bottom w:val="nil"/>
              <w:right w:val="single" w:sz="4" w:space="0" w:color="auto"/>
            </w:tcBorders>
            <w:shd w:val="clear" w:color="auto" w:fill="auto"/>
            <w:noWrap/>
            <w:vAlign w:val="bottom"/>
            <w:hideMark/>
          </w:tcPr>
          <w:p w14:paraId="3383A688" w14:textId="77777777" w:rsidR="000041BE" w:rsidRPr="000939E3" w:rsidRDefault="000041BE" w:rsidP="00D61CAD">
            <w:pPr>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612 Príplatky</w:t>
            </w:r>
          </w:p>
        </w:tc>
      </w:tr>
      <w:tr w:rsidR="000041BE" w:rsidRPr="000939E3" w14:paraId="7AD41CE7"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61ED3208"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63A55131"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5828C168"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4072" w:type="pct"/>
            <w:tcBorders>
              <w:top w:val="nil"/>
              <w:left w:val="nil"/>
              <w:bottom w:val="nil"/>
              <w:right w:val="single" w:sz="4" w:space="0" w:color="auto"/>
            </w:tcBorders>
            <w:shd w:val="clear" w:color="auto" w:fill="auto"/>
            <w:noWrap/>
            <w:vAlign w:val="bottom"/>
            <w:hideMark/>
          </w:tcPr>
          <w:p w14:paraId="2E908F3F" w14:textId="77777777" w:rsidR="000041BE" w:rsidRPr="000939E3" w:rsidRDefault="000041BE" w:rsidP="00D61CAD">
            <w:pPr>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613 Náhrada za pracovnú pohotovosť, služobnú pohotovosť a náhrada, odmena za pohotovosť</w:t>
            </w:r>
          </w:p>
        </w:tc>
      </w:tr>
      <w:tr w:rsidR="000041BE" w:rsidRPr="000939E3" w14:paraId="40A8F8EC"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3665D2E3"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7B5829CD"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0048876D"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4072" w:type="pct"/>
            <w:tcBorders>
              <w:top w:val="nil"/>
              <w:left w:val="nil"/>
              <w:bottom w:val="nil"/>
              <w:right w:val="single" w:sz="4" w:space="0" w:color="auto"/>
            </w:tcBorders>
            <w:shd w:val="clear" w:color="auto" w:fill="auto"/>
            <w:noWrap/>
            <w:vAlign w:val="bottom"/>
            <w:hideMark/>
          </w:tcPr>
          <w:p w14:paraId="79800E13" w14:textId="77777777" w:rsidR="000041BE" w:rsidRPr="000939E3" w:rsidRDefault="000041BE" w:rsidP="00D61CAD">
            <w:pPr>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614 Odmeny</w:t>
            </w:r>
          </w:p>
        </w:tc>
      </w:tr>
      <w:tr w:rsidR="000041BE" w:rsidRPr="000939E3" w14:paraId="2DA8E898"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2D624DED"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2F544EEC"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506474B2"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4072" w:type="pct"/>
            <w:tcBorders>
              <w:top w:val="nil"/>
              <w:left w:val="nil"/>
              <w:bottom w:val="nil"/>
              <w:right w:val="single" w:sz="4" w:space="0" w:color="auto"/>
            </w:tcBorders>
            <w:shd w:val="clear" w:color="auto" w:fill="auto"/>
            <w:noWrap/>
            <w:vAlign w:val="bottom"/>
            <w:hideMark/>
          </w:tcPr>
          <w:p w14:paraId="38DDBD03" w14:textId="77777777" w:rsidR="000041BE" w:rsidRPr="000939E3" w:rsidRDefault="000041BE" w:rsidP="00D61CAD">
            <w:pPr>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615 Ostatné osobné vyrovnania</w:t>
            </w:r>
          </w:p>
        </w:tc>
      </w:tr>
      <w:tr w:rsidR="000041BE" w:rsidRPr="000939E3" w14:paraId="760BE4FE"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43EFD427"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62AABA34"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4AB63528"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4072" w:type="pct"/>
            <w:tcBorders>
              <w:top w:val="nil"/>
              <w:left w:val="nil"/>
              <w:bottom w:val="single" w:sz="4" w:space="0" w:color="auto"/>
              <w:right w:val="single" w:sz="4" w:space="0" w:color="auto"/>
            </w:tcBorders>
            <w:shd w:val="clear" w:color="auto" w:fill="auto"/>
            <w:noWrap/>
            <w:vAlign w:val="bottom"/>
            <w:hideMark/>
          </w:tcPr>
          <w:p w14:paraId="4B221852" w14:textId="77777777" w:rsidR="000041BE" w:rsidRPr="000939E3" w:rsidRDefault="000041BE" w:rsidP="00D61CAD">
            <w:pPr>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616 Doplatok k platu a ďalší plat</w:t>
            </w:r>
          </w:p>
        </w:tc>
      </w:tr>
      <w:tr w:rsidR="000041BE" w:rsidRPr="000939E3" w14:paraId="61498090"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415CD0FF"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20CA8FB2"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tcBorders>
              <w:top w:val="nil"/>
              <w:left w:val="nil"/>
              <w:bottom w:val="nil"/>
              <w:right w:val="single" w:sz="4" w:space="0" w:color="auto"/>
            </w:tcBorders>
            <w:shd w:val="clear" w:color="000000" w:fill="BFBFBF"/>
            <w:noWrap/>
            <w:vAlign w:val="bottom"/>
            <w:hideMark/>
          </w:tcPr>
          <w:p w14:paraId="15F756F7"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4072" w:type="pct"/>
            <w:tcBorders>
              <w:top w:val="nil"/>
              <w:left w:val="nil"/>
              <w:bottom w:val="single" w:sz="4" w:space="0" w:color="auto"/>
              <w:right w:val="single" w:sz="4" w:space="0" w:color="auto"/>
            </w:tcBorders>
            <w:shd w:val="clear" w:color="auto" w:fill="auto"/>
            <w:noWrap/>
            <w:vAlign w:val="bottom"/>
            <w:hideMark/>
          </w:tcPr>
          <w:p w14:paraId="4CCFF727" w14:textId="77777777" w:rsidR="000041BE" w:rsidRPr="000939E3" w:rsidRDefault="000041BE" w:rsidP="00D61CAD">
            <w:pPr>
              <w:spacing w:after="0" w:line="240" w:lineRule="auto"/>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620 Poistné a príspevok do poisťovní</w:t>
            </w:r>
          </w:p>
        </w:tc>
      </w:tr>
      <w:tr w:rsidR="000041BE" w:rsidRPr="000939E3" w14:paraId="44018E70"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5BD5F5A5"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3A3D92E8"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tcBorders>
              <w:top w:val="nil"/>
              <w:left w:val="nil"/>
              <w:bottom w:val="nil"/>
              <w:right w:val="single" w:sz="4" w:space="0" w:color="auto"/>
            </w:tcBorders>
            <w:shd w:val="clear" w:color="000000" w:fill="BFBFBF"/>
            <w:noWrap/>
            <w:vAlign w:val="bottom"/>
            <w:hideMark/>
          </w:tcPr>
          <w:p w14:paraId="6739B18F"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4072" w:type="pct"/>
            <w:tcBorders>
              <w:top w:val="nil"/>
              <w:left w:val="nil"/>
              <w:bottom w:val="nil"/>
              <w:right w:val="single" w:sz="4" w:space="0" w:color="auto"/>
            </w:tcBorders>
            <w:shd w:val="clear" w:color="auto" w:fill="auto"/>
            <w:noWrap/>
            <w:vAlign w:val="bottom"/>
            <w:hideMark/>
          </w:tcPr>
          <w:p w14:paraId="2B5DAEA4" w14:textId="77777777" w:rsidR="000041BE" w:rsidRPr="000939E3" w:rsidRDefault="000041BE" w:rsidP="00D61CAD">
            <w:pPr>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621 Poistné do Všeobecnej zdravotnej poisťovne</w:t>
            </w:r>
          </w:p>
        </w:tc>
      </w:tr>
      <w:tr w:rsidR="000041BE" w:rsidRPr="000939E3" w14:paraId="14C3A543"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0AC235C2"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57950980"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tcBorders>
              <w:top w:val="nil"/>
              <w:left w:val="nil"/>
              <w:bottom w:val="nil"/>
              <w:right w:val="single" w:sz="4" w:space="0" w:color="auto"/>
            </w:tcBorders>
            <w:shd w:val="clear" w:color="000000" w:fill="BFBFBF"/>
            <w:noWrap/>
            <w:vAlign w:val="bottom"/>
            <w:hideMark/>
          </w:tcPr>
          <w:p w14:paraId="0B9A4BEB"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4072" w:type="pct"/>
            <w:tcBorders>
              <w:top w:val="nil"/>
              <w:left w:val="nil"/>
              <w:bottom w:val="nil"/>
              <w:right w:val="single" w:sz="4" w:space="0" w:color="auto"/>
            </w:tcBorders>
            <w:shd w:val="clear" w:color="auto" w:fill="auto"/>
            <w:noWrap/>
            <w:vAlign w:val="bottom"/>
            <w:hideMark/>
          </w:tcPr>
          <w:p w14:paraId="395F36BC" w14:textId="77777777" w:rsidR="000041BE" w:rsidRPr="000939E3" w:rsidRDefault="000041BE" w:rsidP="00D61CAD">
            <w:pPr>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623 Poistné do ostatných zdravotných poisťovní</w:t>
            </w:r>
          </w:p>
        </w:tc>
      </w:tr>
      <w:tr w:rsidR="000041BE" w:rsidRPr="000939E3" w14:paraId="73CC8900"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30A7C273"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2EDB77B7"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tcBorders>
              <w:top w:val="nil"/>
              <w:left w:val="nil"/>
              <w:bottom w:val="nil"/>
              <w:right w:val="single" w:sz="4" w:space="0" w:color="auto"/>
            </w:tcBorders>
            <w:shd w:val="clear" w:color="000000" w:fill="BFBFBF"/>
            <w:noWrap/>
            <w:vAlign w:val="bottom"/>
            <w:hideMark/>
          </w:tcPr>
          <w:p w14:paraId="348C7B54"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4072" w:type="pct"/>
            <w:tcBorders>
              <w:top w:val="nil"/>
              <w:left w:val="nil"/>
              <w:bottom w:val="nil"/>
              <w:right w:val="single" w:sz="4" w:space="0" w:color="auto"/>
            </w:tcBorders>
            <w:shd w:val="clear" w:color="auto" w:fill="auto"/>
            <w:noWrap/>
            <w:vAlign w:val="bottom"/>
            <w:hideMark/>
          </w:tcPr>
          <w:p w14:paraId="0C6402CF" w14:textId="77777777" w:rsidR="000041BE" w:rsidRPr="000939E3" w:rsidRDefault="000041BE" w:rsidP="00D61CAD">
            <w:pPr>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625 Poistné do Sociálnej poisťovne</w:t>
            </w:r>
          </w:p>
        </w:tc>
      </w:tr>
      <w:tr w:rsidR="000041BE" w:rsidRPr="000939E3" w14:paraId="5B791AEB"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08B0C1FC"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000E9321"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tcBorders>
              <w:top w:val="nil"/>
              <w:left w:val="nil"/>
              <w:bottom w:val="nil"/>
              <w:right w:val="single" w:sz="4" w:space="0" w:color="auto"/>
            </w:tcBorders>
            <w:shd w:val="clear" w:color="000000" w:fill="BFBFBF"/>
            <w:noWrap/>
            <w:vAlign w:val="bottom"/>
            <w:hideMark/>
          </w:tcPr>
          <w:p w14:paraId="4A2EFD67"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4072" w:type="pct"/>
            <w:tcBorders>
              <w:top w:val="nil"/>
              <w:left w:val="nil"/>
              <w:bottom w:val="nil"/>
              <w:right w:val="single" w:sz="4" w:space="0" w:color="auto"/>
            </w:tcBorders>
            <w:shd w:val="clear" w:color="auto" w:fill="auto"/>
            <w:noWrap/>
            <w:vAlign w:val="bottom"/>
            <w:hideMark/>
          </w:tcPr>
          <w:p w14:paraId="07BC3CE7" w14:textId="77777777" w:rsidR="000041BE" w:rsidRPr="000939E3" w:rsidRDefault="000041BE" w:rsidP="00D61CAD">
            <w:pPr>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627 Príspevok do doplnkových dôchodkových poisťovní</w:t>
            </w:r>
          </w:p>
        </w:tc>
      </w:tr>
      <w:tr w:rsidR="000041BE" w:rsidRPr="000939E3" w14:paraId="4889B799"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500AA1A1"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42E78BC8"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tcBorders>
              <w:top w:val="nil"/>
              <w:left w:val="nil"/>
              <w:bottom w:val="nil"/>
              <w:right w:val="single" w:sz="4" w:space="0" w:color="auto"/>
            </w:tcBorders>
            <w:shd w:val="clear" w:color="000000" w:fill="BFBFBF"/>
            <w:noWrap/>
            <w:vAlign w:val="bottom"/>
            <w:hideMark/>
          </w:tcPr>
          <w:p w14:paraId="47EA5FE2"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4072" w:type="pct"/>
            <w:tcBorders>
              <w:top w:val="nil"/>
              <w:left w:val="nil"/>
              <w:bottom w:val="nil"/>
              <w:right w:val="single" w:sz="4" w:space="0" w:color="auto"/>
            </w:tcBorders>
            <w:shd w:val="clear" w:color="auto" w:fill="auto"/>
            <w:noWrap/>
            <w:vAlign w:val="bottom"/>
            <w:hideMark/>
          </w:tcPr>
          <w:p w14:paraId="056D2DFB" w14:textId="77777777" w:rsidR="000041BE" w:rsidRPr="000939E3" w:rsidRDefault="000041BE" w:rsidP="00D61CAD">
            <w:pPr>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628 Poistné na osobitné účty</w:t>
            </w:r>
          </w:p>
        </w:tc>
      </w:tr>
      <w:tr w:rsidR="000041BE" w:rsidRPr="000939E3" w14:paraId="71967EE0"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66553202"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6D6C773A"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tcBorders>
              <w:top w:val="nil"/>
              <w:left w:val="nil"/>
              <w:bottom w:val="nil"/>
              <w:right w:val="single" w:sz="4" w:space="0" w:color="auto"/>
            </w:tcBorders>
            <w:shd w:val="clear" w:color="000000" w:fill="BFBFBF"/>
            <w:noWrap/>
            <w:vAlign w:val="bottom"/>
            <w:hideMark/>
          </w:tcPr>
          <w:p w14:paraId="7526D99D"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4072" w:type="pct"/>
            <w:tcBorders>
              <w:top w:val="nil"/>
              <w:left w:val="nil"/>
              <w:bottom w:val="single" w:sz="4" w:space="0" w:color="auto"/>
              <w:right w:val="single" w:sz="4" w:space="0" w:color="auto"/>
            </w:tcBorders>
            <w:shd w:val="clear" w:color="auto" w:fill="auto"/>
            <w:noWrap/>
            <w:vAlign w:val="bottom"/>
            <w:hideMark/>
          </w:tcPr>
          <w:p w14:paraId="6E774B73" w14:textId="77777777" w:rsidR="000041BE" w:rsidRPr="000939E3" w:rsidRDefault="000041BE" w:rsidP="00D61CAD">
            <w:pPr>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629 Príspevok na starobné dôchodkové sporenie</w:t>
            </w:r>
          </w:p>
        </w:tc>
      </w:tr>
      <w:tr w:rsidR="000041BE" w:rsidRPr="000939E3" w14:paraId="1848E216"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358E3A35"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tcBorders>
              <w:top w:val="nil"/>
              <w:left w:val="nil"/>
              <w:bottom w:val="nil"/>
              <w:right w:val="nil"/>
            </w:tcBorders>
            <w:shd w:val="clear" w:color="000000" w:fill="BFBFBF"/>
            <w:noWrap/>
            <w:vAlign w:val="bottom"/>
            <w:hideMark/>
          </w:tcPr>
          <w:p w14:paraId="2C5BCD36"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309" w:type="pct"/>
            <w:tcBorders>
              <w:top w:val="nil"/>
              <w:left w:val="nil"/>
              <w:bottom w:val="nil"/>
              <w:right w:val="single" w:sz="4" w:space="0" w:color="auto"/>
            </w:tcBorders>
            <w:shd w:val="clear" w:color="000000" w:fill="BFBFBF"/>
            <w:noWrap/>
            <w:vAlign w:val="bottom"/>
            <w:hideMark/>
          </w:tcPr>
          <w:p w14:paraId="58DC4ECE"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4072" w:type="pct"/>
            <w:tcBorders>
              <w:top w:val="nil"/>
              <w:left w:val="nil"/>
              <w:bottom w:val="single" w:sz="4" w:space="0" w:color="auto"/>
              <w:right w:val="single" w:sz="4" w:space="0" w:color="auto"/>
            </w:tcBorders>
            <w:shd w:val="clear" w:color="auto" w:fill="auto"/>
            <w:noWrap/>
            <w:vAlign w:val="bottom"/>
            <w:hideMark/>
          </w:tcPr>
          <w:p w14:paraId="16C82BE6" w14:textId="77777777" w:rsidR="000041BE" w:rsidRPr="000939E3" w:rsidRDefault="000041BE" w:rsidP="00D61CAD">
            <w:pPr>
              <w:spacing w:after="0" w:line="240" w:lineRule="auto"/>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630 Tovary a služby</w:t>
            </w:r>
          </w:p>
        </w:tc>
      </w:tr>
      <w:tr w:rsidR="000041BE" w:rsidRPr="000939E3" w14:paraId="6EC6C360"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3F161D11"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tcBorders>
              <w:top w:val="nil"/>
              <w:left w:val="nil"/>
              <w:bottom w:val="nil"/>
              <w:right w:val="nil"/>
            </w:tcBorders>
            <w:shd w:val="clear" w:color="000000" w:fill="BFBFBF"/>
            <w:noWrap/>
            <w:vAlign w:val="bottom"/>
            <w:hideMark/>
          </w:tcPr>
          <w:p w14:paraId="4E65DC0F"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309" w:type="pct"/>
            <w:tcBorders>
              <w:top w:val="nil"/>
              <w:left w:val="nil"/>
              <w:bottom w:val="nil"/>
              <w:right w:val="single" w:sz="4" w:space="0" w:color="auto"/>
            </w:tcBorders>
            <w:shd w:val="clear" w:color="000000" w:fill="BFBFBF"/>
            <w:noWrap/>
            <w:vAlign w:val="bottom"/>
            <w:hideMark/>
          </w:tcPr>
          <w:p w14:paraId="34B7FED8"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4072" w:type="pct"/>
            <w:tcBorders>
              <w:top w:val="nil"/>
              <w:left w:val="nil"/>
              <w:bottom w:val="nil"/>
              <w:right w:val="single" w:sz="4" w:space="0" w:color="auto"/>
            </w:tcBorders>
            <w:shd w:val="clear" w:color="auto" w:fill="auto"/>
            <w:noWrap/>
            <w:vAlign w:val="bottom"/>
            <w:hideMark/>
          </w:tcPr>
          <w:p w14:paraId="11B884AE" w14:textId="77777777" w:rsidR="000041BE" w:rsidRPr="000939E3" w:rsidRDefault="000041BE" w:rsidP="00D61CAD">
            <w:pPr>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631 Cestovné náhrady (časť výdavkov)</w:t>
            </w:r>
          </w:p>
        </w:tc>
      </w:tr>
      <w:tr w:rsidR="000041BE" w:rsidRPr="000939E3" w14:paraId="44FEFB7F"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5A42349B"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tcBorders>
              <w:top w:val="nil"/>
              <w:left w:val="nil"/>
              <w:bottom w:val="nil"/>
              <w:right w:val="nil"/>
            </w:tcBorders>
            <w:shd w:val="clear" w:color="000000" w:fill="BFBFBF"/>
            <w:noWrap/>
            <w:vAlign w:val="bottom"/>
            <w:hideMark/>
          </w:tcPr>
          <w:p w14:paraId="38E90C87"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309" w:type="pct"/>
            <w:tcBorders>
              <w:top w:val="nil"/>
              <w:left w:val="nil"/>
              <w:bottom w:val="nil"/>
              <w:right w:val="single" w:sz="4" w:space="0" w:color="auto"/>
            </w:tcBorders>
            <w:shd w:val="clear" w:color="000000" w:fill="BFBFBF"/>
            <w:noWrap/>
            <w:vAlign w:val="bottom"/>
            <w:hideMark/>
          </w:tcPr>
          <w:p w14:paraId="5F92784C"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4072" w:type="pct"/>
            <w:tcBorders>
              <w:top w:val="nil"/>
              <w:left w:val="nil"/>
              <w:bottom w:val="single" w:sz="4" w:space="0" w:color="auto"/>
              <w:right w:val="single" w:sz="4" w:space="0" w:color="auto"/>
            </w:tcBorders>
            <w:shd w:val="clear" w:color="auto" w:fill="auto"/>
            <w:noWrap/>
            <w:vAlign w:val="bottom"/>
            <w:hideMark/>
          </w:tcPr>
          <w:p w14:paraId="111DF2F9" w14:textId="77777777" w:rsidR="000041BE" w:rsidRPr="000939E3" w:rsidRDefault="000041BE" w:rsidP="00D61CAD">
            <w:pPr>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637 Služby (vybrané podpoložky)</w:t>
            </w:r>
          </w:p>
        </w:tc>
      </w:tr>
      <w:tr w:rsidR="000041BE" w:rsidRPr="000939E3" w14:paraId="0BD90D56"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05030418"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tcBorders>
              <w:top w:val="nil"/>
              <w:left w:val="nil"/>
              <w:bottom w:val="nil"/>
              <w:right w:val="nil"/>
            </w:tcBorders>
            <w:shd w:val="clear" w:color="000000" w:fill="BFBFBF"/>
            <w:noWrap/>
            <w:vAlign w:val="bottom"/>
            <w:hideMark/>
          </w:tcPr>
          <w:p w14:paraId="5FC0AEBC"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309" w:type="pct"/>
            <w:tcBorders>
              <w:top w:val="nil"/>
              <w:left w:val="nil"/>
              <w:bottom w:val="nil"/>
              <w:right w:val="single" w:sz="4" w:space="0" w:color="auto"/>
            </w:tcBorders>
            <w:shd w:val="clear" w:color="000000" w:fill="BFBFBF"/>
            <w:noWrap/>
            <w:vAlign w:val="bottom"/>
            <w:hideMark/>
          </w:tcPr>
          <w:p w14:paraId="7DFC4DF7"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4072" w:type="pct"/>
            <w:tcBorders>
              <w:top w:val="nil"/>
              <w:left w:val="nil"/>
              <w:bottom w:val="single" w:sz="4" w:space="0" w:color="auto"/>
              <w:right w:val="single" w:sz="4" w:space="0" w:color="auto"/>
            </w:tcBorders>
            <w:shd w:val="clear" w:color="auto" w:fill="auto"/>
            <w:noWrap/>
            <w:vAlign w:val="bottom"/>
            <w:hideMark/>
          </w:tcPr>
          <w:p w14:paraId="5347FD9B" w14:textId="77777777" w:rsidR="000041BE" w:rsidRPr="000939E3" w:rsidRDefault="000041BE" w:rsidP="00D61CAD">
            <w:pPr>
              <w:spacing w:after="0" w:line="240" w:lineRule="auto"/>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640 Bežné transfery</w:t>
            </w:r>
          </w:p>
        </w:tc>
      </w:tr>
      <w:tr w:rsidR="000041BE" w:rsidRPr="000939E3" w14:paraId="7B42ACF9" w14:textId="77777777" w:rsidTr="00D61CAD">
        <w:trPr>
          <w:trHeight w:val="300"/>
        </w:trPr>
        <w:tc>
          <w:tcPr>
            <w:tcW w:w="310" w:type="pct"/>
            <w:vMerge/>
            <w:tcBorders>
              <w:top w:val="single" w:sz="4" w:space="0" w:color="auto"/>
              <w:left w:val="single" w:sz="4" w:space="0" w:color="auto"/>
              <w:bottom w:val="single" w:sz="4" w:space="0" w:color="000000"/>
              <w:right w:val="single" w:sz="4" w:space="0" w:color="auto"/>
            </w:tcBorders>
            <w:vAlign w:val="center"/>
            <w:hideMark/>
          </w:tcPr>
          <w:p w14:paraId="20E1508B" w14:textId="77777777" w:rsidR="000041BE" w:rsidRPr="000939E3" w:rsidRDefault="000041BE" w:rsidP="00D61CAD">
            <w:pPr>
              <w:spacing w:after="0" w:line="240" w:lineRule="auto"/>
              <w:rPr>
                <w:rFonts w:eastAsia="Times New Roman" w:cs="Times New Roman"/>
                <w:b/>
                <w:bCs/>
                <w:color w:val="000000"/>
                <w:sz w:val="20"/>
                <w:szCs w:val="20"/>
                <w:lang w:eastAsia="sk-SK"/>
              </w:rPr>
            </w:pPr>
          </w:p>
        </w:tc>
        <w:tc>
          <w:tcPr>
            <w:tcW w:w="309" w:type="pct"/>
            <w:tcBorders>
              <w:top w:val="nil"/>
              <w:left w:val="nil"/>
              <w:bottom w:val="single" w:sz="4" w:space="0" w:color="auto"/>
              <w:right w:val="nil"/>
            </w:tcBorders>
            <w:shd w:val="clear" w:color="000000" w:fill="BFBFBF"/>
            <w:noWrap/>
            <w:vAlign w:val="bottom"/>
            <w:hideMark/>
          </w:tcPr>
          <w:p w14:paraId="7EDBB617"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309" w:type="pct"/>
            <w:tcBorders>
              <w:top w:val="nil"/>
              <w:left w:val="nil"/>
              <w:bottom w:val="single" w:sz="4" w:space="0" w:color="auto"/>
              <w:right w:val="single" w:sz="4" w:space="0" w:color="auto"/>
            </w:tcBorders>
            <w:shd w:val="clear" w:color="000000" w:fill="BFBFBF"/>
            <w:noWrap/>
            <w:vAlign w:val="bottom"/>
            <w:hideMark/>
          </w:tcPr>
          <w:p w14:paraId="4DE58924" w14:textId="77777777" w:rsidR="000041BE" w:rsidRPr="000939E3" w:rsidRDefault="000041BE"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4072" w:type="pct"/>
            <w:tcBorders>
              <w:top w:val="nil"/>
              <w:left w:val="nil"/>
              <w:bottom w:val="single" w:sz="4" w:space="0" w:color="auto"/>
              <w:right w:val="single" w:sz="4" w:space="0" w:color="auto"/>
            </w:tcBorders>
            <w:shd w:val="clear" w:color="auto" w:fill="auto"/>
            <w:noWrap/>
            <w:vAlign w:val="bottom"/>
            <w:hideMark/>
          </w:tcPr>
          <w:p w14:paraId="79CAFC6C" w14:textId="77777777" w:rsidR="000041BE" w:rsidRPr="000939E3" w:rsidRDefault="000041BE" w:rsidP="00D61CAD">
            <w:pPr>
              <w:keepNext/>
              <w:spacing w:after="0" w:line="240" w:lineRule="auto"/>
              <w:ind w:firstLineChars="100" w:firstLine="200"/>
              <w:rPr>
                <w:rFonts w:eastAsia="Times New Roman" w:cs="Times New Roman"/>
                <w:color w:val="000000"/>
                <w:sz w:val="20"/>
                <w:szCs w:val="20"/>
                <w:lang w:eastAsia="sk-SK"/>
              </w:rPr>
            </w:pPr>
            <w:r w:rsidRPr="000939E3">
              <w:rPr>
                <w:rFonts w:eastAsia="Times New Roman" w:cs="Times New Roman"/>
                <w:color w:val="000000"/>
                <w:sz w:val="20"/>
                <w:szCs w:val="20"/>
                <w:lang w:eastAsia="sk-SK"/>
              </w:rPr>
              <w:t>642 Transfery jednotlivcom a neziskovým právnickým osobám (vybrané podpoložky)</w:t>
            </w:r>
          </w:p>
        </w:tc>
      </w:tr>
    </w:tbl>
    <w:p w14:paraId="47F2C278" w14:textId="77777777" w:rsidR="000041BE" w:rsidRPr="000939E3" w:rsidRDefault="000041BE" w:rsidP="000041BE">
      <w:pPr>
        <w:pStyle w:val="Popis"/>
        <w:jc w:val="right"/>
        <w:rPr>
          <w:b w:val="0"/>
          <w:i/>
        </w:rPr>
      </w:pPr>
      <w:r w:rsidRPr="000939E3">
        <w:rPr>
          <w:b w:val="0"/>
          <w:i/>
        </w:rPr>
        <w:t>Zdroj: spracovanie ÚHP</w:t>
      </w:r>
    </w:p>
    <w:p w14:paraId="7B62F27B" w14:textId="77777777" w:rsidR="00E6115E" w:rsidRPr="000939E3" w:rsidRDefault="00E6115E" w:rsidP="000041BE">
      <w:pPr>
        <w:spacing w:after="160"/>
        <w:jc w:val="left"/>
        <w:rPr>
          <w:b/>
          <w:sz w:val="24"/>
        </w:rPr>
      </w:pPr>
    </w:p>
    <w:p w14:paraId="1DFD61E1" w14:textId="3E8F9C32" w:rsidR="00E6115E" w:rsidRPr="000939E3" w:rsidRDefault="00E6115E" w:rsidP="000041BE">
      <w:pPr>
        <w:spacing w:after="160"/>
        <w:jc w:val="left"/>
        <w:rPr>
          <w:b/>
          <w:sz w:val="24"/>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3"/>
      </w:tblGrid>
      <w:tr w:rsidR="00E6115E" w:rsidRPr="000939E3" w14:paraId="5DC070DA" w14:textId="77777777" w:rsidTr="005969A5">
        <w:tc>
          <w:tcPr>
            <w:tcW w:w="4322" w:type="dxa"/>
            <w:tcBorders>
              <w:bottom w:val="single" w:sz="4" w:space="0" w:color="auto"/>
            </w:tcBorders>
          </w:tcPr>
          <w:p w14:paraId="1CA0BEB2" w14:textId="5FBE9098" w:rsidR="00E6115E" w:rsidRPr="00FB4735" w:rsidRDefault="00FB4735" w:rsidP="00FB4735">
            <w:pPr>
              <w:pStyle w:val="Popis"/>
              <w:rPr>
                <w:b w:val="0"/>
                <w:sz w:val="24"/>
              </w:rPr>
            </w:pPr>
            <w:bookmarkStart w:id="314" w:name="_Ref34227362"/>
            <w:r w:rsidRPr="00FB4735">
              <w:rPr>
                <w:sz w:val="22"/>
                <w:szCs w:val="22"/>
              </w:rPr>
              <w:t xml:space="preserve">Príloha </w:t>
            </w:r>
            <w:r w:rsidRPr="00FB4735">
              <w:rPr>
                <w:sz w:val="22"/>
                <w:szCs w:val="22"/>
              </w:rPr>
              <w:fldChar w:fldCharType="begin"/>
            </w:r>
            <w:r w:rsidRPr="00FB4735">
              <w:rPr>
                <w:sz w:val="22"/>
                <w:szCs w:val="22"/>
              </w:rPr>
              <w:instrText xml:space="preserve"> SEQ Príloha \* ARABIC </w:instrText>
            </w:r>
            <w:r w:rsidRPr="00FB4735">
              <w:rPr>
                <w:sz w:val="22"/>
                <w:szCs w:val="22"/>
              </w:rPr>
              <w:fldChar w:fldCharType="separate"/>
            </w:r>
            <w:r w:rsidR="00BF69CA">
              <w:rPr>
                <w:noProof/>
                <w:sz w:val="22"/>
                <w:szCs w:val="22"/>
              </w:rPr>
              <w:t>4</w:t>
            </w:r>
            <w:r w:rsidRPr="00FB4735">
              <w:rPr>
                <w:sz w:val="22"/>
                <w:szCs w:val="22"/>
              </w:rPr>
              <w:fldChar w:fldCharType="end"/>
            </w:r>
            <w:bookmarkEnd w:id="314"/>
            <w:r w:rsidRPr="00FB4735">
              <w:rPr>
                <w:sz w:val="22"/>
                <w:szCs w:val="22"/>
              </w:rPr>
              <w:t>: Vývoj</w:t>
            </w:r>
            <w:r w:rsidRPr="00FB4735">
              <w:rPr>
                <w:sz w:val="22"/>
              </w:rPr>
              <w:t xml:space="preserve"> celkového objemu kompenzácií zamestnancov sektora VS (% HDP)</w:t>
            </w:r>
          </w:p>
        </w:tc>
      </w:tr>
      <w:tr w:rsidR="00E6115E" w:rsidRPr="000939E3" w14:paraId="7F7E7980" w14:textId="77777777" w:rsidTr="005969A5">
        <w:tblPrEx>
          <w:tblCellMar>
            <w:left w:w="70" w:type="dxa"/>
            <w:right w:w="70" w:type="dxa"/>
          </w:tblCellMar>
        </w:tblPrEx>
        <w:tc>
          <w:tcPr>
            <w:tcW w:w="4322" w:type="dxa"/>
            <w:tcBorders>
              <w:top w:val="single" w:sz="4" w:space="0" w:color="auto"/>
              <w:bottom w:val="single" w:sz="4" w:space="0" w:color="auto"/>
            </w:tcBorders>
          </w:tcPr>
          <w:p w14:paraId="3AB65242" w14:textId="77777777" w:rsidR="00E6115E" w:rsidRPr="000939E3" w:rsidRDefault="00E6115E" w:rsidP="005969A5">
            <w:pPr>
              <w:spacing w:after="0"/>
              <w:rPr>
                <w:noProof/>
                <w:lang w:eastAsia="sk-SK"/>
              </w:rPr>
            </w:pPr>
            <w:r w:rsidRPr="000939E3">
              <w:rPr>
                <w:noProof/>
                <w:lang w:eastAsia="sk-SK"/>
              </w:rPr>
              <w:drawing>
                <wp:inline distT="0" distB="0" distL="0" distR="0" wp14:anchorId="751733D2" wp14:editId="48456818">
                  <wp:extent cx="5647334" cy="257175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E6115E" w:rsidRPr="000939E3" w14:paraId="7DD87BED" w14:textId="77777777" w:rsidTr="005969A5">
        <w:tc>
          <w:tcPr>
            <w:tcW w:w="4322" w:type="dxa"/>
            <w:tcBorders>
              <w:top w:val="single" w:sz="4" w:space="0" w:color="auto"/>
            </w:tcBorders>
          </w:tcPr>
          <w:p w14:paraId="3208274D" w14:textId="77777777" w:rsidR="00E6115E" w:rsidRPr="000939E3" w:rsidRDefault="00E6115E" w:rsidP="00FB4735">
            <w:pPr>
              <w:keepNext/>
              <w:spacing w:after="0"/>
              <w:jc w:val="right"/>
              <w:rPr>
                <w:i/>
                <w:sz w:val="18"/>
              </w:rPr>
            </w:pPr>
            <w:r w:rsidRPr="000939E3">
              <w:rPr>
                <w:i/>
                <w:sz w:val="18"/>
              </w:rPr>
              <w:t>Zdroj: Eurostat, Government finance statistics</w:t>
            </w:r>
          </w:p>
        </w:tc>
      </w:tr>
    </w:tbl>
    <w:p w14:paraId="471B52BB" w14:textId="1650FE83" w:rsidR="000041BE" w:rsidRPr="000939E3" w:rsidRDefault="009C5549" w:rsidP="006A0532">
      <w:pPr>
        <w:spacing w:after="160" w:line="259" w:lineRule="auto"/>
        <w:jc w:val="left"/>
        <w:rPr>
          <w:b/>
          <w:sz w:val="24"/>
        </w:rPr>
      </w:pPr>
      <w:r w:rsidRPr="000939E3">
        <w:rPr>
          <w:b/>
          <w:sz w:val="24"/>
        </w:rPr>
        <w:br w:type="page"/>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D6AA7" w:rsidRPr="000939E3" w14:paraId="532CA40A" w14:textId="77777777" w:rsidTr="005308E4">
        <w:trPr>
          <w:trHeight w:val="20"/>
        </w:trPr>
        <w:tc>
          <w:tcPr>
            <w:tcW w:w="5000" w:type="pct"/>
            <w:tcBorders>
              <w:bottom w:val="single" w:sz="4" w:space="0" w:color="auto"/>
            </w:tcBorders>
          </w:tcPr>
          <w:p w14:paraId="11BE78CA" w14:textId="1ACB3AA5" w:rsidR="001D6AA7" w:rsidRPr="000939E3" w:rsidRDefault="000647E2" w:rsidP="005308E4">
            <w:pPr>
              <w:pStyle w:val="Popis"/>
            </w:pPr>
            <w:bookmarkStart w:id="315" w:name="_Ref11754583"/>
            <w:r w:rsidRPr="000939E3">
              <w:rPr>
                <w:sz w:val="22"/>
              </w:rPr>
              <w:t xml:space="preserve">Príloha </w:t>
            </w:r>
            <w:r w:rsidRPr="000939E3">
              <w:rPr>
                <w:sz w:val="22"/>
              </w:rPr>
              <w:fldChar w:fldCharType="begin"/>
            </w:r>
            <w:r w:rsidRPr="000939E3">
              <w:rPr>
                <w:sz w:val="22"/>
              </w:rPr>
              <w:instrText xml:space="preserve"> SEQ Príloha \* ARABIC </w:instrText>
            </w:r>
            <w:r w:rsidRPr="000939E3">
              <w:rPr>
                <w:sz w:val="22"/>
              </w:rPr>
              <w:fldChar w:fldCharType="separate"/>
            </w:r>
            <w:r w:rsidR="00BF69CA">
              <w:rPr>
                <w:noProof/>
                <w:sz w:val="22"/>
              </w:rPr>
              <w:t>5</w:t>
            </w:r>
            <w:r w:rsidRPr="000939E3">
              <w:rPr>
                <w:sz w:val="22"/>
              </w:rPr>
              <w:fldChar w:fldCharType="end"/>
            </w:r>
            <w:bookmarkEnd w:id="315"/>
            <w:r w:rsidRPr="000939E3">
              <w:rPr>
                <w:sz w:val="22"/>
              </w:rPr>
              <w:t xml:space="preserve">: </w:t>
            </w:r>
            <w:r w:rsidR="001D6AA7" w:rsidRPr="000939E3">
              <w:rPr>
                <w:sz w:val="22"/>
              </w:rPr>
              <w:t>Počet zamestnancov sektora VS ako podiel počtu zamestnancov v celej ekonomike (%, 201</w:t>
            </w:r>
            <w:r w:rsidR="00FD09DE" w:rsidRPr="000939E3">
              <w:rPr>
                <w:sz w:val="22"/>
              </w:rPr>
              <w:t>8</w:t>
            </w:r>
            <w:r w:rsidR="001D6AA7" w:rsidRPr="000939E3">
              <w:rPr>
                <w:sz w:val="22"/>
              </w:rPr>
              <w:t>)</w:t>
            </w:r>
          </w:p>
        </w:tc>
      </w:tr>
      <w:tr w:rsidR="001D6AA7" w:rsidRPr="000939E3" w14:paraId="3152999F" w14:textId="77777777" w:rsidTr="005C0C74">
        <w:trPr>
          <w:trHeight w:val="20"/>
        </w:trPr>
        <w:tc>
          <w:tcPr>
            <w:tcW w:w="5000" w:type="pct"/>
            <w:tcBorders>
              <w:top w:val="single" w:sz="4" w:space="0" w:color="auto"/>
              <w:bottom w:val="single" w:sz="4" w:space="0" w:color="auto"/>
            </w:tcBorders>
          </w:tcPr>
          <w:p w14:paraId="729DF87C" w14:textId="2D4ADFF3" w:rsidR="001D6AA7" w:rsidRPr="000939E3" w:rsidRDefault="005C0C74" w:rsidP="00FD09DE">
            <w:pPr>
              <w:keepNext/>
              <w:spacing w:after="0"/>
              <w:ind w:left="-108"/>
              <w:rPr>
                <w:noProof/>
                <w:sz w:val="28"/>
                <w:lang w:eastAsia="sk-SK"/>
              </w:rPr>
            </w:pPr>
            <w:r w:rsidRPr="000939E3">
              <w:rPr>
                <w:noProof/>
                <w:lang w:eastAsia="sk-SK"/>
              </w:rPr>
              <w:drawing>
                <wp:inline distT="0" distB="0" distL="0" distR="0" wp14:anchorId="2C7E3A74" wp14:editId="1B6020E1">
                  <wp:extent cx="5495925" cy="27432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5308E4" w:rsidRPr="000939E3" w14:paraId="405954A4" w14:textId="77777777" w:rsidTr="005308E4">
        <w:tblPrEx>
          <w:tblCellMar>
            <w:left w:w="70" w:type="dxa"/>
            <w:right w:w="70" w:type="dxa"/>
          </w:tblCellMar>
        </w:tblPrEx>
        <w:trPr>
          <w:trHeight w:val="20"/>
        </w:trPr>
        <w:tc>
          <w:tcPr>
            <w:tcW w:w="5000" w:type="pct"/>
            <w:tcBorders>
              <w:top w:val="single" w:sz="4" w:space="0" w:color="auto"/>
            </w:tcBorders>
          </w:tcPr>
          <w:p w14:paraId="48DC23E1" w14:textId="77777777" w:rsidR="005308E4" w:rsidRPr="000939E3" w:rsidRDefault="005308E4" w:rsidP="005308E4">
            <w:pPr>
              <w:keepNext/>
              <w:spacing w:after="0"/>
              <w:jc w:val="right"/>
              <w:rPr>
                <w:i/>
                <w:noProof/>
                <w:sz w:val="18"/>
                <w:lang w:eastAsia="sk-SK"/>
              </w:rPr>
            </w:pPr>
            <w:r w:rsidRPr="000939E3">
              <w:rPr>
                <w:i/>
                <w:noProof/>
                <w:sz w:val="18"/>
                <w:lang w:eastAsia="sk-SK"/>
              </w:rPr>
              <w:t>Zdroj: Eurostat</w:t>
            </w:r>
          </w:p>
        </w:tc>
      </w:tr>
    </w:tbl>
    <w:p w14:paraId="3E10F29E" w14:textId="77777777" w:rsidR="005308E4" w:rsidRPr="000939E3" w:rsidRDefault="005308E4" w:rsidP="00070A33">
      <w:pPr>
        <w:spacing w:after="0"/>
      </w:pPr>
    </w:p>
    <w:p w14:paraId="1C54574E" w14:textId="77777777" w:rsidR="000C4F87" w:rsidRPr="000939E3" w:rsidRDefault="000C4F87" w:rsidP="00B23A1F">
      <w:pPr>
        <w:pStyle w:val="Popis"/>
      </w:pPr>
      <w:bookmarkStart w:id="316" w:name="_Ref532823474"/>
    </w:p>
    <w:p w14:paraId="70F3F5D7" w14:textId="16DEE2A4" w:rsidR="00F41C2D" w:rsidRPr="000939E3" w:rsidRDefault="00F41C2D" w:rsidP="00F41C2D">
      <w:pPr>
        <w:pStyle w:val="Popis"/>
        <w:rPr>
          <w:b w:val="0"/>
          <w:sz w:val="28"/>
        </w:rPr>
      </w:pPr>
      <w:bookmarkStart w:id="317" w:name="_Ref532889455"/>
      <w:bookmarkEnd w:id="316"/>
      <w:r w:rsidRPr="000939E3">
        <w:rPr>
          <w:sz w:val="22"/>
        </w:rPr>
        <w:t xml:space="preserve">Príloha </w:t>
      </w:r>
      <w:r w:rsidR="000647E2" w:rsidRPr="000939E3">
        <w:rPr>
          <w:sz w:val="22"/>
        </w:rPr>
        <w:fldChar w:fldCharType="begin"/>
      </w:r>
      <w:r w:rsidR="000647E2" w:rsidRPr="000939E3">
        <w:rPr>
          <w:sz w:val="22"/>
        </w:rPr>
        <w:instrText xml:space="preserve"> SEQ Príloha \* ARABIC </w:instrText>
      </w:r>
      <w:r w:rsidR="000647E2" w:rsidRPr="000939E3">
        <w:rPr>
          <w:sz w:val="22"/>
        </w:rPr>
        <w:fldChar w:fldCharType="separate"/>
      </w:r>
      <w:r w:rsidR="00BF69CA">
        <w:rPr>
          <w:noProof/>
          <w:sz w:val="22"/>
        </w:rPr>
        <w:t>6</w:t>
      </w:r>
      <w:r w:rsidR="000647E2" w:rsidRPr="000939E3">
        <w:rPr>
          <w:sz w:val="22"/>
        </w:rPr>
        <w:fldChar w:fldCharType="end"/>
      </w:r>
      <w:bookmarkEnd w:id="317"/>
      <w:r w:rsidRPr="000939E3">
        <w:rPr>
          <w:sz w:val="22"/>
        </w:rPr>
        <w:t>: Dáta pre dopad úpravy počtu zamestnancov vybraných profesií na medzinárodný priemer</w:t>
      </w:r>
    </w:p>
    <w:tbl>
      <w:tblPr>
        <w:tblW w:w="9072" w:type="dxa"/>
        <w:tblCellMar>
          <w:left w:w="70" w:type="dxa"/>
          <w:right w:w="70" w:type="dxa"/>
        </w:tblCellMar>
        <w:tblLook w:val="04A0" w:firstRow="1" w:lastRow="0" w:firstColumn="1" w:lastColumn="0" w:noHBand="0" w:noVBand="1"/>
      </w:tblPr>
      <w:tblGrid>
        <w:gridCol w:w="2977"/>
        <w:gridCol w:w="1276"/>
        <w:gridCol w:w="1276"/>
        <w:gridCol w:w="3543"/>
      </w:tblGrid>
      <w:tr w:rsidR="002B277D" w:rsidRPr="000939E3" w14:paraId="6F953765" w14:textId="77777777" w:rsidTr="00EF7FD8">
        <w:trPr>
          <w:trHeight w:val="326"/>
        </w:trPr>
        <w:tc>
          <w:tcPr>
            <w:tcW w:w="2977" w:type="dxa"/>
            <w:tcBorders>
              <w:top w:val="single" w:sz="4" w:space="0" w:color="auto"/>
              <w:left w:val="nil"/>
              <w:bottom w:val="single" w:sz="4" w:space="0" w:color="auto"/>
              <w:right w:val="nil"/>
            </w:tcBorders>
            <w:shd w:val="clear" w:color="auto" w:fill="auto"/>
            <w:noWrap/>
            <w:vAlign w:val="bottom"/>
            <w:hideMark/>
          </w:tcPr>
          <w:p w14:paraId="7A7049C5" w14:textId="77777777" w:rsidR="002B277D" w:rsidRPr="000939E3" w:rsidRDefault="002B277D" w:rsidP="00DF05C7">
            <w:pPr>
              <w:spacing w:after="0" w:line="240" w:lineRule="auto"/>
              <w:jc w:val="center"/>
              <w:rPr>
                <w:rFonts w:eastAsia="Times New Roman" w:cs="Times New Roman"/>
                <w:b/>
                <w:bCs/>
                <w:color w:val="000000"/>
                <w:lang w:eastAsia="sk-SK"/>
              </w:rPr>
            </w:pPr>
            <w:r w:rsidRPr="000939E3">
              <w:rPr>
                <w:rFonts w:eastAsia="Times New Roman" w:cs="Times New Roman"/>
                <w:b/>
                <w:bCs/>
                <w:color w:val="000000"/>
                <w:lang w:eastAsia="sk-SK"/>
              </w:rPr>
              <w:t> </w:t>
            </w:r>
          </w:p>
        </w:tc>
        <w:tc>
          <w:tcPr>
            <w:tcW w:w="1276" w:type="dxa"/>
            <w:tcBorders>
              <w:top w:val="single" w:sz="4" w:space="0" w:color="auto"/>
              <w:left w:val="nil"/>
              <w:bottom w:val="single" w:sz="4" w:space="0" w:color="auto"/>
              <w:right w:val="nil"/>
            </w:tcBorders>
            <w:shd w:val="clear" w:color="auto" w:fill="auto"/>
            <w:vAlign w:val="center"/>
            <w:hideMark/>
          </w:tcPr>
          <w:p w14:paraId="7ECFC3D2" w14:textId="77777777" w:rsidR="002B277D" w:rsidRPr="000939E3" w:rsidRDefault="002B277D" w:rsidP="00DF05C7">
            <w:pPr>
              <w:spacing w:after="0" w:line="240" w:lineRule="auto"/>
              <w:jc w:val="center"/>
              <w:rPr>
                <w:rFonts w:eastAsia="Times New Roman" w:cs="Times New Roman"/>
                <w:b/>
                <w:bCs/>
                <w:color w:val="000000"/>
                <w:sz w:val="20"/>
                <w:lang w:eastAsia="sk-SK"/>
              </w:rPr>
            </w:pPr>
            <w:r w:rsidRPr="000939E3">
              <w:rPr>
                <w:rFonts w:eastAsia="Times New Roman" w:cs="Times New Roman"/>
                <w:b/>
                <w:bCs/>
                <w:color w:val="000000"/>
                <w:sz w:val="20"/>
                <w:lang w:eastAsia="sk-SK"/>
              </w:rPr>
              <w:t>personálny dopad</w:t>
            </w:r>
          </w:p>
        </w:tc>
        <w:tc>
          <w:tcPr>
            <w:tcW w:w="1276" w:type="dxa"/>
            <w:tcBorders>
              <w:top w:val="single" w:sz="4" w:space="0" w:color="auto"/>
              <w:left w:val="nil"/>
              <w:bottom w:val="single" w:sz="4" w:space="0" w:color="auto"/>
              <w:right w:val="nil"/>
            </w:tcBorders>
            <w:shd w:val="clear" w:color="auto" w:fill="auto"/>
            <w:vAlign w:val="center"/>
            <w:hideMark/>
          </w:tcPr>
          <w:p w14:paraId="03985B56" w14:textId="77777777" w:rsidR="002B277D" w:rsidRPr="000939E3" w:rsidRDefault="002B277D" w:rsidP="00DF05C7">
            <w:pPr>
              <w:spacing w:after="0" w:line="240" w:lineRule="auto"/>
              <w:jc w:val="center"/>
              <w:rPr>
                <w:rFonts w:eastAsia="Times New Roman" w:cs="Times New Roman"/>
                <w:b/>
                <w:bCs/>
                <w:color w:val="000000"/>
                <w:sz w:val="20"/>
                <w:lang w:eastAsia="sk-SK"/>
              </w:rPr>
            </w:pPr>
            <w:r w:rsidRPr="000939E3">
              <w:rPr>
                <w:rFonts w:eastAsia="Times New Roman" w:cs="Times New Roman"/>
                <w:b/>
                <w:bCs/>
                <w:color w:val="000000"/>
                <w:sz w:val="20"/>
                <w:lang w:eastAsia="sk-SK"/>
              </w:rPr>
              <w:t>rok porovnania</w:t>
            </w:r>
          </w:p>
        </w:tc>
        <w:tc>
          <w:tcPr>
            <w:tcW w:w="3543" w:type="dxa"/>
            <w:tcBorders>
              <w:top w:val="single" w:sz="4" w:space="0" w:color="auto"/>
              <w:left w:val="nil"/>
              <w:bottom w:val="single" w:sz="4" w:space="0" w:color="auto"/>
              <w:right w:val="nil"/>
            </w:tcBorders>
            <w:shd w:val="clear" w:color="auto" w:fill="auto"/>
            <w:noWrap/>
            <w:vAlign w:val="center"/>
            <w:hideMark/>
          </w:tcPr>
          <w:p w14:paraId="06F49217" w14:textId="77777777" w:rsidR="002B277D" w:rsidRPr="000939E3" w:rsidRDefault="002B277D" w:rsidP="00DF05C7">
            <w:pPr>
              <w:spacing w:after="0" w:line="240" w:lineRule="auto"/>
              <w:jc w:val="center"/>
              <w:rPr>
                <w:rFonts w:eastAsia="Times New Roman" w:cs="Times New Roman"/>
                <w:b/>
                <w:bCs/>
                <w:color w:val="000000"/>
                <w:sz w:val="20"/>
                <w:lang w:eastAsia="sk-SK"/>
              </w:rPr>
            </w:pPr>
            <w:r w:rsidRPr="000939E3">
              <w:rPr>
                <w:rFonts w:eastAsia="Times New Roman" w:cs="Times New Roman"/>
                <w:b/>
                <w:bCs/>
                <w:color w:val="000000"/>
                <w:sz w:val="20"/>
                <w:lang w:eastAsia="sk-SK"/>
              </w:rPr>
              <w:t>zdroj</w:t>
            </w:r>
          </w:p>
        </w:tc>
      </w:tr>
      <w:tr w:rsidR="002B277D" w:rsidRPr="000939E3" w14:paraId="0C43A9DC" w14:textId="77777777" w:rsidTr="00EF7FD8">
        <w:trPr>
          <w:trHeight w:val="304"/>
        </w:trPr>
        <w:tc>
          <w:tcPr>
            <w:tcW w:w="2977" w:type="dxa"/>
            <w:tcBorders>
              <w:top w:val="nil"/>
              <w:left w:val="nil"/>
              <w:bottom w:val="nil"/>
              <w:right w:val="nil"/>
            </w:tcBorders>
            <w:shd w:val="clear" w:color="auto" w:fill="auto"/>
            <w:vAlign w:val="center"/>
            <w:hideMark/>
          </w:tcPr>
          <w:p w14:paraId="4A7B22FD"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 xml:space="preserve">zdravotné sestry </w:t>
            </w:r>
          </w:p>
          <w:p w14:paraId="70FA2324" w14:textId="77777777" w:rsidR="002B277D" w:rsidRPr="000939E3" w:rsidRDefault="002B277D" w:rsidP="00DF05C7">
            <w:pPr>
              <w:spacing w:after="0" w:line="240" w:lineRule="auto"/>
              <w:rPr>
                <w:rFonts w:eastAsia="Times New Roman" w:cs="Times New Roman"/>
                <w:color w:val="000000"/>
                <w:lang w:eastAsia="sk-SK"/>
              </w:rPr>
            </w:pPr>
            <w:r w:rsidRPr="000939E3">
              <w:rPr>
                <w:rFonts w:eastAsia="Times New Roman" w:cs="Times New Roman"/>
                <w:color w:val="000000"/>
                <w:lang w:eastAsia="sk-SK"/>
              </w:rPr>
              <w:t>(úst. aj amb. starostlivosť)</w:t>
            </w:r>
          </w:p>
        </w:tc>
        <w:tc>
          <w:tcPr>
            <w:tcW w:w="1276" w:type="dxa"/>
            <w:tcBorders>
              <w:top w:val="nil"/>
              <w:left w:val="nil"/>
              <w:bottom w:val="nil"/>
              <w:right w:val="nil"/>
            </w:tcBorders>
            <w:shd w:val="clear" w:color="auto" w:fill="auto"/>
            <w:vAlign w:val="center"/>
            <w:hideMark/>
          </w:tcPr>
          <w:p w14:paraId="650A1EB0"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3 611</w:t>
            </w:r>
          </w:p>
        </w:tc>
        <w:tc>
          <w:tcPr>
            <w:tcW w:w="1276" w:type="dxa"/>
            <w:tcBorders>
              <w:top w:val="nil"/>
              <w:left w:val="nil"/>
              <w:bottom w:val="nil"/>
              <w:right w:val="nil"/>
            </w:tcBorders>
            <w:shd w:val="clear" w:color="auto" w:fill="auto"/>
            <w:vAlign w:val="center"/>
            <w:hideMark/>
          </w:tcPr>
          <w:p w14:paraId="50483ECC"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2015</w:t>
            </w:r>
          </w:p>
        </w:tc>
        <w:tc>
          <w:tcPr>
            <w:tcW w:w="3543" w:type="dxa"/>
            <w:tcBorders>
              <w:top w:val="nil"/>
              <w:left w:val="nil"/>
              <w:bottom w:val="nil"/>
              <w:right w:val="nil"/>
            </w:tcBorders>
            <w:shd w:val="clear" w:color="auto" w:fill="auto"/>
            <w:noWrap/>
            <w:vAlign w:val="center"/>
            <w:hideMark/>
          </w:tcPr>
          <w:p w14:paraId="7E9DF16C"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OECD Health at a Glance, IZP</w:t>
            </w:r>
          </w:p>
        </w:tc>
      </w:tr>
      <w:tr w:rsidR="002B277D" w:rsidRPr="000939E3" w14:paraId="31D6BE06" w14:textId="77777777" w:rsidTr="00EF7FD8">
        <w:trPr>
          <w:trHeight w:val="158"/>
        </w:trPr>
        <w:tc>
          <w:tcPr>
            <w:tcW w:w="2977" w:type="dxa"/>
            <w:tcBorders>
              <w:top w:val="nil"/>
              <w:left w:val="nil"/>
              <w:bottom w:val="nil"/>
              <w:right w:val="nil"/>
            </w:tcBorders>
            <w:shd w:val="clear" w:color="auto" w:fill="auto"/>
            <w:vAlign w:val="center"/>
            <w:hideMark/>
          </w:tcPr>
          <w:p w14:paraId="1AD80682"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učitelia ZŠ1-4</w:t>
            </w:r>
            <w:r w:rsidRPr="000939E3">
              <w:rPr>
                <w:rFonts w:eastAsia="Times New Roman" w:cs="Times New Roman"/>
                <w:color w:val="000000"/>
                <w:lang w:eastAsia="sk-SK"/>
              </w:rPr>
              <w:br/>
              <w:t>(vrátane cirk. a súkr.)</w:t>
            </w:r>
          </w:p>
        </w:tc>
        <w:tc>
          <w:tcPr>
            <w:tcW w:w="1276" w:type="dxa"/>
            <w:tcBorders>
              <w:top w:val="nil"/>
              <w:left w:val="nil"/>
              <w:bottom w:val="nil"/>
              <w:right w:val="nil"/>
            </w:tcBorders>
            <w:shd w:val="clear" w:color="auto" w:fill="auto"/>
            <w:vAlign w:val="center"/>
            <w:hideMark/>
          </w:tcPr>
          <w:p w14:paraId="41EDE2E7"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2 077</w:t>
            </w:r>
          </w:p>
        </w:tc>
        <w:tc>
          <w:tcPr>
            <w:tcW w:w="1276" w:type="dxa"/>
            <w:tcBorders>
              <w:top w:val="nil"/>
              <w:left w:val="nil"/>
              <w:bottom w:val="nil"/>
              <w:right w:val="nil"/>
            </w:tcBorders>
            <w:shd w:val="clear" w:color="auto" w:fill="auto"/>
            <w:vAlign w:val="center"/>
            <w:hideMark/>
          </w:tcPr>
          <w:p w14:paraId="5E268F22"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2016</w:t>
            </w:r>
          </w:p>
        </w:tc>
        <w:tc>
          <w:tcPr>
            <w:tcW w:w="3543" w:type="dxa"/>
            <w:tcBorders>
              <w:top w:val="nil"/>
              <w:left w:val="nil"/>
              <w:bottom w:val="nil"/>
              <w:right w:val="nil"/>
            </w:tcBorders>
            <w:shd w:val="clear" w:color="auto" w:fill="auto"/>
            <w:noWrap/>
            <w:vAlign w:val="center"/>
            <w:hideMark/>
          </w:tcPr>
          <w:p w14:paraId="084DF5AE"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OECD Education at a Glance</w:t>
            </w:r>
          </w:p>
        </w:tc>
      </w:tr>
      <w:tr w:rsidR="002B277D" w:rsidRPr="000939E3" w14:paraId="73FB0E30" w14:textId="77777777" w:rsidTr="00EF7FD8">
        <w:trPr>
          <w:trHeight w:val="114"/>
        </w:trPr>
        <w:tc>
          <w:tcPr>
            <w:tcW w:w="2977" w:type="dxa"/>
            <w:tcBorders>
              <w:top w:val="nil"/>
              <w:left w:val="nil"/>
              <w:bottom w:val="nil"/>
              <w:right w:val="nil"/>
            </w:tcBorders>
            <w:shd w:val="clear" w:color="auto" w:fill="auto"/>
            <w:noWrap/>
            <w:vAlign w:val="center"/>
            <w:hideMark/>
          </w:tcPr>
          <w:p w14:paraId="1644AD4C"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 xml:space="preserve">lekári </w:t>
            </w:r>
          </w:p>
          <w:p w14:paraId="63B8EA2A"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(ústavní aj ambulantní)</w:t>
            </w:r>
          </w:p>
        </w:tc>
        <w:tc>
          <w:tcPr>
            <w:tcW w:w="1276" w:type="dxa"/>
            <w:tcBorders>
              <w:top w:val="nil"/>
              <w:left w:val="nil"/>
              <w:bottom w:val="nil"/>
              <w:right w:val="nil"/>
            </w:tcBorders>
            <w:shd w:val="clear" w:color="auto" w:fill="auto"/>
            <w:vAlign w:val="center"/>
            <w:hideMark/>
          </w:tcPr>
          <w:p w14:paraId="29F05C03"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185</w:t>
            </w:r>
          </w:p>
        </w:tc>
        <w:tc>
          <w:tcPr>
            <w:tcW w:w="1276" w:type="dxa"/>
            <w:tcBorders>
              <w:top w:val="nil"/>
              <w:left w:val="nil"/>
              <w:bottom w:val="nil"/>
              <w:right w:val="nil"/>
            </w:tcBorders>
            <w:shd w:val="clear" w:color="auto" w:fill="auto"/>
            <w:vAlign w:val="center"/>
            <w:hideMark/>
          </w:tcPr>
          <w:p w14:paraId="0506B483"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2015</w:t>
            </w:r>
          </w:p>
        </w:tc>
        <w:tc>
          <w:tcPr>
            <w:tcW w:w="3543" w:type="dxa"/>
            <w:tcBorders>
              <w:top w:val="nil"/>
              <w:left w:val="nil"/>
              <w:bottom w:val="nil"/>
              <w:right w:val="nil"/>
            </w:tcBorders>
            <w:shd w:val="clear" w:color="auto" w:fill="auto"/>
            <w:noWrap/>
            <w:vAlign w:val="center"/>
            <w:hideMark/>
          </w:tcPr>
          <w:p w14:paraId="6D47BBC3"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OECD Health at a Glance</w:t>
            </w:r>
          </w:p>
        </w:tc>
      </w:tr>
      <w:tr w:rsidR="002B277D" w:rsidRPr="000939E3" w14:paraId="367462F3" w14:textId="77777777" w:rsidTr="00EF7FD8">
        <w:trPr>
          <w:trHeight w:val="491"/>
        </w:trPr>
        <w:tc>
          <w:tcPr>
            <w:tcW w:w="2977" w:type="dxa"/>
            <w:tcBorders>
              <w:top w:val="nil"/>
              <w:left w:val="nil"/>
              <w:bottom w:val="nil"/>
              <w:right w:val="nil"/>
            </w:tcBorders>
            <w:shd w:val="clear" w:color="auto" w:fill="auto"/>
            <w:noWrap/>
            <w:vAlign w:val="center"/>
            <w:hideMark/>
          </w:tcPr>
          <w:p w14:paraId="015C4C70"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hasiči</w:t>
            </w:r>
          </w:p>
        </w:tc>
        <w:tc>
          <w:tcPr>
            <w:tcW w:w="1276" w:type="dxa"/>
            <w:tcBorders>
              <w:top w:val="nil"/>
              <w:left w:val="nil"/>
              <w:bottom w:val="nil"/>
              <w:right w:val="nil"/>
            </w:tcBorders>
            <w:shd w:val="clear" w:color="auto" w:fill="auto"/>
            <w:vAlign w:val="center"/>
            <w:hideMark/>
          </w:tcPr>
          <w:p w14:paraId="72794422"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133</w:t>
            </w:r>
          </w:p>
        </w:tc>
        <w:tc>
          <w:tcPr>
            <w:tcW w:w="1276" w:type="dxa"/>
            <w:tcBorders>
              <w:top w:val="nil"/>
              <w:left w:val="nil"/>
              <w:bottom w:val="nil"/>
              <w:right w:val="nil"/>
            </w:tcBorders>
            <w:shd w:val="clear" w:color="auto" w:fill="auto"/>
            <w:vAlign w:val="center"/>
            <w:hideMark/>
          </w:tcPr>
          <w:p w14:paraId="3137BB9F"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2015</w:t>
            </w:r>
          </w:p>
        </w:tc>
        <w:tc>
          <w:tcPr>
            <w:tcW w:w="3543" w:type="dxa"/>
            <w:tcBorders>
              <w:top w:val="nil"/>
              <w:left w:val="nil"/>
              <w:bottom w:val="nil"/>
              <w:right w:val="nil"/>
            </w:tcBorders>
            <w:shd w:val="clear" w:color="auto" w:fill="auto"/>
            <w:noWrap/>
            <w:vAlign w:val="center"/>
            <w:hideMark/>
          </w:tcPr>
          <w:p w14:paraId="4225928F"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International Association of Fire and Rescue Services, https://www.ctif.org/</w:t>
            </w:r>
          </w:p>
        </w:tc>
      </w:tr>
      <w:tr w:rsidR="002B277D" w:rsidRPr="000939E3" w14:paraId="1ABDE85F" w14:textId="77777777" w:rsidTr="00EF7FD8">
        <w:trPr>
          <w:trHeight w:val="161"/>
        </w:trPr>
        <w:tc>
          <w:tcPr>
            <w:tcW w:w="2977" w:type="dxa"/>
            <w:tcBorders>
              <w:top w:val="nil"/>
              <w:left w:val="nil"/>
              <w:bottom w:val="nil"/>
              <w:right w:val="nil"/>
            </w:tcBorders>
            <w:shd w:val="clear" w:color="auto" w:fill="auto"/>
            <w:noWrap/>
            <w:vAlign w:val="center"/>
            <w:hideMark/>
          </w:tcPr>
          <w:p w14:paraId="2A04C671"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sudcovia</w:t>
            </w:r>
          </w:p>
        </w:tc>
        <w:tc>
          <w:tcPr>
            <w:tcW w:w="1276" w:type="dxa"/>
            <w:tcBorders>
              <w:top w:val="nil"/>
              <w:left w:val="nil"/>
              <w:bottom w:val="nil"/>
              <w:right w:val="nil"/>
            </w:tcBorders>
            <w:shd w:val="clear" w:color="auto" w:fill="auto"/>
            <w:vAlign w:val="center"/>
            <w:hideMark/>
          </w:tcPr>
          <w:p w14:paraId="5E54021C"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-60</w:t>
            </w:r>
          </w:p>
        </w:tc>
        <w:tc>
          <w:tcPr>
            <w:tcW w:w="1276" w:type="dxa"/>
            <w:tcBorders>
              <w:top w:val="nil"/>
              <w:left w:val="nil"/>
              <w:bottom w:val="nil"/>
              <w:right w:val="nil"/>
            </w:tcBorders>
            <w:shd w:val="clear" w:color="auto" w:fill="auto"/>
            <w:vAlign w:val="center"/>
            <w:hideMark/>
          </w:tcPr>
          <w:p w14:paraId="57E1DE96"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2016</w:t>
            </w:r>
          </w:p>
        </w:tc>
        <w:tc>
          <w:tcPr>
            <w:tcW w:w="3543" w:type="dxa"/>
            <w:tcBorders>
              <w:top w:val="nil"/>
              <w:left w:val="nil"/>
              <w:bottom w:val="nil"/>
              <w:right w:val="nil"/>
            </w:tcBorders>
            <w:shd w:val="clear" w:color="auto" w:fill="auto"/>
            <w:noWrap/>
            <w:vAlign w:val="center"/>
            <w:hideMark/>
          </w:tcPr>
          <w:p w14:paraId="0F250859"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Eurostat</w:t>
            </w:r>
          </w:p>
        </w:tc>
      </w:tr>
      <w:tr w:rsidR="002B277D" w:rsidRPr="000939E3" w14:paraId="3A70F653" w14:textId="77777777" w:rsidTr="00EF7FD8">
        <w:trPr>
          <w:trHeight w:val="383"/>
        </w:trPr>
        <w:tc>
          <w:tcPr>
            <w:tcW w:w="2977" w:type="dxa"/>
            <w:tcBorders>
              <w:top w:val="nil"/>
              <w:left w:val="nil"/>
              <w:bottom w:val="nil"/>
              <w:right w:val="nil"/>
            </w:tcBorders>
            <w:shd w:val="clear" w:color="auto" w:fill="auto"/>
            <w:noWrap/>
            <w:vAlign w:val="center"/>
            <w:hideMark/>
          </w:tcPr>
          <w:p w14:paraId="0288342C"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prokurátori</w:t>
            </w:r>
          </w:p>
        </w:tc>
        <w:tc>
          <w:tcPr>
            <w:tcW w:w="1276" w:type="dxa"/>
            <w:tcBorders>
              <w:top w:val="nil"/>
              <w:left w:val="nil"/>
              <w:bottom w:val="nil"/>
              <w:right w:val="nil"/>
            </w:tcBorders>
            <w:shd w:val="clear" w:color="auto" w:fill="auto"/>
            <w:vAlign w:val="center"/>
            <w:hideMark/>
          </w:tcPr>
          <w:p w14:paraId="27E71835"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-377</w:t>
            </w:r>
          </w:p>
        </w:tc>
        <w:tc>
          <w:tcPr>
            <w:tcW w:w="1276" w:type="dxa"/>
            <w:tcBorders>
              <w:top w:val="nil"/>
              <w:left w:val="nil"/>
              <w:bottom w:val="nil"/>
              <w:right w:val="nil"/>
            </w:tcBorders>
            <w:shd w:val="clear" w:color="auto" w:fill="auto"/>
            <w:vAlign w:val="center"/>
            <w:hideMark/>
          </w:tcPr>
          <w:p w14:paraId="67985FBA"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2014</w:t>
            </w:r>
          </w:p>
        </w:tc>
        <w:tc>
          <w:tcPr>
            <w:tcW w:w="3543" w:type="dxa"/>
            <w:tcBorders>
              <w:top w:val="nil"/>
              <w:left w:val="nil"/>
              <w:bottom w:val="nil"/>
              <w:right w:val="nil"/>
            </w:tcBorders>
            <w:shd w:val="clear" w:color="auto" w:fill="auto"/>
            <w:noWrap/>
            <w:vAlign w:val="center"/>
            <w:hideMark/>
          </w:tcPr>
          <w:p w14:paraId="5B9D3E6E"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CEPEJ</w:t>
            </w:r>
          </w:p>
        </w:tc>
      </w:tr>
      <w:tr w:rsidR="002B277D" w:rsidRPr="000939E3" w14:paraId="6E7A0C5A" w14:textId="77777777" w:rsidTr="00EF7FD8">
        <w:trPr>
          <w:trHeight w:val="326"/>
        </w:trPr>
        <w:tc>
          <w:tcPr>
            <w:tcW w:w="2977" w:type="dxa"/>
            <w:tcBorders>
              <w:top w:val="nil"/>
              <w:left w:val="nil"/>
              <w:bottom w:val="nil"/>
              <w:right w:val="nil"/>
            </w:tcBorders>
            <w:shd w:val="clear" w:color="auto" w:fill="auto"/>
            <w:vAlign w:val="center"/>
            <w:hideMark/>
          </w:tcPr>
          <w:p w14:paraId="1AA6AB5E"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učitelia ZŠ5-SŠ</w:t>
            </w:r>
            <w:r w:rsidRPr="000939E3">
              <w:rPr>
                <w:rFonts w:eastAsia="Times New Roman" w:cs="Times New Roman"/>
                <w:color w:val="000000"/>
                <w:lang w:eastAsia="sk-SK"/>
              </w:rPr>
              <w:br/>
              <w:t>(vrátane cirk. a súkr.)</w:t>
            </w:r>
          </w:p>
        </w:tc>
        <w:tc>
          <w:tcPr>
            <w:tcW w:w="1276" w:type="dxa"/>
            <w:tcBorders>
              <w:top w:val="nil"/>
              <w:left w:val="nil"/>
              <w:bottom w:val="nil"/>
              <w:right w:val="nil"/>
            </w:tcBorders>
            <w:shd w:val="clear" w:color="auto" w:fill="auto"/>
            <w:vAlign w:val="center"/>
            <w:hideMark/>
          </w:tcPr>
          <w:p w14:paraId="01710CB1"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-106</w:t>
            </w:r>
          </w:p>
        </w:tc>
        <w:tc>
          <w:tcPr>
            <w:tcW w:w="1276" w:type="dxa"/>
            <w:tcBorders>
              <w:top w:val="nil"/>
              <w:left w:val="nil"/>
              <w:bottom w:val="nil"/>
              <w:right w:val="nil"/>
            </w:tcBorders>
            <w:shd w:val="clear" w:color="auto" w:fill="auto"/>
            <w:vAlign w:val="center"/>
            <w:hideMark/>
          </w:tcPr>
          <w:p w14:paraId="690082BE"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2016</w:t>
            </w:r>
          </w:p>
        </w:tc>
        <w:tc>
          <w:tcPr>
            <w:tcW w:w="3543" w:type="dxa"/>
            <w:tcBorders>
              <w:top w:val="nil"/>
              <w:left w:val="nil"/>
              <w:bottom w:val="nil"/>
              <w:right w:val="nil"/>
            </w:tcBorders>
            <w:shd w:val="clear" w:color="auto" w:fill="auto"/>
            <w:noWrap/>
            <w:vAlign w:val="center"/>
            <w:hideMark/>
          </w:tcPr>
          <w:p w14:paraId="53A4A5D0"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OECD Education at a Glance</w:t>
            </w:r>
          </w:p>
        </w:tc>
      </w:tr>
      <w:tr w:rsidR="002B277D" w:rsidRPr="000939E3" w14:paraId="5F18C41F" w14:textId="77777777" w:rsidTr="00EF7FD8">
        <w:trPr>
          <w:trHeight w:val="326"/>
        </w:trPr>
        <w:tc>
          <w:tcPr>
            <w:tcW w:w="2977" w:type="dxa"/>
            <w:tcBorders>
              <w:top w:val="nil"/>
              <w:left w:val="nil"/>
              <w:right w:val="nil"/>
            </w:tcBorders>
            <w:shd w:val="clear" w:color="auto" w:fill="auto"/>
            <w:noWrap/>
            <w:vAlign w:val="center"/>
            <w:hideMark/>
          </w:tcPr>
          <w:p w14:paraId="5B38D932"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učitelia VŠ</w:t>
            </w:r>
          </w:p>
        </w:tc>
        <w:tc>
          <w:tcPr>
            <w:tcW w:w="1276" w:type="dxa"/>
            <w:tcBorders>
              <w:top w:val="nil"/>
              <w:left w:val="nil"/>
              <w:right w:val="nil"/>
            </w:tcBorders>
            <w:shd w:val="clear" w:color="auto" w:fill="auto"/>
            <w:vAlign w:val="center"/>
            <w:hideMark/>
          </w:tcPr>
          <w:p w14:paraId="10C6D2CC"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-2 103</w:t>
            </w:r>
          </w:p>
        </w:tc>
        <w:tc>
          <w:tcPr>
            <w:tcW w:w="1276" w:type="dxa"/>
            <w:tcBorders>
              <w:top w:val="nil"/>
              <w:left w:val="nil"/>
              <w:right w:val="nil"/>
            </w:tcBorders>
            <w:shd w:val="clear" w:color="auto" w:fill="auto"/>
            <w:vAlign w:val="center"/>
            <w:hideMark/>
          </w:tcPr>
          <w:p w14:paraId="36919A3A"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2016</w:t>
            </w:r>
          </w:p>
        </w:tc>
        <w:tc>
          <w:tcPr>
            <w:tcW w:w="3543" w:type="dxa"/>
            <w:tcBorders>
              <w:top w:val="nil"/>
              <w:left w:val="nil"/>
              <w:right w:val="nil"/>
            </w:tcBorders>
            <w:shd w:val="clear" w:color="auto" w:fill="auto"/>
            <w:noWrap/>
            <w:vAlign w:val="center"/>
            <w:hideMark/>
          </w:tcPr>
          <w:p w14:paraId="0AD66CCE"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OECD Education at a Glance</w:t>
            </w:r>
          </w:p>
        </w:tc>
      </w:tr>
      <w:tr w:rsidR="002B277D" w:rsidRPr="000939E3" w14:paraId="664FEC6D" w14:textId="77777777" w:rsidTr="00EF7FD8">
        <w:trPr>
          <w:trHeight w:val="414"/>
        </w:trPr>
        <w:tc>
          <w:tcPr>
            <w:tcW w:w="2977" w:type="dxa"/>
            <w:tcBorders>
              <w:top w:val="nil"/>
              <w:left w:val="nil"/>
              <w:right w:val="nil"/>
            </w:tcBorders>
            <w:shd w:val="clear" w:color="auto" w:fill="auto"/>
            <w:noWrap/>
            <w:vAlign w:val="center"/>
            <w:hideMark/>
          </w:tcPr>
          <w:p w14:paraId="5428B652"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 xml:space="preserve">policajti </w:t>
            </w:r>
          </w:p>
        </w:tc>
        <w:tc>
          <w:tcPr>
            <w:tcW w:w="1276" w:type="dxa"/>
            <w:tcBorders>
              <w:top w:val="nil"/>
              <w:left w:val="nil"/>
              <w:right w:val="nil"/>
            </w:tcBorders>
            <w:shd w:val="clear" w:color="auto" w:fill="auto"/>
            <w:vAlign w:val="center"/>
            <w:hideMark/>
          </w:tcPr>
          <w:p w14:paraId="2B2483D4"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-3 720</w:t>
            </w:r>
          </w:p>
        </w:tc>
        <w:tc>
          <w:tcPr>
            <w:tcW w:w="1276" w:type="dxa"/>
            <w:tcBorders>
              <w:top w:val="nil"/>
              <w:left w:val="nil"/>
              <w:right w:val="nil"/>
            </w:tcBorders>
            <w:shd w:val="clear" w:color="auto" w:fill="auto"/>
            <w:vAlign w:val="center"/>
            <w:hideMark/>
          </w:tcPr>
          <w:p w14:paraId="32E229CB"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2016</w:t>
            </w:r>
          </w:p>
        </w:tc>
        <w:tc>
          <w:tcPr>
            <w:tcW w:w="3543" w:type="dxa"/>
            <w:tcBorders>
              <w:top w:val="nil"/>
              <w:left w:val="nil"/>
              <w:right w:val="nil"/>
            </w:tcBorders>
            <w:shd w:val="clear" w:color="auto" w:fill="auto"/>
            <w:noWrap/>
            <w:vAlign w:val="center"/>
            <w:hideMark/>
          </w:tcPr>
          <w:p w14:paraId="296A190E" w14:textId="77777777" w:rsidR="002B277D" w:rsidRPr="000939E3" w:rsidRDefault="002B277D"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Eurostat</w:t>
            </w:r>
          </w:p>
        </w:tc>
      </w:tr>
      <w:tr w:rsidR="002B277D" w:rsidRPr="000939E3" w14:paraId="40FA1012" w14:textId="77777777" w:rsidTr="00EF7FD8">
        <w:trPr>
          <w:trHeight w:val="161"/>
        </w:trPr>
        <w:tc>
          <w:tcPr>
            <w:tcW w:w="2977" w:type="dxa"/>
            <w:tcBorders>
              <w:top w:val="nil"/>
              <w:left w:val="nil"/>
              <w:right w:val="nil"/>
            </w:tcBorders>
            <w:shd w:val="clear" w:color="auto" w:fill="auto"/>
            <w:noWrap/>
            <w:vAlign w:val="center"/>
          </w:tcPr>
          <w:p w14:paraId="232DF03C" w14:textId="77777777" w:rsidR="002B277D" w:rsidRPr="000939E3" w:rsidRDefault="002B277D" w:rsidP="00DF05C7">
            <w:pPr>
              <w:spacing w:after="0" w:line="240" w:lineRule="auto"/>
              <w:rPr>
                <w:rFonts w:eastAsia="Times New Roman" w:cs="Times New Roman"/>
                <w:color w:val="000000"/>
                <w:lang w:eastAsia="sk-SK"/>
              </w:rPr>
            </w:pPr>
            <w:r w:rsidRPr="000939E3">
              <w:rPr>
                <w:rFonts w:eastAsia="Times New Roman" w:cs="Times New Roman"/>
                <w:color w:val="000000"/>
                <w:lang w:eastAsia="sk-SK"/>
              </w:rPr>
              <w:t>štátni úradníci</w:t>
            </w:r>
          </w:p>
        </w:tc>
        <w:tc>
          <w:tcPr>
            <w:tcW w:w="1276" w:type="dxa"/>
            <w:tcBorders>
              <w:top w:val="nil"/>
              <w:left w:val="nil"/>
              <w:right w:val="nil"/>
            </w:tcBorders>
            <w:shd w:val="clear" w:color="auto" w:fill="auto"/>
            <w:vAlign w:val="center"/>
          </w:tcPr>
          <w:p w14:paraId="066661C5" w14:textId="77777777" w:rsidR="002B277D" w:rsidRPr="000939E3" w:rsidRDefault="002B277D" w:rsidP="00DF05C7">
            <w:pPr>
              <w:spacing w:after="200"/>
              <w:jc w:val="right"/>
              <w:rPr>
                <w:color w:val="000000"/>
              </w:rPr>
            </w:pPr>
            <w:r w:rsidRPr="000939E3">
              <w:rPr>
                <w:color w:val="000000"/>
              </w:rPr>
              <w:t>130</w:t>
            </w:r>
          </w:p>
        </w:tc>
        <w:tc>
          <w:tcPr>
            <w:tcW w:w="1276" w:type="dxa"/>
            <w:tcBorders>
              <w:top w:val="nil"/>
              <w:left w:val="nil"/>
              <w:right w:val="nil"/>
            </w:tcBorders>
            <w:shd w:val="clear" w:color="auto" w:fill="auto"/>
            <w:vAlign w:val="center"/>
          </w:tcPr>
          <w:p w14:paraId="20C16CC1"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2014</w:t>
            </w:r>
          </w:p>
        </w:tc>
        <w:tc>
          <w:tcPr>
            <w:tcW w:w="3543" w:type="dxa"/>
            <w:tcBorders>
              <w:top w:val="nil"/>
              <w:left w:val="nil"/>
              <w:right w:val="nil"/>
            </w:tcBorders>
            <w:shd w:val="clear" w:color="auto" w:fill="auto"/>
            <w:noWrap/>
            <w:vAlign w:val="center"/>
          </w:tcPr>
          <w:p w14:paraId="3775E5B5" w14:textId="77777777" w:rsidR="002B277D" w:rsidRPr="000939E3" w:rsidRDefault="002B277D" w:rsidP="00DF05C7">
            <w:pPr>
              <w:spacing w:after="0" w:line="240" w:lineRule="auto"/>
              <w:rPr>
                <w:rFonts w:eastAsia="Times New Roman" w:cs="Times New Roman"/>
                <w:color w:val="000000"/>
                <w:lang w:eastAsia="sk-SK"/>
              </w:rPr>
            </w:pPr>
            <w:r w:rsidRPr="000939E3">
              <w:rPr>
                <w:rFonts w:eastAsia="Times New Roman" w:cs="Times New Roman"/>
                <w:color w:val="000000"/>
                <w:lang w:eastAsia="sk-SK"/>
              </w:rPr>
              <w:t>Eurostat SES</w:t>
            </w:r>
          </w:p>
        </w:tc>
      </w:tr>
      <w:tr w:rsidR="002B277D" w:rsidRPr="000939E3" w14:paraId="39ED7519" w14:textId="77777777" w:rsidTr="00EF7FD8">
        <w:trPr>
          <w:trHeight w:val="62"/>
        </w:trPr>
        <w:tc>
          <w:tcPr>
            <w:tcW w:w="2977" w:type="dxa"/>
            <w:tcBorders>
              <w:top w:val="nil"/>
              <w:left w:val="nil"/>
              <w:bottom w:val="single" w:sz="4" w:space="0" w:color="auto"/>
              <w:right w:val="nil"/>
            </w:tcBorders>
            <w:shd w:val="clear" w:color="auto" w:fill="auto"/>
            <w:noWrap/>
            <w:vAlign w:val="center"/>
          </w:tcPr>
          <w:p w14:paraId="544748AC" w14:textId="77777777" w:rsidR="002B277D" w:rsidRPr="000939E3" w:rsidRDefault="002B277D" w:rsidP="00DF05C7">
            <w:pPr>
              <w:spacing w:after="0"/>
              <w:rPr>
                <w:color w:val="000000"/>
              </w:rPr>
            </w:pPr>
            <w:r w:rsidRPr="000939E3">
              <w:rPr>
                <w:color w:val="000000"/>
              </w:rPr>
              <w:t>sociálne služby</w:t>
            </w:r>
          </w:p>
        </w:tc>
        <w:tc>
          <w:tcPr>
            <w:tcW w:w="1276" w:type="dxa"/>
            <w:tcBorders>
              <w:top w:val="nil"/>
              <w:left w:val="nil"/>
              <w:bottom w:val="single" w:sz="4" w:space="0" w:color="auto"/>
              <w:right w:val="nil"/>
            </w:tcBorders>
            <w:shd w:val="clear" w:color="auto" w:fill="auto"/>
            <w:vAlign w:val="center"/>
          </w:tcPr>
          <w:p w14:paraId="084A6C2C"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8 479</w:t>
            </w:r>
          </w:p>
        </w:tc>
        <w:tc>
          <w:tcPr>
            <w:tcW w:w="1276" w:type="dxa"/>
            <w:tcBorders>
              <w:top w:val="nil"/>
              <w:left w:val="nil"/>
              <w:bottom w:val="single" w:sz="4" w:space="0" w:color="auto"/>
              <w:right w:val="nil"/>
            </w:tcBorders>
            <w:shd w:val="clear" w:color="auto" w:fill="auto"/>
            <w:vAlign w:val="center"/>
          </w:tcPr>
          <w:p w14:paraId="2A247ED8" w14:textId="77777777" w:rsidR="002B277D" w:rsidRPr="000939E3" w:rsidRDefault="002B277D" w:rsidP="00DF05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2016</w:t>
            </w:r>
          </w:p>
        </w:tc>
        <w:tc>
          <w:tcPr>
            <w:tcW w:w="3543" w:type="dxa"/>
            <w:tcBorders>
              <w:top w:val="nil"/>
              <w:left w:val="nil"/>
              <w:bottom w:val="single" w:sz="4" w:space="0" w:color="auto"/>
              <w:right w:val="nil"/>
            </w:tcBorders>
            <w:shd w:val="clear" w:color="auto" w:fill="auto"/>
            <w:noWrap/>
            <w:vAlign w:val="center"/>
          </w:tcPr>
          <w:p w14:paraId="5522FA69" w14:textId="77777777" w:rsidR="002B277D" w:rsidRPr="000939E3" w:rsidRDefault="002B277D" w:rsidP="00DF05C7">
            <w:pPr>
              <w:spacing w:after="0" w:line="240" w:lineRule="auto"/>
              <w:rPr>
                <w:rFonts w:eastAsia="Times New Roman" w:cs="Times New Roman"/>
                <w:color w:val="000000"/>
                <w:lang w:eastAsia="sk-SK"/>
              </w:rPr>
            </w:pPr>
            <w:r w:rsidRPr="000939E3">
              <w:rPr>
                <w:rFonts w:eastAsia="Times New Roman" w:cs="Times New Roman"/>
                <w:color w:val="000000"/>
                <w:lang w:eastAsia="sk-SK"/>
              </w:rPr>
              <w:t>Statisticka ročenka z oblasti práce a sociálnych vecí, Výkaz Soc 1-01</w:t>
            </w:r>
          </w:p>
        </w:tc>
      </w:tr>
      <w:tr w:rsidR="002B277D" w:rsidRPr="000939E3" w14:paraId="0A83FEE7" w14:textId="77777777" w:rsidTr="00EF7FD8">
        <w:trPr>
          <w:trHeight w:val="161"/>
        </w:trPr>
        <w:tc>
          <w:tcPr>
            <w:tcW w:w="2977" w:type="dxa"/>
            <w:tcBorders>
              <w:top w:val="single" w:sz="4" w:space="0" w:color="auto"/>
              <w:left w:val="nil"/>
              <w:right w:val="nil"/>
            </w:tcBorders>
            <w:shd w:val="clear" w:color="auto" w:fill="auto"/>
            <w:noWrap/>
            <w:vAlign w:val="center"/>
          </w:tcPr>
          <w:p w14:paraId="65B20996" w14:textId="77777777" w:rsidR="002B277D" w:rsidRPr="000939E3" w:rsidRDefault="002B277D" w:rsidP="00DF05C7">
            <w:pPr>
              <w:spacing w:after="0" w:line="240" w:lineRule="auto"/>
              <w:jc w:val="left"/>
              <w:rPr>
                <w:rFonts w:eastAsia="Times New Roman" w:cs="Times New Roman"/>
                <w:color w:val="000000"/>
                <w:lang w:eastAsia="sk-SK"/>
              </w:rPr>
            </w:pPr>
          </w:p>
        </w:tc>
        <w:tc>
          <w:tcPr>
            <w:tcW w:w="1276" w:type="dxa"/>
            <w:tcBorders>
              <w:top w:val="single" w:sz="4" w:space="0" w:color="auto"/>
              <w:left w:val="nil"/>
              <w:right w:val="nil"/>
            </w:tcBorders>
            <w:shd w:val="clear" w:color="auto" w:fill="auto"/>
            <w:vAlign w:val="center"/>
          </w:tcPr>
          <w:p w14:paraId="156FD116" w14:textId="77777777" w:rsidR="002B277D" w:rsidRPr="000939E3" w:rsidRDefault="002B277D" w:rsidP="00DF05C7">
            <w:pPr>
              <w:spacing w:after="0" w:line="240" w:lineRule="auto"/>
              <w:jc w:val="right"/>
              <w:rPr>
                <w:rFonts w:eastAsia="Times New Roman" w:cs="Times New Roman"/>
                <w:color w:val="000000"/>
                <w:lang w:eastAsia="sk-SK"/>
              </w:rPr>
            </w:pPr>
          </w:p>
        </w:tc>
        <w:tc>
          <w:tcPr>
            <w:tcW w:w="1276" w:type="dxa"/>
            <w:tcBorders>
              <w:top w:val="single" w:sz="4" w:space="0" w:color="auto"/>
              <w:left w:val="nil"/>
              <w:right w:val="nil"/>
            </w:tcBorders>
            <w:shd w:val="clear" w:color="auto" w:fill="auto"/>
            <w:vAlign w:val="center"/>
          </w:tcPr>
          <w:p w14:paraId="7DB4E5CC" w14:textId="77777777" w:rsidR="002B277D" w:rsidRPr="000939E3" w:rsidRDefault="002B277D" w:rsidP="00DF05C7">
            <w:pPr>
              <w:spacing w:after="0" w:line="240" w:lineRule="auto"/>
              <w:jc w:val="right"/>
              <w:rPr>
                <w:rFonts w:eastAsia="Times New Roman" w:cs="Times New Roman"/>
                <w:color w:val="000000"/>
                <w:lang w:eastAsia="sk-SK"/>
              </w:rPr>
            </w:pPr>
          </w:p>
        </w:tc>
        <w:tc>
          <w:tcPr>
            <w:tcW w:w="3543" w:type="dxa"/>
            <w:tcBorders>
              <w:top w:val="single" w:sz="4" w:space="0" w:color="auto"/>
              <w:left w:val="nil"/>
              <w:right w:val="nil"/>
            </w:tcBorders>
            <w:shd w:val="clear" w:color="auto" w:fill="auto"/>
            <w:noWrap/>
          </w:tcPr>
          <w:p w14:paraId="1FE0B4C7" w14:textId="77777777" w:rsidR="002B277D" w:rsidRPr="000939E3" w:rsidRDefault="002B277D" w:rsidP="00DF05C7">
            <w:pPr>
              <w:spacing w:after="0" w:line="240" w:lineRule="auto"/>
              <w:jc w:val="right"/>
              <w:rPr>
                <w:rFonts w:eastAsia="Times New Roman" w:cs="Times New Roman"/>
                <w:i/>
                <w:color w:val="000000"/>
                <w:sz w:val="18"/>
                <w:lang w:eastAsia="sk-SK"/>
              </w:rPr>
            </w:pPr>
            <w:r w:rsidRPr="000939E3">
              <w:rPr>
                <w:rFonts w:eastAsia="Times New Roman" w:cs="Times New Roman"/>
                <w:i/>
                <w:color w:val="000000"/>
                <w:sz w:val="18"/>
                <w:lang w:eastAsia="sk-SK"/>
              </w:rPr>
              <w:t>Zdroj: spracovanie ÚHP</w:t>
            </w:r>
          </w:p>
        </w:tc>
      </w:tr>
    </w:tbl>
    <w:p w14:paraId="5A2B3C01" w14:textId="1D365763" w:rsidR="00377398" w:rsidRPr="000939E3" w:rsidRDefault="00377398" w:rsidP="00B23A1F">
      <w:pPr>
        <w:spacing w:after="160"/>
        <w:jc w:val="left"/>
        <w:rPr>
          <w:b/>
          <w:sz w:val="24"/>
        </w:rPr>
      </w:pPr>
    </w:p>
    <w:p w14:paraId="48C33659" w14:textId="77777777" w:rsidR="00377398" w:rsidRPr="000939E3" w:rsidRDefault="00377398">
      <w:pPr>
        <w:spacing w:after="160" w:line="259" w:lineRule="auto"/>
        <w:jc w:val="left"/>
        <w:rPr>
          <w:b/>
          <w:sz w:val="24"/>
        </w:rPr>
      </w:pPr>
      <w:r w:rsidRPr="000939E3">
        <w:rPr>
          <w:b/>
          <w:sz w:val="24"/>
        </w:rPr>
        <w:br w:type="page"/>
      </w:r>
    </w:p>
    <w:p w14:paraId="4859AF6F" w14:textId="0ADF359A" w:rsidR="004714F8" w:rsidRPr="000939E3" w:rsidRDefault="004714F8" w:rsidP="000052C7">
      <w:pPr>
        <w:pStyle w:val="Popis"/>
        <w:contextualSpacing w:val="0"/>
        <w:rPr>
          <w:sz w:val="22"/>
        </w:rPr>
      </w:pPr>
      <w:bookmarkStart w:id="318" w:name="_Ref532889488"/>
      <w:r w:rsidRPr="000939E3">
        <w:rPr>
          <w:sz w:val="22"/>
        </w:rPr>
        <w:t xml:space="preserve">Príloha </w:t>
      </w:r>
      <w:r w:rsidR="000647E2" w:rsidRPr="000939E3">
        <w:rPr>
          <w:sz w:val="22"/>
        </w:rPr>
        <w:fldChar w:fldCharType="begin"/>
      </w:r>
      <w:r w:rsidR="000647E2" w:rsidRPr="000939E3">
        <w:rPr>
          <w:sz w:val="22"/>
        </w:rPr>
        <w:instrText xml:space="preserve"> SEQ Príloha \* ARABIC </w:instrText>
      </w:r>
      <w:r w:rsidR="000647E2" w:rsidRPr="000939E3">
        <w:rPr>
          <w:sz w:val="22"/>
        </w:rPr>
        <w:fldChar w:fldCharType="separate"/>
      </w:r>
      <w:r w:rsidR="00BF69CA">
        <w:rPr>
          <w:noProof/>
          <w:sz w:val="22"/>
        </w:rPr>
        <w:t>7</w:t>
      </w:r>
      <w:r w:rsidR="000647E2" w:rsidRPr="000939E3">
        <w:rPr>
          <w:sz w:val="22"/>
        </w:rPr>
        <w:fldChar w:fldCharType="end"/>
      </w:r>
      <w:bookmarkEnd w:id="318"/>
      <w:r w:rsidRPr="000939E3">
        <w:rPr>
          <w:sz w:val="22"/>
        </w:rPr>
        <w:t>: Dáta pre dopad úpravy miezd vybraných profesií na medzinárodný priemer</w:t>
      </w:r>
    </w:p>
    <w:tbl>
      <w:tblPr>
        <w:tblW w:w="9072" w:type="dxa"/>
        <w:tblCellMar>
          <w:left w:w="70" w:type="dxa"/>
          <w:right w:w="70" w:type="dxa"/>
        </w:tblCellMar>
        <w:tblLook w:val="04A0" w:firstRow="1" w:lastRow="0" w:firstColumn="1" w:lastColumn="0" w:noHBand="0" w:noVBand="1"/>
      </w:tblPr>
      <w:tblGrid>
        <w:gridCol w:w="2127"/>
        <w:gridCol w:w="1134"/>
        <w:gridCol w:w="1133"/>
        <w:gridCol w:w="1024"/>
        <w:gridCol w:w="1103"/>
        <w:gridCol w:w="2551"/>
      </w:tblGrid>
      <w:tr w:rsidR="004A598B" w:rsidRPr="000939E3" w14:paraId="02381798" w14:textId="77777777" w:rsidTr="000052C7">
        <w:trPr>
          <w:trHeight w:val="433"/>
        </w:trPr>
        <w:tc>
          <w:tcPr>
            <w:tcW w:w="2127" w:type="dxa"/>
            <w:tcBorders>
              <w:top w:val="single" w:sz="4" w:space="0" w:color="auto"/>
              <w:left w:val="nil"/>
              <w:bottom w:val="single" w:sz="4" w:space="0" w:color="auto"/>
              <w:right w:val="nil"/>
            </w:tcBorders>
            <w:shd w:val="clear" w:color="auto" w:fill="auto"/>
            <w:noWrap/>
            <w:vAlign w:val="center"/>
            <w:hideMark/>
          </w:tcPr>
          <w:p w14:paraId="282FB0E6" w14:textId="77777777" w:rsidR="004A598B" w:rsidRPr="000939E3" w:rsidRDefault="004A598B" w:rsidP="00EF7FD8">
            <w:pPr>
              <w:spacing w:line="240" w:lineRule="auto"/>
              <w:jc w:val="center"/>
              <w:rPr>
                <w:rFonts w:eastAsia="Times New Roman" w:cs="Times New Roman"/>
                <w:b/>
                <w:bCs/>
                <w:color w:val="000000"/>
                <w:sz w:val="20"/>
                <w:lang w:eastAsia="sk-SK"/>
              </w:rPr>
            </w:pPr>
          </w:p>
        </w:tc>
        <w:tc>
          <w:tcPr>
            <w:tcW w:w="1134" w:type="dxa"/>
            <w:tcBorders>
              <w:top w:val="single" w:sz="4" w:space="0" w:color="auto"/>
              <w:left w:val="nil"/>
              <w:bottom w:val="nil"/>
              <w:right w:val="nil"/>
            </w:tcBorders>
            <w:shd w:val="clear" w:color="auto" w:fill="auto"/>
            <w:vAlign w:val="center"/>
            <w:hideMark/>
          </w:tcPr>
          <w:p w14:paraId="48A235B4" w14:textId="01957E13" w:rsidR="004A598B" w:rsidRPr="000939E3" w:rsidRDefault="004A598B" w:rsidP="002B277D">
            <w:pPr>
              <w:spacing w:after="0" w:line="240" w:lineRule="auto"/>
              <w:jc w:val="center"/>
              <w:rPr>
                <w:rFonts w:eastAsia="Times New Roman" w:cs="Times New Roman"/>
                <w:b/>
                <w:bCs/>
                <w:color w:val="000000"/>
                <w:sz w:val="20"/>
                <w:lang w:eastAsia="sk-SK"/>
              </w:rPr>
            </w:pPr>
            <w:r w:rsidRPr="000939E3">
              <w:rPr>
                <w:rFonts w:eastAsia="Times New Roman" w:cs="Times New Roman"/>
                <w:b/>
                <w:bCs/>
                <w:color w:val="000000"/>
                <w:sz w:val="20"/>
                <w:lang w:eastAsia="sk-SK"/>
              </w:rPr>
              <w:t>ročná obálka 2019*</w:t>
            </w:r>
          </w:p>
        </w:tc>
        <w:tc>
          <w:tcPr>
            <w:tcW w:w="1133" w:type="dxa"/>
            <w:tcBorders>
              <w:top w:val="single" w:sz="4" w:space="0" w:color="auto"/>
              <w:left w:val="nil"/>
              <w:bottom w:val="single" w:sz="4" w:space="0" w:color="auto"/>
              <w:right w:val="nil"/>
            </w:tcBorders>
          </w:tcPr>
          <w:p w14:paraId="27B78610" w14:textId="62F583E8" w:rsidR="004A598B" w:rsidRPr="000939E3" w:rsidRDefault="004A598B" w:rsidP="00DF05C7">
            <w:pPr>
              <w:spacing w:after="0" w:line="240" w:lineRule="auto"/>
              <w:jc w:val="center"/>
              <w:rPr>
                <w:rFonts w:eastAsia="Times New Roman" w:cs="Times New Roman"/>
                <w:b/>
                <w:bCs/>
                <w:color w:val="000000"/>
                <w:sz w:val="20"/>
                <w:lang w:eastAsia="sk-SK"/>
              </w:rPr>
            </w:pPr>
            <w:r w:rsidRPr="000939E3">
              <w:rPr>
                <w:rFonts w:eastAsia="Times New Roman" w:cs="Times New Roman"/>
                <w:b/>
                <w:bCs/>
                <w:color w:val="000000"/>
                <w:sz w:val="20"/>
                <w:lang w:eastAsia="sk-SK"/>
              </w:rPr>
              <w:t>Stav oproti priemeru</w:t>
            </w:r>
          </w:p>
        </w:tc>
        <w:tc>
          <w:tcPr>
            <w:tcW w:w="1024" w:type="dxa"/>
            <w:tcBorders>
              <w:top w:val="single" w:sz="4" w:space="0" w:color="auto"/>
              <w:left w:val="nil"/>
              <w:bottom w:val="single" w:sz="4" w:space="0" w:color="auto"/>
              <w:right w:val="nil"/>
            </w:tcBorders>
            <w:shd w:val="clear" w:color="auto" w:fill="auto"/>
            <w:noWrap/>
            <w:vAlign w:val="center"/>
            <w:hideMark/>
          </w:tcPr>
          <w:p w14:paraId="37F3EF3B" w14:textId="3B68349F" w:rsidR="004A598B" w:rsidRPr="000939E3" w:rsidRDefault="004A598B" w:rsidP="00DF05C7">
            <w:pPr>
              <w:spacing w:after="0" w:line="240" w:lineRule="auto"/>
              <w:jc w:val="center"/>
              <w:rPr>
                <w:rFonts w:eastAsia="Times New Roman" w:cs="Times New Roman"/>
                <w:b/>
                <w:bCs/>
                <w:color w:val="000000"/>
                <w:sz w:val="20"/>
                <w:lang w:eastAsia="sk-SK"/>
              </w:rPr>
            </w:pPr>
            <w:r w:rsidRPr="000939E3">
              <w:rPr>
                <w:rFonts w:eastAsia="Times New Roman" w:cs="Times New Roman"/>
                <w:b/>
                <w:bCs/>
                <w:color w:val="000000"/>
                <w:sz w:val="20"/>
                <w:lang w:eastAsia="sk-SK"/>
              </w:rPr>
              <w:t>rok porovnania</w:t>
            </w:r>
          </w:p>
        </w:tc>
        <w:tc>
          <w:tcPr>
            <w:tcW w:w="3654" w:type="dxa"/>
            <w:gridSpan w:val="2"/>
            <w:tcBorders>
              <w:top w:val="single" w:sz="4" w:space="0" w:color="auto"/>
              <w:left w:val="nil"/>
              <w:bottom w:val="single" w:sz="4" w:space="0" w:color="auto"/>
              <w:right w:val="nil"/>
            </w:tcBorders>
            <w:shd w:val="clear" w:color="auto" w:fill="auto"/>
            <w:noWrap/>
            <w:vAlign w:val="center"/>
            <w:hideMark/>
          </w:tcPr>
          <w:p w14:paraId="242D8AF1" w14:textId="77777777" w:rsidR="004A598B" w:rsidRPr="000939E3" w:rsidRDefault="004A598B" w:rsidP="00DF05C7">
            <w:pPr>
              <w:spacing w:after="0" w:line="240" w:lineRule="auto"/>
              <w:jc w:val="center"/>
              <w:rPr>
                <w:rFonts w:eastAsia="Times New Roman" w:cs="Times New Roman"/>
                <w:b/>
                <w:bCs/>
                <w:color w:val="000000"/>
                <w:sz w:val="20"/>
                <w:lang w:eastAsia="sk-SK"/>
              </w:rPr>
            </w:pPr>
            <w:r w:rsidRPr="000939E3">
              <w:rPr>
                <w:rFonts w:eastAsia="Times New Roman" w:cs="Times New Roman"/>
                <w:b/>
                <w:bCs/>
                <w:color w:val="000000"/>
                <w:sz w:val="20"/>
                <w:lang w:eastAsia="sk-SK"/>
              </w:rPr>
              <w:t>zdroj</w:t>
            </w:r>
          </w:p>
        </w:tc>
      </w:tr>
      <w:tr w:rsidR="004A598B" w:rsidRPr="000939E3" w14:paraId="4374ED8E" w14:textId="77777777" w:rsidTr="000052C7">
        <w:trPr>
          <w:trHeight w:val="425"/>
        </w:trPr>
        <w:tc>
          <w:tcPr>
            <w:tcW w:w="2127" w:type="dxa"/>
            <w:tcBorders>
              <w:top w:val="nil"/>
              <w:left w:val="nil"/>
              <w:bottom w:val="nil"/>
              <w:right w:val="nil"/>
            </w:tcBorders>
            <w:shd w:val="clear" w:color="auto" w:fill="auto"/>
            <w:vAlign w:val="center"/>
            <w:hideMark/>
          </w:tcPr>
          <w:p w14:paraId="3CEDE61B" w14:textId="77777777" w:rsidR="004A598B" w:rsidRPr="000939E3" w:rsidRDefault="004A598B"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ústavné sestry</w:t>
            </w:r>
            <w:r w:rsidRPr="000939E3">
              <w:rPr>
                <w:rFonts w:eastAsia="Times New Roman" w:cs="Times New Roman"/>
                <w:color w:val="000000"/>
                <w:lang w:eastAsia="sk-SK"/>
              </w:rPr>
              <w:br/>
              <w:t>vrátane neverejných</w:t>
            </w:r>
          </w:p>
        </w:tc>
        <w:tc>
          <w:tcPr>
            <w:tcW w:w="1134" w:type="dxa"/>
            <w:tcBorders>
              <w:top w:val="single" w:sz="4" w:space="0" w:color="auto"/>
              <w:left w:val="nil"/>
              <w:bottom w:val="nil"/>
              <w:right w:val="nil"/>
            </w:tcBorders>
            <w:shd w:val="clear" w:color="auto" w:fill="auto"/>
            <w:noWrap/>
            <w:vAlign w:val="center"/>
            <w:hideMark/>
          </w:tcPr>
          <w:p w14:paraId="0DA16305" w14:textId="5F123FDF"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458</w:t>
            </w:r>
          </w:p>
        </w:tc>
        <w:tc>
          <w:tcPr>
            <w:tcW w:w="1133" w:type="dxa"/>
            <w:tcBorders>
              <w:top w:val="nil"/>
              <w:left w:val="nil"/>
              <w:bottom w:val="nil"/>
              <w:right w:val="nil"/>
            </w:tcBorders>
            <w:vAlign w:val="center"/>
          </w:tcPr>
          <w:p w14:paraId="58FEDDA0" w14:textId="488BF4B5"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-15 %**</w:t>
            </w:r>
          </w:p>
        </w:tc>
        <w:tc>
          <w:tcPr>
            <w:tcW w:w="1024" w:type="dxa"/>
            <w:tcBorders>
              <w:top w:val="nil"/>
              <w:left w:val="nil"/>
              <w:bottom w:val="nil"/>
              <w:right w:val="nil"/>
            </w:tcBorders>
            <w:shd w:val="clear" w:color="auto" w:fill="auto"/>
            <w:noWrap/>
            <w:vAlign w:val="center"/>
            <w:hideMark/>
          </w:tcPr>
          <w:p w14:paraId="25368CC8" w14:textId="5A10A232"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w:t>
            </w:r>
            <w:r w:rsidR="00B5499F" w:rsidRPr="000939E3">
              <w:rPr>
                <w:rFonts w:eastAsia="Times New Roman" w:cs="Times New Roman"/>
                <w:color w:val="000000"/>
                <w:lang w:eastAsia="sk-SK"/>
              </w:rPr>
              <w:t>5</w:t>
            </w:r>
          </w:p>
        </w:tc>
        <w:tc>
          <w:tcPr>
            <w:tcW w:w="3654" w:type="dxa"/>
            <w:gridSpan w:val="2"/>
            <w:tcBorders>
              <w:top w:val="nil"/>
              <w:left w:val="nil"/>
              <w:bottom w:val="nil"/>
              <w:right w:val="nil"/>
            </w:tcBorders>
            <w:shd w:val="clear" w:color="auto" w:fill="auto"/>
            <w:noWrap/>
            <w:hideMark/>
          </w:tcPr>
          <w:p w14:paraId="38C39D43" w14:textId="46D09182" w:rsidR="004A598B" w:rsidRPr="000939E3" w:rsidRDefault="004A598B" w:rsidP="000052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OECD Health at a Glance a</w:t>
            </w:r>
            <w:r w:rsidR="000052C7">
              <w:rPr>
                <w:rFonts w:eastAsia="Times New Roman" w:cs="Times New Roman"/>
                <w:color w:val="000000"/>
                <w:lang w:eastAsia="sk-SK"/>
              </w:rPr>
              <w:t> </w:t>
            </w:r>
            <w:r w:rsidRPr="000939E3">
              <w:rPr>
                <w:rFonts w:eastAsia="Times New Roman" w:cs="Times New Roman"/>
                <w:color w:val="000000"/>
                <w:lang w:eastAsia="sk-SK"/>
              </w:rPr>
              <w:t>prognóza</w:t>
            </w:r>
            <w:r w:rsidR="000052C7">
              <w:rPr>
                <w:rFonts w:eastAsia="Times New Roman" w:cs="Times New Roman"/>
                <w:color w:val="000000"/>
                <w:lang w:eastAsia="sk-SK"/>
              </w:rPr>
              <w:t xml:space="preserve"> ÚHP</w:t>
            </w:r>
          </w:p>
        </w:tc>
      </w:tr>
      <w:tr w:rsidR="004A598B" w:rsidRPr="000939E3" w14:paraId="11D9F2FE" w14:textId="77777777" w:rsidTr="000052C7">
        <w:trPr>
          <w:trHeight w:val="277"/>
        </w:trPr>
        <w:tc>
          <w:tcPr>
            <w:tcW w:w="2127" w:type="dxa"/>
            <w:tcBorders>
              <w:top w:val="nil"/>
              <w:left w:val="nil"/>
              <w:bottom w:val="nil"/>
              <w:right w:val="nil"/>
            </w:tcBorders>
            <w:shd w:val="clear" w:color="auto" w:fill="auto"/>
            <w:vAlign w:val="center"/>
            <w:hideMark/>
          </w:tcPr>
          <w:p w14:paraId="77CA2EBC" w14:textId="77777777" w:rsidR="004A598B" w:rsidRPr="000939E3" w:rsidRDefault="004A598B"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 xml:space="preserve">učitelia - regionálne šk. </w:t>
            </w:r>
            <w:r w:rsidRPr="000939E3">
              <w:rPr>
                <w:rFonts w:eastAsia="Times New Roman" w:cs="Times New Roman"/>
                <w:color w:val="000000"/>
                <w:lang w:eastAsia="sk-SK"/>
              </w:rPr>
              <w:br/>
              <w:t>vrátane súkr. a cirk. škôl</w:t>
            </w:r>
          </w:p>
        </w:tc>
        <w:tc>
          <w:tcPr>
            <w:tcW w:w="1134" w:type="dxa"/>
            <w:tcBorders>
              <w:top w:val="nil"/>
              <w:left w:val="nil"/>
              <w:bottom w:val="nil"/>
              <w:right w:val="nil"/>
            </w:tcBorders>
            <w:shd w:val="clear" w:color="auto" w:fill="auto"/>
            <w:noWrap/>
            <w:vAlign w:val="center"/>
            <w:hideMark/>
          </w:tcPr>
          <w:p w14:paraId="226FCD72" w14:textId="5A2924DA"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1 871</w:t>
            </w:r>
          </w:p>
        </w:tc>
        <w:tc>
          <w:tcPr>
            <w:tcW w:w="1133" w:type="dxa"/>
            <w:tcBorders>
              <w:top w:val="nil"/>
              <w:left w:val="nil"/>
              <w:bottom w:val="nil"/>
              <w:right w:val="nil"/>
            </w:tcBorders>
            <w:vAlign w:val="center"/>
          </w:tcPr>
          <w:p w14:paraId="5C459499" w14:textId="409FBD2A"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-30 %</w:t>
            </w:r>
          </w:p>
        </w:tc>
        <w:tc>
          <w:tcPr>
            <w:tcW w:w="1024" w:type="dxa"/>
            <w:tcBorders>
              <w:top w:val="nil"/>
              <w:left w:val="nil"/>
              <w:bottom w:val="nil"/>
              <w:right w:val="nil"/>
            </w:tcBorders>
            <w:shd w:val="clear" w:color="auto" w:fill="auto"/>
            <w:noWrap/>
            <w:vAlign w:val="center"/>
            <w:hideMark/>
          </w:tcPr>
          <w:p w14:paraId="6C2167D6" w14:textId="44892462"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2016</w:t>
            </w:r>
          </w:p>
        </w:tc>
        <w:tc>
          <w:tcPr>
            <w:tcW w:w="3654" w:type="dxa"/>
            <w:gridSpan w:val="2"/>
            <w:tcBorders>
              <w:top w:val="nil"/>
              <w:left w:val="nil"/>
              <w:bottom w:val="nil"/>
              <w:right w:val="nil"/>
            </w:tcBorders>
            <w:shd w:val="clear" w:color="auto" w:fill="auto"/>
            <w:noWrap/>
            <w:hideMark/>
          </w:tcPr>
          <w:p w14:paraId="589972E7" w14:textId="77777777" w:rsidR="004A598B" w:rsidRPr="000939E3" w:rsidRDefault="004A598B" w:rsidP="000052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OECD Education at a Glance</w:t>
            </w:r>
          </w:p>
        </w:tc>
      </w:tr>
      <w:tr w:rsidR="004A598B" w:rsidRPr="000939E3" w14:paraId="6EB4C43D" w14:textId="77777777" w:rsidTr="000052C7">
        <w:trPr>
          <w:trHeight w:val="456"/>
        </w:trPr>
        <w:tc>
          <w:tcPr>
            <w:tcW w:w="2127" w:type="dxa"/>
            <w:tcBorders>
              <w:top w:val="nil"/>
              <w:left w:val="nil"/>
              <w:bottom w:val="nil"/>
              <w:right w:val="nil"/>
            </w:tcBorders>
            <w:shd w:val="clear" w:color="auto" w:fill="auto"/>
            <w:vAlign w:val="center"/>
            <w:hideMark/>
          </w:tcPr>
          <w:p w14:paraId="714BC367" w14:textId="77777777" w:rsidR="004A598B" w:rsidRPr="000939E3" w:rsidRDefault="004A598B"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ústavní lekári</w:t>
            </w:r>
            <w:r w:rsidRPr="000939E3">
              <w:rPr>
                <w:rFonts w:eastAsia="Times New Roman" w:cs="Times New Roman"/>
                <w:color w:val="000000"/>
                <w:lang w:eastAsia="sk-SK"/>
              </w:rPr>
              <w:br/>
              <w:t>vrátane neverejných</w:t>
            </w:r>
          </w:p>
        </w:tc>
        <w:tc>
          <w:tcPr>
            <w:tcW w:w="1134" w:type="dxa"/>
            <w:tcBorders>
              <w:top w:val="nil"/>
              <w:left w:val="nil"/>
              <w:bottom w:val="nil"/>
              <w:right w:val="nil"/>
            </w:tcBorders>
            <w:shd w:val="clear" w:color="auto" w:fill="auto"/>
            <w:noWrap/>
            <w:vAlign w:val="center"/>
            <w:hideMark/>
          </w:tcPr>
          <w:p w14:paraId="02942B0D" w14:textId="7777B880"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470</w:t>
            </w:r>
          </w:p>
        </w:tc>
        <w:tc>
          <w:tcPr>
            <w:tcW w:w="1133" w:type="dxa"/>
            <w:tcBorders>
              <w:top w:val="nil"/>
              <w:left w:val="nil"/>
              <w:bottom w:val="nil"/>
              <w:right w:val="nil"/>
            </w:tcBorders>
            <w:vAlign w:val="center"/>
          </w:tcPr>
          <w:p w14:paraId="0593C881" w14:textId="4B28C4A8"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-13 %</w:t>
            </w:r>
          </w:p>
        </w:tc>
        <w:tc>
          <w:tcPr>
            <w:tcW w:w="1024" w:type="dxa"/>
            <w:tcBorders>
              <w:top w:val="nil"/>
              <w:left w:val="nil"/>
              <w:bottom w:val="nil"/>
              <w:right w:val="nil"/>
            </w:tcBorders>
            <w:shd w:val="clear" w:color="auto" w:fill="auto"/>
            <w:noWrap/>
            <w:vAlign w:val="center"/>
            <w:hideMark/>
          </w:tcPr>
          <w:p w14:paraId="1ACF0AD3" w14:textId="746298FB"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2015</w:t>
            </w:r>
          </w:p>
        </w:tc>
        <w:tc>
          <w:tcPr>
            <w:tcW w:w="3654" w:type="dxa"/>
            <w:gridSpan w:val="2"/>
            <w:tcBorders>
              <w:top w:val="nil"/>
              <w:left w:val="nil"/>
              <w:bottom w:val="nil"/>
              <w:right w:val="nil"/>
            </w:tcBorders>
            <w:shd w:val="clear" w:color="auto" w:fill="auto"/>
            <w:noWrap/>
            <w:hideMark/>
          </w:tcPr>
          <w:p w14:paraId="13DF0AFA" w14:textId="77777777" w:rsidR="004A598B" w:rsidRPr="000939E3" w:rsidRDefault="004A598B" w:rsidP="000052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OECD Health at a Glance</w:t>
            </w:r>
          </w:p>
        </w:tc>
      </w:tr>
      <w:tr w:rsidR="004A598B" w:rsidRPr="000939E3" w14:paraId="6FAF4E1D" w14:textId="77777777" w:rsidTr="000052C7">
        <w:trPr>
          <w:trHeight w:val="433"/>
        </w:trPr>
        <w:tc>
          <w:tcPr>
            <w:tcW w:w="2127" w:type="dxa"/>
            <w:tcBorders>
              <w:top w:val="nil"/>
              <w:left w:val="nil"/>
              <w:bottom w:val="nil"/>
              <w:right w:val="nil"/>
            </w:tcBorders>
            <w:shd w:val="clear" w:color="auto" w:fill="auto"/>
            <w:vAlign w:val="center"/>
            <w:hideMark/>
          </w:tcPr>
          <w:p w14:paraId="27D94F30" w14:textId="7B2F2228" w:rsidR="004A598B" w:rsidRPr="000939E3" w:rsidRDefault="004A598B"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sociálne služby***</w:t>
            </w:r>
          </w:p>
        </w:tc>
        <w:tc>
          <w:tcPr>
            <w:tcW w:w="1134" w:type="dxa"/>
            <w:tcBorders>
              <w:top w:val="nil"/>
              <w:left w:val="nil"/>
              <w:bottom w:val="nil"/>
              <w:right w:val="nil"/>
            </w:tcBorders>
            <w:shd w:val="clear" w:color="auto" w:fill="auto"/>
            <w:noWrap/>
            <w:vAlign w:val="center"/>
            <w:hideMark/>
          </w:tcPr>
          <w:p w14:paraId="56BF9969" w14:textId="46EE09A0"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356</w:t>
            </w:r>
          </w:p>
        </w:tc>
        <w:tc>
          <w:tcPr>
            <w:tcW w:w="1133" w:type="dxa"/>
            <w:tcBorders>
              <w:top w:val="nil"/>
              <w:left w:val="nil"/>
              <w:bottom w:val="nil"/>
              <w:right w:val="nil"/>
            </w:tcBorders>
            <w:vAlign w:val="center"/>
          </w:tcPr>
          <w:p w14:paraId="6801E947" w14:textId="760D370C"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-21 %</w:t>
            </w:r>
          </w:p>
        </w:tc>
        <w:tc>
          <w:tcPr>
            <w:tcW w:w="1024" w:type="dxa"/>
            <w:tcBorders>
              <w:top w:val="nil"/>
              <w:left w:val="nil"/>
              <w:bottom w:val="nil"/>
              <w:right w:val="nil"/>
            </w:tcBorders>
            <w:shd w:val="clear" w:color="auto" w:fill="auto"/>
            <w:noWrap/>
            <w:vAlign w:val="center"/>
            <w:hideMark/>
          </w:tcPr>
          <w:p w14:paraId="6C80DB69" w14:textId="004C8D24"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w:t>
            </w:r>
            <w:r w:rsidR="00B5499F" w:rsidRPr="000939E3">
              <w:rPr>
                <w:rFonts w:eastAsia="Times New Roman" w:cs="Times New Roman"/>
                <w:color w:val="000000"/>
                <w:lang w:eastAsia="sk-SK"/>
              </w:rPr>
              <w:t>4</w:t>
            </w:r>
          </w:p>
        </w:tc>
        <w:tc>
          <w:tcPr>
            <w:tcW w:w="3654" w:type="dxa"/>
            <w:gridSpan w:val="2"/>
            <w:tcBorders>
              <w:top w:val="nil"/>
              <w:left w:val="nil"/>
              <w:bottom w:val="nil"/>
              <w:right w:val="nil"/>
            </w:tcBorders>
            <w:shd w:val="clear" w:color="auto" w:fill="auto"/>
            <w:noWrap/>
            <w:hideMark/>
          </w:tcPr>
          <w:p w14:paraId="266E473A" w14:textId="77777777" w:rsidR="004A598B" w:rsidRPr="000939E3" w:rsidRDefault="004A598B" w:rsidP="000052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 xml:space="preserve">Eurostat, prieskum o štruktúre miezd SES </w:t>
            </w:r>
          </w:p>
        </w:tc>
      </w:tr>
      <w:tr w:rsidR="004A598B" w:rsidRPr="000939E3" w14:paraId="64A05AAC" w14:textId="77777777" w:rsidTr="000052C7">
        <w:trPr>
          <w:trHeight w:val="218"/>
        </w:trPr>
        <w:tc>
          <w:tcPr>
            <w:tcW w:w="2127" w:type="dxa"/>
            <w:tcBorders>
              <w:top w:val="nil"/>
              <w:left w:val="nil"/>
              <w:bottom w:val="nil"/>
              <w:right w:val="nil"/>
            </w:tcBorders>
            <w:shd w:val="clear" w:color="auto" w:fill="auto"/>
            <w:vAlign w:val="center"/>
            <w:hideMark/>
          </w:tcPr>
          <w:p w14:paraId="3354AAC4" w14:textId="77777777" w:rsidR="004A598B" w:rsidRPr="000939E3" w:rsidRDefault="004A598B"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štátni úradníci</w:t>
            </w:r>
          </w:p>
        </w:tc>
        <w:tc>
          <w:tcPr>
            <w:tcW w:w="1134" w:type="dxa"/>
            <w:tcBorders>
              <w:top w:val="nil"/>
              <w:left w:val="nil"/>
              <w:bottom w:val="nil"/>
              <w:right w:val="nil"/>
            </w:tcBorders>
            <w:shd w:val="clear" w:color="auto" w:fill="auto"/>
            <w:noWrap/>
            <w:vAlign w:val="center"/>
            <w:hideMark/>
          </w:tcPr>
          <w:p w14:paraId="52280156" w14:textId="34F4142B"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880</w:t>
            </w:r>
          </w:p>
        </w:tc>
        <w:tc>
          <w:tcPr>
            <w:tcW w:w="1133" w:type="dxa"/>
            <w:tcBorders>
              <w:top w:val="nil"/>
              <w:left w:val="nil"/>
              <w:bottom w:val="nil"/>
              <w:right w:val="nil"/>
            </w:tcBorders>
            <w:vAlign w:val="center"/>
          </w:tcPr>
          <w:p w14:paraId="5DFBF642" w14:textId="7405B547"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-14 %</w:t>
            </w:r>
          </w:p>
        </w:tc>
        <w:tc>
          <w:tcPr>
            <w:tcW w:w="1024" w:type="dxa"/>
            <w:tcBorders>
              <w:top w:val="nil"/>
              <w:left w:val="nil"/>
              <w:bottom w:val="nil"/>
              <w:right w:val="nil"/>
            </w:tcBorders>
            <w:shd w:val="clear" w:color="auto" w:fill="auto"/>
            <w:noWrap/>
            <w:vAlign w:val="center"/>
            <w:hideMark/>
          </w:tcPr>
          <w:p w14:paraId="0EDF8654" w14:textId="2C5F458D"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2014</w:t>
            </w:r>
          </w:p>
        </w:tc>
        <w:tc>
          <w:tcPr>
            <w:tcW w:w="3654" w:type="dxa"/>
            <w:gridSpan w:val="2"/>
            <w:tcBorders>
              <w:top w:val="nil"/>
              <w:left w:val="nil"/>
              <w:bottom w:val="nil"/>
              <w:right w:val="nil"/>
            </w:tcBorders>
            <w:shd w:val="clear" w:color="auto" w:fill="auto"/>
            <w:noWrap/>
            <w:hideMark/>
          </w:tcPr>
          <w:p w14:paraId="30310BD9" w14:textId="77777777" w:rsidR="004A598B" w:rsidRPr="000939E3" w:rsidRDefault="004A598B" w:rsidP="000052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Eurostat, prieskum o štruktúre miezd SES</w:t>
            </w:r>
          </w:p>
        </w:tc>
      </w:tr>
      <w:tr w:rsidR="004A598B" w:rsidRPr="000939E3" w14:paraId="4E023824" w14:textId="77777777" w:rsidTr="000052C7">
        <w:trPr>
          <w:trHeight w:val="433"/>
        </w:trPr>
        <w:tc>
          <w:tcPr>
            <w:tcW w:w="2127" w:type="dxa"/>
            <w:tcBorders>
              <w:top w:val="nil"/>
              <w:left w:val="nil"/>
              <w:bottom w:val="nil"/>
              <w:right w:val="nil"/>
            </w:tcBorders>
            <w:shd w:val="clear" w:color="auto" w:fill="auto"/>
            <w:vAlign w:val="center"/>
            <w:hideMark/>
          </w:tcPr>
          <w:p w14:paraId="76C36654" w14:textId="77777777" w:rsidR="004A598B" w:rsidRPr="000939E3" w:rsidRDefault="004A598B"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VŠ učitelia</w:t>
            </w:r>
          </w:p>
        </w:tc>
        <w:tc>
          <w:tcPr>
            <w:tcW w:w="1134" w:type="dxa"/>
            <w:tcBorders>
              <w:top w:val="nil"/>
              <w:left w:val="nil"/>
              <w:bottom w:val="nil"/>
              <w:right w:val="nil"/>
            </w:tcBorders>
            <w:shd w:val="clear" w:color="auto" w:fill="auto"/>
            <w:noWrap/>
            <w:vAlign w:val="center"/>
            <w:hideMark/>
          </w:tcPr>
          <w:p w14:paraId="4139894B" w14:textId="12B695AF"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272</w:t>
            </w:r>
          </w:p>
        </w:tc>
        <w:tc>
          <w:tcPr>
            <w:tcW w:w="1133" w:type="dxa"/>
            <w:tcBorders>
              <w:top w:val="nil"/>
              <w:left w:val="nil"/>
              <w:bottom w:val="nil"/>
              <w:right w:val="nil"/>
            </w:tcBorders>
            <w:vAlign w:val="center"/>
          </w:tcPr>
          <w:p w14:paraId="2B877741" w14:textId="1A08509E"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-21 %</w:t>
            </w:r>
          </w:p>
        </w:tc>
        <w:tc>
          <w:tcPr>
            <w:tcW w:w="1024" w:type="dxa"/>
            <w:tcBorders>
              <w:top w:val="nil"/>
              <w:left w:val="nil"/>
              <w:bottom w:val="nil"/>
              <w:right w:val="nil"/>
            </w:tcBorders>
            <w:shd w:val="clear" w:color="auto" w:fill="auto"/>
            <w:noWrap/>
            <w:vAlign w:val="center"/>
            <w:hideMark/>
          </w:tcPr>
          <w:p w14:paraId="6F52353A" w14:textId="05EE70AF"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w:t>
            </w:r>
            <w:r w:rsidR="00B5499F" w:rsidRPr="000939E3">
              <w:rPr>
                <w:rFonts w:eastAsia="Times New Roman" w:cs="Times New Roman"/>
                <w:color w:val="000000"/>
                <w:lang w:eastAsia="sk-SK"/>
              </w:rPr>
              <w:t>4</w:t>
            </w:r>
          </w:p>
        </w:tc>
        <w:tc>
          <w:tcPr>
            <w:tcW w:w="3654" w:type="dxa"/>
            <w:gridSpan w:val="2"/>
            <w:tcBorders>
              <w:top w:val="nil"/>
              <w:left w:val="nil"/>
              <w:bottom w:val="nil"/>
              <w:right w:val="nil"/>
            </w:tcBorders>
            <w:shd w:val="clear" w:color="auto" w:fill="auto"/>
            <w:noWrap/>
            <w:hideMark/>
          </w:tcPr>
          <w:p w14:paraId="3FD0F2DF" w14:textId="77777777" w:rsidR="004A598B" w:rsidRPr="000939E3" w:rsidRDefault="004A598B" w:rsidP="000052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Eurostat, prieskum o štruktúre miezd SES</w:t>
            </w:r>
          </w:p>
        </w:tc>
      </w:tr>
      <w:tr w:rsidR="004A598B" w:rsidRPr="000939E3" w14:paraId="3D6CAE8F" w14:textId="77777777" w:rsidTr="000052C7">
        <w:trPr>
          <w:trHeight w:val="306"/>
        </w:trPr>
        <w:tc>
          <w:tcPr>
            <w:tcW w:w="2127" w:type="dxa"/>
            <w:tcBorders>
              <w:top w:val="nil"/>
              <w:left w:val="nil"/>
              <w:bottom w:val="nil"/>
              <w:right w:val="nil"/>
            </w:tcBorders>
            <w:shd w:val="clear" w:color="auto" w:fill="auto"/>
            <w:vAlign w:val="center"/>
            <w:hideMark/>
          </w:tcPr>
          <w:p w14:paraId="4630A2D5" w14:textId="77777777" w:rsidR="004A598B" w:rsidRPr="000939E3" w:rsidRDefault="004A598B"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colníci</w:t>
            </w:r>
          </w:p>
        </w:tc>
        <w:tc>
          <w:tcPr>
            <w:tcW w:w="1134" w:type="dxa"/>
            <w:tcBorders>
              <w:top w:val="nil"/>
              <w:left w:val="nil"/>
              <w:bottom w:val="nil"/>
              <w:right w:val="nil"/>
            </w:tcBorders>
            <w:shd w:val="clear" w:color="auto" w:fill="auto"/>
            <w:noWrap/>
            <w:vAlign w:val="center"/>
            <w:hideMark/>
          </w:tcPr>
          <w:p w14:paraId="52E3927B" w14:textId="019908CF"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76</w:t>
            </w:r>
          </w:p>
        </w:tc>
        <w:tc>
          <w:tcPr>
            <w:tcW w:w="1133" w:type="dxa"/>
            <w:tcBorders>
              <w:top w:val="nil"/>
              <w:left w:val="nil"/>
              <w:bottom w:val="nil"/>
              <w:right w:val="nil"/>
            </w:tcBorders>
            <w:vAlign w:val="center"/>
          </w:tcPr>
          <w:p w14:paraId="451FC762" w14:textId="4C097F8F"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-6 %</w:t>
            </w:r>
          </w:p>
        </w:tc>
        <w:tc>
          <w:tcPr>
            <w:tcW w:w="1024" w:type="dxa"/>
            <w:tcBorders>
              <w:top w:val="nil"/>
              <w:left w:val="nil"/>
              <w:bottom w:val="nil"/>
              <w:right w:val="nil"/>
            </w:tcBorders>
            <w:shd w:val="clear" w:color="auto" w:fill="auto"/>
            <w:noWrap/>
            <w:vAlign w:val="center"/>
            <w:hideMark/>
          </w:tcPr>
          <w:p w14:paraId="1F1E966F" w14:textId="06F6CCE9"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2015</w:t>
            </w:r>
          </w:p>
        </w:tc>
        <w:tc>
          <w:tcPr>
            <w:tcW w:w="3654" w:type="dxa"/>
            <w:gridSpan w:val="2"/>
            <w:tcBorders>
              <w:top w:val="nil"/>
              <w:left w:val="nil"/>
              <w:bottom w:val="nil"/>
              <w:right w:val="nil"/>
            </w:tcBorders>
            <w:shd w:val="clear" w:color="auto" w:fill="auto"/>
            <w:noWrap/>
            <w:hideMark/>
          </w:tcPr>
          <w:p w14:paraId="737DD54C" w14:textId="77777777" w:rsidR="004A598B" w:rsidRPr="000939E3" w:rsidRDefault="004A598B" w:rsidP="000052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OECD Government at a Glance</w:t>
            </w:r>
          </w:p>
        </w:tc>
      </w:tr>
      <w:tr w:rsidR="004A598B" w:rsidRPr="000939E3" w14:paraId="5124D87F" w14:textId="77777777" w:rsidTr="000052C7">
        <w:trPr>
          <w:trHeight w:val="88"/>
        </w:trPr>
        <w:tc>
          <w:tcPr>
            <w:tcW w:w="2127" w:type="dxa"/>
            <w:tcBorders>
              <w:top w:val="nil"/>
              <w:left w:val="nil"/>
              <w:bottom w:val="nil"/>
              <w:right w:val="nil"/>
            </w:tcBorders>
            <w:shd w:val="clear" w:color="auto" w:fill="auto"/>
            <w:vAlign w:val="center"/>
            <w:hideMark/>
          </w:tcPr>
          <w:p w14:paraId="0D7177CC" w14:textId="77777777" w:rsidR="004A598B" w:rsidRPr="000939E3" w:rsidRDefault="004A598B"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sudcovia</w:t>
            </w:r>
          </w:p>
        </w:tc>
        <w:tc>
          <w:tcPr>
            <w:tcW w:w="1134" w:type="dxa"/>
            <w:tcBorders>
              <w:top w:val="nil"/>
              <w:left w:val="nil"/>
              <w:bottom w:val="nil"/>
              <w:right w:val="nil"/>
            </w:tcBorders>
            <w:shd w:val="clear" w:color="auto" w:fill="auto"/>
            <w:noWrap/>
            <w:vAlign w:val="center"/>
            <w:hideMark/>
          </w:tcPr>
          <w:p w14:paraId="550D8A66" w14:textId="66F3A372"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98</w:t>
            </w:r>
          </w:p>
        </w:tc>
        <w:tc>
          <w:tcPr>
            <w:tcW w:w="1133" w:type="dxa"/>
            <w:tcBorders>
              <w:top w:val="nil"/>
              <w:left w:val="nil"/>
              <w:bottom w:val="nil"/>
              <w:right w:val="nil"/>
            </w:tcBorders>
            <w:vAlign w:val="center"/>
          </w:tcPr>
          <w:p w14:paraId="3EF6C8DD" w14:textId="236F79B3"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+4 %</w:t>
            </w:r>
          </w:p>
        </w:tc>
        <w:tc>
          <w:tcPr>
            <w:tcW w:w="1024" w:type="dxa"/>
            <w:tcBorders>
              <w:top w:val="nil"/>
              <w:left w:val="nil"/>
              <w:bottom w:val="nil"/>
              <w:right w:val="nil"/>
            </w:tcBorders>
            <w:shd w:val="clear" w:color="auto" w:fill="auto"/>
            <w:noWrap/>
            <w:vAlign w:val="center"/>
            <w:hideMark/>
          </w:tcPr>
          <w:p w14:paraId="614F7053" w14:textId="6F30D20A"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2014</w:t>
            </w:r>
          </w:p>
        </w:tc>
        <w:tc>
          <w:tcPr>
            <w:tcW w:w="3654" w:type="dxa"/>
            <w:gridSpan w:val="2"/>
            <w:tcBorders>
              <w:top w:val="nil"/>
              <w:left w:val="nil"/>
              <w:bottom w:val="nil"/>
              <w:right w:val="nil"/>
            </w:tcBorders>
            <w:shd w:val="clear" w:color="auto" w:fill="auto"/>
            <w:noWrap/>
            <w:hideMark/>
          </w:tcPr>
          <w:p w14:paraId="3F94F918" w14:textId="77777777" w:rsidR="004A598B" w:rsidRPr="000939E3" w:rsidRDefault="004A598B" w:rsidP="000052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CEPEJ</w:t>
            </w:r>
          </w:p>
        </w:tc>
      </w:tr>
      <w:tr w:rsidR="004A598B" w:rsidRPr="000939E3" w14:paraId="249D8798" w14:textId="77777777" w:rsidTr="000052C7">
        <w:trPr>
          <w:trHeight w:val="433"/>
        </w:trPr>
        <w:tc>
          <w:tcPr>
            <w:tcW w:w="2127" w:type="dxa"/>
            <w:tcBorders>
              <w:top w:val="nil"/>
              <w:left w:val="nil"/>
              <w:bottom w:val="nil"/>
              <w:right w:val="nil"/>
            </w:tcBorders>
            <w:shd w:val="clear" w:color="auto" w:fill="auto"/>
            <w:vAlign w:val="center"/>
            <w:hideMark/>
          </w:tcPr>
          <w:p w14:paraId="0D92649E" w14:textId="7E4A09B8" w:rsidR="004A598B" w:rsidRPr="000939E3" w:rsidRDefault="004A598B"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hasiči***</w:t>
            </w:r>
          </w:p>
        </w:tc>
        <w:tc>
          <w:tcPr>
            <w:tcW w:w="1134" w:type="dxa"/>
            <w:tcBorders>
              <w:top w:val="nil"/>
              <w:left w:val="nil"/>
              <w:bottom w:val="nil"/>
              <w:right w:val="nil"/>
            </w:tcBorders>
            <w:shd w:val="clear" w:color="auto" w:fill="auto"/>
            <w:noWrap/>
            <w:vAlign w:val="center"/>
            <w:hideMark/>
          </w:tcPr>
          <w:p w14:paraId="442ACB21" w14:textId="2BD239BD"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108</w:t>
            </w:r>
          </w:p>
        </w:tc>
        <w:tc>
          <w:tcPr>
            <w:tcW w:w="1133" w:type="dxa"/>
            <w:tcBorders>
              <w:top w:val="nil"/>
              <w:left w:val="nil"/>
              <w:bottom w:val="nil"/>
              <w:right w:val="nil"/>
            </w:tcBorders>
            <w:vAlign w:val="center"/>
          </w:tcPr>
          <w:p w14:paraId="23B86310" w14:textId="069C9F53"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-14 %</w:t>
            </w:r>
          </w:p>
        </w:tc>
        <w:tc>
          <w:tcPr>
            <w:tcW w:w="1024" w:type="dxa"/>
            <w:tcBorders>
              <w:top w:val="nil"/>
              <w:left w:val="nil"/>
              <w:bottom w:val="nil"/>
              <w:right w:val="nil"/>
            </w:tcBorders>
            <w:shd w:val="clear" w:color="auto" w:fill="auto"/>
            <w:noWrap/>
            <w:vAlign w:val="center"/>
            <w:hideMark/>
          </w:tcPr>
          <w:p w14:paraId="25B6CA47" w14:textId="1C848A3F"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2017</w:t>
            </w:r>
          </w:p>
        </w:tc>
        <w:tc>
          <w:tcPr>
            <w:tcW w:w="3654" w:type="dxa"/>
            <w:gridSpan w:val="2"/>
            <w:tcBorders>
              <w:top w:val="nil"/>
              <w:left w:val="nil"/>
              <w:bottom w:val="nil"/>
              <w:right w:val="nil"/>
            </w:tcBorders>
            <w:shd w:val="clear" w:color="auto" w:fill="auto"/>
            <w:noWrap/>
            <w:hideMark/>
          </w:tcPr>
          <w:p w14:paraId="707AD032" w14:textId="77777777" w:rsidR="004A598B" w:rsidRPr="000939E3" w:rsidRDefault="004A598B" w:rsidP="000052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 xml:space="preserve">Struktura mezd zaměstnanců (ČSÚ), </w:t>
            </w:r>
          </w:p>
          <w:p w14:paraId="3291F62A" w14:textId="77777777" w:rsidR="004A598B" w:rsidRPr="000939E3" w:rsidRDefault="004A598B" w:rsidP="000052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Štruktura miezd v SR (ŠÚSR)</w:t>
            </w:r>
          </w:p>
        </w:tc>
      </w:tr>
      <w:tr w:rsidR="004A598B" w:rsidRPr="000939E3" w14:paraId="1A932EF5" w14:textId="77777777" w:rsidTr="000052C7">
        <w:trPr>
          <w:trHeight w:val="80"/>
        </w:trPr>
        <w:tc>
          <w:tcPr>
            <w:tcW w:w="2127" w:type="dxa"/>
            <w:tcBorders>
              <w:top w:val="nil"/>
              <w:left w:val="nil"/>
              <w:right w:val="nil"/>
            </w:tcBorders>
            <w:shd w:val="clear" w:color="auto" w:fill="auto"/>
            <w:vAlign w:val="center"/>
            <w:hideMark/>
          </w:tcPr>
          <w:p w14:paraId="4A679FFE" w14:textId="77777777" w:rsidR="004A598B" w:rsidRPr="000939E3" w:rsidRDefault="004A598B"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prokuratúra</w:t>
            </w:r>
          </w:p>
        </w:tc>
        <w:tc>
          <w:tcPr>
            <w:tcW w:w="1134" w:type="dxa"/>
            <w:tcBorders>
              <w:top w:val="nil"/>
              <w:left w:val="nil"/>
              <w:right w:val="nil"/>
            </w:tcBorders>
            <w:shd w:val="clear" w:color="auto" w:fill="auto"/>
            <w:noWrap/>
            <w:vAlign w:val="center"/>
            <w:hideMark/>
          </w:tcPr>
          <w:p w14:paraId="0471C1F2" w14:textId="3AFDC720"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66</w:t>
            </w:r>
          </w:p>
        </w:tc>
        <w:tc>
          <w:tcPr>
            <w:tcW w:w="1133" w:type="dxa"/>
            <w:tcBorders>
              <w:top w:val="nil"/>
              <w:left w:val="nil"/>
              <w:right w:val="nil"/>
            </w:tcBorders>
            <w:vAlign w:val="center"/>
          </w:tcPr>
          <w:p w14:paraId="3931E105" w14:textId="4198D7B8"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+26 %</w:t>
            </w:r>
          </w:p>
        </w:tc>
        <w:tc>
          <w:tcPr>
            <w:tcW w:w="1024" w:type="dxa"/>
            <w:tcBorders>
              <w:top w:val="nil"/>
              <w:left w:val="nil"/>
              <w:right w:val="nil"/>
            </w:tcBorders>
            <w:shd w:val="clear" w:color="auto" w:fill="auto"/>
            <w:noWrap/>
            <w:vAlign w:val="center"/>
            <w:hideMark/>
          </w:tcPr>
          <w:p w14:paraId="39FDDF40" w14:textId="73BD1DEC"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2014</w:t>
            </w:r>
          </w:p>
        </w:tc>
        <w:tc>
          <w:tcPr>
            <w:tcW w:w="3654" w:type="dxa"/>
            <w:gridSpan w:val="2"/>
            <w:tcBorders>
              <w:top w:val="nil"/>
              <w:left w:val="nil"/>
              <w:right w:val="nil"/>
            </w:tcBorders>
            <w:shd w:val="clear" w:color="auto" w:fill="auto"/>
            <w:noWrap/>
            <w:hideMark/>
          </w:tcPr>
          <w:p w14:paraId="5B6A5D89" w14:textId="77777777" w:rsidR="004A598B" w:rsidRPr="000939E3" w:rsidRDefault="004A598B" w:rsidP="000052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CEPEJ</w:t>
            </w:r>
          </w:p>
        </w:tc>
      </w:tr>
      <w:tr w:rsidR="004A598B" w:rsidRPr="000939E3" w14:paraId="2C909171" w14:textId="77777777" w:rsidTr="000052C7">
        <w:trPr>
          <w:trHeight w:val="158"/>
        </w:trPr>
        <w:tc>
          <w:tcPr>
            <w:tcW w:w="2127" w:type="dxa"/>
            <w:tcBorders>
              <w:top w:val="nil"/>
              <w:left w:val="nil"/>
              <w:right w:val="nil"/>
            </w:tcBorders>
            <w:shd w:val="clear" w:color="auto" w:fill="auto"/>
            <w:vAlign w:val="center"/>
            <w:hideMark/>
          </w:tcPr>
          <w:p w14:paraId="1B7D2CD8" w14:textId="77777777" w:rsidR="004A598B" w:rsidRPr="000939E3" w:rsidRDefault="004A598B"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policajti</w:t>
            </w:r>
          </w:p>
        </w:tc>
        <w:tc>
          <w:tcPr>
            <w:tcW w:w="1134" w:type="dxa"/>
            <w:tcBorders>
              <w:top w:val="nil"/>
              <w:left w:val="nil"/>
              <w:right w:val="nil"/>
            </w:tcBorders>
            <w:shd w:val="clear" w:color="auto" w:fill="auto"/>
            <w:noWrap/>
            <w:vAlign w:val="center"/>
            <w:hideMark/>
          </w:tcPr>
          <w:p w14:paraId="2C2E2B05" w14:textId="34CCEAB2"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736</w:t>
            </w:r>
          </w:p>
        </w:tc>
        <w:tc>
          <w:tcPr>
            <w:tcW w:w="1133" w:type="dxa"/>
            <w:tcBorders>
              <w:top w:val="nil"/>
              <w:left w:val="nil"/>
              <w:right w:val="nil"/>
            </w:tcBorders>
            <w:vAlign w:val="center"/>
          </w:tcPr>
          <w:p w14:paraId="0AD761F4" w14:textId="1F9879E6"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+4 %</w:t>
            </w:r>
          </w:p>
        </w:tc>
        <w:tc>
          <w:tcPr>
            <w:tcW w:w="1024" w:type="dxa"/>
            <w:tcBorders>
              <w:top w:val="nil"/>
              <w:left w:val="nil"/>
              <w:right w:val="nil"/>
            </w:tcBorders>
            <w:shd w:val="clear" w:color="auto" w:fill="auto"/>
            <w:noWrap/>
            <w:vAlign w:val="center"/>
            <w:hideMark/>
          </w:tcPr>
          <w:p w14:paraId="4A8FA775" w14:textId="49924113"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2015</w:t>
            </w:r>
          </w:p>
        </w:tc>
        <w:tc>
          <w:tcPr>
            <w:tcW w:w="3654" w:type="dxa"/>
            <w:gridSpan w:val="2"/>
            <w:tcBorders>
              <w:top w:val="nil"/>
              <w:left w:val="nil"/>
              <w:right w:val="nil"/>
            </w:tcBorders>
            <w:shd w:val="clear" w:color="auto" w:fill="auto"/>
            <w:noWrap/>
            <w:hideMark/>
          </w:tcPr>
          <w:p w14:paraId="04182002" w14:textId="77777777" w:rsidR="004A598B" w:rsidRPr="000939E3" w:rsidRDefault="004A598B" w:rsidP="000052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OECD Government at a Glance</w:t>
            </w:r>
          </w:p>
        </w:tc>
      </w:tr>
      <w:tr w:rsidR="004A598B" w:rsidRPr="000939E3" w14:paraId="7C290EE4" w14:textId="77777777" w:rsidTr="000052C7">
        <w:trPr>
          <w:trHeight w:val="158"/>
        </w:trPr>
        <w:tc>
          <w:tcPr>
            <w:tcW w:w="2127" w:type="dxa"/>
            <w:tcBorders>
              <w:top w:val="nil"/>
              <w:left w:val="nil"/>
              <w:bottom w:val="single" w:sz="4" w:space="0" w:color="auto"/>
              <w:right w:val="nil"/>
            </w:tcBorders>
            <w:shd w:val="clear" w:color="auto" w:fill="auto"/>
            <w:vAlign w:val="center"/>
          </w:tcPr>
          <w:p w14:paraId="4128760A" w14:textId="77777777" w:rsidR="004A598B" w:rsidRPr="000939E3" w:rsidRDefault="004A598B" w:rsidP="00DF05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vybraní ústavní činitelia</w:t>
            </w:r>
          </w:p>
        </w:tc>
        <w:tc>
          <w:tcPr>
            <w:tcW w:w="1134" w:type="dxa"/>
            <w:tcBorders>
              <w:top w:val="nil"/>
              <w:left w:val="nil"/>
              <w:bottom w:val="single" w:sz="4" w:space="0" w:color="auto"/>
              <w:right w:val="nil"/>
            </w:tcBorders>
            <w:shd w:val="clear" w:color="auto" w:fill="auto"/>
            <w:noWrap/>
            <w:vAlign w:val="center"/>
          </w:tcPr>
          <w:p w14:paraId="48453D3E" w14:textId="345480DD" w:rsidR="004A598B" w:rsidRPr="000939E3" w:rsidRDefault="004A598B" w:rsidP="000052C7">
            <w:pPr>
              <w:spacing w:after="0" w:line="240" w:lineRule="auto"/>
              <w:jc w:val="right"/>
              <w:rPr>
                <w:color w:val="000000"/>
              </w:rPr>
            </w:pPr>
            <w:r w:rsidRPr="000939E3">
              <w:rPr>
                <w:color w:val="000000"/>
              </w:rPr>
              <w:t>8</w:t>
            </w:r>
          </w:p>
        </w:tc>
        <w:tc>
          <w:tcPr>
            <w:tcW w:w="1133" w:type="dxa"/>
            <w:tcBorders>
              <w:top w:val="nil"/>
              <w:left w:val="nil"/>
              <w:bottom w:val="single" w:sz="4" w:space="0" w:color="auto"/>
              <w:right w:val="nil"/>
            </w:tcBorders>
            <w:vAlign w:val="center"/>
          </w:tcPr>
          <w:p w14:paraId="3059F27C" w14:textId="37892E0B"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+ 3%</w:t>
            </w:r>
          </w:p>
        </w:tc>
        <w:tc>
          <w:tcPr>
            <w:tcW w:w="1024" w:type="dxa"/>
            <w:tcBorders>
              <w:top w:val="nil"/>
              <w:left w:val="nil"/>
              <w:bottom w:val="single" w:sz="4" w:space="0" w:color="auto"/>
              <w:right w:val="nil"/>
            </w:tcBorders>
            <w:shd w:val="clear" w:color="auto" w:fill="auto"/>
            <w:noWrap/>
            <w:vAlign w:val="center"/>
          </w:tcPr>
          <w:p w14:paraId="19964976" w14:textId="03D57E46" w:rsidR="004A598B" w:rsidRPr="000939E3" w:rsidRDefault="004A598B" w:rsidP="000052C7">
            <w:pPr>
              <w:spacing w:after="0" w:line="240" w:lineRule="auto"/>
              <w:jc w:val="right"/>
              <w:rPr>
                <w:rFonts w:eastAsia="Times New Roman" w:cs="Times New Roman"/>
                <w:color w:val="000000"/>
                <w:lang w:eastAsia="sk-SK"/>
              </w:rPr>
            </w:pPr>
            <w:r w:rsidRPr="000939E3">
              <w:rPr>
                <w:rFonts w:eastAsia="Times New Roman" w:cs="Times New Roman"/>
                <w:color w:val="000000"/>
                <w:lang w:eastAsia="sk-SK"/>
              </w:rPr>
              <w:t>2019</w:t>
            </w:r>
          </w:p>
        </w:tc>
        <w:tc>
          <w:tcPr>
            <w:tcW w:w="3654" w:type="dxa"/>
            <w:gridSpan w:val="2"/>
            <w:tcBorders>
              <w:top w:val="nil"/>
              <w:left w:val="nil"/>
              <w:bottom w:val="single" w:sz="4" w:space="0" w:color="auto"/>
              <w:right w:val="nil"/>
            </w:tcBorders>
            <w:shd w:val="clear" w:color="auto" w:fill="auto"/>
            <w:noWrap/>
          </w:tcPr>
          <w:p w14:paraId="358CF894" w14:textId="77777777" w:rsidR="004A598B" w:rsidRPr="000939E3" w:rsidRDefault="004A598B" w:rsidP="000052C7">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Prieskum ÚHP</w:t>
            </w:r>
          </w:p>
        </w:tc>
      </w:tr>
      <w:tr w:rsidR="004A598B" w:rsidRPr="000939E3" w14:paraId="7499834E" w14:textId="77777777" w:rsidTr="00A972A9">
        <w:trPr>
          <w:trHeight w:val="158"/>
        </w:trPr>
        <w:tc>
          <w:tcPr>
            <w:tcW w:w="6521" w:type="dxa"/>
            <w:gridSpan w:val="5"/>
            <w:tcBorders>
              <w:top w:val="single" w:sz="4" w:space="0" w:color="auto"/>
              <w:left w:val="nil"/>
              <w:right w:val="nil"/>
            </w:tcBorders>
            <w:shd w:val="clear" w:color="auto" w:fill="auto"/>
            <w:vAlign w:val="center"/>
          </w:tcPr>
          <w:p w14:paraId="6D0A4736" w14:textId="77777777" w:rsidR="004A598B" w:rsidRPr="000052C7" w:rsidRDefault="004A598B" w:rsidP="000052C7">
            <w:pPr>
              <w:pStyle w:val="Odsekzoznamu"/>
              <w:spacing w:after="0" w:line="240" w:lineRule="auto"/>
              <w:ind w:left="0"/>
              <w:rPr>
                <w:rFonts w:eastAsia="Times New Roman" w:cs="Times New Roman"/>
                <w:i/>
                <w:color w:val="000000"/>
                <w:sz w:val="18"/>
                <w:lang w:eastAsia="sk-SK"/>
              </w:rPr>
            </w:pPr>
            <w:r w:rsidRPr="000052C7">
              <w:rPr>
                <w:rFonts w:eastAsia="Times New Roman" w:cs="Times New Roman"/>
                <w:i/>
                <w:color w:val="000000"/>
                <w:sz w:val="18"/>
                <w:lang w:eastAsia="sk-SK"/>
              </w:rPr>
              <w:t>*odhad ÚHP</w:t>
            </w:r>
          </w:p>
          <w:p w14:paraId="5E68F295" w14:textId="77777777" w:rsidR="004A598B" w:rsidRPr="000052C7" w:rsidRDefault="004A598B" w:rsidP="004A598B">
            <w:pPr>
              <w:spacing w:after="0" w:line="240" w:lineRule="auto"/>
              <w:jc w:val="left"/>
              <w:rPr>
                <w:rFonts w:eastAsia="Times New Roman" w:cs="Times New Roman"/>
                <w:i/>
                <w:color w:val="000000"/>
                <w:sz w:val="18"/>
                <w:lang w:eastAsia="sk-SK"/>
              </w:rPr>
            </w:pPr>
            <w:r w:rsidRPr="000052C7">
              <w:rPr>
                <w:rFonts w:eastAsia="Times New Roman" w:cs="Times New Roman"/>
                <w:i/>
                <w:color w:val="000000"/>
                <w:sz w:val="18"/>
                <w:lang w:eastAsia="sk-SK"/>
              </w:rPr>
              <w:t>** takmer celý rozdiel by mal byť odstránený zvýšením miezd v roku 2019</w:t>
            </w:r>
          </w:p>
          <w:p w14:paraId="7AA947D8" w14:textId="225CE3E3" w:rsidR="004A598B" w:rsidRPr="000939E3" w:rsidRDefault="004A598B" w:rsidP="000052C7">
            <w:pPr>
              <w:spacing w:after="0" w:line="240" w:lineRule="auto"/>
              <w:jc w:val="left"/>
              <w:rPr>
                <w:rFonts w:eastAsia="Times New Roman" w:cs="Times New Roman"/>
                <w:color w:val="000000"/>
                <w:lang w:eastAsia="sk-SK"/>
              </w:rPr>
            </w:pPr>
            <w:r w:rsidRPr="000052C7">
              <w:rPr>
                <w:rFonts w:eastAsia="Times New Roman" w:cs="Times New Roman"/>
                <w:i/>
                <w:color w:val="000000"/>
                <w:sz w:val="18"/>
                <w:lang w:eastAsia="sk-SK"/>
              </w:rPr>
              <w:t>*** porovnanie s ČR</w:t>
            </w:r>
          </w:p>
        </w:tc>
        <w:tc>
          <w:tcPr>
            <w:tcW w:w="2551" w:type="dxa"/>
            <w:tcBorders>
              <w:top w:val="single" w:sz="4" w:space="0" w:color="auto"/>
              <w:left w:val="nil"/>
              <w:right w:val="nil"/>
            </w:tcBorders>
            <w:shd w:val="clear" w:color="auto" w:fill="auto"/>
            <w:noWrap/>
          </w:tcPr>
          <w:p w14:paraId="4B361391" w14:textId="77777777" w:rsidR="004A598B" w:rsidRPr="000939E3" w:rsidRDefault="004A598B" w:rsidP="00DF05C7">
            <w:pPr>
              <w:spacing w:after="0" w:line="240" w:lineRule="auto"/>
              <w:jc w:val="right"/>
              <w:rPr>
                <w:rFonts w:eastAsia="Times New Roman" w:cs="Times New Roman"/>
                <w:color w:val="000000"/>
                <w:lang w:eastAsia="sk-SK"/>
              </w:rPr>
            </w:pPr>
            <w:r w:rsidRPr="000939E3">
              <w:rPr>
                <w:rFonts w:eastAsia="Times New Roman" w:cs="Times New Roman"/>
                <w:i/>
                <w:color w:val="000000"/>
                <w:sz w:val="18"/>
                <w:lang w:eastAsia="sk-SK"/>
              </w:rPr>
              <w:t>Zdroj: spracovanie ÚHP</w:t>
            </w:r>
          </w:p>
        </w:tc>
      </w:tr>
    </w:tbl>
    <w:p w14:paraId="342EB106" w14:textId="77777777" w:rsidR="00B5499F" w:rsidRPr="000939E3" w:rsidRDefault="00B5499F" w:rsidP="00D61CAD">
      <w:pPr>
        <w:pStyle w:val="Popis"/>
        <w:rPr>
          <w:sz w:val="22"/>
        </w:rPr>
      </w:pPr>
      <w:bookmarkStart w:id="319" w:name="_Ref11754837"/>
    </w:p>
    <w:p w14:paraId="6CD074BB" w14:textId="141B141C" w:rsidR="00EF7FD8" w:rsidRPr="000939E3" w:rsidRDefault="00D61CAD" w:rsidP="007E0AB1">
      <w:pPr>
        <w:pStyle w:val="Popis"/>
        <w:rPr>
          <w:sz w:val="22"/>
        </w:rPr>
      </w:pPr>
      <w:bookmarkStart w:id="320" w:name="_Ref34210163"/>
      <w:r w:rsidRPr="000939E3">
        <w:rPr>
          <w:sz w:val="22"/>
        </w:rPr>
        <w:t xml:space="preserve">Príloha </w:t>
      </w:r>
      <w:r w:rsidRPr="000939E3">
        <w:rPr>
          <w:sz w:val="22"/>
        </w:rPr>
        <w:fldChar w:fldCharType="begin"/>
      </w:r>
      <w:r w:rsidRPr="000939E3">
        <w:rPr>
          <w:sz w:val="22"/>
        </w:rPr>
        <w:instrText xml:space="preserve"> SEQ Príloha \* ARABIC </w:instrText>
      </w:r>
      <w:r w:rsidRPr="000939E3">
        <w:rPr>
          <w:sz w:val="22"/>
        </w:rPr>
        <w:fldChar w:fldCharType="separate"/>
      </w:r>
      <w:r w:rsidR="00BF69CA">
        <w:rPr>
          <w:noProof/>
          <w:sz w:val="22"/>
        </w:rPr>
        <w:t>8</w:t>
      </w:r>
      <w:r w:rsidRPr="000939E3">
        <w:rPr>
          <w:sz w:val="22"/>
        </w:rPr>
        <w:fldChar w:fldCharType="end"/>
      </w:r>
      <w:bookmarkEnd w:id="319"/>
      <w:bookmarkEnd w:id="320"/>
      <w:r w:rsidRPr="000939E3">
        <w:rPr>
          <w:noProof/>
          <w:sz w:val="22"/>
        </w:rPr>
        <w:t>:</w:t>
      </w:r>
      <w:r w:rsidRPr="000939E3">
        <w:rPr>
          <w:sz w:val="22"/>
        </w:rPr>
        <w:t xml:space="preserve"> Zoznam odmeňovacích predpisov vo verejnom sektore</w:t>
      </w:r>
    </w:p>
    <w:tbl>
      <w:tblPr>
        <w:tblW w:w="5000" w:type="pct"/>
        <w:tblCellMar>
          <w:left w:w="70" w:type="dxa"/>
          <w:right w:w="70" w:type="dxa"/>
        </w:tblCellMar>
        <w:tblLook w:val="04A0" w:firstRow="1" w:lastRow="0" w:firstColumn="1" w:lastColumn="0" w:noHBand="0" w:noVBand="1"/>
      </w:tblPr>
      <w:tblGrid>
        <w:gridCol w:w="9072"/>
      </w:tblGrid>
      <w:tr w:rsidR="00D61CAD" w:rsidRPr="000939E3" w14:paraId="2FD2FAAB" w14:textId="77777777" w:rsidTr="007E0AB1">
        <w:trPr>
          <w:trHeight w:val="170"/>
          <w:tblHeader/>
        </w:trPr>
        <w:tc>
          <w:tcPr>
            <w:tcW w:w="5000" w:type="pct"/>
            <w:tcBorders>
              <w:top w:val="single" w:sz="4" w:space="0" w:color="auto"/>
              <w:left w:val="nil"/>
              <w:bottom w:val="single" w:sz="4" w:space="0" w:color="auto"/>
              <w:right w:val="nil"/>
            </w:tcBorders>
            <w:shd w:val="clear" w:color="000000" w:fill="BDD7EE"/>
            <w:noWrap/>
            <w:vAlign w:val="bottom"/>
            <w:hideMark/>
          </w:tcPr>
          <w:p w14:paraId="3659D87D" w14:textId="77777777" w:rsidR="00D61CAD" w:rsidRPr="000939E3" w:rsidRDefault="00D61CAD" w:rsidP="00D61CAD">
            <w:pPr>
              <w:spacing w:after="0" w:line="240" w:lineRule="auto"/>
              <w:jc w:val="center"/>
              <w:rPr>
                <w:rFonts w:eastAsia="Times New Roman" w:cs="Times New Roman"/>
                <w:b/>
                <w:bCs/>
                <w:color w:val="000000"/>
                <w:lang w:eastAsia="sk-SK"/>
              </w:rPr>
            </w:pPr>
            <w:r w:rsidRPr="000939E3">
              <w:rPr>
                <w:rFonts w:eastAsia="Times New Roman" w:cs="Times New Roman"/>
                <w:b/>
                <w:bCs/>
                <w:color w:val="000000"/>
                <w:lang w:eastAsia="sk-SK"/>
              </w:rPr>
              <w:t>Odmeňovací predpis</w:t>
            </w:r>
          </w:p>
        </w:tc>
      </w:tr>
      <w:tr w:rsidR="00D61CAD" w:rsidRPr="000939E3" w14:paraId="01DB9F3E" w14:textId="77777777" w:rsidTr="00D61CAD">
        <w:trPr>
          <w:trHeight w:val="170"/>
        </w:trPr>
        <w:tc>
          <w:tcPr>
            <w:tcW w:w="5000" w:type="pct"/>
            <w:tcBorders>
              <w:top w:val="nil"/>
              <w:left w:val="nil"/>
              <w:bottom w:val="nil"/>
              <w:right w:val="nil"/>
            </w:tcBorders>
            <w:shd w:val="clear" w:color="000000" w:fill="DDEBF7"/>
            <w:noWrap/>
            <w:vAlign w:val="bottom"/>
            <w:hideMark/>
          </w:tcPr>
          <w:p w14:paraId="4BE741FF"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 xml:space="preserve">Zákon č. 120/1993 Z. z. o platových pomeroch niektorých ústavných činiteľov SR v znení neskorších predpisov </w:t>
            </w:r>
          </w:p>
        </w:tc>
      </w:tr>
      <w:tr w:rsidR="00D61CAD" w:rsidRPr="000939E3" w14:paraId="72263C70" w14:textId="77777777" w:rsidTr="00D61CAD">
        <w:trPr>
          <w:trHeight w:val="170"/>
        </w:trPr>
        <w:tc>
          <w:tcPr>
            <w:tcW w:w="5000" w:type="pct"/>
            <w:tcBorders>
              <w:top w:val="nil"/>
              <w:left w:val="nil"/>
              <w:bottom w:val="nil"/>
              <w:right w:val="nil"/>
            </w:tcBorders>
            <w:shd w:val="clear" w:color="auto" w:fill="auto"/>
            <w:noWrap/>
            <w:vAlign w:val="bottom"/>
            <w:hideMark/>
          </w:tcPr>
          <w:p w14:paraId="6178CB90"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 xml:space="preserve">Zákon č. 391/2004 Z. z. o plate poslanca Európskeho parlamentu a o zmene a doplnení niektorých zákonov </w:t>
            </w:r>
          </w:p>
        </w:tc>
      </w:tr>
      <w:tr w:rsidR="00D61CAD" w:rsidRPr="000939E3" w14:paraId="7BCBA58F" w14:textId="77777777" w:rsidTr="00D61CAD">
        <w:trPr>
          <w:trHeight w:val="170"/>
        </w:trPr>
        <w:tc>
          <w:tcPr>
            <w:tcW w:w="5000" w:type="pct"/>
            <w:tcBorders>
              <w:top w:val="nil"/>
              <w:left w:val="nil"/>
              <w:bottom w:val="nil"/>
              <w:right w:val="nil"/>
            </w:tcBorders>
            <w:shd w:val="clear" w:color="000000" w:fill="DDEBF7"/>
            <w:noWrap/>
            <w:vAlign w:val="bottom"/>
            <w:hideMark/>
          </w:tcPr>
          <w:p w14:paraId="3FE97F76"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Zákon č. 385/2000 Z. z. o sudcoch a prísediacich a o zmene a doplnení niektorých zákonov v znení neskorších predpisov</w:t>
            </w:r>
          </w:p>
        </w:tc>
      </w:tr>
      <w:tr w:rsidR="00D61CAD" w:rsidRPr="000939E3" w14:paraId="390013F4" w14:textId="77777777" w:rsidTr="00D61CAD">
        <w:trPr>
          <w:trHeight w:val="170"/>
        </w:trPr>
        <w:tc>
          <w:tcPr>
            <w:tcW w:w="5000" w:type="pct"/>
            <w:tcBorders>
              <w:top w:val="nil"/>
              <w:left w:val="nil"/>
              <w:bottom w:val="nil"/>
              <w:right w:val="nil"/>
            </w:tcBorders>
            <w:shd w:val="clear" w:color="auto" w:fill="auto"/>
            <w:noWrap/>
            <w:vAlign w:val="bottom"/>
            <w:hideMark/>
          </w:tcPr>
          <w:p w14:paraId="4E9B5B08"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Zákon č. 154/2001 Z. z. o prokurátoroch a právnych čakateľoch prokuratúry v znení neskorších predpisov</w:t>
            </w:r>
          </w:p>
        </w:tc>
      </w:tr>
      <w:tr w:rsidR="00D61CAD" w:rsidRPr="000939E3" w14:paraId="4D4C5436" w14:textId="77777777" w:rsidTr="00D61CAD">
        <w:trPr>
          <w:trHeight w:val="170"/>
        </w:trPr>
        <w:tc>
          <w:tcPr>
            <w:tcW w:w="5000" w:type="pct"/>
            <w:tcBorders>
              <w:top w:val="nil"/>
              <w:left w:val="nil"/>
              <w:bottom w:val="nil"/>
              <w:right w:val="nil"/>
            </w:tcBorders>
            <w:shd w:val="clear" w:color="000000" w:fill="DDEBF7"/>
            <w:noWrap/>
            <w:vAlign w:val="bottom"/>
            <w:hideMark/>
          </w:tcPr>
          <w:p w14:paraId="530A4D82"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 xml:space="preserve">Zákon č.16/1993 Z. z. o Kancelárii prezidenta Slovenskej republiky v znení neskorších predpisov </w:t>
            </w:r>
          </w:p>
        </w:tc>
      </w:tr>
      <w:tr w:rsidR="00D61CAD" w:rsidRPr="000939E3" w14:paraId="429D5042" w14:textId="77777777" w:rsidTr="00D61CAD">
        <w:trPr>
          <w:trHeight w:val="170"/>
        </w:trPr>
        <w:tc>
          <w:tcPr>
            <w:tcW w:w="5000" w:type="pct"/>
            <w:tcBorders>
              <w:top w:val="nil"/>
              <w:left w:val="nil"/>
              <w:bottom w:val="nil"/>
              <w:right w:val="nil"/>
            </w:tcBorders>
            <w:shd w:val="clear" w:color="auto" w:fill="auto"/>
            <w:noWrap/>
            <w:vAlign w:val="bottom"/>
            <w:hideMark/>
          </w:tcPr>
          <w:p w14:paraId="0447693F"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 xml:space="preserve">Zákon č. 38/1993 Z. z. o organizácii Ústavného súdu Slovenskej republiky o konaní pred ním a o postavení jeho sudcov v znení neskorších predpisov </w:t>
            </w:r>
          </w:p>
        </w:tc>
      </w:tr>
      <w:tr w:rsidR="00D61CAD" w:rsidRPr="000939E3" w14:paraId="712DDDD5" w14:textId="77777777" w:rsidTr="00D61CAD">
        <w:trPr>
          <w:trHeight w:val="170"/>
        </w:trPr>
        <w:tc>
          <w:tcPr>
            <w:tcW w:w="5000" w:type="pct"/>
            <w:tcBorders>
              <w:top w:val="nil"/>
              <w:left w:val="nil"/>
              <w:bottom w:val="nil"/>
              <w:right w:val="nil"/>
            </w:tcBorders>
            <w:shd w:val="clear" w:color="000000" w:fill="DDEBF7"/>
            <w:noWrap/>
            <w:vAlign w:val="bottom"/>
            <w:hideMark/>
          </w:tcPr>
          <w:p w14:paraId="281CBA90"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 xml:space="preserve">Zákon č. 39/1993 Z. z. o Najvyššom kontrolnom úrade Slovenskej republiky v znení neskorších predpisov </w:t>
            </w:r>
          </w:p>
        </w:tc>
      </w:tr>
      <w:tr w:rsidR="00D61CAD" w:rsidRPr="000939E3" w14:paraId="3F2F0492" w14:textId="77777777" w:rsidTr="00D61CAD">
        <w:trPr>
          <w:trHeight w:val="170"/>
        </w:trPr>
        <w:tc>
          <w:tcPr>
            <w:tcW w:w="5000" w:type="pct"/>
            <w:tcBorders>
              <w:top w:val="nil"/>
              <w:left w:val="nil"/>
              <w:bottom w:val="nil"/>
              <w:right w:val="nil"/>
            </w:tcBorders>
            <w:shd w:val="clear" w:color="auto" w:fill="auto"/>
            <w:noWrap/>
            <w:vAlign w:val="bottom"/>
            <w:hideMark/>
          </w:tcPr>
          <w:p w14:paraId="07A42513"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 xml:space="preserve">Zákon č. 350/1996 Z. z. o rokovacom poriadku Národnej rady Slovenskej republiky v znení neskorších predpisov </w:t>
            </w:r>
          </w:p>
        </w:tc>
      </w:tr>
      <w:tr w:rsidR="00D61CAD" w:rsidRPr="000939E3" w14:paraId="6D90D089" w14:textId="77777777" w:rsidTr="00D61CAD">
        <w:trPr>
          <w:trHeight w:val="170"/>
        </w:trPr>
        <w:tc>
          <w:tcPr>
            <w:tcW w:w="5000" w:type="pct"/>
            <w:tcBorders>
              <w:top w:val="nil"/>
              <w:left w:val="nil"/>
              <w:bottom w:val="nil"/>
              <w:right w:val="nil"/>
            </w:tcBorders>
            <w:shd w:val="clear" w:color="000000" w:fill="DDEBF7"/>
            <w:noWrap/>
            <w:vAlign w:val="bottom"/>
            <w:hideMark/>
          </w:tcPr>
          <w:p w14:paraId="09CF3780"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 xml:space="preserve">Zákon č. 564/2001 Z. z. o verejnom ochrancovi práv v znení neskorších predpisov </w:t>
            </w:r>
          </w:p>
        </w:tc>
      </w:tr>
      <w:tr w:rsidR="00D61CAD" w:rsidRPr="000939E3" w14:paraId="0E93F551" w14:textId="77777777" w:rsidTr="00D61CAD">
        <w:trPr>
          <w:trHeight w:val="170"/>
        </w:trPr>
        <w:tc>
          <w:tcPr>
            <w:tcW w:w="5000" w:type="pct"/>
            <w:tcBorders>
              <w:top w:val="nil"/>
              <w:left w:val="nil"/>
              <w:bottom w:val="nil"/>
              <w:right w:val="nil"/>
            </w:tcBorders>
            <w:shd w:val="clear" w:color="auto" w:fill="auto"/>
            <w:noWrap/>
            <w:vAlign w:val="bottom"/>
            <w:hideMark/>
          </w:tcPr>
          <w:p w14:paraId="679D09F5"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Zákon č. 218/1949 Zb. o hospodárskom zabezpečení cirkví a náboženských spoločností štátom v znení neskorších predpisov</w:t>
            </w:r>
          </w:p>
        </w:tc>
      </w:tr>
      <w:tr w:rsidR="00D61CAD" w:rsidRPr="000939E3" w14:paraId="1C75A58C" w14:textId="77777777" w:rsidTr="00D61CAD">
        <w:trPr>
          <w:trHeight w:val="170"/>
        </w:trPr>
        <w:tc>
          <w:tcPr>
            <w:tcW w:w="5000" w:type="pct"/>
            <w:tcBorders>
              <w:top w:val="nil"/>
              <w:left w:val="nil"/>
              <w:bottom w:val="nil"/>
              <w:right w:val="nil"/>
            </w:tcBorders>
            <w:shd w:val="clear" w:color="000000" w:fill="DDEBF7"/>
            <w:noWrap/>
            <w:vAlign w:val="bottom"/>
            <w:hideMark/>
          </w:tcPr>
          <w:p w14:paraId="5D36DAD3"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Zákon č. 73/1998 Z. z o štátnej službe príslušníkov Policajného zboru, Slovenskej informačnej služby, Zboru väzenskej a justičnej stráže Slovenskej republiky a Železničnej polície v znení neskorších predpisov</w:t>
            </w:r>
          </w:p>
        </w:tc>
      </w:tr>
      <w:tr w:rsidR="00D61CAD" w:rsidRPr="000939E3" w14:paraId="48F12305" w14:textId="77777777" w:rsidTr="00D61CAD">
        <w:trPr>
          <w:trHeight w:val="170"/>
        </w:trPr>
        <w:tc>
          <w:tcPr>
            <w:tcW w:w="5000" w:type="pct"/>
            <w:tcBorders>
              <w:top w:val="nil"/>
              <w:left w:val="nil"/>
              <w:bottom w:val="nil"/>
              <w:right w:val="nil"/>
            </w:tcBorders>
            <w:shd w:val="clear" w:color="auto" w:fill="auto"/>
            <w:noWrap/>
            <w:vAlign w:val="bottom"/>
            <w:hideMark/>
          </w:tcPr>
          <w:p w14:paraId="685CBDFB"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Zákon č. 200/1998 Z. z. o štátnej službe colníkov a o zmene a doplnení niektorých ďalších zákonov v znení neskorších predpisov</w:t>
            </w:r>
          </w:p>
        </w:tc>
      </w:tr>
      <w:tr w:rsidR="00D61CAD" w:rsidRPr="000939E3" w14:paraId="5D45AB36" w14:textId="77777777" w:rsidTr="00D61CAD">
        <w:trPr>
          <w:trHeight w:val="170"/>
        </w:trPr>
        <w:tc>
          <w:tcPr>
            <w:tcW w:w="5000" w:type="pct"/>
            <w:tcBorders>
              <w:top w:val="nil"/>
              <w:left w:val="nil"/>
              <w:bottom w:val="nil"/>
              <w:right w:val="nil"/>
            </w:tcBorders>
            <w:shd w:val="clear" w:color="000000" w:fill="DDEBF7"/>
            <w:noWrap/>
            <w:vAlign w:val="bottom"/>
            <w:hideMark/>
          </w:tcPr>
          <w:p w14:paraId="65D952AD"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Zákon č. 315/2001 Z. z. o Hasičskom a záchrannom zbore v znení neskorších predpisov</w:t>
            </w:r>
          </w:p>
        </w:tc>
      </w:tr>
      <w:tr w:rsidR="00D61CAD" w:rsidRPr="000939E3" w14:paraId="4DF3845B" w14:textId="77777777" w:rsidTr="00D61CAD">
        <w:trPr>
          <w:trHeight w:val="170"/>
        </w:trPr>
        <w:tc>
          <w:tcPr>
            <w:tcW w:w="5000" w:type="pct"/>
            <w:tcBorders>
              <w:top w:val="nil"/>
              <w:left w:val="nil"/>
              <w:bottom w:val="nil"/>
              <w:right w:val="nil"/>
            </w:tcBorders>
            <w:shd w:val="clear" w:color="auto" w:fill="auto"/>
            <w:noWrap/>
            <w:vAlign w:val="bottom"/>
            <w:hideMark/>
          </w:tcPr>
          <w:p w14:paraId="54C613D4"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Zákon č. 281/2015 Z. z. o štátnej službe profesionálnych vojakov ozbrojených síl Slovenskej republiky a o zmene a doplnení niektorých zákonov v znení neskorších predpisov</w:t>
            </w:r>
          </w:p>
        </w:tc>
      </w:tr>
      <w:tr w:rsidR="00D61CAD" w:rsidRPr="000939E3" w14:paraId="5BC00F02" w14:textId="77777777" w:rsidTr="00D61CAD">
        <w:trPr>
          <w:trHeight w:val="170"/>
        </w:trPr>
        <w:tc>
          <w:tcPr>
            <w:tcW w:w="5000" w:type="pct"/>
            <w:tcBorders>
              <w:top w:val="nil"/>
              <w:left w:val="nil"/>
              <w:bottom w:val="nil"/>
              <w:right w:val="nil"/>
            </w:tcBorders>
            <w:shd w:val="clear" w:color="000000" w:fill="DDEBF7"/>
            <w:noWrap/>
            <w:vAlign w:val="bottom"/>
            <w:hideMark/>
          </w:tcPr>
          <w:p w14:paraId="122976D2"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Zákon č.55/2017 Z. z. o štátnej službe v znení a doplnení niektorých zákonov v znení neskorších predpisov</w:t>
            </w:r>
          </w:p>
        </w:tc>
      </w:tr>
      <w:tr w:rsidR="00D61CAD" w:rsidRPr="000939E3" w14:paraId="6B4EE01C" w14:textId="77777777" w:rsidTr="00D61CAD">
        <w:trPr>
          <w:trHeight w:val="170"/>
        </w:trPr>
        <w:tc>
          <w:tcPr>
            <w:tcW w:w="5000" w:type="pct"/>
            <w:tcBorders>
              <w:top w:val="nil"/>
              <w:left w:val="nil"/>
              <w:bottom w:val="nil"/>
              <w:right w:val="nil"/>
            </w:tcBorders>
            <w:shd w:val="clear" w:color="auto" w:fill="auto"/>
            <w:noWrap/>
            <w:vAlign w:val="bottom"/>
            <w:hideMark/>
          </w:tcPr>
          <w:p w14:paraId="720CACD2"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 xml:space="preserve">Zákon č. 215/2004 Z. z. o ochrane utajovaných skutočností a o zmene a doplnení niektorých zákonov v znení neskorších predpisov </w:t>
            </w:r>
          </w:p>
        </w:tc>
      </w:tr>
      <w:tr w:rsidR="00D61CAD" w:rsidRPr="000939E3" w14:paraId="1687E77E" w14:textId="77777777" w:rsidTr="00D61CAD">
        <w:trPr>
          <w:trHeight w:val="170"/>
        </w:trPr>
        <w:tc>
          <w:tcPr>
            <w:tcW w:w="5000" w:type="pct"/>
            <w:tcBorders>
              <w:top w:val="nil"/>
              <w:left w:val="nil"/>
              <w:bottom w:val="nil"/>
              <w:right w:val="nil"/>
            </w:tcBorders>
            <w:shd w:val="clear" w:color="000000" w:fill="DDEBF7"/>
            <w:noWrap/>
            <w:vAlign w:val="bottom"/>
            <w:hideMark/>
          </w:tcPr>
          <w:p w14:paraId="4BF87AB2"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 xml:space="preserve">Zákon č. 151/2010 Z. z. o zahraničnej službe a o zmene a doplnení niektorých zákonov. </w:t>
            </w:r>
          </w:p>
        </w:tc>
      </w:tr>
      <w:tr w:rsidR="00D61CAD" w:rsidRPr="000939E3" w14:paraId="0596814C" w14:textId="77777777" w:rsidTr="00D61CAD">
        <w:trPr>
          <w:trHeight w:val="170"/>
        </w:trPr>
        <w:tc>
          <w:tcPr>
            <w:tcW w:w="5000" w:type="pct"/>
            <w:tcBorders>
              <w:top w:val="nil"/>
              <w:left w:val="nil"/>
              <w:bottom w:val="nil"/>
              <w:right w:val="nil"/>
            </w:tcBorders>
            <w:shd w:val="clear" w:color="auto" w:fill="auto"/>
            <w:noWrap/>
            <w:vAlign w:val="bottom"/>
            <w:hideMark/>
          </w:tcPr>
          <w:p w14:paraId="76C884AB"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Zákon č.553/2003 Z. z. o odmeňovaní niektorých zamestnancov pri výkone práce vo verejnom záujme a o zmene a doplnení niektorých zákonov v znení neskorších predpisov</w:t>
            </w:r>
          </w:p>
        </w:tc>
      </w:tr>
      <w:tr w:rsidR="00D61CAD" w:rsidRPr="000939E3" w14:paraId="43A318AF" w14:textId="77777777" w:rsidTr="007E0AB1">
        <w:trPr>
          <w:trHeight w:val="170"/>
        </w:trPr>
        <w:tc>
          <w:tcPr>
            <w:tcW w:w="5000" w:type="pct"/>
            <w:tcBorders>
              <w:top w:val="nil"/>
              <w:left w:val="nil"/>
              <w:right w:val="nil"/>
            </w:tcBorders>
            <w:shd w:val="clear" w:color="000000" w:fill="DDEBF7"/>
            <w:noWrap/>
            <w:vAlign w:val="bottom"/>
            <w:hideMark/>
          </w:tcPr>
          <w:p w14:paraId="79EAE6BF"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Zákon č. 311/2001 Z. z. Zákonník práce v znení neskorších predpisov</w:t>
            </w:r>
          </w:p>
        </w:tc>
      </w:tr>
      <w:tr w:rsidR="00D61CAD" w:rsidRPr="000939E3" w14:paraId="31876BF0" w14:textId="77777777" w:rsidTr="007E0AB1">
        <w:trPr>
          <w:trHeight w:val="170"/>
        </w:trPr>
        <w:tc>
          <w:tcPr>
            <w:tcW w:w="5000" w:type="pct"/>
            <w:tcBorders>
              <w:top w:val="nil"/>
              <w:left w:val="nil"/>
              <w:bottom w:val="single" w:sz="4" w:space="0" w:color="auto"/>
              <w:right w:val="nil"/>
            </w:tcBorders>
            <w:shd w:val="clear" w:color="auto" w:fill="auto"/>
            <w:noWrap/>
            <w:vAlign w:val="bottom"/>
            <w:hideMark/>
          </w:tcPr>
          <w:p w14:paraId="62F6CF9B"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Zákon č. 18/2018 Z. z. o ochrane osobných údajov a o zmene a doplnení niektorých zákonov</w:t>
            </w:r>
          </w:p>
        </w:tc>
      </w:tr>
      <w:tr w:rsidR="00D61CAD" w:rsidRPr="000939E3" w14:paraId="6CF99006" w14:textId="77777777" w:rsidTr="007E0AB1">
        <w:trPr>
          <w:trHeight w:val="170"/>
        </w:trPr>
        <w:tc>
          <w:tcPr>
            <w:tcW w:w="5000" w:type="pct"/>
            <w:tcBorders>
              <w:top w:val="single" w:sz="4" w:space="0" w:color="auto"/>
              <w:left w:val="nil"/>
              <w:bottom w:val="nil"/>
              <w:right w:val="nil"/>
            </w:tcBorders>
            <w:shd w:val="clear" w:color="000000" w:fill="DDEBF7"/>
            <w:noWrap/>
            <w:vAlign w:val="bottom"/>
            <w:hideMark/>
          </w:tcPr>
          <w:p w14:paraId="3344AEFB"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 xml:space="preserve">Zákon č. 176/2015 Z. z. o komisárovi pre deti a komisárovi pre osoby so zdravotným postihnutím a o zmene a doplnení niektorých zákonov v znení neskorších predpisov </w:t>
            </w:r>
          </w:p>
        </w:tc>
      </w:tr>
      <w:tr w:rsidR="00D61CAD" w:rsidRPr="000939E3" w14:paraId="3BA2C0F9" w14:textId="77777777" w:rsidTr="00D61CAD">
        <w:trPr>
          <w:trHeight w:val="170"/>
        </w:trPr>
        <w:tc>
          <w:tcPr>
            <w:tcW w:w="5000" w:type="pct"/>
            <w:tcBorders>
              <w:top w:val="nil"/>
              <w:left w:val="nil"/>
              <w:bottom w:val="nil"/>
              <w:right w:val="nil"/>
            </w:tcBorders>
            <w:shd w:val="clear" w:color="auto" w:fill="auto"/>
            <w:noWrap/>
            <w:vAlign w:val="bottom"/>
            <w:hideMark/>
          </w:tcPr>
          <w:p w14:paraId="3D1722E7"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Zákon č. 663/2007 Z. z. o minimálnej mzde v znení neskorších predpisov</w:t>
            </w:r>
          </w:p>
        </w:tc>
      </w:tr>
      <w:tr w:rsidR="00D61CAD" w:rsidRPr="000939E3" w14:paraId="29A8D0B0" w14:textId="77777777" w:rsidTr="00D61CAD">
        <w:trPr>
          <w:trHeight w:val="170"/>
        </w:trPr>
        <w:tc>
          <w:tcPr>
            <w:tcW w:w="5000" w:type="pct"/>
            <w:tcBorders>
              <w:top w:val="nil"/>
              <w:left w:val="nil"/>
              <w:bottom w:val="nil"/>
              <w:right w:val="nil"/>
            </w:tcBorders>
            <w:shd w:val="clear" w:color="000000" w:fill="DDEBF7"/>
            <w:noWrap/>
            <w:vAlign w:val="bottom"/>
            <w:hideMark/>
          </w:tcPr>
          <w:p w14:paraId="6DD1EE1D"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Symbol" w:cs="Symbol"/>
                <w:color w:val="000000"/>
                <w:lang w:eastAsia="sk-SK"/>
              </w:rPr>
              <w:t>Zákon č. 578/2004 Z. z. o poskytovateľoch zdravotnej starostlivosti, zdravotníckych pracovníkoch, stavovských organizáciách v zdravotníctve a o zmene a doplnení niektorých zákonov v znení neskorších predpisov</w:t>
            </w:r>
          </w:p>
        </w:tc>
      </w:tr>
      <w:tr w:rsidR="00D61CAD" w:rsidRPr="000939E3" w14:paraId="4F2D094C" w14:textId="77777777" w:rsidTr="00D61CAD">
        <w:trPr>
          <w:trHeight w:val="170"/>
        </w:trPr>
        <w:tc>
          <w:tcPr>
            <w:tcW w:w="5000" w:type="pct"/>
            <w:tcBorders>
              <w:top w:val="nil"/>
              <w:left w:val="nil"/>
              <w:bottom w:val="nil"/>
              <w:right w:val="nil"/>
            </w:tcBorders>
            <w:shd w:val="clear" w:color="auto" w:fill="auto"/>
            <w:noWrap/>
            <w:vAlign w:val="bottom"/>
            <w:hideMark/>
          </w:tcPr>
          <w:p w14:paraId="4C5AB70B"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Zákon č.185/2002 Z. z. o Súdnej rade Slovenskej republiky a o zmene a doplnení niektorých zákonov v znení neskorších predpisov</w:t>
            </w:r>
          </w:p>
        </w:tc>
      </w:tr>
      <w:tr w:rsidR="00D61CAD" w:rsidRPr="000939E3" w14:paraId="2C1551CC" w14:textId="77777777" w:rsidTr="00D61CAD">
        <w:trPr>
          <w:trHeight w:val="170"/>
        </w:trPr>
        <w:tc>
          <w:tcPr>
            <w:tcW w:w="5000" w:type="pct"/>
            <w:tcBorders>
              <w:top w:val="nil"/>
              <w:left w:val="nil"/>
              <w:bottom w:val="single" w:sz="4" w:space="0" w:color="auto"/>
              <w:right w:val="nil"/>
            </w:tcBorders>
            <w:shd w:val="clear" w:color="000000" w:fill="DDEBF7"/>
            <w:noWrap/>
            <w:vAlign w:val="bottom"/>
            <w:hideMark/>
          </w:tcPr>
          <w:p w14:paraId="0DCA7C75" w14:textId="77777777" w:rsidR="00D61CAD" w:rsidRPr="000939E3" w:rsidRDefault="00D61CAD" w:rsidP="00D61CAD">
            <w:pPr>
              <w:spacing w:after="0" w:line="240" w:lineRule="auto"/>
              <w:jc w:val="left"/>
              <w:rPr>
                <w:rFonts w:eastAsia="Times New Roman" w:cs="Times New Roman"/>
                <w:color w:val="000000"/>
                <w:lang w:eastAsia="sk-SK"/>
              </w:rPr>
            </w:pPr>
            <w:r w:rsidRPr="000939E3">
              <w:rPr>
                <w:rFonts w:eastAsia="Times New Roman" w:cs="Times New Roman"/>
                <w:color w:val="000000"/>
                <w:lang w:eastAsia="sk-SK"/>
              </w:rPr>
              <w:t xml:space="preserve">Zákon č. 250/2012 Z. z. o regulácii v sieťových odvetviach </w:t>
            </w:r>
          </w:p>
        </w:tc>
      </w:tr>
      <w:tr w:rsidR="00D61CAD" w:rsidRPr="000939E3" w14:paraId="31FB8FA0" w14:textId="77777777" w:rsidTr="00D61CAD">
        <w:trPr>
          <w:trHeight w:val="170"/>
        </w:trPr>
        <w:tc>
          <w:tcPr>
            <w:tcW w:w="5000" w:type="pct"/>
            <w:tcBorders>
              <w:top w:val="single" w:sz="4" w:space="0" w:color="auto"/>
              <w:left w:val="nil"/>
              <w:right w:val="nil"/>
            </w:tcBorders>
            <w:shd w:val="clear" w:color="auto" w:fill="auto"/>
            <w:noWrap/>
          </w:tcPr>
          <w:p w14:paraId="48EFC8EA" w14:textId="77777777" w:rsidR="00D61CAD" w:rsidRPr="000939E3" w:rsidRDefault="00D61CAD" w:rsidP="00D61CAD">
            <w:pPr>
              <w:spacing w:after="0" w:line="240" w:lineRule="auto"/>
              <w:jc w:val="right"/>
              <w:rPr>
                <w:rFonts w:eastAsia="Times New Roman" w:cs="Times New Roman"/>
                <w:i/>
                <w:color w:val="000000"/>
                <w:sz w:val="18"/>
                <w:lang w:eastAsia="sk-SK"/>
              </w:rPr>
            </w:pPr>
            <w:r w:rsidRPr="000939E3">
              <w:rPr>
                <w:rFonts w:eastAsia="Times New Roman" w:cs="Times New Roman"/>
                <w:i/>
                <w:color w:val="000000"/>
                <w:sz w:val="18"/>
                <w:lang w:eastAsia="sk-SK"/>
              </w:rPr>
              <w:t>Zdroj: Spracovanie ÚHP</w:t>
            </w:r>
          </w:p>
        </w:tc>
      </w:tr>
    </w:tbl>
    <w:p w14:paraId="1AC1C611" w14:textId="77777777" w:rsidR="00D61CAD" w:rsidRPr="000939E3" w:rsidRDefault="00D61CAD" w:rsidP="00D61CAD">
      <w:pPr>
        <w:spacing w:after="160"/>
        <w:jc w:val="left"/>
      </w:pPr>
    </w:p>
    <w:p w14:paraId="5850C485" w14:textId="77777777" w:rsidR="00D61CAD" w:rsidRPr="000939E3" w:rsidRDefault="00D61CAD" w:rsidP="00D61CAD">
      <w:pPr>
        <w:pStyle w:val="Popis"/>
        <w:rPr>
          <w:sz w:val="22"/>
        </w:rPr>
      </w:pPr>
      <w:bookmarkStart w:id="321" w:name="_Ref7360830"/>
      <w:r w:rsidRPr="000939E3">
        <w:rPr>
          <w:sz w:val="22"/>
        </w:rPr>
        <w:t xml:space="preserve">Príloha </w:t>
      </w:r>
      <w:r w:rsidRPr="000939E3">
        <w:rPr>
          <w:sz w:val="22"/>
        </w:rPr>
        <w:fldChar w:fldCharType="begin"/>
      </w:r>
      <w:r w:rsidRPr="000939E3">
        <w:rPr>
          <w:sz w:val="22"/>
        </w:rPr>
        <w:instrText xml:space="preserve"> SEQ Príloha \* ARABIC </w:instrText>
      </w:r>
      <w:r w:rsidRPr="000939E3">
        <w:rPr>
          <w:sz w:val="22"/>
        </w:rPr>
        <w:fldChar w:fldCharType="separate"/>
      </w:r>
      <w:r w:rsidR="00BF69CA">
        <w:rPr>
          <w:noProof/>
          <w:sz w:val="22"/>
        </w:rPr>
        <w:t>9</w:t>
      </w:r>
      <w:r w:rsidRPr="000939E3">
        <w:rPr>
          <w:sz w:val="22"/>
        </w:rPr>
        <w:fldChar w:fldCharType="end"/>
      </w:r>
      <w:bookmarkEnd w:id="321"/>
      <w:r w:rsidRPr="000939E3">
        <w:rPr>
          <w:sz w:val="22"/>
        </w:rPr>
        <w:t>: Mzdový diferenciál medzi verejným a súkromným sektorom</w:t>
      </w:r>
    </w:p>
    <w:p w14:paraId="2D900526" w14:textId="77777777" w:rsidR="00D61CAD" w:rsidRPr="000939E3" w:rsidRDefault="00D61CAD" w:rsidP="000052C7">
      <w:pPr>
        <w:spacing w:before="240"/>
      </w:pPr>
      <w:r w:rsidRPr="000939E3">
        <w:t>Mzdový diferenciál sa najčastejšie odhaduje ekonometrickými metódami jedným z nasledujúcich spôsobov:</w:t>
      </w:r>
    </w:p>
    <w:p w14:paraId="09224CB0" w14:textId="77777777" w:rsidR="00D61CAD" w:rsidRPr="000939E3" w:rsidRDefault="00D61CAD" w:rsidP="00D61CAD">
      <w:pPr>
        <w:pStyle w:val="Odsekzoznamu"/>
        <w:numPr>
          <w:ilvl w:val="0"/>
          <w:numId w:val="19"/>
        </w:numPr>
        <w:spacing w:after="120" w:line="259" w:lineRule="auto"/>
        <w:ind w:left="709" w:hanging="425"/>
        <w:jc w:val="both"/>
      </w:pPr>
      <w:r w:rsidRPr="000939E3">
        <w:t xml:space="preserve">Najjednoduchší spôsob je pridanie „dummy“ premennej pre verejný sektor do štandardnej mzdovej rovnice. „Dummy premenná“ následne zachytáva všetku variabilitu miezd medzi zamestnancami verejného a súkromného sektora, ktorú nedokážu vysvetliť ostatné pozorovateľné charakteristiky zamestnancov a pracovných pozícií: </w:t>
      </w:r>
    </w:p>
    <w:p w14:paraId="03E4B32A" w14:textId="77777777" w:rsidR="00D61CAD" w:rsidRPr="000939E3" w:rsidRDefault="00D62879" w:rsidP="00D61CAD">
      <w:pPr>
        <w:spacing w:after="120"/>
        <w:ind w:left="360"/>
        <w:rPr>
          <w:rFonts w:eastAsiaTheme="minorEastAsia"/>
        </w:rPr>
      </w:pPr>
      <m:oMathPara>
        <m:oMath>
          <m:sSub>
            <m:sSubPr>
              <m:ctrlPr>
                <w:rPr>
                  <w:rFonts w:ascii="Cambria Math" w:hAnsi="Cambria Math"/>
                </w:rPr>
              </m:ctrlPr>
            </m:sSubPr>
            <m:e>
              <m:r>
                <m:rPr>
                  <m:sty m:val="p"/>
                </m:rPr>
                <w:rPr>
                  <w:rFonts w:ascii="Cambria Math" w:hAnsi="Cambria Math"/>
                </w:rPr>
                <m:t>log⁡</m:t>
              </m:r>
              <m:r>
                <w:rPr>
                  <w:rFonts w:ascii="Cambria Math" w:hAnsi="Cambria Math"/>
                </w:rPr>
                <m:t>(W</m:t>
              </m:r>
            </m:e>
            <m:sub>
              <m:r>
                <w:rPr>
                  <w:rFonts w:ascii="Cambria Math" w:hAnsi="Cambria Math"/>
                </w:rPr>
                <m:t>i</m:t>
              </m:r>
            </m:sub>
          </m:sSub>
          <m:r>
            <m:rPr>
              <m:sty m:val="p"/>
            </m:rPr>
            <w:rPr>
              <w:rFonts w:ascii="Cambria Math" w:eastAsia="Cambria Math" w:hAnsi="Cambria Math" w:cs="Cambria Math"/>
            </w:rPr>
            <m:t>) =</m:t>
          </m:r>
          <m:r>
            <m:rPr>
              <m:sty m:val="p"/>
            </m:rPr>
            <w:rPr>
              <w:rFonts w:ascii="Cambria Math" w:hAnsi="Cambria Math"/>
            </w:rPr>
            <m:t xml:space="preserve"> </m:t>
          </m:r>
          <m:sSub>
            <m:sSubPr>
              <m:ctrlPr>
                <w:rPr>
                  <w:rFonts w:ascii="Cambria Math" w:hAnsi="Cambria Math"/>
                </w:rPr>
              </m:ctrlPr>
            </m:sSubPr>
            <m:e>
              <m:r>
                <w:rPr>
                  <w:rFonts w:ascii="Cambria Math" w:hAnsi="Cambria Math"/>
                </w:rPr>
                <m:t>α∙public</m:t>
              </m:r>
            </m:e>
            <m:sub>
              <m:r>
                <w:rPr>
                  <w:rFonts w:ascii="Cambria Math" w:hAnsi="Cambria Math"/>
                </w:rPr>
                <m:t>i</m:t>
              </m:r>
            </m:sub>
          </m:sSub>
          <m:r>
            <w:rPr>
              <w:rFonts w:ascii="Cambria Math" w:hAnsi="Cambria Math"/>
            </w:rPr>
            <m:t>+β</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m:t>
              </m:r>
            </m:sub>
          </m:sSub>
        </m:oMath>
      </m:oMathPara>
    </w:p>
    <w:p w14:paraId="77BA00B6" w14:textId="77777777" w:rsidR="00D61CAD" w:rsidRPr="000939E3" w:rsidRDefault="00D61CAD" w:rsidP="00D61CAD">
      <w:pPr>
        <w:spacing w:after="120"/>
        <w:ind w:left="709" w:hanging="349"/>
      </w:pPr>
      <w:r w:rsidRPr="000939E3">
        <w:tab/>
        <w:t xml:space="preserve">kde </w:t>
      </w:r>
      <m:oMath>
        <m:sSub>
          <m:sSubPr>
            <m:ctrlPr>
              <w:rPr>
                <w:rFonts w:ascii="Cambria Math" w:hAnsi="Cambria Math"/>
              </w:rPr>
            </m:ctrlPr>
          </m:sSubPr>
          <m:e>
            <m:r>
              <w:rPr>
                <w:rFonts w:ascii="Cambria Math" w:hAnsi="Cambria Math"/>
              </w:rPr>
              <m:t>W</m:t>
            </m:r>
          </m:e>
          <m:sub>
            <m:r>
              <w:rPr>
                <w:rFonts w:ascii="Cambria Math" w:hAnsi="Cambria Math"/>
              </w:rPr>
              <m:t>i</m:t>
            </m:r>
          </m:sub>
        </m:sSub>
      </m:oMath>
      <w:r w:rsidRPr="000939E3">
        <w:t xml:space="preserve"> je výška mzdy a</w:t>
      </w:r>
      <m:oMath>
        <m:sSub>
          <m:sSubPr>
            <m:ctrlPr>
              <w:rPr>
                <w:rFonts w:ascii="Cambria Math" w:hAnsi="Cambria Math"/>
              </w:rPr>
            </m:ctrlPr>
          </m:sSubPr>
          <m:e>
            <m:r>
              <m:rPr>
                <m:sty m:val="p"/>
              </m:rPr>
              <w:rPr>
                <w:rFonts w:ascii="Cambria Math" w:hAnsi="Cambria Math"/>
              </w:rPr>
              <m:t> </m:t>
            </m:r>
            <m:r>
              <w:rPr>
                <w:rFonts w:ascii="Cambria Math" w:hAnsi="Cambria Math"/>
              </w:rPr>
              <m:t>X</m:t>
            </m:r>
          </m:e>
          <m:sub>
            <m:r>
              <w:rPr>
                <w:rFonts w:ascii="Cambria Math" w:hAnsi="Cambria Math"/>
              </w:rPr>
              <m:t>i</m:t>
            </m:r>
          </m:sub>
        </m:sSub>
      </m:oMath>
      <w:r w:rsidRPr="000939E3">
        <w:t xml:space="preserve"> sú vysvetľujúce charakteristiky (vzdelanie, veková skupina, pohlavie, pracovná pozícia a iné) pre zamestnanca </w:t>
      </w:r>
      <w:r w:rsidRPr="000939E3">
        <w:rPr>
          <w:i/>
        </w:rPr>
        <w:t>i</w:t>
      </w:r>
      <w:r w:rsidRPr="000939E3">
        <w:t xml:space="preserve">. Koeficienty </w:t>
      </w:r>
      <m:oMath>
        <m:r>
          <w:rPr>
            <w:rFonts w:ascii="Cambria Math" w:hAnsi="Cambria Math"/>
          </w:rPr>
          <m:t>β</m:t>
        </m:r>
      </m:oMath>
      <w:r w:rsidRPr="000939E3">
        <w:t xml:space="preserve"> zachytávajú percentuálnu zmenu mzdy pri zmene jednotlivých charakteristík (veku či vzdelania), koeficient </w:t>
      </w:r>
      <m:oMath>
        <m:r>
          <w:rPr>
            <w:rFonts w:ascii="Cambria Math" w:hAnsi="Cambria Math"/>
          </w:rPr>
          <m:t>α</m:t>
        </m:r>
      </m:oMath>
      <w:r w:rsidRPr="000939E3">
        <w:rPr>
          <w:rFonts w:eastAsiaTheme="minorEastAsia"/>
        </w:rPr>
        <w:t xml:space="preserve"> zachytáva priemernú percentuálnu zmenu príjmu verejného zamestnanca oproti zamestnancovi s rovnakými ostatnými charakteristikami v súkromnom sektore.</w:t>
      </w:r>
    </w:p>
    <w:p w14:paraId="35BA37A2" w14:textId="77777777" w:rsidR="00D61CAD" w:rsidRPr="000939E3" w:rsidRDefault="00D61CAD" w:rsidP="00D61CAD">
      <w:pPr>
        <w:pStyle w:val="Odsekzoznamu"/>
        <w:numPr>
          <w:ilvl w:val="0"/>
          <w:numId w:val="19"/>
        </w:numPr>
        <w:spacing w:after="120" w:line="259" w:lineRule="auto"/>
        <w:ind w:left="709" w:hanging="425"/>
        <w:contextualSpacing w:val="0"/>
        <w:jc w:val="both"/>
      </w:pPr>
      <w:r w:rsidRPr="000939E3">
        <w:t xml:space="preserve">Prvý spôsob predpokladá, že verejný a súkromný sektor „oceňuje“ jednotlivé charakteristiky rovnako, teda napríklad, že oba sektory rovnakým percentom oceňujú vyššie vzdelanie. Tento predpoklad nemusí byť nutne splnený – jeden zo sektorov si napríklad môže viac ceniť vzdelanie kým druhý skúsenosti. Variabilnejšou možnosťou je zahnúť do modelu aj takúto možnosť, a teda mať pre niektoré premenné iný koeficient pre verejný a iný pre súkromný sektor. Nevýhodou je horšia interpretovateľnosť výsledkov (výsledkom môže napríklad byť, že sektor A platí vo všeobecnosti o 10 % menej ako sektor B, ale platí o 13 % viac VŠ vzdelaným zamestnancom a o 5 % menej mladým zamestnancom). </w:t>
      </w:r>
    </w:p>
    <w:p w14:paraId="43F522E2" w14:textId="77777777" w:rsidR="00D61CAD" w:rsidRPr="000939E3" w:rsidRDefault="00D61CAD" w:rsidP="00D61CAD">
      <w:pPr>
        <w:pStyle w:val="Odsekzoznamu"/>
        <w:numPr>
          <w:ilvl w:val="0"/>
          <w:numId w:val="19"/>
        </w:numPr>
        <w:spacing w:after="120" w:line="259" w:lineRule="auto"/>
        <w:ind w:left="709" w:hanging="425"/>
        <w:contextualSpacing w:val="0"/>
        <w:jc w:val="both"/>
      </w:pPr>
      <w:r w:rsidRPr="000939E3">
        <w:t xml:space="preserve">Agregovanie výsledkov do ľahko interpretovateľnej formy ponúka metóda odhadu platového diferenciálu od Oaxaca a Blinder (1973), ktorú neskôr zdokonalili Oaxaca a Ransom (1994). </w:t>
      </w:r>
    </w:p>
    <w:p w14:paraId="2E481A8F" w14:textId="77777777" w:rsidR="00D61CAD" w:rsidRPr="000939E3" w:rsidRDefault="00D61CAD" w:rsidP="00D61CAD">
      <w:pPr>
        <w:pStyle w:val="Odsekzoznamu"/>
        <w:spacing w:after="120" w:line="259" w:lineRule="auto"/>
        <w:ind w:left="709"/>
        <w:jc w:val="both"/>
      </w:pPr>
      <w:r w:rsidRPr="000939E3">
        <w:t xml:space="preserve">Metóda spočíva v oddelenom odhade všetkých koeficientov </w:t>
      </w:r>
      <m:oMath>
        <m:sSub>
          <m:sSubPr>
            <m:ctrlPr>
              <w:rPr>
                <w:rFonts w:ascii="Cambria Math" w:hAnsi="Cambria Math"/>
                <w:i/>
              </w:rPr>
            </m:ctrlPr>
          </m:sSubPr>
          <m:e>
            <m:r>
              <w:rPr>
                <w:rFonts w:ascii="Cambria Math" w:hAnsi="Cambria Math"/>
              </w:rPr>
              <m:t>β</m:t>
            </m:r>
          </m:e>
          <m:sub>
            <m:r>
              <w:rPr>
                <w:rFonts w:ascii="Cambria Math" w:hAnsi="Cambria Math"/>
              </w:rPr>
              <m:t>v</m:t>
            </m:r>
          </m:sub>
        </m:sSub>
      </m:oMath>
      <w:r w:rsidRPr="000939E3">
        <w:t xml:space="preserve"> a </w:t>
      </w:r>
      <m:oMath>
        <m:sSub>
          <m:sSubPr>
            <m:ctrlPr>
              <w:rPr>
                <w:rFonts w:ascii="Cambria Math" w:hAnsi="Cambria Math"/>
                <w:i/>
              </w:rPr>
            </m:ctrlPr>
          </m:sSubPr>
          <m:e>
            <m:r>
              <w:rPr>
                <w:rFonts w:ascii="Cambria Math" w:hAnsi="Cambria Math"/>
              </w:rPr>
              <m:t>β</m:t>
            </m:r>
          </m:e>
          <m:sub>
            <m:r>
              <w:rPr>
                <w:rFonts w:ascii="Cambria Math" w:hAnsi="Cambria Math"/>
              </w:rPr>
              <m:t>s</m:t>
            </m:r>
          </m:sub>
        </m:sSub>
      </m:oMath>
      <w:r w:rsidRPr="000939E3">
        <w:t xml:space="preserve"> pre verejný a súkromný sektor, ako aj „nediskriminačného“ koeficientu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Pr="000939E3">
        <w:rPr>
          <w:rFonts w:eastAsiaTheme="minorEastAsia"/>
        </w:rPr>
        <w:t>, ktorý býva zvyčajne odhadnutý v spoločnej regresii. Pomocou týchto odhadov je n</w:t>
      </w:r>
      <w:r w:rsidRPr="000939E3">
        <w:t>ásledne diferenciál rozdelený na vysvetlenú € a nevysvetlenú (</w:t>
      </w:r>
      <w:r w:rsidRPr="000939E3">
        <w:rPr>
          <w:i/>
        </w:rPr>
        <w:t>U</w:t>
      </w:r>
      <w:r w:rsidRPr="000939E3">
        <w:t>) časť:</w:t>
      </w:r>
    </w:p>
    <w:p w14:paraId="1F2FAD5A" w14:textId="77777777" w:rsidR="00D61CAD" w:rsidRPr="000939E3" w:rsidRDefault="00D62879" w:rsidP="00D61CAD">
      <w:pPr>
        <w:spacing w:after="120"/>
        <w:ind w:left="360"/>
      </w:pPr>
      <m:oMathPara>
        <m:oMath>
          <m:sSub>
            <m:sSubPr>
              <m:ctrlPr>
                <w:rPr>
                  <w:rFonts w:ascii="Cambria Math" w:hAnsi="Cambria Math"/>
                </w:rPr>
              </m:ctrlPr>
            </m:sSubPr>
            <m:e>
              <m:bar>
                <m:barPr>
                  <m:pos m:val="top"/>
                  <m:ctrlPr>
                    <w:rPr>
                      <w:rFonts w:ascii="Cambria Math" w:hAnsi="Cambria Math"/>
                    </w:rPr>
                  </m:ctrlPr>
                </m:barPr>
                <m:e>
                  <m:r>
                    <m:rPr>
                      <m:sty m:val="p"/>
                    </m:rPr>
                    <w:rPr>
                      <w:rFonts w:ascii="Cambria Math" w:hAnsi="Cambria Math"/>
                    </w:rPr>
                    <m:t>log⁡</m:t>
                  </m:r>
                  <m:r>
                    <w:rPr>
                      <w:rFonts w:ascii="Cambria Math" w:hAnsi="Cambria Math"/>
                    </w:rPr>
                    <m:t>(W</m:t>
                  </m:r>
                </m:e>
              </m:bar>
            </m:e>
            <m:sub>
              <m:r>
                <w:rPr>
                  <w:rFonts w:ascii="Cambria Math" w:hAnsi="Cambria Math"/>
                </w:rPr>
                <m:t>v</m:t>
              </m:r>
            </m:sub>
          </m:sSub>
          <m:r>
            <m:rPr>
              <m:sty m:val="p"/>
            </m:rPr>
            <w:rPr>
              <w:rFonts w:ascii="Cambria Math" w:eastAsia="Cambria Math" w:hAnsi="Cambria Math" w:cs="Cambria Math"/>
            </w:rPr>
            <m:t xml:space="preserve">)-log⁡( </m:t>
          </m:r>
          <m:sSub>
            <m:sSubPr>
              <m:ctrlPr>
                <w:rPr>
                  <w:rFonts w:ascii="Cambria Math" w:hAnsi="Cambria Math"/>
                </w:rPr>
              </m:ctrlPr>
            </m:sSubPr>
            <m:e>
              <m:bar>
                <m:barPr>
                  <m:pos m:val="top"/>
                  <m:ctrlPr>
                    <w:rPr>
                      <w:rFonts w:ascii="Cambria Math" w:hAnsi="Cambria Math"/>
                    </w:rPr>
                  </m:ctrlPr>
                </m:barPr>
                <m:e>
                  <m:r>
                    <w:rPr>
                      <w:rFonts w:ascii="Cambria Math" w:hAnsi="Cambria Math"/>
                    </w:rPr>
                    <m:t>W</m:t>
                  </m:r>
                </m:e>
              </m:bar>
            </m:e>
            <m:sub>
              <m:r>
                <w:rPr>
                  <w:rFonts w:ascii="Cambria Math" w:hAnsi="Cambria Math"/>
                </w:rPr>
                <m:t>s</m:t>
              </m:r>
            </m:sub>
          </m:sSub>
          <m:r>
            <m:rPr>
              <m:sty m:val="p"/>
            </m:rPr>
            <w:rPr>
              <w:rFonts w:ascii="Cambria Math" w:eastAsia="Cambria Math" w:hAnsi="Cambria Math" w:cs="Cambria Math"/>
            </w:rPr>
            <m:t>) =</m:t>
          </m:r>
          <m:d>
            <m:dPr>
              <m:ctrlPr>
                <w:rPr>
                  <w:rFonts w:ascii="Cambria Math" w:eastAsia="Cambria Math" w:hAnsi="Cambria Math" w:cs="Cambria Math"/>
                </w:rPr>
              </m:ctrlPr>
            </m:dPr>
            <m:e>
              <m:sSub>
                <m:sSubPr>
                  <m:ctrlPr>
                    <w:rPr>
                      <w:rFonts w:ascii="Cambria Math" w:hAnsi="Cambria Math"/>
                    </w:rPr>
                  </m:ctrlPr>
                </m:sSubPr>
                <m:e>
                  <m:bar>
                    <m:barPr>
                      <m:pos m:val="top"/>
                      <m:ctrlPr>
                        <w:rPr>
                          <w:rFonts w:ascii="Cambria Math" w:hAnsi="Cambria Math"/>
                        </w:rPr>
                      </m:ctrlPr>
                    </m:barPr>
                    <m:e>
                      <m:r>
                        <w:rPr>
                          <w:rFonts w:ascii="Cambria Math" w:hAnsi="Cambria Math"/>
                        </w:rPr>
                        <m:t>X</m:t>
                      </m:r>
                    </m:e>
                  </m:bar>
                </m:e>
                <m:sub>
                  <m:r>
                    <w:rPr>
                      <w:rFonts w:ascii="Cambria Math" w:hAnsi="Cambria Math"/>
                    </w:rPr>
                    <m:t>v</m:t>
                  </m:r>
                </m:sub>
              </m:sSub>
              <m:r>
                <m:rPr>
                  <m:sty m:val="p"/>
                </m:rPr>
                <w:rPr>
                  <w:rFonts w:ascii="Cambria Math" w:eastAsia="Cambria Math" w:hAnsi="Cambria Math" w:cs="Cambria Math"/>
                </w:rPr>
                <m:t xml:space="preserve">- </m:t>
              </m:r>
              <m:sSub>
                <m:sSubPr>
                  <m:ctrlPr>
                    <w:rPr>
                      <w:rFonts w:ascii="Cambria Math" w:hAnsi="Cambria Math"/>
                    </w:rPr>
                  </m:ctrlPr>
                </m:sSubPr>
                <m:e>
                  <m:bar>
                    <m:barPr>
                      <m:pos m:val="top"/>
                      <m:ctrlPr>
                        <w:rPr>
                          <w:rFonts w:ascii="Cambria Math" w:hAnsi="Cambria Math"/>
                        </w:rPr>
                      </m:ctrlPr>
                    </m:barPr>
                    <m:e>
                      <m:r>
                        <w:rPr>
                          <w:rFonts w:ascii="Cambria Math" w:hAnsi="Cambria Math"/>
                        </w:rPr>
                        <m:t>X</m:t>
                      </m:r>
                    </m:e>
                  </m:bar>
                </m:e>
                <m:sub>
                  <m:r>
                    <w:rPr>
                      <w:rFonts w:ascii="Cambria Math" w:hAnsi="Cambria Math"/>
                    </w:rPr>
                    <m:t>s</m:t>
                  </m:r>
                </m:sub>
              </m:sSub>
              <m:ctrlPr>
                <w:rPr>
                  <w:rFonts w:ascii="Cambria Math" w:hAnsi="Cambria Math"/>
                </w:rPr>
              </m:ctrlPr>
            </m:e>
          </m:d>
          <m:sSup>
            <m:sSupPr>
              <m:ctrlPr>
                <w:rPr>
                  <w:rFonts w:ascii="Cambria Math" w:hAnsi="Cambria Math"/>
                </w:rPr>
              </m:ctrlPr>
            </m:sSupPr>
            <m:e>
              <m:r>
                <w:rPr>
                  <w:rFonts w:ascii="Cambria Math" w:hAnsi="Cambria Math"/>
                </w:rPr>
                <m:t>β</m:t>
              </m:r>
            </m:e>
            <m:sup>
              <m: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r>
                <w:rPr>
                  <w:rFonts w:ascii="Cambria Math" w:hAnsi="Cambria Math"/>
                </w:rPr>
                <m:t xml:space="preserve"> </m:t>
              </m:r>
              <m:sSub>
                <m:sSubPr>
                  <m:ctrlPr>
                    <w:rPr>
                      <w:rFonts w:ascii="Cambria Math" w:hAnsi="Cambria Math"/>
                    </w:rPr>
                  </m:ctrlPr>
                </m:sSubPr>
                <m:e>
                  <m:bar>
                    <m:barPr>
                      <m:pos m:val="top"/>
                      <m:ctrlPr>
                        <w:rPr>
                          <w:rFonts w:ascii="Cambria Math" w:hAnsi="Cambria Math"/>
                        </w:rPr>
                      </m:ctrlPr>
                    </m:barPr>
                    <m:e>
                      <m:r>
                        <w:rPr>
                          <w:rFonts w:ascii="Cambria Math" w:hAnsi="Cambria Math"/>
                        </w:rPr>
                        <m:t>X</m:t>
                      </m:r>
                    </m:e>
                  </m:bar>
                </m:e>
                <m:sub>
                  <m:r>
                    <w:rPr>
                      <w:rFonts w:ascii="Cambria Math" w:hAnsi="Cambria Math"/>
                    </w:rPr>
                    <m:t>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v</m:t>
                      </m:r>
                    </m:sub>
                  </m:sSub>
                  <m:r>
                    <m:rPr>
                      <m:sty m:val="p"/>
                    </m:rPr>
                    <w:rPr>
                      <w:rFonts w:ascii="Cambria Math" w:hAnsi="Cambria Math"/>
                    </w:rPr>
                    <m:t>-</m:t>
                  </m:r>
                  <m:sSup>
                    <m:sSupPr>
                      <m:ctrlPr>
                        <w:rPr>
                          <w:rFonts w:ascii="Cambria Math" w:hAnsi="Cambria Math"/>
                        </w:rPr>
                      </m:ctrlPr>
                    </m:sSupPr>
                    <m:e>
                      <m:r>
                        <w:rPr>
                          <w:rFonts w:ascii="Cambria Math" w:hAnsi="Cambria Math"/>
                        </w:rPr>
                        <m:t>β</m:t>
                      </m:r>
                    </m:e>
                    <m:sup>
                      <m:r>
                        <w:rPr>
                          <w:rFonts w:ascii="Cambria Math" w:hAnsi="Cambria Math"/>
                        </w:rPr>
                        <m:t>*</m:t>
                      </m:r>
                    </m:sup>
                  </m:sSup>
                </m:e>
              </m:d>
              <m:sSub>
                <m:sSubPr>
                  <m:ctrlPr>
                    <w:rPr>
                      <w:rFonts w:ascii="Cambria Math" w:hAnsi="Cambria Math"/>
                    </w:rPr>
                  </m:ctrlPr>
                </m:sSubPr>
                <m:e>
                  <m:r>
                    <w:rPr>
                      <w:rFonts w:ascii="Cambria Math" w:hAnsi="Cambria Math"/>
                    </w:rPr>
                    <m:t>+</m:t>
                  </m:r>
                  <m:bar>
                    <m:barPr>
                      <m:pos m:val="top"/>
                      <m:ctrlPr>
                        <w:rPr>
                          <w:rFonts w:ascii="Cambria Math" w:hAnsi="Cambria Math"/>
                        </w:rPr>
                      </m:ctrlPr>
                    </m:barPr>
                    <m:e>
                      <m:r>
                        <w:rPr>
                          <w:rFonts w:ascii="Cambria Math" w:hAnsi="Cambria Math"/>
                        </w:rPr>
                        <m:t>X</m:t>
                      </m:r>
                    </m:e>
                  </m:bar>
                </m:e>
                <m:sub>
                  <m:r>
                    <w:rPr>
                      <w:rFonts w:ascii="Cambria Math" w:hAnsi="Cambria Math"/>
                    </w:rPr>
                    <m:t>s</m:t>
                  </m:r>
                </m:sub>
              </m:sSub>
              <m:d>
                <m:dPr>
                  <m:ctrlPr>
                    <w:rPr>
                      <w:rFonts w:ascii="Cambria Math" w:hAnsi="Cambria Math"/>
                    </w:rPr>
                  </m:ctrlPr>
                </m:dPr>
                <m:e>
                  <m:sSup>
                    <m:sSupPr>
                      <m:ctrlPr>
                        <w:rPr>
                          <w:rFonts w:ascii="Cambria Math" w:hAnsi="Cambria Math"/>
                        </w:rPr>
                      </m:ctrlPr>
                    </m:sSupPr>
                    <m:e>
                      <m:r>
                        <w:rPr>
                          <w:rFonts w:ascii="Cambria Math" w:hAnsi="Cambria Math"/>
                        </w:rPr>
                        <m:t>β</m:t>
                      </m:r>
                    </m:e>
                    <m:sup>
                      <m:r>
                        <w:rPr>
                          <w:rFonts w:ascii="Cambria Math" w:hAnsi="Cambria Math"/>
                        </w:rPr>
                        <m:t>*</m:t>
                      </m:r>
                    </m:sup>
                  </m:sSup>
                  <m:r>
                    <m:rPr>
                      <m:sty m:val="p"/>
                    </m:rPr>
                    <w:rPr>
                      <w:rFonts w:ascii="Cambria Math" w:hAnsi="Cambria Math"/>
                    </w:rPr>
                    <m:t>-</m:t>
                  </m:r>
                  <m:sSub>
                    <m:sSubPr>
                      <m:ctrlPr>
                        <w:rPr>
                          <w:rFonts w:ascii="Cambria Math" w:hAnsi="Cambria Math"/>
                        </w:rPr>
                      </m:ctrlPr>
                    </m:sSubPr>
                    <m:e>
                      <m:acc>
                        <m:accPr>
                          <m:ctrlPr>
                            <w:rPr>
                              <w:rFonts w:ascii="Cambria Math" w:hAnsi="Cambria Math"/>
                              <w:i/>
                            </w:rPr>
                          </m:ctrlPr>
                        </m:accPr>
                        <m:e>
                          <m:r>
                            <w:rPr>
                              <w:rFonts w:ascii="Cambria Math" w:hAnsi="Cambria Math"/>
                            </w:rPr>
                            <m:t>β</m:t>
                          </m:r>
                        </m:e>
                      </m:acc>
                    </m:e>
                    <m:sub>
                      <m:r>
                        <w:rPr>
                          <w:rFonts w:ascii="Cambria Math" w:hAnsi="Cambria Math"/>
                        </w:rPr>
                        <m:t>s</m:t>
                      </m:r>
                    </m:sub>
                  </m:sSub>
                </m:e>
              </m:d>
            </m:e>
          </m:d>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U</m:t>
          </m:r>
          <m:r>
            <m:rPr>
              <m:sty m:val="p"/>
            </m:rPr>
            <w:rPr>
              <w:rFonts w:ascii="Cambria Math" w:hAnsi="Cambria Math"/>
            </w:rPr>
            <m:t xml:space="preserve"> </m:t>
          </m:r>
        </m:oMath>
      </m:oMathPara>
    </w:p>
    <w:p w14:paraId="031A2187" w14:textId="77777777" w:rsidR="00D61CAD" w:rsidRPr="000939E3" w:rsidRDefault="00D61CAD" w:rsidP="00D61CAD">
      <w:pPr>
        <w:spacing w:after="120"/>
        <w:ind w:left="738"/>
      </w:pPr>
      <w:r w:rsidRPr="000939E3">
        <w:t xml:space="preserve">kde </w:t>
      </w:r>
      <m:oMath>
        <m:sSub>
          <m:sSubPr>
            <m:ctrlPr>
              <w:rPr>
                <w:rFonts w:ascii="Cambria Math" w:hAnsi="Cambria Math"/>
              </w:rPr>
            </m:ctrlPr>
          </m:sSubPr>
          <m:e>
            <m:bar>
              <m:barPr>
                <m:pos m:val="top"/>
                <m:ctrlPr>
                  <w:rPr>
                    <w:rFonts w:ascii="Cambria Math" w:hAnsi="Cambria Math"/>
                  </w:rPr>
                </m:ctrlPr>
              </m:barPr>
              <m:e>
                <m:r>
                  <w:rPr>
                    <w:rFonts w:ascii="Cambria Math" w:hAnsi="Cambria Math"/>
                  </w:rPr>
                  <m:t>W</m:t>
                </m:r>
              </m:e>
            </m:bar>
          </m:e>
          <m:sub>
            <m:r>
              <w:rPr>
                <w:rFonts w:ascii="Cambria Math" w:hAnsi="Cambria Math"/>
              </w:rPr>
              <m:t>i</m:t>
            </m:r>
          </m:sub>
        </m:sSub>
        <m:r>
          <m:rPr>
            <m:sty m:val="p"/>
          </m:rPr>
          <w:rPr>
            <w:rFonts w:ascii="Cambria Math" w:hAnsi="Cambria Math"/>
          </w:rPr>
          <m:t xml:space="preserve"> </m:t>
        </m:r>
      </m:oMath>
      <w:r w:rsidRPr="000939E3">
        <w:t xml:space="preserve">je priemerná mzda pre verejný a súkromný sektor, </w:t>
      </w:r>
      <m:oMath>
        <m:sSub>
          <m:sSubPr>
            <m:ctrlPr>
              <w:rPr>
                <w:rFonts w:ascii="Cambria Math" w:hAnsi="Cambria Math"/>
              </w:rPr>
            </m:ctrlPr>
          </m:sSubPr>
          <m:e>
            <m:bar>
              <m:barPr>
                <m:pos m:val="top"/>
                <m:ctrlPr>
                  <w:rPr>
                    <w:rFonts w:ascii="Cambria Math" w:hAnsi="Cambria Math"/>
                  </w:rPr>
                </m:ctrlPr>
              </m:barPr>
              <m:e>
                <m:r>
                  <w:rPr>
                    <w:rFonts w:ascii="Cambria Math" w:hAnsi="Cambria Math"/>
                  </w:rPr>
                  <m:t>X</m:t>
                </m:r>
              </m:e>
            </m:bar>
          </m:e>
          <m:sub>
            <m:r>
              <w:rPr>
                <w:rFonts w:ascii="Cambria Math" w:hAnsi="Cambria Math"/>
              </w:rPr>
              <m:t>i</m:t>
            </m:r>
          </m:sub>
        </m:sSub>
      </m:oMath>
      <w:r w:rsidRPr="000939E3">
        <w:t xml:space="preserve"> sú priemerné kontrolné charakteristiky (vek, vzdelanie,...) sektorov a </w:t>
      </w:r>
      <m:oMath>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i</m:t>
            </m:r>
          </m:sub>
        </m:sSub>
      </m:oMath>
      <w:r w:rsidRPr="000939E3">
        <w:t xml:space="preserve"> sú samostatne odhadnuté koeficienty rovníc pre verejný a súkromný sektor. Zatiaľ čo prvá časť </w:t>
      </w:r>
      <w:r w:rsidRPr="000939E3">
        <w:rPr>
          <w:i/>
        </w:rPr>
        <w:t>E</w:t>
      </w:r>
      <w:r w:rsidRPr="000939E3">
        <w:t xml:space="preserve"> udáva rozdiel miezd vysvetlený rozdielnymi hodnotami vysvetľujúcich charakteristík (napríklad vzdelanie či pracovné pozície), druhá časť </w:t>
      </w:r>
      <w:r w:rsidRPr="000939E3">
        <w:rPr>
          <w:i/>
        </w:rPr>
        <w:t>U</w:t>
      </w:r>
      <w:r w:rsidRPr="000939E3">
        <w:t> súvisí s rozdielnymi mzdami pracovníkov s rovnakými charakteristikami vo verejnom a súkromnom sektore. Zahŕňa tak jednak vplyv nepozorovaných odlišností medzi pracovníkmi verejného a súkromného sektora, ale aj prípadné nižšie mzdy pracovníkov jedného zo sektorov, ktoré nemajú vysvetlenie.</w:t>
      </w:r>
    </w:p>
    <w:p w14:paraId="1C84E4A1" w14:textId="77777777" w:rsidR="00D61CAD" w:rsidRPr="000939E3" w:rsidRDefault="00D61CAD" w:rsidP="00D61CAD">
      <w:pPr>
        <w:spacing w:before="120" w:after="120"/>
      </w:pPr>
      <w:r w:rsidRPr="000939E3">
        <w:t>Pre účely revízie boli použité dáta zo štatistického zisťovania SES</w:t>
      </w:r>
      <w:r w:rsidRPr="000939E3">
        <w:rPr>
          <w:rStyle w:val="Odkaznapoznmkupodiarou"/>
        </w:rPr>
        <w:footnoteReference w:id="134"/>
      </w:r>
      <w:r w:rsidRPr="000939E3">
        <w:t>. Ako závislá premenná bola použitá priemerná hodinová mzda v mesiaci október a ako vysvetľujúce premenné pre každého pracovníka boli použité:</w:t>
      </w:r>
    </w:p>
    <w:p w14:paraId="3143AAE4" w14:textId="77777777" w:rsidR="00D61CAD" w:rsidRPr="000939E3" w:rsidRDefault="00D61CAD" w:rsidP="00D61CAD">
      <w:pPr>
        <w:pStyle w:val="Odsekzoznamu"/>
        <w:numPr>
          <w:ilvl w:val="0"/>
          <w:numId w:val="20"/>
        </w:numPr>
        <w:jc w:val="both"/>
      </w:pPr>
      <w:r w:rsidRPr="000939E3">
        <w:t>pohlavie (muž/žena)</w:t>
      </w:r>
      <w:r w:rsidRPr="000939E3">
        <w:rPr>
          <w:lang w:val="en-US"/>
        </w:rPr>
        <w:t>;</w:t>
      </w:r>
    </w:p>
    <w:p w14:paraId="0BFFB25D" w14:textId="77777777" w:rsidR="00D61CAD" w:rsidRPr="000939E3" w:rsidRDefault="00D61CAD" w:rsidP="00D61CAD">
      <w:pPr>
        <w:pStyle w:val="Odsekzoznamu"/>
        <w:numPr>
          <w:ilvl w:val="0"/>
          <w:numId w:val="20"/>
        </w:numPr>
        <w:jc w:val="both"/>
      </w:pPr>
      <w:r w:rsidRPr="000939E3">
        <w:t xml:space="preserve">veková skupina (mladí – do 29 rokov, stredný vek – od 30 do 49 rokov a starší – od 50 rokov vyššie); </w:t>
      </w:r>
    </w:p>
    <w:p w14:paraId="6B6A62D7" w14:textId="77777777" w:rsidR="00D61CAD" w:rsidRPr="000939E3" w:rsidRDefault="00D61CAD" w:rsidP="00D61CAD">
      <w:pPr>
        <w:pStyle w:val="Odsekzoznamu"/>
        <w:numPr>
          <w:ilvl w:val="0"/>
          <w:numId w:val="20"/>
        </w:numPr>
        <w:jc w:val="both"/>
      </w:pPr>
      <w:r w:rsidRPr="000939E3">
        <w:t>výška vzdelania (menej ako stredné, stredné a vysokoškolské);</w:t>
      </w:r>
    </w:p>
    <w:p w14:paraId="6B5EAFC3" w14:textId="77777777" w:rsidR="00D61CAD" w:rsidRPr="000939E3" w:rsidRDefault="00D61CAD" w:rsidP="00D61CAD">
      <w:pPr>
        <w:pStyle w:val="Odsekzoznamu"/>
        <w:numPr>
          <w:ilvl w:val="0"/>
          <w:numId w:val="20"/>
        </w:numPr>
        <w:jc w:val="both"/>
      </w:pPr>
      <w:r w:rsidRPr="000939E3">
        <w:t>pracovná pozícia (meraná prvou úrovňou klasifikácie ISCO);</w:t>
      </w:r>
    </w:p>
    <w:p w14:paraId="2A89CE24" w14:textId="77777777" w:rsidR="00D61CAD" w:rsidRPr="000939E3" w:rsidRDefault="00D61CAD" w:rsidP="00D61CAD">
      <w:pPr>
        <w:pStyle w:val="Odsekzoznamu"/>
        <w:numPr>
          <w:ilvl w:val="0"/>
          <w:numId w:val="20"/>
        </w:numPr>
        <w:jc w:val="both"/>
      </w:pPr>
      <w:r w:rsidRPr="000939E3">
        <w:t>druh pracovného pomeru (trvalý, dočasný alebo učňovská prax);</w:t>
      </w:r>
    </w:p>
    <w:p w14:paraId="03B61020" w14:textId="474A5618" w:rsidR="00D61CAD" w:rsidRPr="000939E3" w:rsidRDefault="00D61CAD" w:rsidP="00D61CAD">
      <w:pPr>
        <w:pStyle w:val="Odsekzoznamu"/>
        <w:numPr>
          <w:ilvl w:val="0"/>
          <w:numId w:val="20"/>
        </w:numPr>
        <w:jc w:val="both"/>
      </w:pPr>
      <w:r w:rsidRPr="000939E3">
        <w:t>sektor NACE rozdelený do 3 skupín – priemysel (sektory B,C,D,E a F), služby s nižšou pridanou hodnotou (sektory G a I) a </w:t>
      </w:r>
      <w:r w:rsidR="008E3B2B" w:rsidRPr="000939E3">
        <w:t>ostatné služby.</w:t>
      </w:r>
    </w:p>
    <w:p w14:paraId="7A955551" w14:textId="63EF061F" w:rsidR="00D61CAD" w:rsidRPr="000939E3" w:rsidRDefault="00D61CAD" w:rsidP="00D61CAD">
      <w:r w:rsidRPr="000939E3">
        <w:rPr>
          <w:b/>
        </w:rPr>
        <w:t>Jednoduchá OLS analýza s „dummy“ premennou zohľadňujúca vek a vzdelanie zamestnancov identifikovala negatívnu mzdovú medzeru pre mužov aj ženy v slovenskom verejnom sektore.</w:t>
      </w:r>
      <w:r w:rsidR="008E3B2B" w:rsidRPr="000939E3">
        <w:t xml:space="preserve"> Za </w:t>
      </w:r>
      <w:r w:rsidRPr="000939E3">
        <w:t xml:space="preserve">predpokladu, že oba sektory oceňujú vzdelanie a skúsenosti (aproximované vekom) rovnako, zarábajú verejní zamestnanci na Slovensku o približne 5 % nižšiu hodinovú mzdu ako porovnateľní zamestnanci v súkromnom sektore (Graf A1). Tieto dva faktory – vzdelanie a vek – vysvetľujú približne štvrtinu variability v hodinových mzdách slovenských zamestnancov. </w:t>
      </w:r>
    </w:p>
    <w:p w14:paraId="4DF6FF62" w14:textId="59313CED" w:rsidR="00D61CAD" w:rsidRPr="000939E3" w:rsidRDefault="00D61CAD" w:rsidP="00D61CAD">
      <w:r w:rsidRPr="000939E3">
        <w:rPr>
          <w:b/>
        </w:rPr>
        <w:t>Pre väčšinu krajín vo vzorke bola mzdová medzera pozitívna v prospech verejného sektora.</w:t>
      </w:r>
      <w:r w:rsidRPr="000939E3">
        <w:t xml:space="preserve"> Toto môže byť spôsobené viacerými faktormi – väčšina krajín svojich verejných zamestnancov platí viac ako by ich zaplatil súkromný sektor, prípadne kvôli kratšej pracovnej dobe je hodinová </w:t>
      </w:r>
      <w:r w:rsidR="00813E6B">
        <w:t>mzda verejných zamestnancov pri </w:t>
      </w:r>
      <w:r w:rsidRPr="000939E3">
        <w:t>porovnateľnej mesačnej mzde vyššia. Môže to však reflektovať aj fakt, že verejný sektor zamestnáva v mnohých ohľadoch aj spomedzi vysokoškolsky vzdelaných zamestnancov tých najkvalifikovanejších (lekári, vedci, učitelia).</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962"/>
        <w:gridCol w:w="4088"/>
      </w:tblGrid>
      <w:tr w:rsidR="00D61CAD" w:rsidRPr="000939E3" w14:paraId="5D12F7CF" w14:textId="77777777" w:rsidTr="00D61CAD">
        <w:trPr>
          <w:trHeight w:val="49"/>
        </w:trPr>
        <w:tc>
          <w:tcPr>
            <w:tcW w:w="9050" w:type="dxa"/>
            <w:gridSpan w:val="2"/>
            <w:tcBorders>
              <w:bottom w:val="single" w:sz="4" w:space="0" w:color="auto"/>
            </w:tcBorders>
            <w:vAlign w:val="bottom"/>
          </w:tcPr>
          <w:p w14:paraId="17B02F4A" w14:textId="77777777" w:rsidR="00D61CAD" w:rsidRPr="000939E3" w:rsidRDefault="00D61CAD" w:rsidP="000052C7">
            <w:pPr>
              <w:pStyle w:val="Popis"/>
              <w:rPr>
                <w:noProof/>
              </w:rPr>
            </w:pPr>
            <w:r w:rsidRPr="000939E3">
              <w:t>Graf A1</w:t>
            </w:r>
            <w:r w:rsidRPr="000939E3">
              <w:rPr>
                <w:rStyle w:val="Bodytext295pt"/>
                <w:sz w:val="22"/>
                <w:szCs w:val="22"/>
              </w:rPr>
              <w:t>.</w:t>
            </w:r>
            <w:r w:rsidRPr="000939E3">
              <w:rPr>
                <w:rStyle w:val="Bodytext295pt"/>
                <w:szCs w:val="22"/>
              </w:rPr>
              <w:tab/>
              <w:t xml:space="preserve">Mzdová medzera medzi verejným a súkromným sektorom, jednoduchý model (2014) </w:t>
            </w:r>
          </w:p>
        </w:tc>
      </w:tr>
      <w:tr w:rsidR="00D61CAD" w:rsidRPr="000939E3" w14:paraId="59CD4983" w14:textId="77777777" w:rsidTr="00D61CAD">
        <w:trPr>
          <w:trHeight w:val="2286"/>
        </w:trPr>
        <w:tc>
          <w:tcPr>
            <w:tcW w:w="9050" w:type="dxa"/>
            <w:gridSpan w:val="2"/>
            <w:tcBorders>
              <w:top w:val="single" w:sz="4" w:space="0" w:color="auto"/>
              <w:bottom w:val="single" w:sz="4" w:space="0" w:color="auto"/>
            </w:tcBorders>
          </w:tcPr>
          <w:p w14:paraId="3BB99671" w14:textId="77777777" w:rsidR="00D61CAD" w:rsidRPr="000939E3" w:rsidRDefault="00D61CAD" w:rsidP="000052C7">
            <w:pPr>
              <w:spacing w:after="0"/>
              <w:contextualSpacing/>
            </w:pPr>
            <w:r w:rsidRPr="000939E3">
              <w:rPr>
                <w:noProof/>
                <w:lang w:eastAsia="sk-SK"/>
              </w:rPr>
              <w:drawing>
                <wp:inline distT="0" distB="0" distL="0" distR="0" wp14:anchorId="50098F2B" wp14:editId="42234123">
                  <wp:extent cx="5641975" cy="1542699"/>
                  <wp:effectExtent l="0" t="0" r="0" b="635"/>
                  <wp:docPr id="233" name="Graf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D61CAD" w:rsidRPr="000939E3" w14:paraId="07ECB527" w14:textId="77777777" w:rsidTr="00D61CAD">
        <w:tblPrEx>
          <w:tblCellMar>
            <w:left w:w="108" w:type="dxa"/>
            <w:right w:w="108" w:type="dxa"/>
          </w:tblCellMar>
        </w:tblPrEx>
        <w:trPr>
          <w:trHeight w:val="138"/>
        </w:trPr>
        <w:tc>
          <w:tcPr>
            <w:tcW w:w="4962" w:type="dxa"/>
            <w:tcBorders>
              <w:top w:val="single" w:sz="4" w:space="0" w:color="auto"/>
            </w:tcBorders>
          </w:tcPr>
          <w:p w14:paraId="338A05FA" w14:textId="77777777" w:rsidR="00D61CAD" w:rsidRPr="000939E3" w:rsidRDefault="00D61CAD" w:rsidP="000052C7">
            <w:pPr>
              <w:spacing w:after="0"/>
              <w:contextualSpacing/>
              <w:rPr>
                <w:rStyle w:val="Jemnodkaz"/>
                <w:rFonts w:eastAsiaTheme="minorHAnsi"/>
              </w:rPr>
            </w:pPr>
            <w:r w:rsidRPr="000052C7">
              <w:rPr>
                <w:rStyle w:val="Jemnodkaz"/>
                <w:rFonts w:eastAsiaTheme="minorHAnsi"/>
                <w:sz w:val="16"/>
              </w:rPr>
              <w:t>Pozn.:Zobrazené iba rozdiely</w:t>
            </w:r>
            <w:r w:rsidRPr="000939E3">
              <w:rPr>
                <w:rStyle w:val="Jemnodkaz"/>
                <w:rFonts w:eastAsiaTheme="minorHAnsi"/>
                <w:sz w:val="16"/>
              </w:rPr>
              <w:t xml:space="preserve"> štatisticky významné na hladine významnosti 1 %. </w:t>
            </w:r>
          </w:p>
        </w:tc>
        <w:tc>
          <w:tcPr>
            <w:tcW w:w="4088" w:type="dxa"/>
            <w:tcBorders>
              <w:top w:val="single" w:sz="4" w:space="0" w:color="auto"/>
            </w:tcBorders>
          </w:tcPr>
          <w:p w14:paraId="51140410" w14:textId="77777777" w:rsidR="00D61CAD" w:rsidRPr="000939E3" w:rsidRDefault="00D61CAD" w:rsidP="000052C7">
            <w:pPr>
              <w:spacing w:after="0"/>
              <w:contextualSpacing/>
              <w:jc w:val="right"/>
              <w:rPr>
                <w:rStyle w:val="Jemnodkaz"/>
                <w:rFonts w:eastAsiaTheme="minorHAnsi"/>
              </w:rPr>
            </w:pPr>
            <w:r w:rsidRPr="000939E3">
              <w:rPr>
                <w:rStyle w:val="Jemnodkaz"/>
                <w:rFonts w:eastAsiaTheme="minorHAnsi"/>
                <w:sz w:val="16"/>
              </w:rPr>
              <w:t>Zdroj: Eurostat, prepočty ÚHP</w:t>
            </w:r>
          </w:p>
        </w:tc>
      </w:tr>
    </w:tbl>
    <w:p w14:paraId="1EEE5CC1" w14:textId="77777777" w:rsidR="00D61CAD" w:rsidRPr="000939E3" w:rsidRDefault="00D61CAD" w:rsidP="00D61CAD">
      <w:pPr>
        <w:spacing w:before="120" w:after="120"/>
      </w:pPr>
      <w:r w:rsidRPr="000939E3">
        <w:rPr>
          <w:b/>
        </w:rPr>
        <w:t xml:space="preserve">Presnejšie porovnanie prináša ekonometrická analýza podľa Oaxaca a Blinder (1973) a Oaxaca a Ransom (1994), ktorá rozkladá mzdový diferenciál na vysvetlenú a nevysvetlenú časť. Podľa tejto metodiky zarábajú zamestnanci vo verejnom sektore po zohľadnení ostatných charakteristík o približne 3 % menej ako porovnateľní zamestnanci v súkromnom sektore (Graf A2). </w:t>
      </w:r>
      <w:r w:rsidRPr="000939E3">
        <w:t>V paneli krajín EÚ tak patrilo Slovensko k menšine krajín kde po zohľadnení dostupných charakteristík zarábajú verejní zamestnanci menej ako ich kolegovia v súkromnom sektore.</w:t>
      </w:r>
    </w:p>
    <w:p w14:paraId="7E5E7161" w14:textId="08309206" w:rsidR="00626763" w:rsidRPr="000939E3" w:rsidRDefault="009924AF" w:rsidP="009924AF">
      <w:pPr>
        <w:spacing w:after="160" w:line="259" w:lineRule="auto"/>
        <w:jc w:val="left"/>
      </w:pPr>
      <w:r w:rsidRPr="000939E3">
        <w:br w:type="page"/>
      </w:r>
    </w:p>
    <w:tbl>
      <w:tblPr>
        <w:tblStyle w:val="Mriekatabuky"/>
        <w:tblpPr w:leftFromText="180" w:rightFromText="180" w:vertAnchor="text" w:horzAnchor="margin" w:tblpY="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188"/>
        <w:gridCol w:w="3884"/>
      </w:tblGrid>
      <w:tr w:rsidR="00626763" w:rsidRPr="000052C7" w14:paraId="630C4288" w14:textId="77777777" w:rsidTr="00626763">
        <w:trPr>
          <w:trHeight w:val="49"/>
        </w:trPr>
        <w:tc>
          <w:tcPr>
            <w:tcW w:w="9072" w:type="dxa"/>
            <w:gridSpan w:val="2"/>
            <w:tcBorders>
              <w:bottom w:val="single" w:sz="4" w:space="0" w:color="auto"/>
            </w:tcBorders>
            <w:vAlign w:val="bottom"/>
          </w:tcPr>
          <w:p w14:paraId="672073ED" w14:textId="77777777" w:rsidR="00626763" w:rsidRPr="000052C7" w:rsidRDefault="00626763" w:rsidP="000052C7">
            <w:pPr>
              <w:pStyle w:val="Popis"/>
              <w:rPr>
                <w:noProof/>
              </w:rPr>
            </w:pPr>
            <w:r w:rsidRPr="000052C7">
              <w:t xml:space="preserve">Graf </w:t>
            </w:r>
            <w:r w:rsidRPr="000052C7">
              <w:rPr>
                <w:noProof/>
              </w:rPr>
              <w:t>A2</w:t>
            </w:r>
            <w:r w:rsidRPr="000052C7">
              <w:rPr>
                <w:rStyle w:val="Bodytext295pt"/>
                <w:sz w:val="22"/>
                <w:szCs w:val="22"/>
                <w:lang w:val="sk-SK"/>
              </w:rPr>
              <w:t>.</w:t>
            </w:r>
            <w:r w:rsidRPr="000052C7">
              <w:rPr>
                <w:rStyle w:val="Bodytext295pt"/>
                <w:sz w:val="22"/>
                <w:szCs w:val="22"/>
                <w:lang w:val="sk-SK"/>
              </w:rPr>
              <w:tab/>
            </w:r>
            <w:r w:rsidRPr="000052C7">
              <w:rPr>
                <w:rStyle w:val="Bodytext295pt"/>
                <w:szCs w:val="22"/>
                <w:lang w:val="sk-SK"/>
              </w:rPr>
              <w:t xml:space="preserve">Nevysvetlená medzera medzi verejným a súkromným sektorom (2014) </w:t>
            </w:r>
          </w:p>
        </w:tc>
      </w:tr>
      <w:tr w:rsidR="00626763" w:rsidRPr="000052C7" w14:paraId="7758201F" w14:textId="77777777" w:rsidTr="00626763">
        <w:trPr>
          <w:trHeight w:val="1963"/>
        </w:trPr>
        <w:tc>
          <w:tcPr>
            <w:tcW w:w="9072" w:type="dxa"/>
            <w:gridSpan w:val="2"/>
            <w:tcBorders>
              <w:top w:val="single" w:sz="4" w:space="0" w:color="auto"/>
              <w:bottom w:val="single" w:sz="4" w:space="0" w:color="auto"/>
            </w:tcBorders>
          </w:tcPr>
          <w:p w14:paraId="686149C6" w14:textId="77777777" w:rsidR="00626763" w:rsidRPr="000052C7" w:rsidRDefault="00626763" w:rsidP="000052C7">
            <w:pPr>
              <w:spacing w:after="0"/>
              <w:contextualSpacing/>
            </w:pPr>
            <w:r w:rsidRPr="000052C7">
              <w:rPr>
                <w:noProof/>
                <w:lang w:eastAsia="sk-SK"/>
              </w:rPr>
              <w:drawing>
                <wp:inline distT="0" distB="0" distL="0" distR="0" wp14:anchorId="7E008A95" wp14:editId="75D165EB">
                  <wp:extent cx="5688330" cy="1322962"/>
                  <wp:effectExtent l="0" t="0" r="7620" b="0"/>
                  <wp:docPr id="241" name="Graf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626763" w:rsidRPr="000052C7" w14:paraId="3BA6831C" w14:textId="77777777" w:rsidTr="00626763">
        <w:tblPrEx>
          <w:tblCellMar>
            <w:left w:w="108" w:type="dxa"/>
            <w:right w:w="108" w:type="dxa"/>
          </w:tblCellMar>
        </w:tblPrEx>
        <w:trPr>
          <w:trHeight w:val="138"/>
        </w:trPr>
        <w:tc>
          <w:tcPr>
            <w:tcW w:w="5092" w:type="dxa"/>
            <w:tcBorders>
              <w:top w:val="single" w:sz="4" w:space="0" w:color="auto"/>
            </w:tcBorders>
          </w:tcPr>
          <w:p w14:paraId="0AD53462" w14:textId="77777777" w:rsidR="00626763" w:rsidRPr="000052C7" w:rsidRDefault="00626763" w:rsidP="000052C7">
            <w:pPr>
              <w:spacing w:after="0"/>
              <w:contextualSpacing/>
              <w:rPr>
                <w:rStyle w:val="Jemnodkaz"/>
                <w:rFonts w:eastAsiaTheme="minorHAnsi"/>
              </w:rPr>
            </w:pPr>
            <w:r w:rsidRPr="000052C7">
              <w:rPr>
                <w:rStyle w:val="Jemnodkaz"/>
                <w:rFonts w:eastAsiaTheme="minorHAnsi"/>
                <w:sz w:val="16"/>
              </w:rPr>
              <w:t xml:space="preserve">Pozn.:Zobrazené iba rozdiely štatisticky významné na hladine významnosti 1 %. </w:t>
            </w:r>
          </w:p>
        </w:tc>
        <w:tc>
          <w:tcPr>
            <w:tcW w:w="3980" w:type="dxa"/>
            <w:tcBorders>
              <w:top w:val="single" w:sz="4" w:space="0" w:color="auto"/>
            </w:tcBorders>
          </w:tcPr>
          <w:p w14:paraId="30475577" w14:textId="77777777" w:rsidR="00626763" w:rsidRPr="000052C7" w:rsidRDefault="00626763" w:rsidP="000052C7">
            <w:pPr>
              <w:spacing w:after="0"/>
              <w:contextualSpacing/>
              <w:jc w:val="right"/>
              <w:rPr>
                <w:rStyle w:val="Jemnodkaz"/>
                <w:rFonts w:eastAsiaTheme="minorHAnsi"/>
              </w:rPr>
            </w:pPr>
            <w:r w:rsidRPr="000052C7">
              <w:rPr>
                <w:rStyle w:val="Jemnodkaz"/>
                <w:rFonts w:eastAsiaTheme="minorHAnsi"/>
                <w:sz w:val="16"/>
              </w:rPr>
              <w:t>Zdroj: Eurostat, prepočty ÚHP</w:t>
            </w:r>
          </w:p>
        </w:tc>
      </w:tr>
    </w:tbl>
    <w:p w14:paraId="08F62ECE" w14:textId="77777777" w:rsidR="00D61CAD" w:rsidRPr="000939E3" w:rsidRDefault="00D61CAD" w:rsidP="00D61CAD">
      <w:pPr>
        <w:spacing w:before="120" w:after="120"/>
      </w:pPr>
      <w:r w:rsidRPr="000939E3">
        <w:rPr>
          <w:b/>
        </w:rPr>
        <w:t>Pri oddelenej analýze mužov a žien zarábajú muži v priemere tesne viac ako porovnateľní muži v súkromnom sektore, ženy o takmer 7 % menej (Graf A3).</w:t>
      </w:r>
      <w:r w:rsidRPr="000939E3">
        <w:t xml:space="preserve"> Rozdiel medzi mužmi a ženami sa pritom nezdá byť spôsobený rôznym oceňovaním rovnakej charakteristiky u mužov a žien vo verejnom sektore, je preto buď výsledkom iných (nemerateľných) charakteristík, alebo diskriminácie.</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962"/>
        <w:gridCol w:w="4110"/>
      </w:tblGrid>
      <w:tr w:rsidR="00D61CAD" w:rsidRPr="000939E3" w14:paraId="0E7F83BA" w14:textId="77777777" w:rsidTr="00D61CAD">
        <w:trPr>
          <w:trHeight w:val="49"/>
        </w:trPr>
        <w:tc>
          <w:tcPr>
            <w:tcW w:w="9072" w:type="dxa"/>
            <w:gridSpan w:val="2"/>
            <w:tcBorders>
              <w:bottom w:val="single" w:sz="4" w:space="0" w:color="auto"/>
            </w:tcBorders>
            <w:vAlign w:val="bottom"/>
          </w:tcPr>
          <w:p w14:paraId="676E5353" w14:textId="77777777" w:rsidR="00D61CAD" w:rsidRPr="000939E3" w:rsidRDefault="00D61CAD" w:rsidP="000052C7">
            <w:pPr>
              <w:pStyle w:val="Popis"/>
              <w:rPr>
                <w:noProof/>
              </w:rPr>
            </w:pPr>
            <w:bookmarkStart w:id="322" w:name="_Toc463337966"/>
            <w:r w:rsidRPr="000939E3">
              <w:t xml:space="preserve">Graf </w:t>
            </w:r>
            <w:r w:rsidRPr="000939E3">
              <w:rPr>
                <w:noProof/>
              </w:rPr>
              <w:t>A3</w:t>
            </w:r>
            <w:r w:rsidRPr="000939E3">
              <w:rPr>
                <w:rStyle w:val="Bodytext295pt"/>
                <w:sz w:val="22"/>
                <w:szCs w:val="22"/>
              </w:rPr>
              <w:t>.</w:t>
            </w:r>
            <w:bookmarkEnd w:id="322"/>
            <w:r w:rsidRPr="000939E3">
              <w:rPr>
                <w:rStyle w:val="Bodytext295pt"/>
                <w:sz w:val="22"/>
                <w:szCs w:val="22"/>
              </w:rPr>
              <w:tab/>
            </w:r>
            <w:r w:rsidRPr="000939E3">
              <w:rPr>
                <w:rStyle w:val="Bodytext295pt"/>
                <w:szCs w:val="22"/>
              </w:rPr>
              <w:t xml:space="preserve">Nevysvetlená medzera medzi verejným a súkromným sektorom, analýza pre mužov a ženy (2014) </w:t>
            </w:r>
          </w:p>
        </w:tc>
      </w:tr>
      <w:tr w:rsidR="00D61CAD" w:rsidRPr="000939E3" w14:paraId="429532F8" w14:textId="77777777" w:rsidTr="00D61CAD">
        <w:trPr>
          <w:trHeight w:val="2286"/>
        </w:trPr>
        <w:tc>
          <w:tcPr>
            <w:tcW w:w="9072" w:type="dxa"/>
            <w:gridSpan w:val="2"/>
            <w:tcBorders>
              <w:top w:val="single" w:sz="4" w:space="0" w:color="auto"/>
              <w:bottom w:val="single" w:sz="4" w:space="0" w:color="auto"/>
            </w:tcBorders>
          </w:tcPr>
          <w:p w14:paraId="4CED319D" w14:textId="77777777" w:rsidR="00D61CAD" w:rsidRPr="000939E3" w:rsidRDefault="00D61CAD" w:rsidP="000052C7">
            <w:pPr>
              <w:spacing w:after="0"/>
              <w:contextualSpacing/>
            </w:pPr>
            <w:r w:rsidRPr="000939E3">
              <w:rPr>
                <w:noProof/>
                <w:lang w:eastAsia="sk-SK"/>
              </w:rPr>
              <w:drawing>
                <wp:inline distT="0" distB="0" distL="0" distR="0" wp14:anchorId="0E2EB0E3" wp14:editId="30449EA7">
                  <wp:extent cx="5651770" cy="1517650"/>
                  <wp:effectExtent l="0" t="0" r="6350" b="6350"/>
                  <wp:docPr id="247" name="Graf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D61CAD" w:rsidRPr="000939E3" w14:paraId="5ED36ED6" w14:textId="77777777" w:rsidTr="00D61CAD">
        <w:tblPrEx>
          <w:tblCellMar>
            <w:left w:w="108" w:type="dxa"/>
            <w:right w:w="108" w:type="dxa"/>
          </w:tblCellMar>
        </w:tblPrEx>
        <w:trPr>
          <w:trHeight w:val="138"/>
        </w:trPr>
        <w:tc>
          <w:tcPr>
            <w:tcW w:w="4962" w:type="dxa"/>
            <w:tcBorders>
              <w:top w:val="single" w:sz="4" w:space="0" w:color="auto"/>
            </w:tcBorders>
          </w:tcPr>
          <w:p w14:paraId="70D13340" w14:textId="77777777" w:rsidR="00D61CAD" w:rsidRPr="000939E3" w:rsidRDefault="00D61CAD" w:rsidP="000052C7">
            <w:pPr>
              <w:spacing w:after="0"/>
              <w:contextualSpacing/>
              <w:rPr>
                <w:rStyle w:val="Jemnodkaz"/>
                <w:rFonts w:eastAsiaTheme="minorHAnsi"/>
              </w:rPr>
            </w:pPr>
            <w:r w:rsidRPr="000939E3">
              <w:rPr>
                <w:rStyle w:val="Jemnodkaz"/>
                <w:rFonts w:eastAsiaTheme="minorHAnsi"/>
                <w:sz w:val="16"/>
              </w:rPr>
              <w:t xml:space="preserve">Pozn.:Zobrazené iba rozdiely štatisticky významné na hladine významnosti 1 %. </w:t>
            </w:r>
          </w:p>
        </w:tc>
        <w:tc>
          <w:tcPr>
            <w:tcW w:w="4110" w:type="dxa"/>
            <w:tcBorders>
              <w:top w:val="single" w:sz="4" w:space="0" w:color="auto"/>
            </w:tcBorders>
          </w:tcPr>
          <w:p w14:paraId="24A81251" w14:textId="77777777" w:rsidR="00D61CAD" w:rsidRPr="000939E3" w:rsidRDefault="00D61CAD" w:rsidP="000052C7">
            <w:pPr>
              <w:spacing w:after="0"/>
              <w:contextualSpacing/>
              <w:jc w:val="right"/>
              <w:rPr>
                <w:rStyle w:val="Jemnodkaz"/>
                <w:rFonts w:eastAsiaTheme="minorHAnsi"/>
              </w:rPr>
            </w:pPr>
            <w:r w:rsidRPr="000939E3">
              <w:rPr>
                <w:rStyle w:val="Jemnodkaz"/>
                <w:rFonts w:eastAsiaTheme="minorHAnsi"/>
                <w:sz w:val="16"/>
              </w:rPr>
              <w:t>Zdroj: Eurostat, prepočty ÚHP</w:t>
            </w:r>
          </w:p>
        </w:tc>
      </w:tr>
    </w:tbl>
    <w:p w14:paraId="704FF788" w14:textId="504DB94C" w:rsidR="00D61CAD" w:rsidRPr="000939E3" w:rsidRDefault="00D61CAD" w:rsidP="00D61CAD">
      <w:pPr>
        <w:spacing w:before="120" w:after="120"/>
      </w:pPr>
      <w:r w:rsidRPr="000939E3">
        <w:rPr>
          <w:b/>
        </w:rPr>
        <w:t xml:space="preserve">Výsledky regresie potvrdzujú nižšie ohodnotenie mladých zamestnancov, </w:t>
      </w:r>
      <w:r w:rsidR="00813E6B">
        <w:rPr>
          <w:b/>
        </w:rPr>
        <w:t>rozdiel sa vekom zmenšuje (Graf </w:t>
      </w:r>
      <w:r w:rsidRPr="000939E3">
        <w:rPr>
          <w:b/>
        </w:rPr>
        <w:t xml:space="preserve">A4). </w:t>
      </w:r>
      <w:r w:rsidRPr="000939E3">
        <w:t>Mladí zamestnanci do 29 rokov zarábajú vo verejnom sektore o 9 % menej ako ich porovnateľní kolegovia v súkromnom sektore, v skupine od 30 do 49 rokov je rozdiel 6 %. Až starší zamestnanci nad 50 rokov zarábajú vo verejnom sektore porovnateľne, v priemere o 3 % viac ako ich kolegovia v súkromnom sektore.</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081"/>
        <w:gridCol w:w="3991"/>
      </w:tblGrid>
      <w:tr w:rsidR="00D61CAD" w:rsidRPr="000939E3" w14:paraId="6BD9DDE6" w14:textId="77777777" w:rsidTr="00D61CAD">
        <w:trPr>
          <w:trHeight w:val="49"/>
        </w:trPr>
        <w:tc>
          <w:tcPr>
            <w:tcW w:w="9072" w:type="dxa"/>
            <w:gridSpan w:val="2"/>
            <w:tcBorders>
              <w:bottom w:val="single" w:sz="4" w:space="0" w:color="auto"/>
            </w:tcBorders>
            <w:vAlign w:val="bottom"/>
          </w:tcPr>
          <w:p w14:paraId="46D81CE8" w14:textId="77777777" w:rsidR="00D61CAD" w:rsidRPr="000939E3" w:rsidRDefault="00D61CAD" w:rsidP="000052C7">
            <w:pPr>
              <w:pStyle w:val="Popis"/>
              <w:rPr>
                <w:noProof/>
              </w:rPr>
            </w:pPr>
            <w:r w:rsidRPr="000939E3">
              <w:t xml:space="preserve">Graf </w:t>
            </w:r>
            <w:r w:rsidRPr="000939E3">
              <w:rPr>
                <w:noProof/>
              </w:rPr>
              <w:t>A4</w:t>
            </w:r>
            <w:r w:rsidRPr="000939E3">
              <w:rPr>
                <w:rStyle w:val="Bodytext295pt"/>
                <w:sz w:val="22"/>
                <w:szCs w:val="22"/>
              </w:rPr>
              <w:t>.</w:t>
            </w:r>
            <w:r w:rsidRPr="000939E3">
              <w:rPr>
                <w:rStyle w:val="Bodytext295pt"/>
                <w:sz w:val="22"/>
                <w:szCs w:val="22"/>
              </w:rPr>
              <w:tab/>
            </w:r>
            <w:r w:rsidRPr="000939E3">
              <w:rPr>
                <w:rStyle w:val="Bodytext295pt"/>
                <w:szCs w:val="22"/>
              </w:rPr>
              <w:t>Nevysvetlená medzera medzi verejným a súkromným sektorom, analýza podľa veku (2014</w:t>
            </w:r>
            <w:r w:rsidRPr="000939E3">
              <w:rPr>
                <w:rStyle w:val="Bodytext295pt"/>
                <w:sz w:val="22"/>
                <w:szCs w:val="22"/>
              </w:rPr>
              <w:t xml:space="preserve">) </w:t>
            </w:r>
          </w:p>
        </w:tc>
      </w:tr>
      <w:tr w:rsidR="00D61CAD" w:rsidRPr="000939E3" w14:paraId="6ECB557F" w14:textId="77777777" w:rsidTr="00D61CAD">
        <w:trPr>
          <w:trHeight w:val="2102"/>
        </w:trPr>
        <w:tc>
          <w:tcPr>
            <w:tcW w:w="9072" w:type="dxa"/>
            <w:gridSpan w:val="2"/>
            <w:tcBorders>
              <w:top w:val="single" w:sz="4" w:space="0" w:color="auto"/>
              <w:bottom w:val="single" w:sz="4" w:space="0" w:color="auto"/>
            </w:tcBorders>
          </w:tcPr>
          <w:p w14:paraId="2022B6CB" w14:textId="77777777" w:rsidR="00D61CAD" w:rsidRPr="000939E3" w:rsidRDefault="00D61CAD" w:rsidP="000052C7">
            <w:pPr>
              <w:spacing w:after="0"/>
              <w:contextualSpacing/>
            </w:pPr>
            <w:r w:rsidRPr="000939E3">
              <w:rPr>
                <w:noProof/>
                <w:lang w:eastAsia="sk-SK"/>
              </w:rPr>
              <w:drawing>
                <wp:inline distT="0" distB="0" distL="0" distR="0" wp14:anchorId="53872A42" wp14:editId="036D0BA9">
                  <wp:extent cx="5697220" cy="1371600"/>
                  <wp:effectExtent l="0" t="0" r="0"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D61CAD" w:rsidRPr="000939E3" w14:paraId="16903727" w14:textId="77777777" w:rsidTr="00D61CAD">
        <w:tblPrEx>
          <w:tblCellMar>
            <w:left w:w="108" w:type="dxa"/>
            <w:right w:w="108" w:type="dxa"/>
          </w:tblCellMar>
        </w:tblPrEx>
        <w:trPr>
          <w:trHeight w:val="138"/>
        </w:trPr>
        <w:tc>
          <w:tcPr>
            <w:tcW w:w="4962" w:type="dxa"/>
            <w:tcBorders>
              <w:top w:val="single" w:sz="4" w:space="0" w:color="auto"/>
            </w:tcBorders>
          </w:tcPr>
          <w:p w14:paraId="099BDB7B" w14:textId="27644570" w:rsidR="00D61CAD" w:rsidRPr="000939E3" w:rsidRDefault="00D61CAD" w:rsidP="000052C7">
            <w:pPr>
              <w:spacing w:after="0"/>
              <w:contextualSpacing/>
              <w:rPr>
                <w:rStyle w:val="Jemnodkaz"/>
                <w:rFonts w:eastAsiaTheme="minorHAnsi"/>
              </w:rPr>
            </w:pPr>
            <w:r w:rsidRPr="000939E3">
              <w:rPr>
                <w:rStyle w:val="Jemnodkaz"/>
                <w:rFonts w:eastAsiaTheme="minorHAnsi"/>
                <w:sz w:val="16"/>
              </w:rPr>
              <w:t xml:space="preserve">Pozn.:Zobrazené iba rozdiely štatisticky významné na hladine významnosti 1 %. </w:t>
            </w:r>
          </w:p>
        </w:tc>
        <w:tc>
          <w:tcPr>
            <w:tcW w:w="4110" w:type="dxa"/>
            <w:tcBorders>
              <w:top w:val="single" w:sz="4" w:space="0" w:color="auto"/>
            </w:tcBorders>
          </w:tcPr>
          <w:p w14:paraId="3B3FB85A" w14:textId="77777777" w:rsidR="00D61CAD" w:rsidRPr="000939E3" w:rsidRDefault="00D61CAD" w:rsidP="000052C7">
            <w:pPr>
              <w:spacing w:after="0"/>
              <w:contextualSpacing/>
              <w:jc w:val="right"/>
              <w:rPr>
                <w:rStyle w:val="Jemnodkaz"/>
                <w:rFonts w:eastAsiaTheme="minorHAnsi"/>
              </w:rPr>
            </w:pPr>
            <w:r w:rsidRPr="000939E3">
              <w:rPr>
                <w:rStyle w:val="Jemnodkaz"/>
                <w:rFonts w:eastAsiaTheme="minorHAnsi"/>
                <w:sz w:val="16"/>
              </w:rPr>
              <w:t>Zdroj: Eurostat, prepočty ÚHP</w:t>
            </w:r>
          </w:p>
        </w:tc>
      </w:tr>
    </w:tbl>
    <w:p w14:paraId="35A0A092" w14:textId="010E5D88" w:rsidR="000052C7" w:rsidRDefault="00D61CAD" w:rsidP="00D61CAD">
      <w:pPr>
        <w:spacing w:before="120" w:after="120"/>
      </w:pPr>
      <w:r w:rsidRPr="000939E3">
        <w:rPr>
          <w:b/>
        </w:rPr>
        <w:t xml:space="preserve">Analýza tiež potvrdzuje vyššiu mzdovú medzeru u vysokoškolsky vzdelaných verejných zamestnancov. </w:t>
      </w:r>
      <w:r w:rsidR="008E3B2B" w:rsidRPr="000939E3">
        <w:t>Po </w:t>
      </w:r>
      <w:r w:rsidRPr="000939E3">
        <w:t>zohľadnení všetkých ostatných faktorov zarobia až o 11 % menej ako ich kole</w:t>
      </w:r>
      <w:r w:rsidR="00813E6B">
        <w:t>govia v súkromnom sektore (Graf </w:t>
      </w:r>
      <w:r w:rsidRPr="000939E3">
        <w:t>A5). S klesajúcim vzdelaním sa situácia otáča v prospech práce vo verejnom sektore, základoškolsky vzdelaní verejní zamestnanci zarobia po zohľadnení ostatných charakteristík o 6 % viac ako ich kolegovia v súkromnom sektore.</w:t>
      </w:r>
    </w:p>
    <w:p w14:paraId="46BC6055" w14:textId="7E07F29B" w:rsidR="00D61CAD" w:rsidRPr="000939E3" w:rsidRDefault="000052C7" w:rsidP="000052C7">
      <w:pPr>
        <w:spacing w:after="160" w:line="259" w:lineRule="auto"/>
        <w:jc w:val="left"/>
      </w:pPr>
      <w:r>
        <w:br w:type="page"/>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197"/>
        <w:gridCol w:w="3875"/>
      </w:tblGrid>
      <w:tr w:rsidR="00D61CAD" w:rsidRPr="000939E3" w14:paraId="2D8C3398" w14:textId="77777777" w:rsidTr="00D61CAD">
        <w:trPr>
          <w:trHeight w:val="258"/>
        </w:trPr>
        <w:tc>
          <w:tcPr>
            <w:tcW w:w="9072" w:type="dxa"/>
            <w:gridSpan w:val="2"/>
            <w:tcBorders>
              <w:bottom w:val="single" w:sz="4" w:space="0" w:color="auto"/>
            </w:tcBorders>
            <w:vAlign w:val="bottom"/>
          </w:tcPr>
          <w:p w14:paraId="6E3CCCDD" w14:textId="77777777" w:rsidR="00D61CAD" w:rsidRPr="000939E3" w:rsidRDefault="00D61CAD" w:rsidP="000052C7">
            <w:pPr>
              <w:pStyle w:val="Popis"/>
              <w:rPr>
                <w:noProof/>
              </w:rPr>
            </w:pPr>
            <w:r w:rsidRPr="000939E3">
              <w:t xml:space="preserve">Graf </w:t>
            </w:r>
            <w:r w:rsidRPr="000939E3">
              <w:rPr>
                <w:noProof/>
              </w:rPr>
              <w:t>A5</w:t>
            </w:r>
            <w:r w:rsidRPr="000939E3">
              <w:rPr>
                <w:rStyle w:val="Bodytext295pt"/>
                <w:sz w:val="22"/>
                <w:szCs w:val="22"/>
              </w:rPr>
              <w:t>.</w:t>
            </w:r>
            <w:r w:rsidRPr="000939E3">
              <w:rPr>
                <w:rStyle w:val="Bodytext295pt"/>
                <w:sz w:val="22"/>
                <w:szCs w:val="22"/>
              </w:rPr>
              <w:tab/>
              <w:t xml:space="preserve">Nevysvetlená medzera medzi verejným a súkromným sektorom, analýza podľa vzdelania (2014) </w:t>
            </w:r>
          </w:p>
        </w:tc>
      </w:tr>
      <w:tr w:rsidR="00D61CAD" w:rsidRPr="000939E3" w14:paraId="131493F3" w14:textId="77777777" w:rsidTr="00D61CAD">
        <w:trPr>
          <w:trHeight w:val="2286"/>
        </w:trPr>
        <w:tc>
          <w:tcPr>
            <w:tcW w:w="9072" w:type="dxa"/>
            <w:gridSpan w:val="2"/>
            <w:tcBorders>
              <w:top w:val="single" w:sz="4" w:space="0" w:color="auto"/>
              <w:bottom w:val="single" w:sz="4" w:space="0" w:color="auto"/>
            </w:tcBorders>
          </w:tcPr>
          <w:p w14:paraId="76A42B0D" w14:textId="77777777" w:rsidR="00D61CAD" w:rsidRPr="000939E3" w:rsidRDefault="00D61CAD" w:rsidP="000052C7">
            <w:pPr>
              <w:spacing w:after="0"/>
              <w:contextualSpacing/>
            </w:pPr>
            <w:r w:rsidRPr="000939E3">
              <w:rPr>
                <w:noProof/>
                <w:lang w:eastAsia="sk-SK"/>
              </w:rPr>
              <w:drawing>
                <wp:inline distT="0" distB="0" distL="0" distR="0" wp14:anchorId="0964F22B" wp14:editId="00AB0FB3">
                  <wp:extent cx="5670550" cy="1517650"/>
                  <wp:effectExtent l="0" t="0" r="6350" b="6350"/>
                  <wp:docPr id="289" name="Graf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D61CAD" w:rsidRPr="000939E3" w14:paraId="5F85867C" w14:textId="77777777" w:rsidTr="00D61CAD">
        <w:tblPrEx>
          <w:tblCellMar>
            <w:left w:w="108" w:type="dxa"/>
            <w:right w:w="108" w:type="dxa"/>
          </w:tblCellMar>
        </w:tblPrEx>
        <w:trPr>
          <w:trHeight w:val="138"/>
        </w:trPr>
        <w:tc>
          <w:tcPr>
            <w:tcW w:w="5103" w:type="dxa"/>
            <w:tcBorders>
              <w:top w:val="single" w:sz="4" w:space="0" w:color="auto"/>
            </w:tcBorders>
          </w:tcPr>
          <w:p w14:paraId="177C9F6E" w14:textId="77777777" w:rsidR="00D61CAD" w:rsidRPr="000939E3" w:rsidRDefault="00D61CAD" w:rsidP="000052C7">
            <w:pPr>
              <w:spacing w:after="0"/>
              <w:contextualSpacing/>
              <w:rPr>
                <w:rStyle w:val="Jemnodkaz"/>
                <w:rFonts w:eastAsiaTheme="minorHAnsi"/>
              </w:rPr>
            </w:pPr>
            <w:r w:rsidRPr="000939E3">
              <w:rPr>
                <w:rStyle w:val="Jemnodkaz"/>
                <w:rFonts w:eastAsiaTheme="minorHAnsi"/>
                <w:sz w:val="16"/>
              </w:rPr>
              <w:t xml:space="preserve">Pozn.:Zobrazené iba rozdiely štatisticky významné na hladine významnosti 1 %. </w:t>
            </w:r>
          </w:p>
        </w:tc>
        <w:tc>
          <w:tcPr>
            <w:tcW w:w="3969" w:type="dxa"/>
            <w:tcBorders>
              <w:top w:val="single" w:sz="4" w:space="0" w:color="auto"/>
            </w:tcBorders>
          </w:tcPr>
          <w:p w14:paraId="22FD03BF" w14:textId="77777777" w:rsidR="00D61CAD" w:rsidRPr="000939E3" w:rsidRDefault="00D61CAD" w:rsidP="000052C7">
            <w:pPr>
              <w:spacing w:after="0"/>
              <w:contextualSpacing/>
              <w:jc w:val="right"/>
              <w:rPr>
                <w:rStyle w:val="Jemnodkaz"/>
                <w:rFonts w:eastAsiaTheme="minorHAnsi"/>
              </w:rPr>
            </w:pPr>
            <w:r w:rsidRPr="000939E3">
              <w:rPr>
                <w:rStyle w:val="Jemnodkaz"/>
                <w:rFonts w:eastAsiaTheme="minorHAnsi"/>
                <w:sz w:val="16"/>
              </w:rPr>
              <w:t>Zdroj: Eurostat, prepočty ÚHP</w:t>
            </w:r>
          </w:p>
        </w:tc>
      </w:tr>
    </w:tbl>
    <w:p w14:paraId="2085238F" w14:textId="2CBDDC6F" w:rsidR="00D61CAD" w:rsidRPr="000939E3" w:rsidRDefault="00D61CAD" w:rsidP="00D61CAD">
      <w:pPr>
        <w:spacing w:before="120" w:after="120"/>
      </w:pPr>
      <w:r w:rsidRPr="000939E3">
        <w:rPr>
          <w:b/>
        </w:rPr>
        <w:t xml:space="preserve">Pri analýze všetkých kombinácií veku a vzdelania najviac mzdami zaostávajú verejní zamestnanci v mladom a strednom veku s vysokoškolským vzdelaním. </w:t>
      </w:r>
      <w:r w:rsidRPr="000939E3">
        <w:t>Po zohľadnení ostatných faktorov zarábajú o</w:t>
      </w:r>
      <w:r w:rsidR="00813E6B">
        <w:t xml:space="preserve"> 15 až </w:t>
      </w:r>
      <w:r w:rsidR="008E3B2B" w:rsidRPr="000939E3">
        <w:t>17 </w:t>
      </w:r>
      <w:r w:rsidRPr="000939E3">
        <w:t>% menej ako porovnateľní zamestnanci v súkromnom sektore. Rozdiel pre starších zamestnancov s vysokoškolským vzdelaním nie je štatisticky významný ani na hladine 10 %.</w:t>
      </w:r>
    </w:p>
    <w:tbl>
      <w:tblPr>
        <w:tblW w:w="5000" w:type="pct"/>
        <w:jc w:val="center"/>
        <w:tblCellMar>
          <w:left w:w="70" w:type="dxa"/>
          <w:right w:w="70" w:type="dxa"/>
        </w:tblCellMar>
        <w:tblLook w:val="04A0" w:firstRow="1" w:lastRow="0" w:firstColumn="1" w:lastColumn="0" w:noHBand="0" w:noVBand="1"/>
      </w:tblPr>
      <w:tblGrid>
        <w:gridCol w:w="2681"/>
        <w:gridCol w:w="1237"/>
        <w:gridCol w:w="1442"/>
        <w:gridCol w:w="1236"/>
        <w:gridCol w:w="1237"/>
        <w:gridCol w:w="1239"/>
      </w:tblGrid>
      <w:tr w:rsidR="00D61CAD" w:rsidRPr="000939E3" w14:paraId="7783A25F" w14:textId="77777777" w:rsidTr="000052C7">
        <w:trPr>
          <w:trHeight w:val="113"/>
          <w:jc w:val="center"/>
        </w:trPr>
        <w:tc>
          <w:tcPr>
            <w:tcW w:w="5000" w:type="pct"/>
            <w:gridSpan w:val="6"/>
            <w:tcBorders>
              <w:top w:val="nil"/>
              <w:left w:val="nil"/>
              <w:bottom w:val="single" w:sz="4" w:space="0" w:color="auto"/>
            </w:tcBorders>
            <w:shd w:val="clear" w:color="auto" w:fill="auto"/>
            <w:noWrap/>
            <w:vAlign w:val="bottom"/>
          </w:tcPr>
          <w:p w14:paraId="2EB1D6A1" w14:textId="77777777" w:rsidR="00D61CAD" w:rsidRPr="000939E3" w:rsidRDefault="00D61CAD" w:rsidP="000052C7">
            <w:pPr>
              <w:spacing w:after="0" w:line="240" w:lineRule="auto"/>
              <w:contextualSpacing/>
              <w:jc w:val="left"/>
              <w:rPr>
                <w:rFonts w:eastAsia="Times New Roman" w:cs="Times New Roman"/>
                <w:b/>
                <w:color w:val="000000"/>
                <w:sz w:val="20"/>
                <w:szCs w:val="20"/>
                <w:lang w:eastAsia="sk-SK"/>
              </w:rPr>
            </w:pPr>
            <w:r w:rsidRPr="000939E3">
              <w:rPr>
                <w:rStyle w:val="Bodytext295pt"/>
                <w:b/>
                <w:sz w:val="22"/>
                <w:szCs w:val="22"/>
              </w:rPr>
              <w:t>Nevysvetlená medzera medzi verejným a súkromným sektorom</w:t>
            </w:r>
          </w:p>
        </w:tc>
      </w:tr>
      <w:tr w:rsidR="00D61CAD" w:rsidRPr="000939E3" w14:paraId="4B1590BC" w14:textId="77777777" w:rsidTr="000052C7">
        <w:trPr>
          <w:trHeight w:val="113"/>
          <w:jc w:val="center"/>
        </w:trPr>
        <w:tc>
          <w:tcPr>
            <w:tcW w:w="1477" w:type="pct"/>
            <w:tcBorders>
              <w:top w:val="nil"/>
              <w:left w:val="nil"/>
              <w:bottom w:val="single" w:sz="4" w:space="0" w:color="auto"/>
              <w:right w:val="single" w:sz="4" w:space="0" w:color="auto"/>
            </w:tcBorders>
            <w:shd w:val="clear" w:color="auto" w:fill="auto"/>
            <w:noWrap/>
            <w:vAlign w:val="bottom"/>
            <w:hideMark/>
          </w:tcPr>
          <w:p w14:paraId="0FF90615" w14:textId="77777777" w:rsidR="00D61CAD" w:rsidRPr="000939E3" w:rsidRDefault="00D61CAD" w:rsidP="000052C7">
            <w:pPr>
              <w:spacing w:after="0" w:line="240" w:lineRule="auto"/>
              <w:contextualSpacing/>
              <w:jc w:val="left"/>
              <w:rPr>
                <w:rFonts w:ascii="Times New Roman" w:eastAsia="Times New Roman" w:hAnsi="Times New Roman" w:cs="Times New Roman"/>
                <w:b/>
                <w:sz w:val="24"/>
                <w:szCs w:val="24"/>
                <w:lang w:eastAsia="sk-SK"/>
              </w:rPr>
            </w:pPr>
          </w:p>
        </w:tc>
        <w:tc>
          <w:tcPr>
            <w:tcW w:w="682" w:type="pct"/>
            <w:tcBorders>
              <w:top w:val="nil"/>
              <w:left w:val="single" w:sz="4" w:space="0" w:color="auto"/>
              <w:bottom w:val="single" w:sz="4" w:space="0" w:color="auto"/>
              <w:right w:val="nil"/>
            </w:tcBorders>
            <w:shd w:val="clear" w:color="auto" w:fill="auto"/>
            <w:noWrap/>
            <w:vAlign w:val="bottom"/>
            <w:hideMark/>
          </w:tcPr>
          <w:p w14:paraId="5F6B18F0" w14:textId="1E04C955" w:rsidR="00D61CAD" w:rsidRPr="000939E3" w:rsidRDefault="000052C7" w:rsidP="000052C7">
            <w:pPr>
              <w:spacing w:after="0" w:line="240" w:lineRule="auto"/>
              <w:contextualSpacing/>
              <w:jc w:val="center"/>
              <w:rPr>
                <w:rFonts w:eastAsia="Times New Roman" w:cs="Times New Roman"/>
                <w:color w:val="000000"/>
                <w:sz w:val="20"/>
                <w:szCs w:val="20"/>
                <w:lang w:eastAsia="sk-SK"/>
              </w:rPr>
            </w:pPr>
            <w:r>
              <w:rPr>
                <w:rFonts w:eastAsia="Times New Roman" w:cs="Times New Roman"/>
                <w:color w:val="000000"/>
                <w:sz w:val="20"/>
                <w:szCs w:val="20"/>
                <w:lang w:eastAsia="sk-SK"/>
              </w:rPr>
              <w:t>m</w:t>
            </w:r>
            <w:r w:rsidR="00D61CAD" w:rsidRPr="000939E3">
              <w:rPr>
                <w:rFonts w:eastAsia="Times New Roman" w:cs="Times New Roman"/>
                <w:color w:val="000000"/>
                <w:sz w:val="20"/>
                <w:szCs w:val="20"/>
                <w:lang w:eastAsia="sk-SK"/>
              </w:rPr>
              <w:t>ladí</w:t>
            </w:r>
          </w:p>
        </w:tc>
        <w:tc>
          <w:tcPr>
            <w:tcW w:w="795" w:type="pct"/>
            <w:tcBorders>
              <w:top w:val="nil"/>
              <w:left w:val="nil"/>
              <w:bottom w:val="single" w:sz="4" w:space="0" w:color="auto"/>
              <w:right w:val="nil"/>
            </w:tcBorders>
            <w:shd w:val="clear" w:color="auto" w:fill="auto"/>
            <w:noWrap/>
            <w:vAlign w:val="bottom"/>
            <w:hideMark/>
          </w:tcPr>
          <w:p w14:paraId="2AA889B4" w14:textId="77777777" w:rsidR="00D61CAD" w:rsidRPr="000939E3" w:rsidRDefault="00D61CAD" w:rsidP="000052C7">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stredný vek</w:t>
            </w:r>
          </w:p>
        </w:tc>
        <w:tc>
          <w:tcPr>
            <w:tcW w:w="681" w:type="pct"/>
            <w:tcBorders>
              <w:top w:val="nil"/>
              <w:left w:val="nil"/>
              <w:bottom w:val="single" w:sz="4" w:space="0" w:color="auto"/>
              <w:right w:val="single" w:sz="4" w:space="0" w:color="auto"/>
            </w:tcBorders>
            <w:shd w:val="clear" w:color="auto" w:fill="auto"/>
            <w:noWrap/>
            <w:vAlign w:val="bottom"/>
            <w:hideMark/>
          </w:tcPr>
          <w:p w14:paraId="1EB7820E" w14:textId="77777777" w:rsidR="00D61CAD" w:rsidRPr="000939E3" w:rsidRDefault="00D61CAD" w:rsidP="000052C7">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starší</w:t>
            </w:r>
          </w:p>
        </w:tc>
        <w:tc>
          <w:tcPr>
            <w:tcW w:w="682" w:type="pct"/>
            <w:tcBorders>
              <w:top w:val="nil"/>
              <w:left w:val="single" w:sz="4" w:space="0" w:color="auto"/>
              <w:bottom w:val="single" w:sz="4" w:space="0" w:color="auto"/>
              <w:right w:val="nil"/>
            </w:tcBorders>
            <w:shd w:val="clear" w:color="auto" w:fill="auto"/>
            <w:noWrap/>
            <w:vAlign w:val="bottom"/>
            <w:hideMark/>
          </w:tcPr>
          <w:p w14:paraId="01050764" w14:textId="77777777" w:rsidR="00D61CAD" w:rsidRPr="000939E3" w:rsidRDefault="00D61CAD" w:rsidP="000052C7">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ženy</w:t>
            </w:r>
          </w:p>
        </w:tc>
        <w:tc>
          <w:tcPr>
            <w:tcW w:w="681" w:type="pct"/>
            <w:tcBorders>
              <w:top w:val="nil"/>
              <w:left w:val="nil"/>
              <w:bottom w:val="single" w:sz="4" w:space="0" w:color="auto"/>
              <w:right w:val="nil"/>
            </w:tcBorders>
            <w:shd w:val="clear" w:color="auto" w:fill="auto"/>
            <w:noWrap/>
            <w:vAlign w:val="bottom"/>
            <w:hideMark/>
          </w:tcPr>
          <w:p w14:paraId="38F93290" w14:textId="77777777" w:rsidR="00D61CAD" w:rsidRPr="000939E3" w:rsidRDefault="00D61CAD" w:rsidP="000052C7">
            <w:pPr>
              <w:spacing w:after="0" w:line="240" w:lineRule="auto"/>
              <w:contextualSpacing/>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muži</w:t>
            </w:r>
          </w:p>
        </w:tc>
      </w:tr>
      <w:tr w:rsidR="00D61CAD" w:rsidRPr="000939E3" w14:paraId="0780A9DB" w14:textId="77777777" w:rsidTr="000052C7">
        <w:trPr>
          <w:trHeight w:val="113"/>
          <w:jc w:val="center"/>
        </w:trPr>
        <w:tc>
          <w:tcPr>
            <w:tcW w:w="1477" w:type="pct"/>
            <w:tcBorders>
              <w:top w:val="single" w:sz="4" w:space="0" w:color="auto"/>
              <w:left w:val="nil"/>
              <w:bottom w:val="nil"/>
              <w:right w:val="single" w:sz="4" w:space="0" w:color="auto"/>
            </w:tcBorders>
            <w:shd w:val="clear" w:color="auto" w:fill="auto"/>
            <w:noWrap/>
            <w:vAlign w:val="bottom"/>
            <w:hideMark/>
          </w:tcPr>
          <w:p w14:paraId="155E5A1C" w14:textId="77777777" w:rsidR="00D61CAD" w:rsidRPr="000939E3" w:rsidRDefault="00D61CAD" w:rsidP="000052C7">
            <w:pPr>
              <w:spacing w:after="0" w:line="240" w:lineRule="auto"/>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nízke vzdelanie</w:t>
            </w:r>
          </w:p>
        </w:tc>
        <w:tc>
          <w:tcPr>
            <w:tcW w:w="682" w:type="pct"/>
            <w:tcBorders>
              <w:top w:val="single" w:sz="4" w:space="0" w:color="auto"/>
              <w:left w:val="single" w:sz="4" w:space="0" w:color="auto"/>
              <w:bottom w:val="nil"/>
              <w:right w:val="nil"/>
            </w:tcBorders>
            <w:shd w:val="clear" w:color="auto" w:fill="auto"/>
            <w:noWrap/>
            <w:vAlign w:val="bottom"/>
            <w:hideMark/>
          </w:tcPr>
          <w:p w14:paraId="5FB3A788"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8%***</w:t>
            </w:r>
          </w:p>
        </w:tc>
        <w:tc>
          <w:tcPr>
            <w:tcW w:w="795" w:type="pct"/>
            <w:tcBorders>
              <w:top w:val="single" w:sz="4" w:space="0" w:color="auto"/>
              <w:left w:val="nil"/>
              <w:bottom w:val="nil"/>
              <w:right w:val="nil"/>
            </w:tcBorders>
            <w:shd w:val="clear" w:color="auto" w:fill="auto"/>
            <w:noWrap/>
            <w:vAlign w:val="bottom"/>
            <w:hideMark/>
          </w:tcPr>
          <w:p w14:paraId="0A2EF190"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6%***</w:t>
            </w:r>
          </w:p>
        </w:tc>
        <w:tc>
          <w:tcPr>
            <w:tcW w:w="681" w:type="pct"/>
            <w:tcBorders>
              <w:top w:val="single" w:sz="4" w:space="0" w:color="auto"/>
              <w:left w:val="nil"/>
              <w:bottom w:val="nil"/>
              <w:right w:val="single" w:sz="4" w:space="0" w:color="auto"/>
            </w:tcBorders>
            <w:shd w:val="clear" w:color="auto" w:fill="auto"/>
            <w:noWrap/>
            <w:vAlign w:val="bottom"/>
            <w:hideMark/>
          </w:tcPr>
          <w:p w14:paraId="45F5DD08"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7%***</w:t>
            </w:r>
          </w:p>
        </w:tc>
        <w:tc>
          <w:tcPr>
            <w:tcW w:w="682" w:type="pct"/>
            <w:tcBorders>
              <w:top w:val="single" w:sz="4" w:space="0" w:color="auto"/>
              <w:left w:val="single" w:sz="4" w:space="0" w:color="auto"/>
              <w:bottom w:val="nil"/>
              <w:right w:val="nil"/>
            </w:tcBorders>
            <w:shd w:val="clear" w:color="auto" w:fill="auto"/>
            <w:noWrap/>
            <w:vAlign w:val="bottom"/>
            <w:hideMark/>
          </w:tcPr>
          <w:p w14:paraId="042D4CD5"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2%***</w:t>
            </w:r>
          </w:p>
        </w:tc>
        <w:tc>
          <w:tcPr>
            <w:tcW w:w="681" w:type="pct"/>
            <w:tcBorders>
              <w:top w:val="single" w:sz="4" w:space="0" w:color="auto"/>
              <w:left w:val="nil"/>
              <w:bottom w:val="nil"/>
              <w:right w:val="nil"/>
            </w:tcBorders>
            <w:shd w:val="clear" w:color="auto" w:fill="auto"/>
            <w:noWrap/>
            <w:vAlign w:val="bottom"/>
            <w:hideMark/>
          </w:tcPr>
          <w:p w14:paraId="58E94172"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13%***</w:t>
            </w:r>
          </w:p>
        </w:tc>
      </w:tr>
      <w:tr w:rsidR="00D61CAD" w:rsidRPr="000939E3" w14:paraId="7D766E3B" w14:textId="77777777" w:rsidTr="000052C7">
        <w:trPr>
          <w:trHeight w:val="113"/>
          <w:jc w:val="center"/>
        </w:trPr>
        <w:tc>
          <w:tcPr>
            <w:tcW w:w="1477" w:type="pct"/>
            <w:tcBorders>
              <w:top w:val="nil"/>
              <w:left w:val="nil"/>
              <w:right w:val="single" w:sz="4" w:space="0" w:color="auto"/>
            </w:tcBorders>
            <w:shd w:val="clear" w:color="auto" w:fill="auto"/>
            <w:noWrap/>
            <w:vAlign w:val="bottom"/>
            <w:hideMark/>
          </w:tcPr>
          <w:p w14:paraId="6E00D833" w14:textId="77777777" w:rsidR="00D61CAD" w:rsidRPr="000939E3" w:rsidRDefault="00D61CAD" w:rsidP="000052C7">
            <w:pPr>
              <w:spacing w:after="0" w:line="240" w:lineRule="auto"/>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stredné vzdelanie</w:t>
            </w:r>
          </w:p>
        </w:tc>
        <w:tc>
          <w:tcPr>
            <w:tcW w:w="682" w:type="pct"/>
            <w:tcBorders>
              <w:top w:val="nil"/>
              <w:left w:val="single" w:sz="4" w:space="0" w:color="auto"/>
              <w:right w:val="nil"/>
            </w:tcBorders>
            <w:shd w:val="clear" w:color="auto" w:fill="auto"/>
            <w:noWrap/>
            <w:vAlign w:val="bottom"/>
            <w:hideMark/>
          </w:tcPr>
          <w:p w14:paraId="31730BB9"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-4%***</w:t>
            </w:r>
          </w:p>
        </w:tc>
        <w:tc>
          <w:tcPr>
            <w:tcW w:w="795" w:type="pct"/>
            <w:tcBorders>
              <w:top w:val="nil"/>
              <w:left w:val="nil"/>
              <w:right w:val="nil"/>
            </w:tcBorders>
            <w:shd w:val="clear" w:color="auto" w:fill="auto"/>
            <w:noWrap/>
            <w:vAlign w:val="bottom"/>
            <w:hideMark/>
          </w:tcPr>
          <w:p w14:paraId="259580F7"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1%**</w:t>
            </w:r>
            <w:r w:rsidRPr="000939E3">
              <w:rPr>
                <w:rFonts w:eastAsia="Times New Roman" w:cs="Times New Roman"/>
                <w:color w:val="FFFFFF" w:themeColor="background1"/>
                <w:sz w:val="20"/>
                <w:szCs w:val="20"/>
                <w:lang w:eastAsia="sk-SK"/>
              </w:rPr>
              <w:t>°</w:t>
            </w:r>
            <w:r w:rsidRPr="000939E3">
              <w:rPr>
                <w:rFonts w:eastAsia="Times New Roman" w:cs="Times New Roman"/>
                <w:color w:val="000000"/>
                <w:sz w:val="20"/>
                <w:szCs w:val="20"/>
                <w:lang w:eastAsia="sk-SK"/>
              </w:rPr>
              <w:t xml:space="preserve"> </w:t>
            </w:r>
          </w:p>
        </w:tc>
        <w:tc>
          <w:tcPr>
            <w:tcW w:w="681" w:type="pct"/>
            <w:tcBorders>
              <w:top w:val="nil"/>
              <w:left w:val="nil"/>
              <w:right w:val="single" w:sz="4" w:space="0" w:color="auto"/>
            </w:tcBorders>
            <w:shd w:val="clear" w:color="auto" w:fill="auto"/>
            <w:noWrap/>
            <w:vAlign w:val="bottom"/>
            <w:hideMark/>
          </w:tcPr>
          <w:p w14:paraId="73814584"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3%***</w:t>
            </w:r>
          </w:p>
        </w:tc>
        <w:tc>
          <w:tcPr>
            <w:tcW w:w="682" w:type="pct"/>
            <w:tcBorders>
              <w:top w:val="nil"/>
              <w:left w:val="single" w:sz="4" w:space="0" w:color="auto"/>
              <w:right w:val="nil"/>
            </w:tcBorders>
            <w:shd w:val="clear" w:color="auto" w:fill="auto"/>
            <w:noWrap/>
            <w:vAlign w:val="bottom"/>
            <w:hideMark/>
          </w:tcPr>
          <w:p w14:paraId="4154C53A"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-5%***</w:t>
            </w:r>
          </w:p>
        </w:tc>
        <w:tc>
          <w:tcPr>
            <w:tcW w:w="681" w:type="pct"/>
            <w:tcBorders>
              <w:top w:val="nil"/>
              <w:left w:val="nil"/>
              <w:right w:val="nil"/>
            </w:tcBorders>
            <w:shd w:val="clear" w:color="auto" w:fill="auto"/>
            <w:noWrap/>
            <w:vAlign w:val="bottom"/>
            <w:hideMark/>
          </w:tcPr>
          <w:p w14:paraId="6C1F07AD"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8%***</w:t>
            </w:r>
          </w:p>
        </w:tc>
      </w:tr>
      <w:tr w:rsidR="00D61CAD" w:rsidRPr="000939E3" w14:paraId="2E94E675" w14:textId="77777777" w:rsidTr="000052C7">
        <w:trPr>
          <w:trHeight w:val="113"/>
          <w:jc w:val="center"/>
        </w:trPr>
        <w:tc>
          <w:tcPr>
            <w:tcW w:w="1477" w:type="pct"/>
            <w:tcBorders>
              <w:top w:val="nil"/>
              <w:left w:val="nil"/>
              <w:bottom w:val="single" w:sz="4" w:space="0" w:color="auto"/>
              <w:right w:val="single" w:sz="4" w:space="0" w:color="auto"/>
            </w:tcBorders>
            <w:shd w:val="clear" w:color="auto" w:fill="auto"/>
            <w:noWrap/>
            <w:vAlign w:val="bottom"/>
            <w:hideMark/>
          </w:tcPr>
          <w:p w14:paraId="436FCD56" w14:textId="77777777" w:rsidR="00D61CAD" w:rsidRPr="000939E3" w:rsidRDefault="00D61CAD" w:rsidP="000052C7">
            <w:pPr>
              <w:spacing w:after="0" w:line="240" w:lineRule="auto"/>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vysoké vzdelanie</w:t>
            </w:r>
          </w:p>
        </w:tc>
        <w:tc>
          <w:tcPr>
            <w:tcW w:w="682" w:type="pct"/>
            <w:tcBorders>
              <w:top w:val="nil"/>
              <w:left w:val="single" w:sz="4" w:space="0" w:color="auto"/>
              <w:bottom w:val="single" w:sz="4" w:space="0" w:color="auto"/>
              <w:right w:val="nil"/>
            </w:tcBorders>
            <w:shd w:val="clear" w:color="auto" w:fill="auto"/>
            <w:noWrap/>
            <w:vAlign w:val="bottom"/>
            <w:hideMark/>
          </w:tcPr>
          <w:p w14:paraId="3325387B"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-15%***</w:t>
            </w:r>
          </w:p>
        </w:tc>
        <w:tc>
          <w:tcPr>
            <w:tcW w:w="795" w:type="pct"/>
            <w:tcBorders>
              <w:top w:val="nil"/>
              <w:left w:val="nil"/>
              <w:bottom w:val="single" w:sz="4" w:space="0" w:color="auto"/>
              <w:right w:val="nil"/>
            </w:tcBorders>
            <w:shd w:val="clear" w:color="auto" w:fill="auto"/>
            <w:noWrap/>
            <w:vAlign w:val="bottom"/>
            <w:hideMark/>
          </w:tcPr>
          <w:p w14:paraId="35F4912A"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-17%***</w:t>
            </w:r>
          </w:p>
        </w:tc>
        <w:tc>
          <w:tcPr>
            <w:tcW w:w="681" w:type="pct"/>
            <w:tcBorders>
              <w:top w:val="nil"/>
              <w:left w:val="nil"/>
              <w:bottom w:val="single" w:sz="4" w:space="0" w:color="auto"/>
              <w:right w:val="single" w:sz="4" w:space="0" w:color="auto"/>
            </w:tcBorders>
            <w:shd w:val="clear" w:color="auto" w:fill="auto"/>
            <w:noWrap/>
            <w:vAlign w:val="bottom"/>
            <w:hideMark/>
          </w:tcPr>
          <w:p w14:paraId="0271C0DE"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p>
        </w:tc>
        <w:tc>
          <w:tcPr>
            <w:tcW w:w="682" w:type="pct"/>
            <w:tcBorders>
              <w:top w:val="nil"/>
              <w:left w:val="single" w:sz="4" w:space="0" w:color="auto"/>
              <w:bottom w:val="single" w:sz="4" w:space="0" w:color="auto"/>
              <w:right w:val="nil"/>
            </w:tcBorders>
            <w:shd w:val="clear" w:color="auto" w:fill="auto"/>
            <w:noWrap/>
            <w:vAlign w:val="bottom"/>
            <w:hideMark/>
          </w:tcPr>
          <w:p w14:paraId="6100B87F"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-11%***</w:t>
            </w:r>
          </w:p>
        </w:tc>
        <w:tc>
          <w:tcPr>
            <w:tcW w:w="681" w:type="pct"/>
            <w:tcBorders>
              <w:top w:val="nil"/>
              <w:left w:val="nil"/>
              <w:bottom w:val="single" w:sz="4" w:space="0" w:color="auto"/>
              <w:right w:val="nil"/>
            </w:tcBorders>
            <w:shd w:val="clear" w:color="auto" w:fill="auto"/>
            <w:noWrap/>
            <w:vAlign w:val="bottom"/>
            <w:hideMark/>
          </w:tcPr>
          <w:p w14:paraId="73B2D4A6"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-11%***</w:t>
            </w:r>
          </w:p>
        </w:tc>
      </w:tr>
      <w:tr w:rsidR="00D61CAD" w:rsidRPr="000939E3" w14:paraId="4C575A3A" w14:textId="77777777" w:rsidTr="000052C7">
        <w:trPr>
          <w:trHeight w:val="113"/>
          <w:jc w:val="center"/>
        </w:trPr>
        <w:tc>
          <w:tcPr>
            <w:tcW w:w="1477" w:type="pct"/>
            <w:tcBorders>
              <w:top w:val="single" w:sz="4" w:space="0" w:color="auto"/>
              <w:left w:val="nil"/>
              <w:right w:val="single" w:sz="4" w:space="0" w:color="auto"/>
            </w:tcBorders>
            <w:shd w:val="clear" w:color="auto" w:fill="auto"/>
            <w:noWrap/>
            <w:vAlign w:val="bottom"/>
            <w:hideMark/>
          </w:tcPr>
          <w:p w14:paraId="2159DD9D" w14:textId="77777777" w:rsidR="00D61CAD" w:rsidRPr="000939E3" w:rsidRDefault="00D61CAD" w:rsidP="000052C7">
            <w:pPr>
              <w:spacing w:after="0" w:line="240" w:lineRule="auto"/>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ženy</w:t>
            </w:r>
          </w:p>
        </w:tc>
        <w:tc>
          <w:tcPr>
            <w:tcW w:w="682" w:type="pct"/>
            <w:tcBorders>
              <w:top w:val="single" w:sz="4" w:space="0" w:color="auto"/>
              <w:left w:val="single" w:sz="4" w:space="0" w:color="auto"/>
              <w:right w:val="nil"/>
            </w:tcBorders>
            <w:shd w:val="clear" w:color="auto" w:fill="auto"/>
            <w:noWrap/>
            <w:vAlign w:val="bottom"/>
            <w:hideMark/>
          </w:tcPr>
          <w:p w14:paraId="0F9791FA"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-14%***</w:t>
            </w:r>
          </w:p>
        </w:tc>
        <w:tc>
          <w:tcPr>
            <w:tcW w:w="795" w:type="pct"/>
            <w:tcBorders>
              <w:top w:val="single" w:sz="4" w:space="0" w:color="auto"/>
              <w:left w:val="nil"/>
              <w:right w:val="nil"/>
            </w:tcBorders>
            <w:shd w:val="clear" w:color="auto" w:fill="auto"/>
            <w:noWrap/>
            <w:vAlign w:val="bottom"/>
            <w:hideMark/>
          </w:tcPr>
          <w:p w14:paraId="44C7D14D"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-10%***</w:t>
            </w:r>
          </w:p>
        </w:tc>
        <w:tc>
          <w:tcPr>
            <w:tcW w:w="681" w:type="pct"/>
            <w:tcBorders>
              <w:top w:val="single" w:sz="4" w:space="0" w:color="auto"/>
              <w:left w:val="nil"/>
              <w:right w:val="single" w:sz="4" w:space="0" w:color="auto"/>
            </w:tcBorders>
            <w:shd w:val="clear" w:color="auto" w:fill="auto"/>
            <w:noWrap/>
            <w:vAlign w:val="bottom"/>
            <w:hideMark/>
          </w:tcPr>
          <w:p w14:paraId="40B55AA1"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-2%*</w:t>
            </w:r>
            <w:r w:rsidRPr="000939E3">
              <w:rPr>
                <w:rFonts w:eastAsia="Times New Roman" w:cs="Times New Roman"/>
                <w:color w:val="FFFFFF" w:themeColor="background1"/>
                <w:sz w:val="20"/>
                <w:szCs w:val="20"/>
                <w:lang w:eastAsia="sk-SK"/>
              </w:rPr>
              <w:t>°</w:t>
            </w:r>
          </w:p>
        </w:tc>
        <w:tc>
          <w:tcPr>
            <w:tcW w:w="682" w:type="pct"/>
            <w:tcBorders>
              <w:top w:val="single" w:sz="4" w:space="0" w:color="auto"/>
              <w:left w:val="single" w:sz="4" w:space="0" w:color="auto"/>
              <w:right w:val="nil"/>
            </w:tcBorders>
            <w:shd w:val="clear" w:color="auto" w:fill="auto"/>
            <w:noWrap/>
            <w:vAlign w:val="bottom"/>
            <w:hideMark/>
          </w:tcPr>
          <w:p w14:paraId="08629C4C"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p>
        </w:tc>
        <w:tc>
          <w:tcPr>
            <w:tcW w:w="681" w:type="pct"/>
            <w:tcBorders>
              <w:top w:val="single" w:sz="4" w:space="0" w:color="auto"/>
              <w:left w:val="nil"/>
              <w:right w:val="nil"/>
            </w:tcBorders>
            <w:shd w:val="clear" w:color="auto" w:fill="auto"/>
            <w:noWrap/>
            <w:vAlign w:val="bottom"/>
            <w:hideMark/>
          </w:tcPr>
          <w:p w14:paraId="4A12BFDD"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p>
        </w:tc>
      </w:tr>
      <w:tr w:rsidR="00D61CAD" w:rsidRPr="000939E3" w14:paraId="3D7D6BF4" w14:textId="77777777" w:rsidTr="000052C7">
        <w:trPr>
          <w:trHeight w:val="113"/>
          <w:jc w:val="center"/>
        </w:trPr>
        <w:tc>
          <w:tcPr>
            <w:tcW w:w="1477" w:type="pct"/>
            <w:tcBorders>
              <w:top w:val="nil"/>
              <w:left w:val="nil"/>
              <w:bottom w:val="single" w:sz="4" w:space="0" w:color="auto"/>
              <w:right w:val="single" w:sz="4" w:space="0" w:color="auto"/>
            </w:tcBorders>
            <w:shd w:val="clear" w:color="auto" w:fill="auto"/>
            <w:noWrap/>
            <w:vAlign w:val="bottom"/>
            <w:hideMark/>
          </w:tcPr>
          <w:p w14:paraId="4E2D2DD9" w14:textId="77777777" w:rsidR="00D61CAD" w:rsidRPr="000939E3" w:rsidRDefault="00D61CAD" w:rsidP="000052C7">
            <w:pPr>
              <w:spacing w:after="0" w:line="240" w:lineRule="auto"/>
              <w:contextualSpacing/>
              <w:rPr>
                <w:rFonts w:eastAsia="Times New Roman" w:cs="Times New Roman"/>
                <w:color w:val="000000"/>
                <w:sz w:val="20"/>
                <w:szCs w:val="20"/>
                <w:lang w:eastAsia="sk-SK"/>
              </w:rPr>
            </w:pPr>
            <w:r w:rsidRPr="000939E3">
              <w:rPr>
                <w:rFonts w:eastAsia="Times New Roman" w:cs="Times New Roman"/>
                <w:color w:val="000000"/>
                <w:sz w:val="20"/>
                <w:szCs w:val="20"/>
                <w:lang w:eastAsia="sk-SK"/>
              </w:rPr>
              <w:t>muži</w:t>
            </w:r>
          </w:p>
        </w:tc>
        <w:tc>
          <w:tcPr>
            <w:tcW w:w="682" w:type="pct"/>
            <w:tcBorders>
              <w:top w:val="nil"/>
              <w:left w:val="single" w:sz="4" w:space="0" w:color="auto"/>
              <w:bottom w:val="single" w:sz="4" w:space="0" w:color="auto"/>
              <w:right w:val="nil"/>
            </w:tcBorders>
            <w:shd w:val="clear" w:color="auto" w:fill="auto"/>
            <w:noWrap/>
            <w:vAlign w:val="bottom"/>
            <w:hideMark/>
          </w:tcPr>
          <w:p w14:paraId="3644C250"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-3%***</w:t>
            </w:r>
          </w:p>
        </w:tc>
        <w:tc>
          <w:tcPr>
            <w:tcW w:w="795" w:type="pct"/>
            <w:tcBorders>
              <w:top w:val="nil"/>
              <w:left w:val="nil"/>
              <w:bottom w:val="single" w:sz="4" w:space="0" w:color="auto"/>
              <w:right w:val="nil"/>
            </w:tcBorders>
            <w:shd w:val="clear" w:color="auto" w:fill="auto"/>
            <w:noWrap/>
            <w:vAlign w:val="bottom"/>
            <w:hideMark/>
          </w:tcPr>
          <w:p w14:paraId="06DF40CC"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-1%**</w:t>
            </w:r>
            <w:r w:rsidRPr="000939E3">
              <w:rPr>
                <w:rFonts w:eastAsia="Times New Roman" w:cs="Times New Roman"/>
                <w:color w:val="FFFFFF" w:themeColor="background1"/>
                <w:sz w:val="20"/>
                <w:szCs w:val="20"/>
                <w:lang w:eastAsia="sk-SK"/>
              </w:rPr>
              <w:t>°</w:t>
            </w:r>
          </w:p>
        </w:tc>
        <w:tc>
          <w:tcPr>
            <w:tcW w:w="681" w:type="pct"/>
            <w:tcBorders>
              <w:top w:val="nil"/>
              <w:left w:val="nil"/>
              <w:bottom w:val="single" w:sz="4" w:space="0" w:color="auto"/>
              <w:right w:val="single" w:sz="4" w:space="0" w:color="auto"/>
            </w:tcBorders>
            <w:shd w:val="clear" w:color="auto" w:fill="auto"/>
            <w:noWrap/>
            <w:vAlign w:val="bottom"/>
            <w:hideMark/>
          </w:tcPr>
          <w:p w14:paraId="3DC57B65"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r w:rsidRPr="000939E3">
              <w:rPr>
                <w:rFonts w:eastAsia="Times New Roman" w:cs="Times New Roman"/>
                <w:color w:val="000000"/>
                <w:sz w:val="20"/>
                <w:szCs w:val="20"/>
                <w:lang w:eastAsia="sk-SK"/>
              </w:rPr>
              <w:t>8%***</w:t>
            </w:r>
          </w:p>
        </w:tc>
        <w:tc>
          <w:tcPr>
            <w:tcW w:w="682" w:type="pct"/>
            <w:tcBorders>
              <w:top w:val="nil"/>
              <w:left w:val="single" w:sz="4" w:space="0" w:color="auto"/>
              <w:bottom w:val="single" w:sz="4" w:space="0" w:color="auto"/>
              <w:right w:val="nil"/>
            </w:tcBorders>
            <w:shd w:val="clear" w:color="auto" w:fill="auto"/>
            <w:noWrap/>
            <w:vAlign w:val="bottom"/>
            <w:hideMark/>
          </w:tcPr>
          <w:p w14:paraId="5C1BAEC0" w14:textId="77777777" w:rsidR="00D61CAD" w:rsidRPr="000939E3" w:rsidRDefault="00D61CAD" w:rsidP="000052C7">
            <w:pPr>
              <w:spacing w:after="0" w:line="240" w:lineRule="auto"/>
              <w:contextualSpacing/>
              <w:jc w:val="right"/>
              <w:rPr>
                <w:rFonts w:eastAsia="Times New Roman" w:cs="Times New Roman"/>
                <w:color w:val="000000"/>
                <w:sz w:val="20"/>
                <w:szCs w:val="20"/>
                <w:lang w:eastAsia="sk-SK"/>
              </w:rPr>
            </w:pPr>
          </w:p>
        </w:tc>
        <w:tc>
          <w:tcPr>
            <w:tcW w:w="681" w:type="pct"/>
            <w:tcBorders>
              <w:top w:val="nil"/>
              <w:left w:val="nil"/>
              <w:bottom w:val="single" w:sz="4" w:space="0" w:color="auto"/>
              <w:right w:val="nil"/>
            </w:tcBorders>
            <w:shd w:val="clear" w:color="auto" w:fill="auto"/>
            <w:noWrap/>
            <w:vAlign w:val="bottom"/>
            <w:hideMark/>
          </w:tcPr>
          <w:p w14:paraId="2D0BEC85"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p>
        </w:tc>
      </w:tr>
      <w:tr w:rsidR="00D61CAD" w:rsidRPr="000939E3" w14:paraId="06F33D9A" w14:textId="77777777" w:rsidTr="000052C7">
        <w:trPr>
          <w:trHeight w:val="113"/>
          <w:jc w:val="center"/>
        </w:trPr>
        <w:tc>
          <w:tcPr>
            <w:tcW w:w="5000" w:type="pct"/>
            <w:gridSpan w:val="6"/>
            <w:tcBorders>
              <w:top w:val="single" w:sz="4" w:space="0" w:color="auto"/>
              <w:left w:val="nil"/>
            </w:tcBorders>
            <w:shd w:val="clear" w:color="auto" w:fill="auto"/>
            <w:noWrap/>
            <w:vAlign w:val="bottom"/>
          </w:tcPr>
          <w:p w14:paraId="0FA34DFB" w14:textId="77777777" w:rsidR="00D61CAD" w:rsidRPr="000939E3" w:rsidRDefault="00D61CAD" w:rsidP="000052C7">
            <w:pPr>
              <w:spacing w:after="0" w:line="240" w:lineRule="auto"/>
              <w:contextualSpacing/>
              <w:jc w:val="right"/>
              <w:rPr>
                <w:rFonts w:eastAsia="Times New Roman" w:cs="Times New Roman"/>
                <w:i/>
                <w:sz w:val="20"/>
                <w:szCs w:val="20"/>
                <w:lang w:eastAsia="sk-SK"/>
              </w:rPr>
            </w:pPr>
            <w:r w:rsidRPr="000939E3">
              <w:rPr>
                <w:rFonts w:eastAsia="Times New Roman" w:cs="Times New Roman"/>
                <w:i/>
                <w:sz w:val="18"/>
                <w:szCs w:val="20"/>
                <w:lang w:eastAsia="sk-SK"/>
              </w:rPr>
              <w:t>Zdroj: prepočty ÚHP</w:t>
            </w:r>
          </w:p>
        </w:tc>
      </w:tr>
    </w:tbl>
    <w:p w14:paraId="3C8EDEE3" w14:textId="77777777" w:rsidR="00D61CAD" w:rsidRPr="000939E3" w:rsidRDefault="00D61CAD" w:rsidP="00D61CAD">
      <w:pPr>
        <w:spacing w:after="160" w:line="259" w:lineRule="auto"/>
        <w:jc w:val="left"/>
      </w:pPr>
    </w:p>
    <w:tbl>
      <w:tblPr>
        <w:tblW w:w="5000" w:type="pct"/>
        <w:tblCellMar>
          <w:left w:w="70" w:type="dxa"/>
          <w:right w:w="70" w:type="dxa"/>
        </w:tblCellMar>
        <w:tblLook w:val="04A0" w:firstRow="1" w:lastRow="0" w:firstColumn="1" w:lastColumn="0" w:noHBand="0" w:noVBand="1"/>
      </w:tblPr>
      <w:tblGrid>
        <w:gridCol w:w="1947"/>
        <w:gridCol w:w="1261"/>
        <w:gridCol w:w="1473"/>
        <w:gridCol w:w="1457"/>
        <w:gridCol w:w="1341"/>
        <w:gridCol w:w="1593"/>
      </w:tblGrid>
      <w:tr w:rsidR="00D61CAD" w:rsidRPr="000939E3" w14:paraId="660624C0" w14:textId="77777777" w:rsidTr="000052C7">
        <w:trPr>
          <w:trHeight w:val="20"/>
        </w:trPr>
        <w:tc>
          <w:tcPr>
            <w:tcW w:w="2580" w:type="pct"/>
            <w:gridSpan w:val="3"/>
            <w:tcBorders>
              <w:top w:val="nil"/>
              <w:left w:val="nil"/>
              <w:bottom w:val="single" w:sz="4" w:space="0" w:color="auto"/>
              <w:right w:val="nil"/>
            </w:tcBorders>
            <w:shd w:val="clear" w:color="auto" w:fill="auto"/>
            <w:noWrap/>
            <w:vAlign w:val="bottom"/>
          </w:tcPr>
          <w:p w14:paraId="5BF54D58" w14:textId="77777777" w:rsidR="00D61CAD" w:rsidRPr="000939E3" w:rsidRDefault="00D61CAD" w:rsidP="000052C7">
            <w:pPr>
              <w:pStyle w:val="Popis"/>
              <w:rPr>
                <w:rFonts w:eastAsia="Times New Roman" w:cs="Times New Roman"/>
                <w:color w:val="000000"/>
              </w:rPr>
            </w:pPr>
            <w:bookmarkStart w:id="323" w:name="_Ref528317027"/>
            <w:r w:rsidRPr="000939E3">
              <w:rPr>
                <w:sz w:val="22"/>
              </w:rPr>
              <w:t xml:space="preserve">Príloha </w:t>
            </w:r>
            <w:r w:rsidRPr="000939E3">
              <w:rPr>
                <w:sz w:val="22"/>
              </w:rPr>
              <w:fldChar w:fldCharType="begin"/>
            </w:r>
            <w:r w:rsidRPr="000939E3">
              <w:rPr>
                <w:sz w:val="22"/>
              </w:rPr>
              <w:instrText xml:space="preserve"> SEQ Príloha \* ARABIC </w:instrText>
            </w:r>
            <w:r w:rsidRPr="000939E3">
              <w:rPr>
                <w:sz w:val="22"/>
              </w:rPr>
              <w:fldChar w:fldCharType="separate"/>
            </w:r>
            <w:r w:rsidR="00BF69CA">
              <w:rPr>
                <w:noProof/>
                <w:sz w:val="22"/>
              </w:rPr>
              <w:t>10</w:t>
            </w:r>
            <w:r w:rsidRPr="000939E3">
              <w:rPr>
                <w:sz w:val="22"/>
              </w:rPr>
              <w:fldChar w:fldCharType="end"/>
            </w:r>
            <w:bookmarkEnd w:id="323"/>
            <w:r w:rsidRPr="000939E3">
              <w:rPr>
                <w:sz w:val="22"/>
              </w:rPr>
              <w:t xml:space="preserve">: </w:t>
            </w:r>
            <w:r w:rsidRPr="000939E3">
              <w:rPr>
                <w:rFonts w:eastAsia="Times New Roman" w:cs="Times New Roman"/>
                <w:bCs/>
                <w:sz w:val="22"/>
              </w:rPr>
              <w:t>Výsledok probit regresie</w:t>
            </w:r>
          </w:p>
        </w:tc>
        <w:tc>
          <w:tcPr>
            <w:tcW w:w="1542" w:type="pct"/>
            <w:gridSpan w:val="2"/>
            <w:tcBorders>
              <w:top w:val="nil"/>
              <w:left w:val="nil"/>
              <w:bottom w:val="single" w:sz="4" w:space="0" w:color="auto"/>
              <w:right w:val="nil"/>
            </w:tcBorders>
            <w:shd w:val="clear" w:color="auto" w:fill="auto"/>
            <w:noWrap/>
            <w:vAlign w:val="bottom"/>
          </w:tcPr>
          <w:p w14:paraId="6CA51E14" w14:textId="77777777" w:rsidR="00D61CAD" w:rsidRPr="000939E3" w:rsidRDefault="00D61CAD" w:rsidP="000052C7">
            <w:pPr>
              <w:spacing w:after="0" w:line="240" w:lineRule="auto"/>
              <w:contextualSpacing/>
              <w:rPr>
                <w:color w:val="000000"/>
              </w:rPr>
            </w:pPr>
          </w:p>
        </w:tc>
        <w:tc>
          <w:tcPr>
            <w:tcW w:w="878" w:type="pct"/>
            <w:tcBorders>
              <w:top w:val="nil"/>
              <w:left w:val="nil"/>
              <w:bottom w:val="single" w:sz="4" w:space="0" w:color="auto"/>
              <w:right w:val="nil"/>
            </w:tcBorders>
            <w:shd w:val="clear" w:color="auto" w:fill="auto"/>
            <w:noWrap/>
            <w:vAlign w:val="bottom"/>
          </w:tcPr>
          <w:p w14:paraId="157FE1CD" w14:textId="77777777" w:rsidR="00D61CAD" w:rsidRPr="000939E3" w:rsidRDefault="00D61CAD" w:rsidP="000052C7">
            <w:pPr>
              <w:spacing w:after="0" w:line="240" w:lineRule="auto"/>
              <w:contextualSpacing/>
              <w:jc w:val="right"/>
              <w:rPr>
                <w:rFonts w:eastAsia="Times New Roman" w:cs="Times New Roman"/>
                <w:color w:val="000000"/>
                <w:lang w:eastAsia="sk-SK"/>
              </w:rPr>
            </w:pPr>
          </w:p>
        </w:tc>
      </w:tr>
      <w:tr w:rsidR="00D61CAD" w:rsidRPr="000939E3" w14:paraId="5286656C" w14:textId="77777777" w:rsidTr="000052C7">
        <w:trPr>
          <w:trHeight w:val="20"/>
        </w:trPr>
        <w:tc>
          <w:tcPr>
            <w:tcW w:w="2580" w:type="pct"/>
            <w:gridSpan w:val="3"/>
            <w:tcBorders>
              <w:top w:val="single" w:sz="4" w:space="0" w:color="auto"/>
              <w:left w:val="nil"/>
              <w:bottom w:val="nil"/>
              <w:right w:val="nil"/>
            </w:tcBorders>
            <w:shd w:val="clear" w:color="auto" w:fill="auto"/>
            <w:noWrap/>
            <w:vAlign w:val="bottom"/>
            <w:hideMark/>
          </w:tcPr>
          <w:p w14:paraId="14BCCB32" w14:textId="77777777" w:rsidR="00D61CAD" w:rsidRPr="000939E3" w:rsidRDefault="00D61CAD" w:rsidP="000052C7">
            <w:pPr>
              <w:spacing w:after="0" w:line="240" w:lineRule="auto"/>
              <w:contextualSpacing/>
              <w:rPr>
                <w:rFonts w:eastAsia="Times New Roman" w:cs="Times New Roman"/>
                <w:color w:val="000000"/>
                <w:lang w:eastAsia="sk-SK"/>
              </w:rPr>
            </w:pPr>
            <w:r w:rsidRPr="000939E3">
              <w:rPr>
                <w:rFonts w:eastAsia="Times New Roman" w:cs="Times New Roman"/>
                <w:color w:val="000000"/>
                <w:lang w:eastAsia="sk-SK"/>
              </w:rPr>
              <w:t xml:space="preserve">Probit regression        </w:t>
            </w:r>
          </w:p>
        </w:tc>
        <w:tc>
          <w:tcPr>
            <w:tcW w:w="1542" w:type="pct"/>
            <w:gridSpan w:val="2"/>
            <w:tcBorders>
              <w:top w:val="single" w:sz="4" w:space="0" w:color="auto"/>
              <w:left w:val="nil"/>
              <w:bottom w:val="nil"/>
              <w:right w:val="nil"/>
            </w:tcBorders>
            <w:shd w:val="clear" w:color="auto" w:fill="auto"/>
            <w:noWrap/>
            <w:vAlign w:val="bottom"/>
            <w:hideMark/>
          </w:tcPr>
          <w:p w14:paraId="29CBF0CB"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r w:rsidRPr="000939E3">
              <w:rPr>
                <w:color w:val="000000"/>
              </w:rPr>
              <w:t>Počet pozorovaní  =</w:t>
            </w:r>
          </w:p>
        </w:tc>
        <w:tc>
          <w:tcPr>
            <w:tcW w:w="878" w:type="pct"/>
            <w:tcBorders>
              <w:top w:val="single" w:sz="4" w:space="0" w:color="auto"/>
              <w:left w:val="nil"/>
              <w:right w:val="nil"/>
            </w:tcBorders>
            <w:shd w:val="clear" w:color="auto" w:fill="auto"/>
            <w:noWrap/>
            <w:vAlign w:val="bottom"/>
            <w:hideMark/>
          </w:tcPr>
          <w:p w14:paraId="0FE154FF" w14:textId="77777777" w:rsidR="00D61CAD" w:rsidRPr="000939E3" w:rsidRDefault="00D61CAD" w:rsidP="000052C7">
            <w:pPr>
              <w:spacing w:after="0" w:line="240" w:lineRule="auto"/>
              <w:contextualSpacing/>
              <w:jc w:val="right"/>
              <w:rPr>
                <w:rFonts w:eastAsia="Times New Roman" w:cs="Times New Roman"/>
                <w:color w:val="000000"/>
                <w:lang w:eastAsia="sk-SK"/>
              </w:rPr>
            </w:pPr>
            <w:r w:rsidRPr="000939E3">
              <w:rPr>
                <w:rFonts w:eastAsia="Times New Roman" w:cs="Times New Roman"/>
                <w:color w:val="000000"/>
                <w:lang w:eastAsia="sk-SK"/>
              </w:rPr>
              <w:t>1 635</w:t>
            </w:r>
          </w:p>
        </w:tc>
      </w:tr>
      <w:tr w:rsidR="00D61CAD" w:rsidRPr="000939E3" w14:paraId="0015472A" w14:textId="77777777" w:rsidTr="000052C7">
        <w:trPr>
          <w:trHeight w:val="20"/>
        </w:trPr>
        <w:tc>
          <w:tcPr>
            <w:tcW w:w="1073" w:type="pct"/>
            <w:tcBorders>
              <w:top w:val="nil"/>
              <w:left w:val="nil"/>
              <w:bottom w:val="nil"/>
              <w:right w:val="nil"/>
            </w:tcBorders>
            <w:shd w:val="clear" w:color="auto" w:fill="auto"/>
            <w:noWrap/>
            <w:vAlign w:val="bottom"/>
          </w:tcPr>
          <w:p w14:paraId="08EDAF36" w14:textId="77777777" w:rsidR="00D61CAD" w:rsidRPr="000939E3" w:rsidRDefault="00D61CAD" w:rsidP="000052C7">
            <w:pPr>
              <w:spacing w:after="0" w:line="240" w:lineRule="auto"/>
              <w:contextualSpacing/>
              <w:rPr>
                <w:rFonts w:eastAsia="Times New Roman" w:cs="Times New Roman"/>
                <w:color w:val="000000"/>
                <w:lang w:eastAsia="sk-SK"/>
              </w:rPr>
            </w:pPr>
          </w:p>
        </w:tc>
        <w:tc>
          <w:tcPr>
            <w:tcW w:w="695" w:type="pct"/>
            <w:tcBorders>
              <w:top w:val="nil"/>
              <w:left w:val="nil"/>
              <w:bottom w:val="nil"/>
              <w:right w:val="nil"/>
            </w:tcBorders>
            <w:shd w:val="clear" w:color="auto" w:fill="auto"/>
            <w:noWrap/>
            <w:vAlign w:val="bottom"/>
          </w:tcPr>
          <w:p w14:paraId="21676F54"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p>
        </w:tc>
        <w:tc>
          <w:tcPr>
            <w:tcW w:w="812" w:type="pct"/>
            <w:tcBorders>
              <w:top w:val="nil"/>
              <w:left w:val="nil"/>
              <w:bottom w:val="nil"/>
              <w:right w:val="nil"/>
            </w:tcBorders>
            <w:shd w:val="clear" w:color="auto" w:fill="auto"/>
            <w:noWrap/>
            <w:vAlign w:val="bottom"/>
            <w:hideMark/>
          </w:tcPr>
          <w:p w14:paraId="1826B2A6"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p>
        </w:tc>
        <w:tc>
          <w:tcPr>
            <w:tcW w:w="1542" w:type="pct"/>
            <w:gridSpan w:val="2"/>
            <w:tcBorders>
              <w:top w:val="nil"/>
              <w:left w:val="nil"/>
              <w:bottom w:val="nil"/>
              <w:right w:val="nil"/>
            </w:tcBorders>
            <w:shd w:val="clear" w:color="auto" w:fill="auto"/>
            <w:noWrap/>
            <w:vAlign w:val="bottom"/>
            <w:hideMark/>
          </w:tcPr>
          <w:p w14:paraId="1FA04893"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r w:rsidRPr="000939E3">
              <w:rPr>
                <w:color w:val="000000"/>
              </w:rPr>
              <w:t>LR chi2(4)     =</w:t>
            </w:r>
          </w:p>
        </w:tc>
        <w:tc>
          <w:tcPr>
            <w:tcW w:w="878" w:type="pct"/>
            <w:tcBorders>
              <w:left w:val="nil"/>
              <w:right w:val="nil"/>
            </w:tcBorders>
            <w:shd w:val="clear" w:color="auto" w:fill="auto"/>
            <w:noWrap/>
            <w:vAlign w:val="bottom"/>
            <w:hideMark/>
          </w:tcPr>
          <w:p w14:paraId="630CE0B4" w14:textId="77777777" w:rsidR="00D61CAD" w:rsidRPr="000939E3" w:rsidRDefault="00D61CAD" w:rsidP="000052C7">
            <w:pPr>
              <w:spacing w:after="0" w:line="240" w:lineRule="auto"/>
              <w:contextualSpacing/>
              <w:jc w:val="right"/>
              <w:rPr>
                <w:rFonts w:eastAsia="Times New Roman" w:cs="Times New Roman"/>
                <w:color w:val="000000"/>
                <w:lang w:eastAsia="sk-SK"/>
              </w:rPr>
            </w:pPr>
            <w:r w:rsidRPr="000939E3">
              <w:rPr>
                <w:rFonts w:eastAsia="Times New Roman" w:cs="Times New Roman"/>
                <w:color w:val="000000"/>
                <w:lang w:eastAsia="sk-SK"/>
              </w:rPr>
              <w:t>37,53</w:t>
            </w:r>
          </w:p>
        </w:tc>
      </w:tr>
      <w:tr w:rsidR="00D61CAD" w:rsidRPr="000939E3" w14:paraId="486F1F4B" w14:textId="77777777" w:rsidTr="000052C7">
        <w:trPr>
          <w:trHeight w:val="20"/>
        </w:trPr>
        <w:tc>
          <w:tcPr>
            <w:tcW w:w="1073" w:type="pct"/>
            <w:tcBorders>
              <w:top w:val="nil"/>
              <w:left w:val="nil"/>
              <w:bottom w:val="nil"/>
              <w:right w:val="nil"/>
            </w:tcBorders>
            <w:shd w:val="clear" w:color="auto" w:fill="auto"/>
            <w:noWrap/>
            <w:vAlign w:val="bottom"/>
            <w:hideMark/>
          </w:tcPr>
          <w:p w14:paraId="4B57CDB4" w14:textId="77777777" w:rsidR="00D61CAD" w:rsidRPr="000939E3" w:rsidRDefault="00D61CAD" w:rsidP="000052C7">
            <w:pPr>
              <w:spacing w:after="0" w:line="240" w:lineRule="auto"/>
              <w:contextualSpacing/>
              <w:rPr>
                <w:rFonts w:eastAsia="Times New Roman" w:cs="Times New Roman"/>
                <w:color w:val="000000"/>
                <w:lang w:eastAsia="sk-SK"/>
              </w:rPr>
            </w:pPr>
          </w:p>
        </w:tc>
        <w:tc>
          <w:tcPr>
            <w:tcW w:w="695" w:type="pct"/>
            <w:tcBorders>
              <w:top w:val="nil"/>
              <w:left w:val="nil"/>
              <w:bottom w:val="nil"/>
              <w:right w:val="nil"/>
            </w:tcBorders>
            <w:shd w:val="clear" w:color="auto" w:fill="auto"/>
            <w:noWrap/>
            <w:vAlign w:val="bottom"/>
            <w:hideMark/>
          </w:tcPr>
          <w:p w14:paraId="027B5C1F"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p>
        </w:tc>
        <w:tc>
          <w:tcPr>
            <w:tcW w:w="812" w:type="pct"/>
            <w:tcBorders>
              <w:top w:val="nil"/>
              <w:left w:val="nil"/>
              <w:bottom w:val="nil"/>
              <w:right w:val="nil"/>
            </w:tcBorders>
            <w:shd w:val="clear" w:color="auto" w:fill="auto"/>
            <w:noWrap/>
            <w:vAlign w:val="bottom"/>
            <w:hideMark/>
          </w:tcPr>
          <w:p w14:paraId="5189B753"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p>
        </w:tc>
        <w:tc>
          <w:tcPr>
            <w:tcW w:w="1542" w:type="pct"/>
            <w:gridSpan w:val="2"/>
            <w:tcBorders>
              <w:top w:val="nil"/>
              <w:left w:val="nil"/>
              <w:bottom w:val="nil"/>
              <w:right w:val="nil"/>
            </w:tcBorders>
            <w:shd w:val="clear" w:color="auto" w:fill="auto"/>
            <w:noWrap/>
            <w:vAlign w:val="bottom"/>
            <w:hideMark/>
          </w:tcPr>
          <w:p w14:paraId="2B4ACF7C"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r w:rsidRPr="000939E3">
              <w:rPr>
                <w:color w:val="000000"/>
              </w:rPr>
              <w:t>Prob &gt; chi2     =</w:t>
            </w:r>
          </w:p>
        </w:tc>
        <w:tc>
          <w:tcPr>
            <w:tcW w:w="878" w:type="pct"/>
            <w:tcBorders>
              <w:left w:val="nil"/>
              <w:right w:val="nil"/>
            </w:tcBorders>
            <w:shd w:val="clear" w:color="auto" w:fill="auto"/>
            <w:noWrap/>
            <w:vAlign w:val="bottom"/>
            <w:hideMark/>
          </w:tcPr>
          <w:p w14:paraId="70069AD7" w14:textId="77777777" w:rsidR="00D61CAD" w:rsidRPr="000939E3" w:rsidRDefault="00D61CAD" w:rsidP="000052C7">
            <w:pPr>
              <w:spacing w:after="0" w:line="240" w:lineRule="auto"/>
              <w:contextualSpacing/>
              <w:jc w:val="right"/>
              <w:rPr>
                <w:rFonts w:eastAsia="Times New Roman" w:cs="Times New Roman"/>
                <w:color w:val="000000"/>
                <w:lang w:eastAsia="sk-SK"/>
              </w:rPr>
            </w:pPr>
            <w:r w:rsidRPr="000939E3">
              <w:rPr>
                <w:rFonts w:eastAsia="Times New Roman" w:cs="Times New Roman"/>
                <w:color w:val="000000"/>
                <w:lang w:eastAsia="sk-SK"/>
              </w:rPr>
              <w:t>0,0000</w:t>
            </w:r>
          </w:p>
        </w:tc>
      </w:tr>
      <w:tr w:rsidR="00D61CAD" w:rsidRPr="000939E3" w14:paraId="081FF6F5" w14:textId="77777777" w:rsidTr="000052C7">
        <w:trPr>
          <w:trHeight w:val="20"/>
        </w:trPr>
        <w:tc>
          <w:tcPr>
            <w:tcW w:w="2580" w:type="pct"/>
            <w:gridSpan w:val="3"/>
            <w:tcBorders>
              <w:top w:val="nil"/>
              <w:left w:val="nil"/>
              <w:bottom w:val="nil"/>
              <w:right w:val="nil"/>
            </w:tcBorders>
            <w:shd w:val="clear" w:color="auto" w:fill="auto"/>
            <w:noWrap/>
            <w:vAlign w:val="bottom"/>
            <w:hideMark/>
          </w:tcPr>
          <w:p w14:paraId="6A105D61" w14:textId="77777777" w:rsidR="00D61CAD" w:rsidRPr="000939E3" w:rsidRDefault="00D61CAD" w:rsidP="000052C7">
            <w:pPr>
              <w:spacing w:after="0" w:line="240" w:lineRule="auto"/>
              <w:contextualSpacing/>
              <w:rPr>
                <w:rFonts w:eastAsia="Times New Roman" w:cs="Times New Roman"/>
                <w:color w:val="000000"/>
                <w:lang w:eastAsia="sk-SK"/>
              </w:rPr>
            </w:pPr>
            <w:r w:rsidRPr="000939E3">
              <w:rPr>
                <w:rFonts w:eastAsia="Times New Roman" w:cs="Times New Roman"/>
                <w:color w:val="000000"/>
                <w:lang w:eastAsia="sk-SK"/>
              </w:rPr>
              <w:t xml:space="preserve">Log likelihood = -1093,2874     </w:t>
            </w:r>
          </w:p>
        </w:tc>
        <w:tc>
          <w:tcPr>
            <w:tcW w:w="1542" w:type="pct"/>
            <w:gridSpan w:val="2"/>
            <w:tcBorders>
              <w:top w:val="nil"/>
              <w:left w:val="nil"/>
              <w:bottom w:val="nil"/>
              <w:right w:val="nil"/>
            </w:tcBorders>
            <w:shd w:val="clear" w:color="auto" w:fill="auto"/>
            <w:noWrap/>
            <w:vAlign w:val="bottom"/>
            <w:hideMark/>
          </w:tcPr>
          <w:p w14:paraId="10DB49FA"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r w:rsidRPr="000939E3">
              <w:rPr>
                <w:color w:val="000000"/>
              </w:rPr>
              <w:t xml:space="preserve">Pseudo R2     = </w:t>
            </w:r>
          </w:p>
        </w:tc>
        <w:tc>
          <w:tcPr>
            <w:tcW w:w="878" w:type="pct"/>
            <w:tcBorders>
              <w:left w:val="nil"/>
              <w:right w:val="nil"/>
            </w:tcBorders>
            <w:shd w:val="clear" w:color="auto" w:fill="auto"/>
            <w:noWrap/>
            <w:vAlign w:val="bottom"/>
            <w:hideMark/>
          </w:tcPr>
          <w:p w14:paraId="47B1B956" w14:textId="77777777" w:rsidR="00D61CAD" w:rsidRPr="000939E3" w:rsidRDefault="00D61CAD" w:rsidP="000052C7">
            <w:pPr>
              <w:spacing w:after="0" w:line="240" w:lineRule="auto"/>
              <w:contextualSpacing/>
              <w:jc w:val="right"/>
              <w:rPr>
                <w:rFonts w:eastAsia="Times New Roman" w:cs="Times New Roman"/>
                <w:color w:val="000000"/>
                <w:lang w:eastAsia="sk-SK"/>
              </w:rPr>
            </w:pPr>
            <w:r w:rsidRPr="000939E3">
              <w:rPr>
                <w:rFonts w:eastAsia="Times New Roman" w:cs="Times New Roman"/>
                <w:color w:val="000000"/>
                <w:lang w:eastAsia="sk-SK"/>
              </w:rPr>
              <w:t>0,0169</w:t>
            </w:r>
          </w:p>
        </w:tc>
      </w:tr>
      <w:tr w:rsidR="00D61CAD" w:rsidRPr="000939E3" w14:paraId="56BE6C21" w14:textId="77777777" w:rsidTr="000052C7">
        <w:trPr>
          <w:trHeight w:val="20"/>
        </w:trPr>
        <w:tc>
          <w:tcPr>
            <w:tcW w:w="1073" w:type="pct"/>
            <w:tcBorders>
              <w:top w:val="nil"/>
              <w:left w:val="nil"/>
              <w:bottom w:val="nil"/>
              <w:right w:val="nil"/>
            </w:tcBorders>
            <w:shd w:val="clear" w:color="auto" w:fill="auto"/>
            <w:noWrap/>
            <w:vAlign w:val="bottom"/>
            <w:hideMark/>
          </w:tcPr>
          <w:p w14:paraId="4D51B8E5" w14:textId="77777777" w:rsidR="00D61CAD" w:rsidRPr="000939E3" w:rsidRDefault="00D61CAD" w:rsidP="000052C7">
            <w:pPr>
              <w:spacing w:after="0" w:line="240" w:lineRule="auto"/>
              <w:contextualSpacing/>
              <w:rPr>
                <w:rFonts w:eastAsia="Times New Roman" w:cs="Times New Roman"/>
                <w:color w:val="000000"/>
                <w:lang w:eastAsia="sk-SK"/>
              </w:rPr>
            </w:pPr>
          </w:p>
        </w:tc>
        <w:tc>
          <w:tcPr>
            <w:tcW w:w="695" w:type="pct"/>
            <w:tcBorders>
              <w:top w:val="nil"/>
              <w:left w:val="nil"/>
              <w:bottom w:val="nil"/>
              <w:right w:val="nil"/>
            </w:tcBorders>
            <w:shd w:val="clear" w:color="auto" w:fill="auto"/>
            <w:noWrap/>
            <w:vAlign w:val="bottom"/>
            <w:hideMark/>
          </w:tcPr>
          <w:p w14:paraId="532F0341"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p>
        </w:tc>
        <w:tc>
          <w:tcPr>
            <w:tcW w:w="812" w:type="pct"/>
            <w:tcBorders>
              <w:top w:val="nil"/>
              <w:left w:val="nil"/>
              <w:bottom w:val="nil"/>
              <w:right w:val="nil"/>
            </w:tcBorders>
            <w:shd w:val="clear" w:color="auto" w:fill="auto"/>
            <w:noWrap/>
            <w:vAlign w:val="bottom"/>
            <w:hideMark/>
          </w:tcPr>
          <w:p w14:paraId="4D9CBB31"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p>
        </w:tc>
        <w:tc>
          <w:tcPr>
            <w:tcW w:w="803" w:type="pct"/>
            <w:tcBorders>
              <w:top w:val="nil"/>
              <w:left w:val="nil"/>
              <w:bottom w:val="nil"/>
              <w:right w:val="nil"/>
            </w:tcBorders>
            <w:shd w:val="clear" w:color="auto" w:fill="auto"/>
            <w:noWrap/>
            <w:vAlign w:val="bottom"/>
            <w:hideMark/>
          </w:tcPr>
          <w:p w14:paraId="10C613D5"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p>
        </w:tc>
        <w:tc>
          <w:tcPr>
            <w:tcW w:w="739" w:type="pct"/>
            <w:tcBorders>
              <w:top w:val="nil"/>
              <w:left w:val="nil"/>
              <w:bottom w:val="nil"/>
              <w:right w:val="nil"/>
            </w:tcBorders>
            <w:shd w:val="clear" w:color="auto" w:fill="auto"/>
            <w:noWrap/>
            <w:vAlign w:val="bottom"/>
            <w:hideMark/>
          </w:tcPr>
          <w:p w14:paraId="19F37B5E"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p>
        </w:tc>
        <w:tc>
          <w:tcPr>
            <w:tcW w:w="878" w:type="pct"/>
            <w:tcBorders>
              <w:left w:val="nil"/>
              <w:bottom w:val="nil"/>
              <w:right w:val="nil"/>
            </w:tcBorders>
            <w:shd w:val="clear" w:color="auto" w:fill="auto"/>
            <w:noWrap/>
            <w:vAlign w:val="bottom"/>
            <w:hideMark/>
          </w:tcPr>
          <w:p w14:paraId="2CD08656" w14:textId="77777777" w:rsidR="00D61CAD" w:rsidRPr="000939E3" w:rsidRDefault="00D61CAD" w:rsidP="000052C7">
            <w:pPr>
              <w:spacing w:after="0" w:line="240" w:lineRule="auto"/>
              <w:contextualSpacing/>
              <w:rPr>
                <w:rFonts w:ascii="Times New Roman" w:eastAsia="Times New Roman" w:hAnsi="Times New Roman" w:cs="Times New Roman"/>
                <w:sz w:val="20"/>
                <w:szCs w:val="20"/>
                <w:lang w:eastAsia="sk-SK"/>
              </w:rPr>
            </w:pPr>
          </w:p>
        </w:tc>
      </w:tr>
      <w:tr w:rsidR="00D61CAD" w:rsidRPr="000939E3" w14:paraId="74780F75" w14:textId="77777777" w:rsidTr="000052C7">
        <w:trPr>
          <w:trHeight w:val="20"/>
        </w:trPr>
        <w:tc>
          <w:tcPr>
            <w:tcW w:w="1073" w:type="pct"/>
            <w:tcBorders>
              <w:top w:val="nil"/>
              <w:left w:val="nil"/>
              <w:bottom w:val="dashed" w:sz="4" w:space="0" w:color="auto"/>
              <w:right w:val="nil"/>
            </w:tcBorders>
            <w:shd w:val="clear" w:color="auto" w:fill="auto"/>
            <w:noWrap/>
            <w:vAlign w:val="bottom"/>
            <w:hideMark/>
          </w:tcPr>
          <w:p w14:paraId="6247147D" w14:textId="77777777" w:rsidR="00D61CAD" w:rsidRPr="000939E3" w:rsidRDefault="00D61CAD" w:rsidP="000052C7">
            <w:pPr>
              <w:spacing w:after="0" w:line="240" w:lineRule="auto"/>
              <w:contextualSpacing/>
              <w:rPr>
                <w:rFonts w:eastAsia="Times New Roman" w:cs="Times New Roman"/>
                <w:color w:val="000000"/>
                <w:lang w:eastAsia="sk-SK"/>
              </w:rPr>
            </w:pPr>
            <w:r w:rsidRPr="000939E3">
              <w:rPr>
                <w:rFonts w:eastAsia="Times New Roman" w:cs="Times New Roman"/>
                <w:color w:val="000000"/>
                <w:lang w:eastAsia="sk-SK"/>
              </w:rPr>
              <w:t>sv</w:t>
            </w:r>
          </w:p>
        </w:tc>
        <w:tc>
          <w:tcPr>
            <w:tcW w:w="695" w:type="pct"/>
            <w:tcBorders>
              <w:top w:val="nil"/>
              <w:left w:val="nil"/>
              <w:bottom w:val="dashed" w:sz="4" w:space="0" w:color="auto"/>
              <w:right w:val="nil"/>
            </w:tcBorders>
            <w:shd w:val="clear" w:color="auto" w:fill="auto"/>
            <w:noWrap/>
            <w:vAlign w:val="bottom"/>
            <w:hideMark/>
          </w:tcPr>
          <w:p w14:paraId="5BE9EBD4" w14:textId="77777777" w:rsidR="00D61CAD" w:rsidRPr="000939E3" w:rsidRDefault="00D61CAD" w:rsidP="000052C7">
            <w:pPr>
              <w:spacing w:after="0" w:line="240" w:lineRule="auto"/>
              <w:ind w:right="9"/>
              <w:contextualSpacing/>
              <w:jc w:val="right"/>
              <w:rPr>
                <w:rFonts w:eastAsia="Times New Roman" w:cs="Times New Roman"/>
                <w:color w:val="000000"/>
                <w:lang w:eastAsia="sk-SK"/>
              </w:rPr>
            </w:pPr>
            <w:r w:rsidRPr="000939E3">
              <w:rPr>
                <w:rFonts w:eastAsia="Times New Roman" w:cs="Times New Roman"/>
                <w:color w:val="000000"/>
                <w:lang w:eastAsia="sk-SK"/>
              </w:rPr>
              <w:t>koeficient</w:t>
            </w:r>
          </w:p>
        </w:tc>
        <w:tc>
          <w:tcPr>
            <w:tcW w:w="812" w:type="pct"/>
            <w:tcBorders>
              <w:top w:val="nil"/>
              <w:left w:val="nil"/>
              <w:bottom w:val="dashed" w:sz="4" w:space="0" w:color="auto"/>
              <w:right w:val="nil"/>
            </w:tcBorders>
            <w:shd w:val="clear" w:color="auto" w:fill="auto"/>
            <w:noWrap/>
            <w:vAlign w:val="bottom"/>
            <w:hideMark/>
          </w:tcPr>
          <w:p w14:paraId="38091DDA" w14:textId="77777777" w:rsidR="00D61CAD" w:rsidRPr="000939E3" w:rsidRDefault="00D61CAD" w:rsidP="000052C7">
            <w:pPr>
              <w:spacing w:after="0" w:line="240" w:lineRule="auto"/>
              <w:ind w:right="137"/>
              <w:contextualSpacing/>
              <w:jc w:val="right"/>
              <w:rPr>
                <w:rFonts w:eastAsia="Times New Roman" w:cs="Times New Roman"/>
                <w:color w:val="000000"/>
                <w:lang w:eastAsia="sk-SK"/>
              </w:rPr>
            </w:pPr>
            <w:r w:rsidRPr="000939E3">
              <w:rPr>
                <w:rFonts w:eastAsia="Times New Roman" w:cs="Times New Roman"/>
                <w:color w:val="000000"/>
                <w:lang w:eastAsia="sk-SK"/>
              </w:rPr>
              <w:t>št.odchýlka</w:t>
            </w:r>
          </w:p>
        </w:tc>
        <w:tc>
          <w:tcPr>
            <w:tcW w:w="803" w:type="pct"/>
            <w:tcBorders>
              <w:top w:val="nil"/>
              <w:left w:val="nil"/>
              <w:bottom w:val="dashed" w:sz="4" w:space="0" w:color="auto"/>
              <w:right w:val="nil"/>
            </w:tcBorders>
            <w:shd w:val="clear" w:color="auto" w:fill="auto"/>
            <w:noWrap/>
            <w:vAlign w:val="bottom"/>
            <w:hideMark/>
          </w:tcPr>
          <w:p w14:paraId="50CAF502" w14:textId="77777777" w:rsidR="00D61CAD" w:rsidRPr="000939E3" w:rsidRDefault="00D61CAD" w:rsidP="000052C7">
            <w:pPr>
              <w:spacing w:after="0" w:line="240" w:lineRule="auto"/>
              <w:ind w:right="250"/>
              <w:contextualSpacing/>
              <w:jc w:val="right"/>
              <w:rPr>
                <w:rFonts w:eastAsia="Times New Roman" w:cs="Times New Roman"/>
                <w:color w:val="000000"/>
                <w:lang w:eastAsia="sk-SK"/>
              </w:rPr>
            </w:pPr>
            <w:r w:rsidRPr="000939E3">
              <w:rPr>
                <w:rFonts w:eastAsia="Times New Roman" w:cs="Times New Roman"/>
                <w:color w:val="000000"/>
                <w:lang w:eastAsia="sk-SK"/>
              </w:rPr>
              <w:t xml:space="preserve">  p-value</w:t>
            </w:r>
          </w:p>
        </w:tc>
        <w:tc>
          <w:tcPr>
            <w:tcW w:w="1617" w:type="pct"/>
            <w:gridSpan w:val="2"/>
            <w:tcBorders>
              <w:top w:val="nil"/>
              <w:left w:val="nil"/>
              <w:bottom w:val="dashed" w:sz="4" w:space="0" w:color="auto"/>
              <w:right w:val="nil"/>
            </w:tcBorders>
            <w:shd w:val="clear" w:color="auto" w:fill="auto"/>
            <w:noWrap/>
            <w:vAlign w:val="bottom"/>
            <w:hideMark/>
          </w:tcPr>
          <w:p w14:paraId="15262C24" w14:textId="77777777" w:rsidR="00D61CAD" w:rsidRPr="000939E3" w:rsidRDefault="00D61CAD" w:rsidP="000052C7">
            <w:pPr>
              <w:spacing w:after="0" w:line="240" w:lineRule="auto"/>
              <w:ind w:right="28"/>
              <w:contextualSpacing/>
              <w:rPr>
                <w:rFonts w:eastAsia="Times New Roman" w:cs="Times New Roman"/>
                <w:color w:val="000000"/>
                <w:lang w:eastAsia="sk-SK"/>
              </w:rPr>
            </w:pPr>
            <w:r w:rsidRPr="000939E3">
              <w:rPr>
                <w:rFonts w:eastAsia="Times New Roman" w:cs="Times New Roman"/>
                <w:color w:val="000000"/>
                <w:lang w:eastAsia="sk-SK"/>
              </w:rPr>
              <w:t xml:space="preserve">  95% interval spoľahlivosti</w:t>
            </w:r>
          </w:p>
        </w:tc>
      </w:tr>
      <w:tr w:rsidR="00D61CAD" w:rsidRPr="000939E3" w14:paraId="4DC50E59" w14:textId="77777777" w:rsidTr="000052C7">
        <w:trPr>
          <w:trHeight w:val="20"/>
        </w:trPr>
        <w:tc>
          <w:tcPr>
            <w:tcW w:w="1073" w:type="pct"/>
            <w:tcBorders>
              <w:top w:val="nil"/>
              <w:left w:val="nil"/>
              <w:bottom w:val="nil"/>
              <w:right w:val="nil"/>
            </w:tcBorders>
            <w:shd w:val="clear" w:color="auto" w:fill="auto"/>
            <w:noWrap/>
            <w:vAlign w:val="bottom"/>
            <w:hideMark/>
          </w:tcPr>
          <w:p w14:paraId="3CF5E60D" w14:textId="77777777" w:rsidR="00D61CAD" w:rsidRPr="000939E3" w:rsidRDefault="00D61CAD" w:rsidP="000052C7">
            <w:pPr>
              <w:spacing w:after="0" w:line="240" w:lineRule="auto"/>
              <w:contextualSpacing/>
              <w:rPr>
                <w:rFonts w:eastAsia="Times New Roman" w:cs="Times New Roman"/>
                <w:color w:val="000000"/>
                <w:lang w:eastAsia="sk-SK"/>
              </w:rPr>
            </w:pPr>
            <w:r w:rsidRPr="000939E3">
              <w:rPr>
                <w:rFonts w:eastAsia="Times New Roman" w:cs="Times New Roman"/>
                <w:color w:val="000000"/>
                <w:lang w:eastAsia="sk-SK"/>
              </w:rPr>
              <w:t>žena</w:t>
            </w:r>
          </w:p>
        </w:tc>
        <w:tc>
          <w:tcPr>
            <w:tcW w:w="695" w:type="pct"/>
            <w:tcBorders>
              <w:top w:val="nil"/>
              <w:left w:val="nil"/>
              <w:bottom w:val="nil"/>
              <w:right w:val="nil"/>
            </w:tcBorders>
            <w:shd w:val="clear" w:color="auto" w:fill="auto"/>
            <w:noWrap/>
            <w:vAlign w:val="bottom"/>
            <w:hideMark/>
          </w:tcPr>
          <w:p w14:paraId="408765F3" w14:textId="77777777" w:rsidR="00D61CAD" w:rsidRPr="000939E3" w:rsidRDefault="00D61CAD" w:rsidP="000052C7">
            <w:pPr>
              <w:spacing w:after="0" w:line="240" w:lineRule="auto"/>
              <w:ind w:right="241"/>
              <w:contextualSpacing/>
              <w:jc w:val="right"/>
              <w:rPr>
                <w:rFonts w:eastAsia="Times New Roman" w:cs="Times New Roman"/>
                <w:color w:val="000000"/>
                <w:lang w:eastAsia="sk-SK"/>
              </w:rPr>
            </w:pPr>
            <w:r w:rsidRPr="000939E3">
              <w:rPr>
                <w:rFonts w:eastAsia="Times New Roman" w:cs="Times New Roman"/>
                <w:color w:val="000000"/>
                <w:lang w:eastAsia="sk-SK"/>
              </w:rPr>
              <w:t>0,15</w:t>
            </w:r>
          </w:p>
        </w:tc>
        <w:tc>
          <w:tcPr>
            <w:tcW w:w="812" w:type="pct"/>
            <w:tcBorders>
              <w:top w:val="nil"/>
              <w:left w:val="nil"/>
              <w:bottom w:val="nil"/>
              <w:right w:val="nil"/>
            </w:tcBorders>
            <w:shd w:val="clear" w:color="auto" w:fill="auto"/>
            <w:noWrap/>
            <w:vAlign w:val="bottom"/>
            <w:hideMark/>
          </w:tcPr>
          <w:p w14:paraId="255F0454" w14:textId="77777777" w:rsidR="00D61CAD" w:rsidRPr="000939E3" w:rsidRDefault="00D61CAD" w:rsidP="000052C7">
            <w:pPr>
              <w:spacing w:after="0" w:line="240" w:lineRule="auto"/>
              <w:ind w:right="421"/>
              <w:contextualSpacing/>
              <w:jc w:val="right"/>
              <w:rPr>
                <w:rFonts w:eastAsia="Times New Roman" w:cs="Times New Roman"/>
                <w:color w:val="000000"/>
                <w:lang w:eastAsia="sk-SK"/>
              </w:rPr>
            </w:pPr>
            <w:r w:rsidRPr="000939E3">
              <w:rPr>
                <w:rFonts w:eastAsia="Times New Roman" w:cs="Times New Roman"/>
                <w:color w:val="000000"/>
                <w:lang w:eastAsia="sk-SK"/>
              </w:rPr>
              <w:t>0,07</w:t>
            </w:r>
          </w:p>
        </w:tc>
        <w:tc>
          <w:tcPr>
            <w:tcW w:w="803" w:type="pct"/>
            <w:tcBorders>
              <w:top w:val="nil"/>
              <w:left w:val="nil"/>
              <w:bottom w:val="nil"/>
              <w:right w:val="nil"/>
            </w:tcBorders>
            <w:shd w:val="clear" w:color="auto" w:fill="auto"/>
            <w:noWrap/>
            <w:vAlign w:val="bottom"/>
            <w:hideMark/>
          </w:tcPr>
          <w:p w14:paraId="4935D751" w14:textId="77777777" w:rsidR="00D61CAD" w:rsidRPr="000939E3" w:rsidRDefault="00D61CAD" w:rsidP="000052C7">
            <w:pPr>
              <w:spacing w:after="0" w:line="240" w:lineRule="auto"/>
              <w:ind w:right="392"/>
              <w:contextualSpacing/>
              <w:jc w:val="right"/>
              <w:rPr>
                <w:rFonts w:eastAsia="Times New Roman" w:cs="Times New Roman"/>
                <w:color w:val="000000"/>
                <w:lang w:eastAsia="sk-SK"/>
              </w:rPr>
            </w:pPr>
            <w:r w:rsidRPr="000939E3">
              <w:rPr>
                <w:rFonts w:eastAsia="Times New Roman" w:cs="Times New Roman"/>
                <w:color w:val="000000"/>
                <w:lang w:eastAsia="sk-SK"/>
              </w:rPr>
              <w:t>0,02</w:t>
            </w:r>
          </w:p>
        </w:tc>
        <w:tc>
          <w:tcPr>
            <w:tcW w:w="1617" w:type="pct"/>
            <w:gridSpan w:val="2"/>
            <w:tcBorders>
              <w:top w:val="nil"/>
              <w:left w:val="nil"/>
              <w:bottom w:val="nil"/>
              <w:right w:val="nil"/>
            </w:tcBorders>
            <w:shd w:val="clear" w:color="auto" w:fill="auto"/>
            <w:noWrap/>
            <w:vAlign w:val="bottom"/>
            <w:hideMark/>
          </w:tcPr>
          <w:p w14:paraId="31921F3C" w14:textId="77777777" w:rsidR="00D61CAD" w:rsidRPr="000939E3" w:rsidRDefault="00D61CAD" w:rsidP="000052C7">
            <w:pPr>
              <w:spacing w:after="0" w:line="240" w:lineRule="auto"/>
              <w:ind w:right="28"/>
              <w:contextualSpacing/>
              <w:jc w:val="center"/>
              <w:rPr>
                <w:rFonts w:eastAsia="Times New Roman" w:cs="Times New Roman"/>
                <w:color w:val="000000"/>
                <w:lang w:eastAsia="sk-SK"/>
              </w:rPr>
            </w:pPr>
            <w:r w:rsidRPr="000939E3">
              <w:rPr>
                <w:rFonts w:eastAsia="Times New Roman" w:cs="Times New Roman"/>
                <w:color w:val="000000"/>
                <w:lang w:eastAsia="sk-SK"/>
              </w:rPr>
              <w:t>( 0,02; 0,28)</w:t>
            </w:r>
          </w:p>
        </w:tc>
      </w:tr>
      <w:tr w:rsidR="00D61CAD" w:rsidRPr="000939E3" w14:paraId="4B1AF8D5" w14:textId="77777777" w:rsidTr="000052C7">
        <w:trPr>
          <w:trHeight w:val="20"/>
        </w:trPr>
        <w:tc>
          <w:tcPr>
            <w:tcW w:w="1073" w:type="pct"/>
            <w:tcBorders>
              <w:top w:val="nil"/>
              <w:left w:val="nil"/>
              <w:bottom w:val="nil"/>
              <w:right w:val="nil"/>
            </w:tcBorders>
            <w:shd w:val="clear" w:color="auto" w:fill="auto"/>
            <w:noWrap/>
            <w:vAlign w:val="bottom"/>
            <w:hideMark/>
          </w:tcPr>
          <w:p w14:paraId="1BC44619" w14:textId="77777777" w:rsidR="00D61CAD" w:rsidRPr="000939E3" w:rsidRDefault="00D61CAD" w:rsidP="000052C7">
            <w:pPr>
              <w:spacing w:after="0" w:line="240" w:lineRule="auto"/>
              <w:contextualSpacing/>
              <w:rPr>
                <w:rFonts w:eastAsia="Times New Roman" w:cs="Times New Roman"/>
                <w:color w:val="000000"/>
                <w:lang w:eastAsia="sk-SK"/>
              </w:rPr>
            </w:pPr>
            <w:r w:rsidRPr="000939E3">
              <w:rPr>
                <w:rFonts w:eastAsia="Times New Roman" w:cs="Times New Roman"/>
                <w:color w:val="000000"/>
                <w:lang w:eastAsia="sk-SK"/>
              </w:rPr>
              <w:t>vek</w:t>
            </w:r>
          </w:p>
        </w:tc>
        <w:tc>
          <w:tcPr>
            <w:tcW w:w="695" w:type="pct"/>
            <w:tcBorders>
              <w:top w:val="nil"/>
              <w:left w:val="nil"/>
              <w:bottom w:val="nil"/>
              <w:right w:val="nil"/>
            </w:tcBorders>
            <w:shd w:val="clear" w:color="auto" w:fill="auto"/>
            <w:noWrap/>
            <w:vAlign w:val="bottom"/>
            <w:hideMark/>
          </w:tcPr>
          <w:p w14:paraId="53C1F7C9" w14:textId="77777777" w:rsidR="00D61CAD" w:rsidRPr="000939E3" w:rsidRDefault="00D61CAD" w:rsidP="000052C7">
            <w:pPr>
              <w:spacing w:after="0" w:line="240" w:lineRule="auto"/>
              <w:ind w:right="241"/>
              <w:contextualSpacing/>
              <w:jc w:val="right"/>
              <w:rPr>
                <w:rFonts w:eastAsia="Times New Roman" w:cs="Times New Roman"/>
                <w:color w:val="000000"/>
                <w:lang w:eastAsia="sk-SK"/>
              </w:rPr>
            </w:pPr>
            <w:r w:rsidRPr="000939E3">
              <w:rPr>
                <w:rFonts w:eastAsia="Times New Roman" w:cs="Times New Roman"/>
                <w:color w:val="000000"/>
                <w:lang w:eastAsia="sk-SK"/>
              </w:rPr>
              <w:t>0,01</w:t>
            </w:r>
          </w:p>
        </w:tc>
        <w:tc>
          <w:tcPr>
            <w:tcW w:w="812" w:type="pct"/>
            <w:tcBorders>
              <w:top w:val="nil"/>
              <w:left w:val="nil"/>
              <w:bottom w:val="nil"/>
              <w:right w:val="nil"/>
            </w:tcBorders>
            <w:shd w:val="clear" w:color="auto" w:fill="auto"/>
            <w:noWrap/>
            <w:vAlign w:val="bottom"/>
            <w:hideMark/>
          </w:tcPr>
          <w:p w14:paraId="534BB787" w14:textId="77777777" w:rsidR="00D61CAD" w:rsidRPr="000939E3" w:rsidRDefault="00D61CAD" w:rsidP="000052C7">
            <w:pPr>
              <w:spacing w:after="0" w:line="240" w:lineRule="auto"/>
              <w:ind w:right="421"/>
              <w:contextualSpacing/>
              <w:jc w:val="right"/>
              <w:rPr>
                <w:rFonts w:eastAsia="Times New Roman" w:cs="Times New Roman"/>
                <w:color w:val="000000"/>
                <w:lang w:eastAsia="sk-SK"/>
              </w:rPr>
            </w:pPr>
            <w:r w:rsidRPr="000939E3">
              <w:rPr>
                <w:rFonts w:eastAsia="Times New Roman" w:cs="Times New Roman"/>
                <w:color w:val="000000"/>
                <w:lang w:eastAsia="sk-SK"/>
              </w:rPr>
              <w:t>0,00</w:t>
            </w:r>
          </w:p>
        </w:tc>
        <w:tc>
          <w:tcPr>
            <w:tcW w:w="803" w:type="pct"/>
            <w:tcBorders>
              <w:top w:val="nil"/>
              <w:left w:val="nil"/>
              <w:bottom w:val="nil"/>
              <w:right w:val="nil"/>
            </w:tcBorders>
            <w:shd w:val="clear" w:color="auto" w:fill="auto"/>
            <w:noWrap/>
            <w:vAlign w:val="bottom"/>
            <w:hideMark/>
          </w:tcPr>
          <w:p w14:paraId="1ACCAA42" w14:textId="77777777" w:rsidR="00D61CAD" w:rsidRPr="000939E3" w:rsidRDefault="00D61CAD" w:rsidP="000052C7">
            <w:pPr>
              <w:spacing w:after="0" w:line="240" w:lineRule="auto"/>
              <w:ind w:right="392"/>
              <w:contextualSpacing/>
              <w:jc w:val="right"/>
              <w:rPr>
                <w:rFonts w:eastAsia="Times New Roman" w:cs="Times New Roman"/>
                <w:color w:val="000000"/>
                <w:lang w:val="en-US" w:eastAsia="sk-SK"/>
              </w:rPr>
            </w:pPr>
            <w:r w:rsidRPr="000939E3">
              <w:rPr>
                <w:rFonts w:eastAsia="Times New Roman" w:cs="Times New Roman"/>
                <w:color w:val="000000"/>
                <w:lang w:eastAsia="sk-SK"/>
              </w:rPr>
              <w:t>0,00</w:t>
            </w:r>
          </w:p>
        </w:tc>
        <w:tc>
          <w:tcPr>
            <w:tcW w:w="1617" w:type="pct"/>
            <w:gridSpan w:val="2"/>
            <w:tcBorders>
              <w:top w:val="nil"/>
              <w:left w:val="nil"/>
              <w:bottom w:val="nil"/>
              <w:right w:val="nil"/>
            </w:tcBorders>
            <w:shd w:val="clear" w:color="auto" w:fill="auto"/>
            <w:noWrap/>
            <w:vAlign w:val="bottom"/>
            <w:hideMark/>
          </w:tcPr>
          <w:p w14:paraId="38AC7540" w14:textId="77777777" w:rsidR="00D61CAD" w:rsidRPr="000939E3" w:rsidRDefault="00D61CAD" w:rsidP="000052C7">
            <w:pPr>
              <w:spacing w:after="0" w:line="240" w:lineRule="auto"/>
              <w:ind w:right="28"/>
              <w:contextualSpacing/>
              <w:jc w:val="center"/>
              <w:rPr>
                <w:rFonts w:eastAsia="Times New Roman" w:cs="Times New Roman"/>
                <w:color w:val="000000"/>
                <w:lang w:eastAsia="sk-SK"/>
              </w:rPr>
            </w:pPr>
            <w:r w:rsidRPr="000939E3">
              <w:rPr>
                <w:rFonts w:eastAsia="Times New Roman" w:cs="Times New Roman"/>
                <w:color w:val="000000"/>
                <w:lang w:eastAsia="sk-SK"/>
              </w:rPr>
              <w:t>( 0,01; 0,02)</w:t>
            </w:r>
          </w:p>
        </w:tc>
      </w:tr>
      <w:tr w:rsidR="00D61CAD" w:rsidRPr="000939E3" w14:paraId="4565EA65" w14:textId="77777777" w:rsidTr="000052C7">
        <w:trPr>
          <w:trHeight w:val="20"/>
        </w:trPr>
        <w:tc>
          <w:tcPr>
            <w:tcW w:w="1073" w:type="pct"/>
            <w:tcBorders>
              <w:top w:val="nil"/>
              <w:left w:val="nil"/>
              <w:bottom w:val="nil"/>
              <w:right w:val="nil"/>
            </w:tcBorders>
            <w:shd w:val="clear" w:color="auto" w:fill="auto"/>
            <w:noWrap/>
            <w:vAlign w:val="bottom"/>
            <w:hideMark/>
          </w:tcPr>
          <w:p w14:paraId="64C8E263" w14:textId="77777777" w:rsidR="00D61CAD" w:rsidRPr="000939E3" w:rsidRDefault="00D61CAD" w:rsidP="000052C7">
            <w:pPr>
              <w:spacing w:after="0" w:line="240" w:lineRule="auto"/>
              <w:contextualSpacing/>
              <w:rPr>
                <w:rFonts w:eastAsia="Times New Roman" w:cs="Times New Roman"/>
                <w:color w:val="000000"/>
                <w:lang w:eastAsia="sk-SK"/>
              </w:rPr>
            </w:pPr>
            <w:r w:rsidRPr="000939E3">
              <w:rPr>
                <w:rFonts w:eastAsia="Times New Roman" w:cs="Times New Roman"/>
                <w:color w:val="000000"/>
                <w:lang w:eastAsia="sk-SK"/>
              </w:rPr>
              <w:t>mzda_rok_pred</w:t>
            </w:r>
          </w:p>
        </w:tc>
        <w:tc>
          <w:tcPr>
            <w:tcW w:w="695" w:type="pct"/>
            <w:tcBorders>
              <w:top w:val="nil"/>
              <w:left w:val="nil"/>
              <w:bottom w:val="nil"/>
              <w:right w:val="nil"/>
            </w:tcBorders>
            <w:shd w:val="clear" w:color="auto" w:fill="auto"/>
            <w:noWrap/>
            <w:vAlign w:val="bottom"/>
            <w:hideMark/>
          </w:tcPr>
          <w:p w14:paraId="09A1D619" w14:textId="77777777" w:rsidR="00D61CAD" w:rsidRPr="000939E3" w:rsidRDefault="00D61CAD" w:rsidP="000052C7">
            <w:pPr>
              <w:spacing w:after="0" w:line="240" w:lineRule="auto"/>
              <w:ind w:right="241"/>
              <w:contextualSpacing/>
              <w:jc w:val="right"/>
              <w:rPr>
                <w:rFonts w:eastAsia="Times New Roman" w:cs="Times New Roman"/>
                <w:color w:val="000000"/>
                <w:lang w:eastAsia="sk-SK"/>
              </w:rPr>
            </w:pPr>
            <w:r w:rsidRPr="000939E3">
              <w:rPr>
                <w:rFonts w:eastAsia="Times New Roman" w:cs="Times New Roman"/>
                <w:color w:val="000000"/>
                <w:lang w:eastAsia="sk-SK"/>
              </w:rPr>
              <w:t>0,00</w:t>
            </w:r>
          </w:p>
        </w:tc>
        <w:tc>
          <w:tcPr>
            <w:tcW w:w="812" w:type="pct"/>
            <w:tcBorders>
              <w:top w:val="nil"/>
              <w:left w:val="nil"/>
              <w:bottom w:val="nil"/>
              <w:right w:val="nil"/>
            </w:tcBorders>
            <w:shd w:val="clear" w:color="auto" w:fill="auto"/>
            <w:noWrap/>
            <w:vAlign w:val="bottom"/>
            <w:hideMark/>
          </w:tcPr>
          <w:p w14:paraId="209F204D" w14:textId="77777777" w:rsidR="00D61CAD" w:rsidRPr="000939E3" w:rsidRDefault="00D61CAD" w:rsidP="000052C7">
            <w:pPr>
              <w:spacing w:after="0" w:line="240" w:lineRule="auto"/>
              <w:ind w:right="421"/>
              <w:contextualSpacing/>
              <w:jc w:val="right"/>
              <w:rPr>
                <w:rFonts w:eastAsia="Times New Roman" w:cs="Times New Roman"/>
                <w:color w:val="000000"/>
                <w:lang w:eastAsia="sk-SK"/>
              </w:rPr>
            </w:pPr>
            <w:r w:rsidRPr="000939E3">
              <w:rPr>
                <w:rFonts w:eastAsia="Times New Roman" w:cs="Times New Roman"/>
                <w:color w:val="000000"/>
                <w:lang w:eastAsia="sk-SK"/>
              </w:rPr>
              <w:t>0,00</w:t>
            </w:r>
          </w:p>
        </w:tc>
        <w:tc>
          <w:tcPr>
            <w:tcW w:w="803" w:type="pct"/>
            <w:tcBorders>
              <w:top w:val="nil"/>
              <w:left w:val="nil"/>
              <w:bottom w:val="nil"/>
              <w:right w:val="nil"/>
            </w:tcBorders>
            <w:shd w:val="clear" w:color="auto" w:fill="auto"/>
            <w:noWrap/>
            <w:vAlign w:val="bottom"/>
            <w:hideMark/>
          </w:tcPr>
          <w:p w14:paraId="13A6EBB0" w14:textId="77777777" w:rsidR="00D61CAD" w:rsidRPr="000939E3" w:rsidRDefault="00D61CAD" w:rsidP="000052C7">
            <w:pPr>
              <w:spacing w:after="0" w:line="240" w:lineRule="auto"/>
              <w:ind w:right="392"/>
              <w:contextualSpacing/>
              <w:jc w:val="right"/>
              <w:rPr>
                <w:rFonts w:eastAsia="Times New Roman" w:cs="Times New Roman"/>
                <w:color w:val="000000"/>
                <w:lang w:eastAsia="sk-SK"/>
              </w:rPr>
            </w:pPr>
            <w:r w:rsidRPr="000939E3">
              <w:rPr>
                <w:rFonts w:eastAsia="Times New Roman" w:cs="Times New Roman"/>
                <w:color w:val="000000"/>
                <w:lang w:eastAsia="sk-SK"/>
              </w:rPr>
              <w:t>1,00</w:t>
            </w:r>
          </w:p>
        </w:tc>
        <w:tc>
          <w:tcPr>
            <w:tcW w:w="1617" w:type="pct"/>
            <w:gridSpan w:val="2"/>
            <w:tcBorders>
              <w:top w:val="nil"/>
              <w:left w:val="nil"/>
              <w:bottom w:val="nil"/>
              <w:right w:val="nil"/>
            </w:tcBorders>
            <w:shd w:val="clear" w:color="auto" w:fill="auto"/>
            <w:noWrap/>
            <w:vAlign w:val="bottom"/>
            <w:hideMark/>
          </w:tcPr>
          <w:p w14:paraId="05AC7DE2" w14:textId="77777777" w:rsidR="00D61CAD" w:rsidRPr="000939E3" w:rsidRDefault="00D61CAD" w:rsidP="000052C7">
            <w:pPr>
              <w:spacing w:after="0" w:line="240" w:lineRule="auto"/>
              <w:ind w:right="28"/>
              <w:contextualSpacing/>
              <w:jc w:val="center"/>
              <w:rPr>
                <w:rFonts w:eastAsia="Times New Roman" w:cs="Times New Roman"/>
                <w:color w:val="000000"/>
                <w:lang w:eastAsia="sk-SK"/>
              </w:rPr>
            </w:pPr>
            <w:r w:rsidRPr="000939E3">
              <w:rPr>
                <w:rFonts w:eastAsia="Times New Roman" w:cs="Times New Roman"/>
                <w:color w:val="000000"/>
                <w:lang w:eastAsia="sk-SK"/>
              </w:rPr>
              <w:t>( 0,00; 0,00)</w:t>
            </w:r>
          </w:p>
        </w:tc>
      </w:tr>
      <w:tr w:rsidR="00D61CAD" w:rsidRPr="000939E3" w14:paraId="170EEF8B" w14:textId="77777777" w:rsidTr="000052C7">
        <w:trPr>
          <w:trHeight w:val="20"/>
        </w:trPr>
        <w:tc>
          <w:tcPr>
            <w:tcW w:w="1073" w:type="pct"/>
            <w:tcBorders>
              <w:top w:val="nil"/>
              <w:left w:val="nil"/>
              <w:right w:val="nil"/>
            </w:tcBorders>
            <w:shd w:val="clear" w:color="auto" w:fill="auto"/>
            <w:noWrap/>
            <w:vAlign w:val="bottom"/>
            <w:hideMark/>
          </w:tcPr>
          <w:p w14:paraId="71DDED5E" w14:textId="77777777" w:rsidR="00D61CAD" w:rsidRPr="000939E3" w:rsidRDefault="00D61CAD" w:rsidP="000052C7">
            <w:pPr>
              <w:spacing w:after="0" w:line="240" w:lineRule="auto"/>
              <w:contextualSpacing/>
              <w:rPr>
                <w:rFonts w:eastAsia="Times New Roman" w:cs="Times New Roman"/>
                <w:color w:val="000000"/>
                <w:lang w:eastAsia="sk-SK"/>
              </w:rPr>
            </w:pPr>
            <w:r w:rsidRPr="000939E3">
              <w:rPr>
                <w:rFonts w:eastAsia="Times New Roman" w:cs="Times New Roman"/>
                <w:color w:val="000000"/>
                <w:lang w:eastAsia="sk-SK"/>
              </w:rPr>
              <w:t>VŠ vzdelanie</w:t>
            </w:r>
          </w:p>
        </w:tc>
        <w:tc>
          <w:tcPr>
            <w:tcW w:w="695" w:type="pct"/>
            <w:tcBorders>
              <w:top w:val="nil"/>
              <w:left w:val="nil"/>
              <w:right w:val="nil"/>
            </w:tcBorders>
            <w:shd w:val="clear" w:color="auto" w:fill="auto"/>
            <w:noWrap/>
            <w:vAlign w:val="bottom"/>
            <w:hideMark/>
          </w:tcPr>
          <w:p w14:paraId="69E836B1" w14:textId="77777777" w:rsidR="00D61CAD" w:rsidRPr="000939E3" w:rsidRDefault="00D61CAD" w:rsidP="000052C7">
            <w:pPr>
              <w:spacing w:after="0" w:line="240" w:lineRule="auto"/>
              <w:ind w:right="241"/>
              <w:contextualSpacing/>
              <w:jc w:val="right"/>
              <w:rPr>
                <w:rFonts w:eastAsia="Times New Roman" w:cs="Times New Roman"/>
                <w:color w:val="000000"/>
                <w:lang w:eastAsia="sk-SK"/>
              </w:rPr>
            </w:pPr>
            <w:r w:rsidRPr="000939E3">
              <w:rPr>
                <w:rFonts w:eastAsia="Times New Roman" w:cs="Times New Roman"/>
                <w:color w:val="000000"/>
                <w:lang w:eastAsia="sk-SK"/>
              </w:rPr>
              <w:t>-0,21</w:t>
            </w:r>
          </w:p>
        </w:tc>
        <w:tc>
          <w:tcPr>
            <w:tcW w:w="812" w:type="pct"/>
            <w:tcBorders>
              <w:top w:val="nil"/>
              <w:left w:val="nil"/>
              <w:right w:val="nil"/>
            </w:tcBorders>
            <w:shd w:val="clear" w:color="auto" w:fill="auto"/>
            <w:noWrap/>
            <w:vAlign w:val="bottom"/>
            <w:hideMark/>
          </w:tcPr>
          <w:p w14:paraId="0C8714C6" w14:textId="77777777" w:rsidR="00D61CAD" w:rsidRPr="000939E3" w:rsidRDefault="00D61CAD" w:rsidP="000052C7">
            <w:pPr>
              <w:spacing w:after="0" w:line="240" w:lineRule="auto"/>
              <w:ind w:right="421"/>
              <w:contextualSpacing/>
              <w:jc w:val="right"/>
              <w:rPr>
                <w:rFonts w:eastAsia="Times New Roman" w:cs="Times New Roman"/>
                <w:color w:val="000000"/>
                <w:lang w:eastAsia="sk-SK"/>
              </w:rPr>
            </w:pPr>
            <w:r w:rsidRPr="000939E3">
              <w:rPr>
                <w:rFonts w:eastAsia="Times New Roman" w:cs="Times New Roman"/>
                <w:color w:val="000000"/>
                <w:lang w:eastAsia="sk-SK"/>
              </w:rPr>
              <w:t>0,07</w:t>
            </w:r>
          </w:p>
        </w:tc>
        <w:tc>
          <w:tcPr>
            <w:tcW w:w="803" w:type="pct"/>
            <w:tcBorders>
              <w:top w:val="nil"/>
              <w:left w:val="nil"/>
              <w:right w:val="nil"/>
            </w:tcBorders>
            <w:shd w:val="clear" w:color="auto" w:fill="auto"/>
            <w:noWrap/>
            <w:vAlign w:val="bottom"/>
            <w:hideMark/>
          </w:tcPr>
          <w:p w14:paraId="353495B2" w14:textId="77777777" w:rsidR="00D61CAD" w:rsidRPr="000939E3" w:rsidRDefault="00D61CAD" w:rsidP="000052C7">
            <w:pPr>
              <w:spacing w:after="0" w:line="240" w:lineRule="auto"/>
              <w:ind w:right="392"/>
              <w:contextualSpacing/>
              <w:jc w:val="right"/>
              <w:rPr>
                <w:rFonts w:eastAsia="Times New Roman" w:cs="Times New Roman"/>
                <w:color w:val="000000"/>
                <w:lang w:eastAsia="sk-SK"/>
              </w:rPr>
            </w:pPr>
            <w:r w:rsidRPr="000939E3">
              <w:rPr>
                <w:rFonts w:eastAsia="Times New Roman" w:cs="Times New Roman"/>
                <w:color w:val="000000"/>
                <w:lang w:eastAsia="sk-SK"/>
              </w:rPr>
              <w:t>0,00</w:t>
            </w:r>
          </w:p>
        </w:tc>
        <w:tc>
          <w:tcPr>
            <w:tcW w:w="1617" w:type="pct"/>
            <w:gridSpan w:val="2"/>
            <w:tcBorders>
              <w:top w:val="nil"/>
              <w:left w:val="nil"/>
              <w:right w:val="nil"/>
            </w:tcBorders>
            <w:shd w:val="clear" w:color="auto" w:fill="auto"/>
            <w:noWrap/>
            <w:vAlign w:val="bottom"/>
            <w:hideMark/>
          </w:tcPr>
          <w:p w14:paraId="3D5F961F" w14:textId="77777777" w:rsidR="00D61CAD" w:rsidRPr="000939E3" w:rsidRDefault="00D61CAD" w:rsidP="000052C7">
            <w:pPr>
              <w:spacing w:after="0" w:line="240" w:lineRule="auto"/>
              <w:ind w:right="28"/>
              <w:contextualSpacing/>
              <w:jc w:val="center"/>
              <w:rPr>
                <w:rFonts w:eastAsia="Times New Roman" w:cs="Times New Roman"/>
                <w:color w:val="000000"/>
                <w:lang w:eastAsia="sk-SK"/>
              </w:rPr>
            </w:pPr>
            <w:r w:rsidRPr="000939E3">
              <w:rPr>
                <w:rFonts w:eastAsia="Times New Roman" w:cs="Times New Roman"/>
                <w:color w:val="000000"/>
                <w:lang w:eastAsia="sk-SK"/>
              </w:rPr>
              <w:t>(-0,35;-0,07)</w:t>
            </w:r>
          </w:p>
        </w:tc>
      </w:tr>
      <w:tr w:rsidR="00D61CAD" w:rsidRPr="000939E3" w14:paraId="4ACAC3A5" w14:textId="77777777" w:rsidTr="000052C7">
        <w:trPr>
          <w:trHeight w:val="20"/>
        </w:trPr>
        <w:tc>
          <w:tcPr>
            <w:tcW w:w="1073" w:type="pct"/>
            <w:tcBorders>
              <w:top w:val="nil"/>
              <w:left w:val="nil"/>
              <w:bottom w:val="single" w:sz="4" w:space="0" w:color="auto"/>
              <w:right w:val="nil"/>
            </w:tcBorders>
            <w:shd w:val="clear" w:color="auto" w:fill="auto"/>
            <w:noWrap/>
            <w:vAlign w:val="bottom"/>
            <w:hideMark/>
          </w:tcPr>
          <w:p w14:paraId="33085787" w14:textId="77777777" w:rsidR="00D61CAD" w:rsidRPr="000939E3" w:rsidRDefault="00D61CAD" w:rsidP="000052C7">
            <w:pPr>
              <w:spacing w:after="0" w:line="240" w:lineRule="auto"/>
              <w:contextualSpacing/>
              <w:rPr>
                <w:rFonts w:eastAsia="Times New Roman" w:cs="Times New Roman"/>
                <w:color w:val="000000"/>
                <w:lang w:eastAsia="sk-SK"/>
              </w:rPr>
            </w:pPr>
            <w:r w:rsidRPr="000939E3">
              <w:rPr>
                <w:rFonts w:eastAsia="Times New Roman" w:cs="Times New Roman"/>
                <w:color w:val="000000"/>
                <w:lang w:eastAsia="sk-SK"/>
              </w:rPr>
              <w:t>_cons</w:t>
            </w:r>
          </w:p>
        </w:tc>
        <w:tc>
          <w:tcPr>
            <w:tcW w:w="695" w:type="pct"/>
            <w:tcBorders>
              <w:top w:val="nil"/>
              <w:left w:val="nil"/>
              <w:bottom w:val="single" w:sz="4" w:space="0" w:color="auto"/>
              <w:right w:val="nil"/>
            </w:tcBorders>
            <w:shd w:val="clear" w:color="auto" w:fill="auto"/>
            <w:noWrap/>
            <w:vAlign w:val="bottom"/>
            <w:hideMark/>
          </w:tcPr>
          <w:p w14:paraId="62129A13" w14:textId="77777777" w:rsidR="00D61CAD" w:rsidRPr="000939E3" w:rsidRDefault="00D61CAD" w:rsidP="000052C7">
            <w:pPr>
              <w:spacing w:after="0" w:line="240" w:lineRule="auto"/>
              <w:ind w:right="241"/>
              <w:contextualSpacing/>
              <w:jc w:val="right"/>
              <w:rPr>
                <w:rFonts w:eastAsia="Times New Roman" w:cs="Times New Roman"/>
                <w:color w:val="000000"/>
                <w:lang w:eastAsia="sk-SK"/>
              </w:rPr>
            </w:pPr>
            <w:r w:rsidRPr="000939E3">
              <w:rPr>
                <w:rFonts w:eastAsia="Times New Roman" w:cs="Times New Roman"/>
                <w:color w:val="000000"/>
                <w:lang w:eastAsia="sk-SK"/>
              </w:rPr>
              <w:t>-0,29</w:t>
            </w:r>
          </w:p>
        </w:tc>
        <w:tc>
          <w:tcPr>
            <w:tcW w:w="812" w:type="pct"/>
            <w:tcBorders>
              <w:top w:val="nil"/>
              <w:left w:val="nil"/>
              <w:bottom w:val="single" w:sz="4" w:space="0" w:color="auto"/>
              <w:right w:val="nil"/>
            </w:tcBorders>
            <w:shd w:val="clear" w:color="auto" w:fill="auto"/>
            <w:noWrap/>
            <w:vAlign w:val="bottom"/>
            <w:hideMark/>
          </w:tcPr>
          <w:p w14:paraId="7EADC867" w14:textId="77777777" w:rsidR="00D61CAD" w:rsidRPr="000939E3" w:rsidRDefault="00D61CAD" w:rsidP="000052C7">
            <w:pPr>
              <w:spacing w:after="0" w:line="240" w:lineRule="auto"/>
              <w:ind w:right="421"/>
              <w:contextualSpacing/>
              <w:jc w:val="right"/>
              <w:rPr>
                <w:rFonts w:eastAsia="Times New Roman" w:cs="Times New Roman"/>
                <w:color w:val="000000"/>
                <w:lang w:eastAsia="sk-SK"/>
              </w:rPr>
            </w:pPr>
            <w:r w:rsidRPr="000939E3">
              <w:rPr>
                <w:rFonts w:eastAsia="Times New Roman" w:cs="Times New Roman"/>
                <w:color w:val="000000"/>
                <w:lang w:eastAsia="sk-SK"/>
              </w:rPr>
              <w:t>0,15</w:t>
            </w:r>
          </w:p>
        </w:tc>
        <w:tc>
          <w:tcPr>
            <w:tcW w:w="803" w:type="pct"/>
            <w:tcBorders>
              <w:top w:val="nil"/>
              <w:left w:val="nil"/>
              <w:bottom w:val="single" w:sz="4" w:space="0" w:color="auto"/>
              <w:right w:val="nil"/>
            </w:tcBorders>
            <w:shd w:val="clear" w:color="auto" w:fill="auto"/>
            <w:noWrap/>
            <w:vAlign w:val="bottom"/>
            <w:hideMark/>
          </w:tcPr>
          <w:p w14:paraId="6BEE2122" w14:textId="77777777" w:rsidR="00D61CAD" w:rsidRPr="000939E3" w:rsidRDefault="00D61CAD" w:rsidP="000052C7">
            <w:pPr>
              <w:spacing w:after="0" w:line="240" w:lineRule="auto"/>
              <w:ind w:right="392"/>
              <w:contextualSpacing/>
              <w:jc w:val="right"/>
              <w:rPr>
                <w:rFonts w:eastAsia="Times New Roman" w:cs="Times New Roman"/>
                <w:color w:val="000000"/>
                <w:lang w:eastAsia="sk-SK"/>
              </w:rPr>
            </w:pPr>
            <w:r w:rsidRPr="000939E3">
              <w:rPr>
                <w:rFonts w:eastAsia="Times New Roman" w:cs="Times New Roman"/>
                <w:color w:val="000000"/>
                <w:lang w:eastAsia="sk-SK"/>
              </w:rPr>
              <w:t>0,05</w:t>
            </w:r>
          </w:p>
        </w:tc>
        <w:tc>
          <w:tcPr>
            <w:tcW w:w="1617" w:type="pct"/>
            <w:gridSpan w:val="2"/>
            <w:tcBorders>
              <w:top w:val="nil"/>
              <w:left w:val="nil"/>
              <w:bottom w:val="single" w:sz="4" w:space="0" w:color="auto"/>
              <w:right w:val="nil"/>
            </w:tcBorders>
            <w:shd w:val="clear" w:color="auto" w:fill="auto"/>
            <w:noWrap/>
            <w:vAlign w:val="bottom"/>
            <w:hideMark/>
          </w:tcPr>
          <w:p w14:paraId="297A1029" w14:textId="77777777" w:rsidR="00D61CAD" w:rsidRPr="000939E3" w:rsidRDefault="00D61CAD" w:rsidP="000052C7">
            <w:pPr>
              <w:spacing w:after="0" w:line="240" w:lineRule="auto"/>
              <w:ind w:right="28"/>
              <w:contextualSpacing/>
              <w:jc w:val="center"/>
              <w:rPr>
                <w:rFonts w:eastAsia="Times New Roman" w:cs="Times New Roman"/>
                <w:color w:val="000000"/>
                <w:lang w:eastAsia="sk-SK"/>
              </w:rPr>
            </w:pPr>
            <w:r w:rsidRPr="000939E3">
              <w:rPr>
                <w:rFonts w:eastAsia="Times New Roman" w:cs="Times New Roman"/>
                <w:color w:val="000000"/>
                <w:lang w:eastAsia="sk-SK"/>
              </w:rPr>
              <w:t>(-0,59; 0,00)</w:t>
            </w:r>
          </w:p>
        </w:tc>
      </w:tr>
      <w:tr w:rsidR="00D61CAD" w:rsidRPr="000939E3" w14:paraId="5146E1BF" w14:textId="77777777" w:rsidTr="000052C7">
        <w:trPr>
          <w:trHeight w:val="20"/>
        </w:trPr>
        <w:tc>
          <w:tcPr>
            <w:tcW w:w="1073" w:type="pct"/>
            <w:tcBorders>
              <w:top w:val="single" w:sz="4" w:space="0" w:color="auto"/>
              <w:left w:val="nil"/>
              <w:right w:val="nil"/>
            </w:tcBorders>
            <w:shd w:val="clear" w:color="auto" w:fill="auto"/>
            <w:noWrap/>
            <w:vAlign w:val="bottom"/>
          </w:tcPr>
          <w:p w14:paraId="5FC0671B" w14:textId="77777777" w:rsidR="00D61CAD" w:rsidRPr="000939E3" w:rsidRDefault="00D61CAD" w:rsidP="000052C7">
            <w:pPr>
              <w:spacing w:after="0" w:line="240" w:lineRule="auto"/>
              <w:contextualSpacing/>
              <w:rPr>
                <w:rFonts w:eastAsia="Times New Roman" w:cs="Times New Roman"/>
                <w:color w:val="000000"/>
                <w:lang w:eastAsia="sk-SK"/>
              </w:rPr>
            </w:pPr>
          </w:p>
        </w:tc>
        <w:tc>
          <w:tcPr>
            <w:tcW w:w="695" w:type="pct"/>
            <w:tcBorders>
              <w:top w:val="single" w:sz="4" w:space="0" w:color="auto"/>
              <w:left w:val="nil"/>
              <w:right w:val="nil"/>
            </w:tcBorders>
            <w:shd w:val="clear" w:color="auto" w:fill="auto"/>
            <w:noWrap/>
            <w:vAlign w:val="bottom"/>
          </w:tcPr>
          <w:p w14:paraId="734072AA" w14:textId="77777777" w:rsidR="00D61CAD" w:rsidRPr="000939E3" w:rsidRDefault="00D61CAD" w:rsidP="000052C7">
            <w:pPr>
              <w:spacing w:after="0" w:line="240" w:lineRule="auto"/>
              <w:ind w:right="241"/>
              <w:contextualSpacing/>
              <w:jc w:val="right"/>
              <w:rPr>
                <w:rFonts w:eastAsia="Times New Roman" w:cs="Times New Roman"/>
                <w:color w:val="000000"/>
                <w:lang w:eastAsia="sk-SK"/>
              </w:rPr>
            </w:pPr>
          </w:p>
        </w:tc>
        <w:tc>
          <w:tcPr>
            <w:tcW w:w="812" w:type="pct"/>
            <w:tcBorders>
              <w:top w:val="single" w:sz="4" w:space="0" w:color="auto"/>
              <w:left w:val="nil"/>
              <w:right w:val="nil"/>
            </w:tcBorders>
            <w:shd w:val="clear" w:color="auto" w:fill="auto"/>
            <w:noWrap/>
            <w:vAlign w:val="bottom"/>
          </w:tcPr>
          <w:p w14:paraId="0A7BC744" w14:textId="77777777" w:rsidR="00D61CAD" w:rsidRPr="000939E3" w:rsidRDefault="00D61CAD" w:rsidP="000052C7">
            <w:pPr>
              <w:spacing w:after="0" w:line="240" w:lineRule="auto"/>
              <w:ind w:right="421"/>
              <w:contextualSpacing/>
              <w:jc w:val="right"/>
              <w:rPr>
                <w:rFonts w:eastAsia="Times New Roman" w:cs="Times New Roman"/>
                <w:color w:val="000000"/>
                <w:lang w:eastAsia="sk-SK"/>
              </w:rPr>
            </w:pPr>
          </w:p>
        </w:tc>
        <w:tc>
          <w:tcPr>
            <w:tcW w:w="803" w:type="pct"/>
            <w:tcBorders>
              <w:top w:val="single" w:sz="4" w:space="0" w:color="auto"/>
              <w:left w:val="nil"/>
              <w:right w:val="nil"/>
            </w:tcBorders>
            <w:shd w:val="clear" w:color="auto" w:fill="auto"/>
            <w:noWrap/>
            <w:vAlign w:val="bottom"/>
          </w:tcPr>
          <w:p w14:paraId="49983792" w14:textId="77777777" w:rsidR="00D61CAD" w:rsidRPr="000939E3" w:rsidRDefault="00D61CAD" w:rsidP="000052C7">
            <w:pPr>
              <w:spacing w:after="0" w:line="240" w:lineRule="auto"/>
              <w:ind w:right="392"/>
              <w:contextualSpacing/>
              <w:jc w:val="right"/>
              <w:rPr>
                <w:rFonts w:eastAsia="Times New Roman" w:cs="Times New Roman"/>
                <w:color w:val="000000"/>
                <w:lang w:eastAsia="sk-SK"/>
              </w:rPr>
            </w:pPr>
          </w:p>
        </w:tc>
        <w:tc>
          <w:tcPr>
            <w:tcW w:w="1617" w:type="pct"/>
            <w:gridSpan w:val="2"/>
            <w:tcBorders>
              <w:top w:val="single" w:sz="4" w:space="0" w:color="auto"/>
              <w:left w:val="nil"/>
              <w:right w:val="nil"/>
            </w:tcBorders>
            <w:shd w:val="clear" w:color="auto" w:fill="auto"/>
            <w:noWrap/>
          </w:tcPr>
          <w:p w14:paraId="6F98BAE5" w14:textId="77777777" w:rsidR="00D61CAD" w:rsidRPr="000939E3" w:rsidRDefault="00D61CAD" w:rsidP="000052C7">
            <w:pPr>
              <w:spacing w:after="0" w:line="240" w:lineRule="auto"/>
              <w:contextualSpacing/>
              <w:jc w:val="right"/>
              <w:rPr>
                <w:rFonts w:eastAsia="Times New Roman" w:cs="Times New Roman"/>
                <w:i/>
                <w:color w:val="000000"/>
                <w:lang w:eastAsia="sk-SK"/>
              </w:rPr>
            </w:pPr>
            <w:r w:rsidRPr="000939E3">
              <w:rPr>
                <w:rFonts w:eastAsia="Times New Roman" w:cs="Times New Roman"/>
                <w:i/>
                <w:color w:val="000000"/>
                <w:sz w:val="18"/>
                <w:lang w:eastAsia="sk-SK"/>
              </w:rPr>
              <w:t>Zdroj: prepočty ÚHP</w:t>
            </w:r>
          </w:p>
        </w:tc>
      </w:tr>
    </w:tbl>
    <w:p w14:paraId="6114CEE2" w14:textId="1146A135" w:rsidR="008E3B2B" w:rsidRPr="000939E3" w:rsidRDefault="008E3B2B" w:rsidP="00D61CAD">
      <w:pPr>
        <w:rPr>
          <w:sz w:val="24"/>
        </w:rPr>
      </w:pPr>
    </w:p>
    <w:p w14:paraId="3212AB69" w14:textId="555D7F99" w:rsidR="00626763" w:rsidRPr="000939E3" w:rsidRDefault="008E3B2B" w:rsidP="008E3B2B">
      <w:pPr>
        <w:spacing w:after="160" w:line="259" w:lineRule="auto"/>
        <w:jc w:val="left"/>
        <w:rPr>
          <w:sz w:val="24"/>
        </w:rPr>
      </w:pPr>
      <w:r w:rsidRPr="000939E3">
        <w:rPr>
          <w:sz w:val="24"/>
        </w:rPr>
        <w:br w:type="page"/>
      </w:r>
    </w:p>
    <w:tbl>
      <w:tblPr>
        <w:tblW w:w="5000" w:type="pct"/>
        <w:tblCellMar>
          <w:left w:w="70" w:type="dxa"/>
          <w:right w:w="70" w:type="dxa"/>
        </w:tblCellMar>
        <w:tblLook w:val="04A0" w:firstRow="1" w:lastRow="0" w:firstColumn="1" w:lastColumn="0" w:noHBand="0" w:noVBand="1"/>
      </w:tblPr>
      <w:tblGrid>
        <w:gridCol w:w="2952"/>
        <w:gridCol w:w="1847"/>
        <w:gridCol w:w="1849"/>
        <w:gridCol w:w="1188"/>
        <w:gridCol w:w="1236"/>
      </w:tblGrid>
      <w:tr w:rsidR="00D61CAD" w:rsidRPr="000939E3" w14:paraId="3A0D294D" w14:textId="77777777" w:rsidTr="00D61CAD">
        <w:trPr>
          <w:trHeight w:val="20"/>
        </w:trPr>
        <w:tc>
          <w:tcPr>
            <w:tcW w:w="5000" w:type="pct"/>
            <w:gridSpan w:val="5"/>
            <w:tcBorders>
              <w:top w:val="nil"/>
              <w:left w:val="nil"/>
              <w:bottom w:val="single" w:sz="4" w:space="0" w:color="auto"/>
              <w:right w:val="nil"/>
            </w:tcBorders>
            <w:shd w:val="clear" w:color="000000" w:fill="FFFFFF"/>
            <w:noWrap/>
            <w:vAlign w:val="bottom"/>
          </w:tcPr>
          <w:p w14:paraId="4BF2BB6D" w14:textId="77777777" w:rsidR="00D61CAD" w:rsidRPr="000939E3" w:rsidRDefault="00D61CAD" w:rsidP="00D61CAD">
            <w:pPr>
              <w:spacing w:after="0" w:line="240" w:lineRule="auto"/>
              <w:rPr>
                <w:rFonts w:eastAsia="Times New Roman" w:cs="Times New Roman"/>
                <w:b/>
                <w:bCs/>
                <w:color w:val="000000"/>
                <w:lang w:eastAsia="sk-SK"/>
              </w:rPr>
            </w:pPr>
            <w:bookmarkStart w:id="324" w:name="_Ref11754337"/>
            <w:r w:rsidRPr="000939E3">
              <w:rPr>
                <w:b/>
              </w:rPr>
              <w:t xml:space="preserve">Príloha </w:t>
            </w:r>
            <w:r w:rsidRPr="000939E3">
              <w:rPr>
                <w:b/>
              </w:rPr>
              <w:fldChar w:fldCharType="begin"/>
            </w:r>
            <w:r w:rsidRPr="000939E3">
              <w:rPr>
                <w:b/>
              </w:rPr>
              <w:instrText xml:space="preserve"> SEQ Príloha \* ARABIC </w:instrText>
            </w:r>
            <w:r w:rsidRPr="000939E3">
              <w:rPr>
                <w:b/>
              </w:rPr>
              <w:fldChar w:fldCharType="separate"/>
            </w:r>
            <w:r w:rsidR="00BF69CA">
              <w:rPr>
                <w:b/>
                <w:noProof/>
              </w:rPr>
              <w:t>11</w:t>
            </w:r>
            <w:r w:rsidRPr="000939E3">
              <w:rPr>
                <w:b/>
              </w:rPr>
              <w:fldChar w:fldCharType="end"/>
            </w:r>
            <w:bookmarkEnd w:id="324"/>
            <w:r w:rsidRPr="000939E3">
              <w:rPr>
                <w:b/>
              </w:rPr>
              <w:t xml:space="preserve">: </w:t>
            </w:r>
            <w:r w:rsidRPr="000939E3">
              <w:rPr>
                <w:rFonts w:eastAsia="Times New Roman" w:cs="Times New Roman"/>
                <w:b/>
                <w:bCs/>
                <w:lang w:eastAsia="sk-SK"/>
              </w:rPr>
              <w:t>Zmena mzdy pri zmene zamestnania (±3 mesiace)</w:t>
            </w:r>
          </w:p>
        </w:tc>
      </w:tr>
      <w:tr w:rsidR="00D61CAD" w:rsidRPr="000939E3" w14:paraId="5FEA2812" w14:textId="77777777" w:rsidTr="00D61CAD">
        <w:trPr>
          <w:trHeight w:val="20"/>
        </w:trPr>
        <w:tc>
          <w:tcPr>
            <w:tcW w:w="1627" w:type="pct"/>
            <w:tcBorders>
              <w:top w:val="single" w:sz="4" w:space="0" w:color="auto"/>
              <w:left w:val="nil"/>
              <w:bottom w:val="nil"/>
              <w:right w:val="nil"/>
            </w:tcBorders>
            <w:shd w:val="clear" w:color="000000" w:fill="FFFFFF"/>
            <w:noWrap/>
            <w:vAlign w:val="bottom"/>
            <w:hideMark/>
          </w:tcPr>
          <w:p w14:paraId="25F64D9C"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2037" w:type="pct"/>
            <w:gridSpan w:val="2"/>
            <w:tcBorders>
              <w:top w:val="single" w:sz="4" w:space="0" w:color="auto"/>
              <w:left w:val="nil"/>
              <w:bottom w:val="nil"/>
              <w:right w:val="nil"/>
            </w:tcBorders>
            <w:shd w:val="clear" w:color="000000" w:fill="FFFFFF"/>
            <w:vAlign w:val="bottom"/>
            <w:hideMark/>
          </w:tcPr>
          <w:p w14:paraId="750C1CF4" w14:textId="77777777" w:rsidR="00D61CAD" w:rsidRPr="000939E3" w:rsidRDefault="00D61CAD" w:rsidP="00D61CAD">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Percentuálna zmena</w:t>
            </w:r>
          </w:p>
        </w:tc>
        <w:tc>
          <w:tcPr>
            <w:tcW w:w="655" w:type="pct"/>
            <w:vMerge w:val="restart"/>
            <w:tcBorders>
              <w:top w:val="single" w:sz="4" w:space="0" w:color="auto"/>
              <w:left w:val="nil"/>
              <w:bottom w:val="nil"/>
              <w:right w:val="nil"/>
            </w:tcBorders>
            <w:shd w:val="clear" w:color="000000" w:fill="FFFFFF"/>
            <w:vAlign w:val="center"/>
            <w:hideMark/>
          </w:tcPr>
          <w:p w14:paraId="6CBFC130" w14:textId="77777777" w:rsidR="00D61CAD" w:rsidRPr="000939E3" w:rsidRDefault="00D61CAD" w:rsidP="00D61CAD">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Štatistická významnosť rozdielu</w:t>
            </w:r>
          </w:p>
        </w:tc>
        <w:tc>
          <w:tcPr>
            <w:tcW w:w="681" w:type="pct"/>
            <w:vMerge w:val="restart"/>
            <w:tcBorders>
              <w:top w:val="single" w:sz="4" w:space="0" w:color="auto"/>
              <w:left w:val="nil"/>
              <w:bottom w:val="nil"/>
              <w:right w:val="nil"/>
            </w:tcBorders>
            <w:shd w:val="clear" w:color="000000" w:fill="FFFFFF"/>
            <w:vAlign w:val="center"/>
            <w:hideMark/>
          </w:tcPr>
          <w:p w14:paraId="136334B8" w14:textId="77777777" w:rsidR="00D61CAD" w:rsidRPr="000939E3" w:rsidRDefault="00D61CAD" w:rsidP="00D61CAD">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Počet pozorovaní spolu</w:t>
            </w:r>
          </w:p>
        </w:tc>
      </w:tr>
      <w:tr w:rsidR="00D61CAD" w:rsidRPr="000939E3" w14:paraId="3442257E" w14:textId="77777777" w:rsidTr="00D61CAD">
        <w:trPr>
          <w:trHeight w:val="20"/>
        </w:trPr>
        <w:tc>
          <w:tcPr>
            <w:tcW w:w="1627" w:type="pct"/>
            <w:tcBorders>
              <w:top w:val="nil"/>
              <w:left w:val="nil"/>
              <w:bottom w:val="single" w:sz="4" w:space="0" w:color="auto"/>
              <w:right w:val="nil"/>
            </w:tcBorders>
            <w:shd w:val="clear" w:color="000000" w:fill="FFFFFF"/>
            <w:noWrap/>
            <w:vAlign w:val="bottom"/>
            <w:hideMark/>
          </w:tcPr>
          <w:p w14:paraId="35102157"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1018" w:type="pct"/>
            <w:tcBorders>
              <w:top w:val="nil"/>
              <w:left w:val="nil"/>
              <w:bottom w:val="single" w:sz="4" w:space="0" w:color="auto"/>
              <w:right w:val="nil"/>
            </w:tcBorders>
            <w:shd w:val="clear" w:color="000000" w:fill="FFFFFF"/>
            <w:noWrap/>
            <w:vAlign w:val="center"/>
            <w:hideMark/>
          </w:tcPr>
          <w:p w14:paraId="46DBE889" w14:textId="77777777" w:rsidR="00D61CAD" w:rsidRPr="000939E3" w:rsidRDefault="00D61CAD" w:rsidP="00D61CAD">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Súkromný → Verejný</w:t>
            </w:r>
          </w:p>
        </w:tc>
        <w:tc>
          <w:tcPr>
            <w:tcW w:w="1019" w:type="pct"/>
            <w:tcBorders>
              <w:top w:val="nil"/>
              <w:left w:val="nil"/>
              <w:bottom w:val="single" w:sz="4" w:space="0" w:color="auto"/>
              <w:right w:val="nil"/>
            </w:tcBorders>
            <w:shd w:val="clear" w:color="000000" w:fill="FFFFFF"/>
            <w:noWrap/>
            <w:vAlign w:val="center"/>
            <w:hideMark/>
          </w:tcPr>
          <w:p w14:paraId="7D74B91E" w14:textId="77777777" w:rsidR="00D61CAD" w:rsidRPr="000939E3" w:rsidRDefault="00D61CAD" w:rsidP="00D61CAD">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Verejný → Súkromný</w:t>
            </w:r>
          </w:p>
        </w:tc>
        <w:tc>
          <w:tcPr>
            <w:tcW w:w="655" w:type="pct"/>
            <w:vMerge/>
            <w:tcBorders>
              <w:top w:val="nil"/>
              <w:left w:val="nil"/>
              <w:bottom w:val="single" w:sz="4" w:space="0" w:color="auto"/>
              <w:right w:val="nil"/>
            </w:tcBorders>
            <w:vAlign w:val="center"/>
            <w:hideMark/>
          </w:tcPr>
          <w:p w14:paraId="01EE9C94" w14:textId="77777777" w:rsidR="00D61CAD" w:rsidRPr="000939E3" w:rsidRDefault="00D61CAD" w:rsidP="00D61CAD">
            <w:pPr>
              <w:spacing w:after="0" w:line="240" w:lineRule="auto"/>
              <w:rPr>
                <w:rFonts w:eastAsia="Times New Roman" w:cs="Times New Roman"/>
                <w:b/>
                <w:bCs/>
                <w:color w:val="000000"/>
                <w:sz w:val="20"/>
                <w:szCs w:val="20"/>
                <w:lang w:eastAsia="sk-SK"/>
              </w:rPr>
            </w:pPr>
          </w:p>
        </w:tc>
        <w:tc>
          <w:tcPr>
            <w:tcW w:w="681" w:type="pct"/>
            <w:vMerge/>
            <w:tcBorders>
              <w:top w:val="nil"/>
              <w:left w:val="nil"/>
              <w:bottom w:val="single" w:sz="4" w:space="0" w:color="auto"/>
              <w:right w:val="nil"/>
            </w:tcBorders>
            <w:vAlign w:val="center"/>
            <w:hideMark/>
          </w:tcPr>
          <w:p w14:paraId="39F983CD" w14:textId="77777777" w:rsidR="00D61CAD" w:rsidRPr="000939E3" w:rsidRDefault="00D61CAD" w:rsidP="00D61CAD">
            <w:pPr>
              <w:spacing w:after="0" w:line="240" w:lineRule="auto"/>
              <w:rPr>
                <w:rFonts w:eastAsia="Times New Roman" w:cs="Times New Roman"/>
                <w:b/>
                <w:bCs/>
                <w:color w:val="000000"/>
                <w:sz w:val="20"/>
                <w:szCs w:val="20"/>
                <w:lang w:eastAsia="sk-SK"/>
              </w:rPr>
            </w:pPr>
          </w:p>
        </w:tc>
      </w:tr>
      <w:tr w:rsidR="00D61CAD" w:rsidRPr="000939E3" w14:paraId="0BECE555" w14:textId="77777777" w:rsidTr="00D61CAD">
        <w:trPr>
          <w:trHeight w:val="20"/>
        </w:trPr>
        <w:tc>
          <w:tcPr>
            <w:tcW w:w="1627" w:type="pct"/>
            <w:tcBorders>
              <w:top w:val="single" w:sz="4" w:space="0" w:color="auto"/>
              <w:left w:val="nil"/>
              <w:bottom w:val="single" w:sz="4" w:space="0" w:color="auto"/>
              <w:right w:val="nil"/>
            </w:tcBorders>
            <w:shd w:val="clear" w:color="000000" w:fill="FFFFFF"/>
            <w:noWrap/>
            <w:vAlign w:val="bottom"/>
            <w:hideMark/>
          </w:tcPr>
          <w:p w14:paraId="68A53155" w14:textId="77777777" w:rsidR="00D61CAD" w:rsidRPr="000939E3" w:rsidRDefault="00D61CAD" w:rsidP="00D61CAD">
            <w:pPr>
              <w:spacing w:after="0" w:line="240" w:lineRule="auto"/>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Celkovo</w:t>
            </w:r>
          </w:p>
        </w:tc>
        <w:tc>
          <w:tcPr>
            <w:tcW w:w="1018" w:type="pct"/>
            <w:tcBorders>
              <w:top w:val="single" w:sz="4" w:space="0" w:color="auto"/>
              <w:left w:val="nil"/>
              <w:bottom w:val="single" w:sz="4" w:space="0" w:color="auto"/>
              <w:right w:val="nil"/>
            </w:tcBorders>
            <w:shd w:val="clear" w:color="000000" w:fill="FFFFFF"/>
            <w:noWrap/>
            <w:vAlign w:val="bottom"/>
            <w:hideMark/>
          </w:tcPr>
          <w:p w14:paraId="24626C9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11,2</w:t>
            </w:r>
          </w:p>
        </w:tc>
        <w:tc>
          <w:tcPr>
            <w:tcW w:w="1019" w:type="pct"/>
            <w:tcBorders>
              <w:top w:val="single" w:sz="4" w:space="0" w:color="auto"/>
              <w:left w:val="nil"/>
              <w:bottom w:val="single" w:sz="4" w:space="0" w:color="auto"/>
              <w:right w:val="nil"/>
            </w:tcBorders>
            <w:shd w:val="clear" w:color="000000" w:fill="FFFFFF"/>
            <w:noWrap/>
            <w:vAlign w:val="bottom"/>
            <w:hideMark/>
          </w:tcPr>
          <w:p w14:paraId="6EEB8C4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14,0</w:t>
            </w:r>
          </w:p>
        </w:tc>
        <w:tc>
          <w:tcPr>
            <w:tcW w:w="655" w:type="pct"/>
            <w:tcBorders>
              <w:top w:val="single" w:sz="4" w:space="0" w:color="auto"/>
              <w:left w:val="nil"/>
              <w:bottom w:val="single" w:sz="4" w:space="0" w:color="auto"/>
              <w:right w:val="nil"/>
            </w:tcBorders>
            <w:shd w:val="clear" w:color="000000" w:fill="FFFFFF"/>
            <w:noWrap/>
            <w:vAlign w:val="bottom"/>
            <w:hideMark/>
          </w:tcPr>
          <w:p w14:paraId="5D707F7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single" w:sz="4" w:space="0" w:color="auto"/>
              <w:left w:val="nil"/>
              <w:bottom w:val="single" w:sz="4" w:space="0" w:color="auto"/>
              <w:right w:val="nil"/>
            </w:tcBorders>
            <w:shd w:val="clear" w:color="000000" w:fill="FFFFFF"/>
            <w:noWrap/>
            <w:vAlign w:val="bottom"/>
            <w:hideMark/>
          </w:tcPr>
          <w:p w14:paraId="3FD5E63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6 058</w:t>
            </w:r>
          </w:p>
        </w:tc>
      </w:tr>
      <w:tr w:rsidR="00D61CAD" w:rsidRPr="000939E3" w14:paraId="47A08CF4" w14:textId="77777777" w:rsidTr="00D61CAD">
        <w:trPr>
          <w:trHeight w:val="20"/>
        </w:trPr>
        <w:tc>
          <w:tcPr>
            <w:tcW w:w="1627" w:type="pct"/>
            <w:tcBorders>
              <w:top w:val="single" w:sz="4" w:space="0" w:color="auto"/>
              <w:left w:val="nil"/>
              <w:bottom w:val="nil"/>
              <w:right w:val="nil"/>
            </w:tcBorders>
            <w:shd w:val="clear" w:color="000000" w:fill="FFFFFF"/>
            <w:noWrap/>
            <w:vAlign w:val="bottom"/>
            <w:hideMark/>
          </w:tcPr>
          <w:p w14:paraId="1A26A734" w14:textId="77777777" w:rsidR="00D61CAD" w:rsidRPr="000939E3" w:rsidRDefault="00D61CAD" w:rsidP="00D61CAD">
            <w:pPr>
              <w:spacing w:after="0" w:line="240" w:lineRule="auto"/>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Pohlavie</w:t>
            </w:r>
          </w:p>
        </w:tc>
        <w:tc>
          <w:tcPr>
            <w:tcW w:w="1018" w:type="pct"/>
            <w:tcBorders>
              <w:top w:val="single" w:sz="4" w:space="0" w:color="auto"/>
              <w:left w:val="nil"/>
              <w:bottom w:val="nil"/>
              <w:right w:val="nil"/>
            </w:tcBorders>
            <w:shd w:val="clear" w:color="000000" w:fill="FFFFFF"/>
            <w:noWrap/>
            <w:vAlign w:val="bottom"/>
            <w:hideMark/>
          </w:tcPr>
          <w:p w14:paraId="57E927A4"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1019" w:type="pct"/>
            <w:tcBorders>
              <w:top w:val="single" w:sz="4" w:space="0" w:color="auto"/>
              <w:left w:val="nil"/>
              <w:bottom w:val="nil"/>
              <w:right w:val="nil"/>
            </w:tcBorders>
            <w:shd w:val="clear" w:color="000000" w:fill="FFFFFF"/>
            <w:noWrap/>
            <w:vAlign w:val="bottom"/>
            <w:hideMark/>
          </w:tcPr>
          <w:p w14:paraId="26A2AFC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55" w:type="pct"/>
            <w:tcBorders>
              <w:top w:val="single" w:sz="4" w:space="0" w:color="auto"/>
              <w:left w:val="nil"/>
              <w:bottom w:val="nil"/>
              <w:right w:val="nil"/>
            </w:tcBorders>
            <w:shd w:val="clear" w:color="000000" w:fill="FFFFFF"/>
            <w:noWrap/>
            <w:vAlign w:val="bottom"/>
            <w:hideMark/>
          </w:tcPr>
          <w:p w14:paraId="4A3EEA3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81" w:type="pct"/>
            <w:tcBorders>
              <w:top w:val="single" w:sz="4" w:space="0" w:color="auto"/>
              <w:left w:val="nil"/>
              <w:bottom w:val="nil"/>
              <w:right w:val="nil"/>
            </w:tcBorders>
            <w:shd w:val="clear" w:color="000000" w:fill="FFFFFF"/>
            <w:noWrap/>
            <w:vAlign w:val="bottom"/>
            <w:hideMark/>
          </w:tcPr>
          <w:p w14:paraId="6AAB45C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r>
      <w:tr w:rsidR="00D61CAD" w:rsidRPr="000939E3" w14:paraId="005534A7" w14:textId="77777777" w:rsidTr="00D61CAD">
        <w:trPr>
          <w:trHeight w:val="20"/>
        </w:trPr>
        <w:tc>
          <w:tcPr>
            <w:tcW w:w="1627" w:type="pct"/>
            <w:tcBorders>
              <w:top w:val="nil"/>
              <w:left w:val="nil"/>
              <w:right w:val="nil"/>
            </w:tcBorders>
            <w:shd w:val="clear" w:color="000000" w:fill="FFFFFF"/>
            <w:noWrap/>
            <w:vAlign w:val="bottom"/>
            <w:hideMark/>
          </w:tcPr>
          <w:p w14:paraId="754C462D"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Ženy</w:t>
            </w:r>
          </w:p>
        </w:tc>
        <w:tc>
          <w:tcPr>
            <w:tcW w:w="1018" w:type="pct"/>
            <w:tcBorders>
              <w:top w:val="nil"/>
              <w:left w:val="nil"/>
              <w:right w:val="nil"/>
            </w:tcBorders>
            <w:shd w:val="clear" w:color="000000" w:fill="FFFFFF"/>
            <w:noWrap/>
            <w:vAlign w:val="bottom"/>
            <w:hideMark/>
          </w:tcPr>
          <w:p w14:paraId="0A2D2EE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10,0</w:t>
            </w:r>
          </w:p>
        </w:tc>
        <w:tc>
          <w:tcPr>
            <w:tcW w:w="1019" w:type="pct"/>
            <w:tcBorders>
              <w:top w:val="nil"/>
              <w:left w:val="nil"/>
              <w:right w:val="nil"/>
            </w:tcBorders>
            <w:shd w:val="clear" w:color="000000" w:fill="FFFFFF"/>
            <w:noWrap/>
            <w:vAlign w:val="bottom"/>
            <w:hideMark/>
          </w:tcPr>
          <w:p w14:paraId="026C0B0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8,9</w:t>
            </w:r>
          </w:p>
        </w:tc>
        <w:tc>
          <w:tcPr>
            <w:tcW w:w="655" w:type="pct"/>
            <w:tcBorders>
              <w:top w:val="nil"/>
              <w:left w:val="nil"/>
              <w:right w:val="nil"/>
            </w:tcBorders>
            <w:shd w:val="clear" w:color="000000" w:fill="FFFFFF"/>
            <w:noWrap/>
            <w:vAlign w:val="bottom"/>
            <w:hideMark/>
          </w:tcPr>
          <w:p w14:paraId="05F032F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81" w:type="pct"/>
            <w:tcBorders>
              <w:top w:val="nil"/>
              <w:left w:val="nil"/>
              <w:right w:val="nil"/>
            </w:tcBorders>
            <w:shd w:val="clear" w:color="000000" w:fill="FFFFFF"/>
            <w:noWrap/>
            <w:vAlign w:val="bottom"/>
            <w:hideMark/>
          </w:tcPr>
          <w:p w14:paraId="6ADECC6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3 851</w:t>
            </w:r>
          </w:p>
        </w:tc>
      </w:tr>
      <w:tr w:rsidR="00D61CAD" w:rsidRPr="000939E3" w14:paraId="4117AFF5" w14:textId="77777777" w:rsidTr="00D61CAD">
        <w:trPr>
          <w:trHeight w:val="20"/>
        </w:trPr>
        <w:tc>
          <w:tcPr>
            <w:tcW w:w="1627" w:type="pct"/>
            <w:tcBorders>
              <w:top w:val="nil"/>
              <w:left w:val="nil"/>
              <w:bottom w:val="single" w:sz="4" w:space="0" w:color="auto"/>
              <w:right w:val="nil"/>
            </w:tcBorders>
            <w:shd w:val="clear" w:color="000000" w:fill="FFFFFF"/>
            <w:noWrap/>
            <w:vAlign w:val="bottom"/>
            <w:hideMark/>
          </w:tcPr>
          <w:p w14:paraId="5FD1A4BC"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Muži</w:t>
            </w:r>
          </w:p>
        </w:tc>
        <w:tc>
          <w:tcPr>
            <w:tcW w:w="1018" w:type="pct"/>
            <w:tcBorders>
              <w:top w:val="nil"/>
              <w:left w:val="nil"/>
              <w:bottom w:val="single" w:sz="4" w:space="0" w:color="auto"/>
              <w:right w:val="nil"/>
            </w:tcBorders>
            <w:shd w:val="clear" w:color="000000" w:fill="FFFFFF"/>
            <w:noWrap/>
            <w:vAlign w:val="bottom"/>
            <w:hideMark/>
          </w:tcPr>
          <w:p w14:paraId="08A9B7B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13,3</w:t>
            </w:r>
          </w:p>
        </w:tc>
        <w:tc>
          <w:tcPr>
            <w:tcW w:w="1019" w:type="pct"/>
            <w:tcBorders>
              <w:top w:val="nil"/>
              <w:left w:val="nil"/>
              <w:bottom w:val="single" w:sz="4" w:space="0" w:color="auto"/>
              <w:right w:val="nil"/>
            </w:tcBorders>
            <w:shd w:val="clear" w:color="000000" w:fill="FFFFFF"/>
            <w:noWrap/>
            <w:vAlign w:val="bottom"/>
            <w:hideMark/>
          </w:tcPr>
          <w:p w14:paraId="71FA7DB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22,8</w:t>
            </w:r>
          </w:p>
        </w:tc>
        <w:tc>
          <w:tcPr>
            <w:tcW w:w="655" w:type="pct"/>
            <w:tcBorders>
              <w:top w:val="nil"/>
              <w:left w:val="nil"/>
              <w:bottom w:val="single" w:sz="4" w:space="0" w:color="auto"/>
              <w:right w:val="nil"/>
            </w:tcBorders>
            <w:shd w:val="clear" w:color="000000" w:fill="FFFFFF"/>
            <w:noWrap/>
            <w:vAlign w:val="bottom"/>
            <w:hideMark/>
          </w:tcPr>
          <w:p w14:paraId="31B4B356"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single" w:sz="4" w:space="0" w:color="auto"/>
              <w:right w:val="nil"/>
            </w:tcBorders>
            <w:shd w:val="clear" w:color="000000" w:fill="FFFFFF"/>
            <w:noWrap/>
            <w:vAlign w:val="bottom"/>
            <w:hideMark/>
          </w:tcPr>
          <w:p w14:paraId="7C50C16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2 207</w:t>
            </w:r>
          </w:p>
        </w:tc>
      </w:tr>
      <w:tr w:rsidR="00D61CAD" w:rsidRPr="000939E3" w14:paraId="51715C99" w14:textId="77777777" w:rsidTr="00D61CAD">
        <w:trPr>
          <w:trHeight w:val="20"/>
        </w:trPr>
        <w:tc>
          <w:tcPr>
            <w:tcW w:w="1627" w:type="pct"/>
            <w:tcBorders>
              <w:top w:val="single" w:sz="4" w:space="0" w:color="auto"/>
              <w:left w:val="nil"/>
              <w:bottom w:val="nil"/>
              <w:right w:val="nil"/>
            </w:tcBorders>
            <w:shd w:val="clear" w:color="000000" w:fill="FFFFFF"/>
            <w:noWrap/>
            <w:vAlign w:val="bottom"/>
            <w:hideMark/>
          </w:tcPr>
          <w:p w14:paraId="44C61E73" w14:textId="77777777" w:rsidR="00D61CAD" w:rsidRPr="000939E3" w:rsidRDefault="00D61CAD" w:rsidP="00D61CAD">
            <w:pPr>
              <w:spacing w:after="0" w:line="240" w:lineRule="auto"/>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Vek</w:t>
            </w:r>
          </w:p>
        </w:tc>
        <w:tc>
          <w:tcPr>
            <w:tcW w:w="1018" w:type="pct"/>
            <w:tcBorders>
              <w:top w:val="single" w:sz="4" w:space="0" w:color="auto"/>
              <w:left w:val="nil"/>
              <w:bottom w:val="nil"/>
              <w:right w:val="nil"/>
            </w:tcBorders>
            <w:shd w:val="clear" w:color="000000" w:fill="FFFFFF"/>
            <w:noWrap/>
            <w:vAlign w:val="bottom"/>
            <w:hideMark/>
          </w:tcPr>
          <w:p w14:paraId="7F8AF07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1019" w:type="pct"/>
            <w:tcBorders>
              <w:top w:val="single" w:sz="4" w:space="0" w:color="auto"/>
              <w:left w:val="nil"/>
              <w:bottom w:val="nil"/>
              <w:right w:val="nil"/>
            </w:tcBorders>
            <w:shd w:val="clear" w:color="000000" w:fill="FFFFFF"/>
            <w:noWrap/>
            <w:vAlign w:val="bottom"/>
            <w:hideMark/>
          </w:tcPr>
          <w:p w14:paraId="10376158"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55" w:type="pct"/>
            <w:tcBorders>
              <w:top w:val="single" w:sz="4" w:space="0" w:color="auto"/>
              <w:left w:val="nil"/>
              <w:bottom w:val="nil"/>
              <w:right w:val="nil"/>
            </w:tcBorders>
            <w:shd w:val="clear" w:color="000000" w:fill="FFFFFF"/>
            <w:noWrap/>
            <w:vAlign w:val="bottom"/>
            <w:hideMark/>
          </w:tcPr>
          <w:p w14:paraId="379E204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81" w:type="pct"/>
            <w:tcBorders>
              <w:top w:val="single" w:sz="4" w:space="0" w:color="auto"/>
              <w:left w:val="nil"/>
              <w:bottom w:val="nil"/>
              <w:right w:val="nil"/>
            </w:tcBorders>
            <w:shd w:val="clear" w:color="000000" w:fill="FFFFFF"/>
            <w:noWrap/>
            <w:vAlign w:val="bottom"/>
            <w:hideMark/>
          </w:tcPr>
          <w:p w14:paraId="4849C758"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r>
      <w:tr w:rsidR="00D61CAD" w:rsidRPr="000939E3" w14:paraId="38C59086" w14:textId="77777777" w:rsidTr="00D61CAD">
        <w:trPr>
          <w:trHeight w:val="20"/>
        </w:trPr>
        <w:tc>
          <w:tcPr>
            <w:tcW w:w="1627" w:type="pct"/>
            <w:tcBorders>
              <w:top w:val="nil"/>
              <w:left w:val="nil"/>
              <w:bottom w:val="nil"/>
              <w:right w:val="nil"/>
            </w:tcBorders>
            <w:shd w:val="clear" w:color="000000" w:fill="FFFFFF"/>
            <w:noWrap/>
            <w:vAlign w:val="bottom"/>
            <w:hideMark/>
          </w:tcPr>
          <w:p w14:paraId="04FA4D6D"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18 - 24</w:t>
            </w:r>
          </w:p>
        </w:tc>
        <w:tc>
          <w:tcPr>
            <w:tcW w:w="1018" w:type="pct"/>
            <w:tcBorders>
              <w:top w:val="nil"/>
              <w:left w:val="nil"/>
              <w:bottom w:val="nil"/>
              <w:right w:val="nil"/>
            </w:tcBorders>
            <w:shd w:val="clear" w:color="000000" w:fill="FFFFFF"/>
            <w:noWrap/>
            <w:vAlign w:val="bottom"/>
            <w:hideMark/>
          </w:tcPr>
          <w:p w14:paraId="1178FB09"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11,2</w:t>
            </w:r>
          </w:p>
        </w:tc>
        <w:tc>
          <w:tcPr>
            <w:tcW w:w="1019" w:type="pct"/>
            <w:tcBorders>
              <w:top w:val="nil"/>
              <w:left w:val="nil"/>
              <w:bottom w:val="nil"/>
              <w:right w:val="nil"/>
            </w:tcBorders>
            <w:shd w:val="clear" w:color="000000" w:fill="FFFFFF"/>
            <w:noWrap/>
            <w:vAlign w:val="bottom"/>
            <w:hideMark/>
          </w:tcPr>
          <w:p w14:paraId="694330B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23,4</w:t>
            </w:r>
          </w:p>
        </w:tc>
        <w:tc>
          <w:tcPr>
            <w:tcW w:w="655" w:type="pct"/>
            <w:tcBorders>
              <w:top w:val="nil"/>
              <w:left w:val="nil"/>
              <w:bottom w:val="nil"/>
              <w:right w:val="nil"/>
            </w:tcBorders>
            <w:shd w:val="clear" w:color="000000" w:fill="FFFFFF"/>
            <w:noWrap/>
            <w:vAlign w:val="bottom"/>
            <w:hideMark/>
          </w:tcPr>
          <w:p w14:paraId="51B1531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nil"/>
              <w:right w:val="nil"/>
            </w:tcBorders>
            <w:shd w:val="clear" w:color="000000" w:fill="FFFFFF"/>
            <w:noWrap/>
            <w:vAlign w:val="bottom"/>
            <w:hideMark/>
          </w:tcPr>
          <w:p w14:paraId="1ACCAAE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506</w:t>
            </w:r>
          </w:p>
        </w:tc>
      </w:tr>
      <w:tr w:rsidR="00D61CAD" w:rsidRPr="000939E3" w14:paraId="4FAA7F0D" w14:textId="77777777" w:rsidTr="00D61CAD">
        <w:trPr>
          <w:trHeight w:val="20"/>
        </w:trPr>
        <w:tc>
          <w:tcPr>
            <w:tcW w:w="1627" w:type="pct"/>
            <w:tcBorders>
              <w:top w:val="nil"/>
              <w:left w:val="nil"/>
              <w:bottom w:val="nil"/>
              <w:right w:val="nil"/>
            </w:tcBorders>
            <w:shd w:val="clear" w:color="000000" w:fill="FFFFFF"/>
            <w:noWrap/>
            <w:vAlign w:val="bottom"/>
            <w:hideMark/>
          </w:tcPr>
          <w:p w14:paraId="0E464364"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25 - 29</w:t>
            </w:r>
          </w:p>
        </w:tc>
        <w:tc>
          <w:tcPr>
            <w:tcW w:w="1018" w:type="pct"/>
            <w:tcBorders>
              <w:top w:val="nil"/>
              <w:left w:val="nil"/>
              <w:bottom w:val="nil"/>
              <w:right w:val="nil"/>
            </w:tcBorders>
            <w:shd w:val="clear" w:color="000000" w:fill="FFFFFF"/>
            <w:noWrap/>
            <w:vAlign w:val="bottom"/>
            <w:hideMark/>
          </w:tcPr>
          <w:p w14:paraId="38941D9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15,5</w:t>
            </w:r>
          </w:p>
        </w:tc>
        <w:tc>
          <w:tcPr>
            <w:tcW w:w="1019" w:type="pct"/>
            <w:tcBorders>
              <w:top w:val="nil"/>
              <w:left w:val="nil"/>
              <w:bottom w:val="nil"/>
              <w:right w:val="nil"/>
            </w:tcBorders>
            <w:shd w:val="clear" w:color="000000" w:fill="FFFFFF"/>
            <w:noWrap/>
            <w:vAlign w:val="bottom"/>
            <w:hideMark/>
          </w:tcPr>
          <w:p w14:paraId="253FB73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15,1</w:t>
            </w:r>
          </w:p>
        </w:tc>
        <w:tc>
          <w:tcPr>
            <w:tcW w:w="655" w:type="pct"/>
            <w:tcBorders>
              <w:top w:val="nil"/>
              <w:left w:val="nil"/>
              <w:bottom w:val="nil"/>
              <w:right w:val="nil"/>
            </w:tcBorders>
            <w:shd w:val="clear" w:color="000000" w:fill="FFFFFF"/>
            <w:noWrap/>
            <w:vAlign w:val="bottom"/>
            <w:hideMark/>
          </w:tcPr>
          <w:p w14:paraId="1863B96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81" w:type="pct"/>
            <w:tcBorders>
              <w:top w:val="nil"/>
              <w:left w:val="nil"/>
              <w:bottom w:val="nil"/>
              <w:right w:val="nil"/>
            </w:tcBorders>
            <w:shd w:val="clear" w:color="000000" w:fill="FFFFFF"/>
            <w:noWrap/>
            <w:vAlign w:val="bottom"/>
            <w:hideMark/>
          </w:tcPr>
          <w:p w14:paraId="44CB8B44"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1 172</w:t>
            </w:r>
          </w:p>
        </w:tc>
      </w:tr>
      <w:tr w:rsidR="00D61CAD" w:rsidRPr="000939E3" w14:paraId="6D195132" w14:textId="77777777" w:rsidTr="00D61CAD">
        <w:trPr>
          <w:trHeight w:val="20"/>
        </w:trPr>
        <w:tc>
          <w:tcPr>
            <w:tcW w:w="1627" w:type="pct"/>
            <w:tcBorders>
              <w:top w:val="nil"/>
              <w:left w:val="nil"/>
              <w:bottom w:val="nil"/>
              <w:right w:val="nil"/>
            </w:tcBorders>
            <w:shd w:val="clear" w:color="000000" w:fill="FFFFFF"/>
            <w:noWrap/>
            <w:vAlign w:val="bottom"/>
            <w:hideMark/>
          </w:tcPr>
          <w:p w14:paraId="5AD8FD46"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30 - 34</w:t>
            </w:r>
          </w:p>
        </w:tc>
        <w:tc>
          <w:tcPr>
            <w:tcW w:w="1018" w:type="pct"/>
            <w:tcBorders>
              <w:top w:val="nil"/>
              <w:left w:val="nil"/>
              <w:bottom w:val="nil"/>
              <w:right w:val="nil"/>
            </w:tcBorders>
            <w:shd w:val="clear" w:color="000000" w:fill="FFFFFF"/>
            <w:noWrap/>
            <w:vAlign w:val="bottom"/>
            <w:hideMark/>
          </w:tcPr>
          <w:p w14:paraId="5179415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9,8</w:t>
            </w:r>
          </w:p>
        </w:tc>
        <w:tc>
          <w:tcPr>
            <w:tcW w:w="1019" w:type="pct"/>
            <w:tcBorders>
              <w:top w:val="nil"/>
              <w:left w:val="nil"/>
              <w:bottom w:val="nil"/>
              <w:right w:val="nil"/>
            </w:tcBorders>
            <w:shd w:val="clear" w:color="000000" w:fill="FFFFFF"/>
            <w:noWrap/>
            <w:vAlign w:val="bottom"/>
            <w:hideMark/>
          </w:tcPr>
          <w:p w14:paraId="33CBA6E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17,9</w:t>
            </w:r>
          </w:p>
        </w:tc>
        <w:tc>
          <w:tcPr>
            <w:tcW w:w="655" w:type="pct"/>
            <w:tcBorders>
              <w:top w:val="nil"/>
              <w:left w:val="nil"/>
              <w:bottom w:val="nil"/>
              <w:right w:val="nil"/>
            </w:tcBorders>
            <w:shd w:val="clear" w:color="000000" w:fill="FFFFFF"/>
            <w:noWrap/>
            <w:vAlign w:val="bottom"/>
            <w:hideMark/>
          </w:tcPr>
          <w:p w14:paraId="26CFBE8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nil"/>
              <w:right w:val="nil"/>
            </w:tcBorders>
            <w:shd w:val="clear" w:color="000000" w:fill="FFFFFF"/>
            <w:noWrap/>
            <w:vAlign w:val="bottom"/>
            <w:hideMark/>
          </w:tcPr>
          <w:p w14:paraId="0ACCC7C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884</w:t>
            </w:r>
          </w:p>
        </w:tc>
      </w:tr>
      <w:tr w:rsidR="00D61CAD" w:rsidRPr="000939E3" w14:paraId="0373546E" w14:textId="77777777" w:rsidTr="00D61CAD">
        <w:trPr>
          <w:trHeight w:val="20"/>
        </w:trPr>
        <w:tc>
          <w:tcPr>
            <w:tcW w:w="1627" w:type="pct"/>
            <w:tcBorders>
              <w:top w:val="nil"/>
              <w:left w:val="nil"/>
              <w:bottom w:val="nil"/>
              <w:right w:val="nil"/>
            </w:tcBorders>
            <w:shd w:val="clear" w:color="000000" w:fill="FFFFFF"/>
            <w:noWrap/>
            <w:vAlign w:val="bottom"/>
            <w:hideMark/>
          </w:tcPr>
          <w:p w14:paraId="7F4CC992"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35 - 44</w:t>
            </w:r>
          </w:p>
        </w:tc>
        <w:tc>
          <w:tcPr>
            <w:tcW w:w="1018" w:type="pct"/>
            <w:tcBorders>
              <w:top w:val="nil"/>
              <w:left w:val="nil"/>
              <w:bottom w:val="nil"/>
              <w:right w:val="nil"/>
            </w:tcBorders>
            <w:shd w:val="clear" w:color="000000" w:fill="FFFFFF"/>
            <w:noWrap/>
            <w:vAlign w:val="bottom"/>
            <w:hideMark/>
          </w:tcPr>
          <w:p w14:paraId="3FDDE126"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9,9</w:t>
            </w:r>
          </w:p>
        </w:tc>
        <w:tc>
          <w:tcPr>
            <w:tcW w:w="1019" w:type="pct"/>
            <w:tcBorders>
              <w:top w:val="nil"/>
              <w:left w:val="nil"/>
              <w:bottom w:val="nil"/>
              <w:right w:val="nil"/>
            </w:tcBorders>
            <w:shd w:val="clear" w:color="000000" w:fill="FFFFFF"/>
            <w:noWrap/>
            <w:vAlign w:val="bottom"/>
            <w:hideMark/>
          </w:tcPr>
          <w:p w14:paraId="3E13331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13,0</w:t>
            </w:r>
          </w:p>
        </w:tc>
        <w:tc>
          <w:tcPr>
            <w:tcW w:w="655" w:type="pct"/>
            <w:tcBorders>
              <w:top w:val="nil"/>
              <w:left w:val="nil"/>
              <w:bottom w:val="nil"/>
              <w:right w:val="nil"/>
            </w:tcBorders>
            <w:shd w:val="clear" w:color="000000" w:fill="FFFFFF"/>
            <w:noWrap/>
            <w:vAlign w:val="bottom"/>
            <w:hideMark/>
          </w:tcPr>
          <w:p w14:paraId="019AD8D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nil"/>
              <w:right w:val="nil"/>
            </w:tcBorders>
            <w:shd w:val="clear" w:color="000000" w:fill="FFFFFF"/>
            <w:noWrap/>
            <w:vAlign w:val="bottom"/>
            <w:hideMark/>
          </w:tcPr>
          <w:p w14:paraId="2C7E46E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1 787</w:t>
            </w:r>
          </w:p>
        </w:tc>
      </w:tr>
      <w:tr w:rsidR="00D61CAD" w:rsidRPr="000939E3" w14:paraId="1C3302A4" w14:textId="77777777" w:rsidTr="00D61CAD">
        <w:trPr>
          <w:trHeight w:val="20"/>
        </w:trPr>
        <w:tc>
          <w:tcPr>
            <w:tcW w:w="1627" w:type="pct"/>
            <w:tcBorders>
              <w:top w:val="nil"/>
              <w:left w:val="nil"/>
              <w:right w:val="nil"/>
            </w:tcBorders>
            <w:shd w:val="clear" w:color="000000" w:fill="FFFFFF"/>
            <w:noWrap/>
            <w:vAlign w:val="bottom"/>
            <w:hideMark/>
          </w:tcPr>
          <w:p w14:paraId="7A7AC1A2"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45 - 54</w:t>
            </w:r>
          </w:p>
        </w:tc>
        <w:tc>
          <w:tcPr>
            <w:tcW w:w="1018" w:type="pct"/>
            <w:tcBorders>
              <w:top w:val="nil"/>
              <w:left w:val="nil"/>
              <w:right w:val="nil"/>
            </w:tcBorders>
            <w:shd w:val="clear" w:color="000000" w:fill="FFFFFF"/>
            <w:noWrap/>
            <w:vAlign w:val="bottom"/>
            <w:hideMark/>
          </w:tcPr>
          <w:p w14:paraId="526358D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10,6</w:t>
            </w:r>
          </w:p>
        </w:tc>
        <w:tc>
          <w:tcPr>
            <w:tcW w:w="1019" w:type="pct"/>
            <w:tcBorders>
              <w:top w:val="nil"/>
              <w:left w:val="nil"/>
              <w:right w:val="nil"/>
            </w:tcBorders>
            <w:shd w:val="clear" w:color="000000" w:fill="FFFFFF"/>
            <w:noWrap/>
            <w:vAlign w:val="bottom"/>
            <w:hideMark/>
          </w:tcPr>
          <w:p w14:paraId="4854822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10,2</w:t>
            </w:r>
          </w:p>
        </w:tc>
        <w:tc>
          <w:tcPr>
            <w:tcW w:w="655" w:type="pct"/>
            <w:tcBorders>
              <w:top w:val="nil"/>
              <w:left w:val="nil"/>
              <w:right w:val="nil"/>
            </w:tcBorders>
            <w:shd w:val="clear" w:color="000000" w:fill="FFFFFF"/>
            <w:noWrap/>
            <w:vAlign w:val="bottom"/>
            <w:hideMark/>
          </w:tcPr>
          <w:p w14:paraId="6D110B2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81" w:type="pct"/>
            <w:tcBorders>
              <w:top w:val="nil"/>
              <w:left w:val="nil"/>
              <w:right w:val="nil"/>
            </w:tcBorders>
            <w:shd w:val="clear" w:color="000000" w:fill="FFFFFF"/>
            <w:noWrap/>
            <w:vAlign w:val="bottom"/>
            <w:hideMark/>
          </w:tcPr>
          <w:p w14:paraId="41E57E8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1 213</w:t>
            </w:r>
          </w:p>
        </w:tc>
      </w:tr>
      <w:tr w:rsidR="00D61CAD" w:rsidRPr="000939E3" w14:paraId="55831AC1" w14:textId="77777777" w:rsidTr="00D61CAD">
        <w:trPr>
          <w:trHeight w:val="20"/>
        </w:trPr>
        <w:tc>
          <w:tcPr>
            <w:tcW w:w="1627" w:type="pct"/>
            <w:tcBorders>
              <w:top w:val="nil"/>
              <w:left w:val="nil"/>
              <w:bottom w:val="single" w:sz="4" w:space="0" w:color="auto"/>
              <w:right w:val="nil"/>
            </w:tcBorders>
            <w:shd w:val="clear" w:color="000000" w:fill="FFFFFF"/>
            <w:noWrap/>
            <w:vAlign w:val="bottom"/>
            <w:hideMark/>
          </w:tcPr>
          <w:p w14:paraId="6BF91701"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55 +</w:t>
            </w:r>
          </w:p>
        </w:tc>
        <w:tc>
          <w:tcPr>
            <w:tcW w:w="1018" w:type="pct"/>
            <w:tcBorders>
              <w:top w:val="nil"/>
              <w:left w:val="nil"/>
              <w:bottom w:val="single" w:sz="4" w:space="0" w:color="auto"/>
              <w:right w:val="nil"/>
            </w:tcBorders>
            <w:shd w:val="clear" w:color="000000" w:fill="FFFFFF"/>
            <w:noWrap/>
            <w:vAlign w:val="bottom"/>
            <w:hideMark/>
          </w:tcPr>
          <w:p w14:paraId="4DF481D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9,3</w:t>
            </w:r>
          </w:p>
        </w:tc>
        <w:tc>
          <w:tcPr>
            <w:tcW w:w="1019" w:type="pct"/>
            <w:tcBorders>
              <w:top w:val="nil"/>
              <w:left w:val="nil"/>
              <w:bottom w:val="single" w:sz="4" w:space="0" w:color="auto"/>
              <w:right w:val="nil"/>
            </w:tcBorders>
            <w:shd w:val="clear" w:color="000000" w:fill="FFFFFF"/>
            <w:noWrap/>
            <w:vAlign w:val="bottom"/>
            <w:hideMark/>
          </w:tcPr>
          <w:p w14:paraId="3826E8E8"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6,7</w:t>
            </w:r>
          </w:p>
        </w:tc>
        <w:tc>
          <w:tcPr>
            <w:tcW w:w="655" w:type="pct"/>
            <w:tcBorders>
              <w:top w:val="nil"/>
              <w:left w:val="nil"/>
              <w:bottom w:val="single" w:sz="4" w:space="0" w:color="auto"/>
              <w:right w:val="nil"/>
            </w:tcBorders>
            <w:shd w:val="clear" w:color="000000" w:fill="FFFFFF"/>
            <w:noWrap/>
            <w:vAlign w:val="bottom"/>
            <w:hideMark/>
          </w:tcPr>
          <w:p w14:paraId="47C1DC28"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81" w:type="pct"/>
            <w:tcBorders>
              <w:top w:val="nil"/>
              <w:left w:val="nil"/>
              <w:bottom w:val="single" w:sz="4" w:space="0" w:color="auto"/>
              <w:right w:val="nil"/>
            </w:tcBorders>
            <w:shd w:val="clear" w:color="000000" w:fill="FFFFFF"/>
            <w:noWrap/>
            <w:vAlign w:val="bottom"/>
            <w:hideMark/>
          </w:tcPr>
          <w:p w14:paraId="7327B62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495</w:t>
            </w:r>
          </w:p>
        </w:tc>
      </w:tr>
      <w:tr w:rsidR="00D61CAD" w:rsidRPr="000939E3" w14:paraId="461CBB1B" w14:textId="77777777" w:rsidTr="00D61CAD">
        <w:trPr>
          <w:trHeight w:val="20"/>
        </w:trPr>
        <w:tc>
          <w:tcPr>
            <w:tcW w:w="1627" w:type="pct"/>
            <w:tcBorders>
              <w:top w:val="single" w:sz="4" w:space="0" w:color="auto"/>
              <w:left w:val="nil"/>
              <w:bottom w:val="nil"/>
              <w:right w:val="nil"/>
            </w:tcBorders>
            <w:shd w:val="clear" w:color="000000" w:fill="FFFFFF"/>
            <w:noWrap/>
            <w:vAlign w:val="bottom"/>
            <w:hideMark/>
          </w:tcPr>
          <w:p w14:paraId="21A6473D" w14:textId="77777777" w:rsidR="00D61CAD" w:rsidRPr="000939E3" w:rsidRDefault="00D61CAD" w:rsidP="00D61CAD">
            <w:pPr>
              <w:spacing w:after="0" w:line="240" w:lineRule="auto"/>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Vzdelanie</w:t>
            </w:r>
          </w:p>
        </w:tc>
        <w:tc>
          <w:tcPr>
            <w:tcW w:w="1018" w:type="pct"/>
            <w:tcBorders>
              <w:top w:val="single" w:sz="4" w:space="0" w:color="auto"/>
              <w:left w:val="nil"/>
              <w:bottom w:val="nil"/>
              <w:right w:val="nil"/>
            </w:tcBorders>
            <w:shd w:val="clear" w:color="000000" w:fill="FFFFFF"/>
            <w:noWrap/>
            <w:vAlign w:val="bottom"/>
            <w:hideMark/>
          </w:tcPr>
          <w:p w14:paraId="0307C2E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1019" w:type="pct"/>
            <w:tcBorders>
              <w:top w:val="single" w:sz="4" w:space="0" w:color="auto"/>
              <w:left w:val="nil"/>
              <w:bottom w:val="nil"/>
              <w:right w:val="nil"/>
            </w:tcBorders>
            <w:shd w:val="clear" w:color="000000" w:fill="FFFFFF"/>
            <w:noWrap/>
            <w:vAlign w:val="bottom"/>
            <w:hideMark/>
          </w:tcPr>
          <w:p w14:paraId="5BCE012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55" w:type="pct"/>
            <w:tcBorders>
              <w:top w:val="single" w:sz="4" w:space="0" w:color="auto"/>
              <w:left w:val="nil"/>
              <w:bottom w:val="nil"/>
              <w:right w:val="nil"/>
            </w:tcBorders>
            <w:shd w:val="clear" w:color="000000" w:fill="FFFFFF"/>
            <w:noWrap/>
            <w:vAlign w:val="bottom"/>
            <w:hideMark/>
          </w:tcPr>
          <w:p w14:paraId="090EDCB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81" w:type="pct"/>
            <w:tcBorders>
              <w:top w:val="single" w:sz="4" w:space="0" w:color="auto"/>
              <w:left w:val="nil"/>
              <w:bottom w:val="nil"/>
              <w:right w:val="nil"/>
            </w:tcBorders>
            <w:shd w:val="clear" w:color="000000" w:fill="FFFFFF"/>
            <w:noWrap/>
            <w:vAlign w:val="bottom"/>
            <w:hideMark/>
          </w:tcPr>
          <w:p w14:paraId="1A36DF2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r>
      <w:tr w:rsidR="00D61CAD" w:rsidRPr="000939E3" w14:paraId="732CF1BB" w14:textId="77777777" w:rsidTr="00D61CAD">
        <w:trPr>
          <w:trHeight w:val="20"/>
        </w:trPr>
        <w:tc>
          <w:tcPr>
            <w:tcW w:w="1627" w:type="pct"/>
            <w:tcBorders>
              <w:top w:val="nil"/>
              <w:left w:val="nil"/>
              <w:right w:val="nil"/>
            </w:tcBorders>
            <w:shd w:val="clear" w:color="000000" w:fill="FFFFFF"/>
            <w:noWrap/>
            <w:vAlign w:val="bottom"/>
            <w:hideMark/>
          </w:tcPr>
          <w:p w14:paraId="5742DB04"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Stredné</w:t>
            </w:r>
          </w:p>
        </w:tc>
        <w:tc>
          <w:tcPr>
            <w:tcW w:w="1018" w:type="pct"/>
            <w:tcBorders>
              <w:top w:val="nil"/>
              <w:left w:val="nil"/>
              <w:right w:val="nil"/>
            </w:tcBorders>
            <w:shd w:val="clear" w:color="000000" w:fill="FFFFFF"/>
            <w:noWrap/>
            <w:vAlign w:val="bottom"/>
            <w:hideMark/>
          </w:tcPr>
          <w:p w14:paraId="3AD90AF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6,6</w:t>
            </w:r>
          </w:p>
        </w:tc>
        <w:tc>
          <w:tcPr>
            <w:tcW w:w="1019" w:type="pct"/>
            <w:tcBorders>
              <w:top w:val="nil"/>
              <w:left w:val="nil"/>
              <w:right w:val="nil"/>
            </w:tcBorders>
            <w:shd w:val="clear" w:color="000000" w:fill="FFFFFF"/>
            <w:noWrap/>
            <w:vAlign w:val="bottom"/>
            <w:hideMark/>
          </w:tcPr>
          <w:p w14:paraId="338739E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15,0</w:t>
            </w:r>
          </w:p>
        </w:tc>
        <w:tc>
          <w:tcPr>
            <w:tcW w:w="655" w:type="pct"/>
            <w:tcBorders>
              <w:top w:val="nil"/>
              <w:left w:val="nil"/>
              <w:right w:val="nil"/>
            </w:tcBorders>
            <w:shd w:val="clear" w:color="000000" w:fill="FFFFFF"/>
            <w:noWrap/>
            <w:vAlign w:val="bottom"/>
            <w:hideMark/>
          </w:tcPr>
          <w:p w14:paraId="65C5B41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right w:val="nil"/>
            </w:tcBorders>
            <w:shd w:val="clear" w:color="000000" w:fill="FFFFFF"/>
            <w:noWrap/>
            <w:vAlign w:val="bottom"/>
            <w:hideMark/>
          </w:tcPr>
          <w:p w14:paraId="6C9A369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2 816</w:t>
            </w:r>
          </w:p>
        </w:tc>
      </w:tr>
      <w:tr w:rsidR="00D61CAD" w:rsidRPr="000939E3" w14:paraId="6532AF5E" w14:textId="77777777" w:rsidTr="00D61CAD">
        <w:trPr>
          <w:trHeight w:val="20"/>
        </w:trPr>
        <w:tc>
          <w:tcPr>
            <w:tcW w:w="1627" w:type="pct"/>
            <w:tcBorders>
              <w:top w:val="nil"/>
              <w:left w:val="nil"/>
              <w:bottom w:val="single" w:sz="4" w:space="0" w:color="auto"/>
              <w:right w:val="nil"/>
            </w:tcBorders>
            <w:shd w:val="clear" w:color="000000" w:fill="FFFFFF"/>
            <w:noWrap/>
            <w:vAlign w:val="bottom"/>
            <w:hideMark/>
          </w:tcPr>
          <w:p w14:paraId="1E4279AA"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Vysokoškolské</w:t>
            </w:r>
          </w:p>
        </w:tc>
        <w:tc>
          <w:tcPr>
            <w:tcW w:w="1018" w:type="pct"/>
            <w:tcBorders>
              <w:top w:val="nil"/>
              <w:left w:val="nil"/>
              <w:bottom w:val="single" w:sz="4" w:space="0" w:color="auto"/>
              <w:right w:val="nil"/>
            </w:tcBorders>
            <w:shd w:val="clear" w:color="000000" w:fill="FFFFFF"/>
            <w:noWrap/>
            <w:vAlign w:val="bottom"/>
            <w:hideMark/>
          </w:tcPr>
          <w:p w14:paraId="7742236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16,0</w:t>
            </w:r>
          </w:p>
        </w:tc>
        <w:tc>
          <w:tcPr>
            <w:tcW w:w="1019" w:type="pct"/>
            <w:tcBorders>
              <w:top w:val="nil"/>
              <w:left w:val="nil"/>
              <w:bottom w:val="single" w:sz="4" w:space="0" w:color="auto"/>
              <w:right w:val="nil"/>
            </w:tcBorders>
            <w:shd w:val="clear" w:color="000000" w:fill="FFFFFF"/>
            <w:noWrap/>
            <w:vAlign w:val="bottom"/>
            <w:hideMark/>
          </w:tcPr>
          <w:p w14:paraId="3F562766"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12,4</w:t>
            </w:r>
          </w:p>
        </w:tc>
        <w:tc>
          <w:tcPr>
            <w:tcW w:w="655" w:type="pct"/>
            <w:tcBorders>
              <w:top w:val="nil"/>
              <w:left w:val="nil"/>
              <w:bottom w:val="single" w:sz="4" w:space="0" w:color="auto"/>
              <w:right w:val="nil"/>
            </w:tcBorders>
            <w:shd w:val="clear" w:color="000000" w:fill="FFFFFF"/>
            <w:noWrap/>
            <w:vAlign w:val="bottom"/>
            <w:hideMark/>
          </w:tcPr>
          <w:p w14:paraId="6732586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single" w:sz="4" w:space="0" w:color="auto"/>
              <w:right w:val="nil"/>
            </w:tcBorders>
            <w:shd w:val="clear" w:color="000000" w:fill="FFFFFF"/>
            <w:noWrap/>
            <w:vAlign w:val="bottom"/>
            <w:hideMark/>
          </w:tcPr>
          <w:p w14:paraId="117589C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2 644</w:t>
            </w:r>
          </w:p>
        </w:tc>
      </w:tr>
      <w:tr w:rsidR="00D61CAD" w:rsidRPr="000939E3" w14:paraId="68D1A523" w14:textId="77777777" w:rsidTr="00D61CAD">
        <w:trPr>
          <w:trHeight w:val="20"/>
        </w:trPr>
        <w:tc>
          <w:tcPr>
            <w:tcW w:w="1627" w:type="pct"/>
            <w:tcBorders>
              <w:top w:val="single" w:sz="4" w:space="0" w:color="auto"/>
              <w:left w:val="nil"/>
              <w:bottom w:val="nil"/>
              <w:right w:val="nil"/>
            </w:tcBorders>
            <w:shd w:val="clear" w:color="000000" w:fill="FFFFFF"/>
            <w:noWrap/>
            <w:vAlign w:val="bottom"/>
            <w:hideMark/>
          </w:tcPr>
          <w:p w14:paraId="647E8575" w14:textId="6BF1BEB9" w:rsidR="00D61CAD" w:rsidRPr="000939E3" w:rsidRDefault="00D61CAD" w:rsidP="00D61CAD">
            <w:pPr>
              <w:spacing w:after="0" w:line="240" w:lineRule="auto"/>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Plat pred zmenou</w:t>
            </w:r>
          </w:p>
        </w:tc>
        <w:tc>
          <w:tcPr>
            <w:tcW w:w="1018" w:type="pct"/>
            <w:tcBorders>
              <w:top w:val="single" w:sz="4" w:space="0" w:color="auto"/>
              <w:left w:val="nil"/>
              <w:bottom w:val="nil"/>
              <w:right w:val="nil"/>
            </w:tcBorders>
            <w:shd w:val="clear" w:color="000000" w:fill="FFFFFF"/>
            <w:noWrap/>
            <w:vAlign w:val="bottom"/>
            <w:hideMark/>
          </w:tcPr>
          <w:p w14:paraId="64D2D15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1019" w:type="pct"/>
            <w:tcBorders>
              <w:top w:val="single" w:sz="4" w:space="0" w:color="auto"/>
              <w:left w:val="nil"/>
              <w:bottom w:val="nil"/>
              <w:right w:val="nil"/>
            </w:tcBorders>
            <w:shd w:val="clear" w:color="000000" w:fill="FFFFFF"/>
            <w:noWrap/>
            <w:vAlign w:val="bottom"/>
            <w:hideMark/>
          </w:tcPr>
          <w:p w14:paraId="06B4D4E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55" w:type="pct"/>
            <w:tcBorders>
              <w:top w:val="single" w:sz="4" w:space="0" w:color="auto"/>
              <w:left w:val="nil"/>
              <w:bottom w:val="nil"/>
              <w:right w:val="nil"/>
            </w:tcBorders>
            <w:shd w:val="clear" w:color="000000" w:fill="FFFFFF"/>
            <w:noWrap/>
            <w:vAlign w:val="bottom"/>
            <w:hideMark/>
          </w:tcPr>
          <w:p w14:paraId="6258C93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81" w:type="pct"/>
            <w:tcBorders>
              <w:top w:val="single" w:sz="4" w:space="0" w:color="auto"/>
              <w:left w:val="nil"/>
              <w:bottom w:val="nil"/>
              <w:right w:val="nil"/>
            </w:tcBorders>
            <w:shd w:val="clear" w:color="000000" w:fill="FFFFFF"/>
            <w:noWrap/>
            <w:vAlign w:val="bottom"/>
            <w:hideMark/>
          </w:tcPr>
          <w:p w14:paraId="032CCD6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r>
      <w:tr w:rsidR="00D61CAD" w:rsidRPr="000939E3" w14:paraId="4EA8BABE" w14:textId="77777777" w:rsidTr="00D61CAD">
        <w:trPr>
          <w:trHeight w:val="20"/>
        </w:trPr>
        <w:tc>
          <w:tcPr>
            <w:tcW w:w="1627" w:type="pct"/>
            <w:tcBorders>
              <w:top w:val="nil"/>
              <w:left w:val="nil"/>
              <w:bottom w:val="nil"/>
              <w:right w:val="nil"/>
            </w:tcBorders>
            <w:shd w:val="clear" w:color="000000" w:fill="FFFFFF"/>
            <w:noWrap/>
            <w:vAlign w:val="bottom"/>
            <w:hideMark/>
          </w:tcPr>
          <w:p w14:paraId="4DB9280D"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1. kvantil</w:t>
            </w:r>
          </w:p>
        </w:tc>
        <w:tc>
          <w:tcPr>
            <w:tcW w:w="1018" w:type="pct"/>
            <w:tcBorders>
              <w:top w:val="nil"/>
              <w:left w:val="nil"/>
              <w:bottom w:val="nil"/>
              <w:right w:val="nil"/>
            </w:tcBorders>
            <w:shd w:val="clear" w:color="000000" w:fill="FFFFFF"/>
            <w:noWrap/>
            <w:vAlign w:val="bottom"/>
            <w:hideMark/>
          </w:tcPr>
          <w:p w14:paraId="534260A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38,9</w:t>
            </w:r>
          </w:p>
        </w:tc>
        <w:tc>
          <w:tcPr>
            <w:tcW w:w="1019" w:type="pct"/>
            <w:tcBorders>
              <w:top w:val="nil"/>
              <w:left w:val="nil"/>
              <w:bottom w:val="nil"/>
              <w:right w:val="nil"/>
            </w:tcBorders>
            <w:shd w:val="clear" w:color="000000" w:fill="FFFFFF"/>
            <w:noWrap/>
            <w:vAlign w:val="bottom"/>
            <w:hideMark/>
          </w:tcPr>
          <w:p w14:paraId="3481B52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36,5</w:t>
            </w:r>
          </w:p>
        </w:tc>
        <w:tc>
          <w:tcPr>
            <w:tcW w:w="655" w:type="pct"/>
            <w:tcBorders>
              <w:top w:val="nil"/>
              <w:left w:val="nil"/>
              <w:bottom w:val="nil"/>
              <w:right w:val="nil"/>
            </w:tcBorders>
            <w:shd w:val="clear" w:color="000000" w:fill="FFFFFF"/>
            <w:noWrap/>
            <w:vAlign w:val="bottom"/>
            <w:hideMark/>
          </w:tcPr>
          <w:p w14:paraId="6F0FDA5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81" w:type="pct"/>
            <w:tcBorders>
              <w:top w:val="nil"/>
              <w:left w:val="nil"/>
              <w:bottom w:val="nil"/>
              <w:right w:val="nil"/>
            </w:tcBorders>
            <w:shd w:val="clear" w:color="000000" w:fill="FFFFFF"/>
            <w:noWrap/>
            <w:vAlign w:val="bottom"/>
            <w:hideMark/>
          </w:tcPr>
          <w:p w14:paraId="4E37D30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1 467</w:t>
            </w:r>
          </w:p>
        </w:tc>
      </w:tr>
      <w:tr w:rsidR="00D61CAD" w:rsidRPr="000939E3" w14:paraId="40FC640B" w14:textId="77777777" w:rsidTr="00D61CAD">
        <w:trPr>
          <w:trHeight w:val="20"/>
        </w:trPr>
        <w:tc>
          <w:tcPr>
            <w:tcW w:w="1627" w:type="pct"/>
            <w:tcBorders>
              <w:top w:val="nil"/>
              <w:left w:val="nil"/>
              <w:bottom w:val="nil"/>
              <w:right w:val="nil"/>
            </w:tcBorders>
            <w:shd w:val="clear" w:color="000000" w:fill="FFFFFF"/>
            <w:noWrap/>
            <w:vAlign w:val="bottom"/>
            <w:hideMark/>
          </w:tcPr>
          <w:p w14:paraId="3A10F220"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2. kvantil</w:t>
            </w:r>
          </w:p>
        </w:tc>
        <w:tc>
          <w:tcPr>
            <w:tcW w:w="1018" w:type="pct"/>
            <w:tcBorders>
              <w:top w:val="nil"/>
              <w:left w:val="nil"/>
              <w:bottom w:val="nil"/>
              <w:right w:val="nil"/>
            </w:tcBorders>
            <w:shd w:val="clear" w:color="000000" w:fill="FFFFFF"/>
            <w:noWrap/>
            <w:vAlign w:val="bottom"/>
            <w:hideMark/>
          </w:tcPr>
          <w:p w14:paraId="37258D1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11,2</w:t>
            </w:r>
          </w:p>
        </w:tc>
        <w:tc>
          <w:tcPr>
            <w:tcW w:w="1019" w:type="pct"/>
            <w:tcBorders>
              <w:top w:val="nil"/>
              <w:left w:val="nil"/>
              <w:bottom w:val="nil"/>
              <w:right w:val="nil"/>
            </w:tcBorders>
            <w:shd w:val="clear" w:color="000000" w:fill="FFFFFF"/>
            <w:noWrap/>
            <w:vAlign w:val="bottom"/>
            <w:hideMark/>
          </w:tcPr>
          <w:p w14:paraId="36A19E0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18,3</w:t>
            </w:r>
          </w:p>
        </w:tc>
        <w:tc>
          <w:tcPr>
            <w:tcW w:w="655" w:type="pct"/>
            <w:tcBorders>
              <w:top w:val="nil"/>
              <w:left w:val="nil"/>
              <w:bottom w:val="nil"/>
              <w:right w:val="nil"/>
            </w:tcBorders>
            <w:shd w:val="clear" w:color="000000" w:fill="FFFFFF"/>
            <w:noWrap/>
            <w:vAlign w:val="bottom"/>
            <w:hideMark/>
          </w:tcPr>
          <w:p w14:paraId="7138CFC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nil"/>
              <w:right w:val="nil"/>
            </w:tcBorders>
            <w:shd w:val="clear" w:color="000000" w:fill="FFFFFF"/>
            <w:noWrap/>
            <w:vAlign w:val="bottom"/>
            <w:hideMark/>
          </w:tcPr>
          <w:p w14:paraId="2B88FA7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1 473</w:t>
            </w:r>
          </w:p>
        </w:tc>
      </w:tr>
      <w:tr w:rsidR="00D61CAD" w:rsidRPr="000939E3" w14:paraId="7B75F772" w14:textId="77777777" w:rsidTr="00D61CAD">
        <w:trPr>
          <w:trHeight w:val="20"/>
        </w:trPr>
        <w:tc>
          <w:tcPr>
            <w:tcW w:w="1627" w:type="pct"/>
            <w:tcBorders>
              <w:top w:val="nil"/>
              <w:left w:val="nil"/>
              <w:bottom w:val="nil"/>
              <w:right w:val="nil"/>
            </w:tcBorders>
            <w:shd w:val="clear" w:color="000000" w:fill="FFFFFF"/>
            <w:noWrap/>
            <w:vAlign w:val="bottom"/>
            <w:hideMark/>
          </w:tcPr>
          <w:p w14:paraId="2D96CD2B"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3. kvantil</w:t>
            </w:r>
          </w:p>
        </w:tc>
        <w:tc>
          <w:tcPr>
            <w:tcW w:w="1018" w:type="pct"/>
            <w:tcBorders>
              <w:top w:val="nil"/>
              <w:left w:val="nil"/>
              <w:bottom w:val="nil"/>
              <w:right w:val="nil"/>
            </w:tcBorders>
            <w:shd w:val="clear" w:color="000000" w:fill="FFFFFF"/>
            <w:noWrap/>
            <w:vAlign w:val="bottom"/>
            <w:hideMark/>
          </w:tcPr>
          <w:p w14:paraId="0D49B5E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-0,1</w:t>
            </w:r>
          </w:p>
        </w:tc>
        <w:tc>
          <w:tcPr>
            <w:tcW w:w="1019" w:type="pct"/>
            <w:tcBorders>
              <w:top w:val="nil"/>
              <w:left w:val="nil"/>
              <w:bottom w:val="nil"/>
              <w:right w:val="nil"/>
            </w:tcBorders>
            <w:shd w:val="clear" w:color="000000" w:fill="FFFFFF"/>
            <w:noWrap/>
            <w:vAlign w:val="bottom"/>
            <w:hideMark/>
          </w:tcPr>
          <w:p w14:paraId="5FD50DA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10,0</w:t>
            </w:r>
          </w:p>
        </w:tc>
        <w:tc>
          <w:tcPr>
            <w:tcW w:w="655" w:type="pct"/>
            <w:tcBorders>
              <w:top w:val="nil"/>
              <w:left w:val="nil"/>
              <w:bottom w:val="nil"/>
              <w:right w:val="nil"/>
            </w:tcBorders>
            <w:shd w:val="clear" w:color="000000" w:fill="FFFFFF"/>
            <w:noWrap/>
            <w:vAlign w:val="bottom"/>
            <w:hideMark/>
          </w:tcPr>
          <w:p w14:paraId="0B78ACB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nil"/>
              <w:right w:val="nil"/>
            </w:tcBorders>
            <w:shd w:val="clear" w:color="000000" w:fill="FFFFFF"/>
            <w:noWrap/>
            <w:vAlign w:val="bottom"/>
            <w:hideMark/>
          </w:tcPr>
          <w:p w14:paraId="2F877A9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1 339</w:t>
            </w:r>
          </w:p>
        </w:tc>
      </w:tr>
      <w:tr w:rsidR="00D61CAD" w:rsidRPr="000939E3" w14:paraId="23D97DFD" w14:textId="77777777" w:rsidTr="00D61CAD">
        <w:trPr>
          <w:trHeight w:val="20"/>
        </w:trPr>
        <w:tc>
          <w:tcPr>
            <w:tcW w:w="1627" w:type="pct"/>
            <w:tcBorders>
              <w:top w:val="nil"/>
              <w:left w:val="nil"/>
              <w:right w:val="nil"/>
            </w:tcBorders>
            <w:shd w:val="clear" w:color="000000" w:fill="FFFFFF"/>
            <w:noWrap/>
            <w:vAlign w:val="bottom"/>
            <w:hideMark/>
          </w:tcPr>
          <w:p w14:paraId="77A2CA65"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4. kvantil</w:t>
            </w:r>
          </w:p>
        </w:tc>
        <w:tc>
          <w:tcPr>
            <w:tcW w:w="1018" w:type="pct"/>
            <w:tcBorders>
              <w:top w:val="nil"/>
              <w:left w:val="nil"/>
              <w:right w:val="nil"/>
            </w:tcBorders>
            <w:shd w:val="clear" w:color="000000" w:fill="FFFFFF"/>
            <w:noWrap/>
            <w:vAlign w:val="bottom"/>
            <w:hideMark/>
          </w:tcPr>
          <w:p w14:paraId="3B3B79C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-6,1</w:t>
            </w:r>
          </w:p>
        </w:tc>
        <w:tc>
          <w:tcPr>
            <w:tcW w:w="1019" w:type="pct"/>
            <w:tcBorders>
              <w:top w:val="nil"/>
              <w:left w:val="nil"/>
              <w:right w:val="nil"/>
            </w:tcBorders>
            <w:shd w:val="clear" w:color="000000" w:fill="FFFFFF"/>
            <w:noWrap/>
            <w:vAlign w:val="bottom"/>
            <w:hideMark/>
          </w:tcPr>
          <w:p w14:paraId="73BCAA1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1,3</w:t>
            </w:r>
          </w:p>
        </w:tc>
        <w:tc>
          <w:tcPr>
            <w:tcW w:w="655" w:type="pct"/>
            <w:tcBorders>
              <w:top w:val="nil"/>
              <w:left w:val="nil"/>
              <w:right w:val="nil"/>
            </w:tcBorders>
            <w:shd w:val="clear" w:color="000000" w:fill="FFFFFF"/>
            <w:noWrap/>
            <w:vAlign w:val="bottom"/>
            <w:hideMark/>
          </w:tcPr>
          <w:p w14:paraId="27D59DB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right w:val="nil"/>
            </w:tcBorders>
            <w:shd w:val="clear" w:color="000000" w:fill="FFFFFF"/>
            <w:noWrap/>
            <w:vAlign w:val="bottom"/>
            <w:hideMark/>
          </w:tcPr>
          <w:p w14:paraId="4910C81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1 063</w:t>
            </w:r>
          </w:p>
        </w:tc>
      </w:tr>
      <w:tr w:rsidR="00D61CAD" w:rsidRPr="000939E3" w14:paraId="40BC4711" w14:textId="77777777" w:rsidTr="00D61CAD">
        <w:trPr>
          <w:trHeight w:val="20"/>
        </w:trPr>
        <w:tc>
          <w:tcPr>
            <w:tcW w:w="1627" w:type="pct"/>
            <w:tcBorders>
              <w:top w:val="nil"/>
              <w:left w:val="nil"/>
              <w:bottom w:val="single" w:sz="4" w:space="0" w:color="auto"/>
              <w:right w:val="nil"/>
            </w:tcBorders>
            <w:shd w:val="clear" w:color="000000" w:fill="FFFFFF"/>
            <w:noWrap/>
            <w:vAlign w:val="bottom"/>
            <w:hideMark/>
          </w:tcPr>
          <w:p w14:paraId="69C32601"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5. kvantil</w:t>
            </w:r>
          </w:p>
        </w:tc>
        <w:tc>
          <w:tcPr>
            <w:tcW w:w="1018" w:type="pct"/>
            <w:tcBorders>
              <w:top w:val="nil"/>
              <w:left w:val="nil"/>
              <w:bottom w:val="single" w:sz="4" w:space="0" w:color="auto"/>
              <w:right w:val="nil"/>
            </w:tcBorders>
            <w:shd w:val="clear" w:color="000000" w:fill="FFFFFF"/>
            <w:noWrap/>
            <w:vAlign w:val="bottom"/>
            <w:hideMark/>
          </w:tcPr>
          <w:p w14:paraId="7E95DF0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-10,3</w:t>
            </w:r>
          </w:p>
        </w:tc>
        <w:tc>
          <w:tcPr>
            <w:tcW w:w="1019" w:type="pct"/>
            <w:tcBorders>
              <w:top w:val="nil"/>
              <w:left w:val="nil"/>
              <w:bottom w:val="single" w:sz="4" w:space="0" w:color="auto"/>
              <w:right w:val="nil"/>
            </w:tcBorders>
            <w:shd w:val="clear" w:color="000000" w:fill="FFFFFF"/>
            <w:noWrap/>
            <w:vAlign w:val="bottom"/>
            <w:hideMark/>
          </w:tcPr>
          <w:p w14:paraId="569B3577"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-2,1</w:t>
            </w:r>
          </w:p>
        </w:tc>
        <w:tc>
          <w:tcPr>
            <w:tcW w:w="655" w:type="pct"/>
            <w:tcBorders>
              <w:top w:val="nil"/>
              <w:left w:val="nil"/>
              <w:bottom w:val="single" w:sz="4" w:space="0" w:color="auto"/>
              <w:right w:val="nil"/>
            </w:tcBorders>
            <w:shd w:val="clear" w:color="000000" w:fill="FFFFFF"/>
            <w:noWrap/>
            <w:vAlign w:val="bottom"/>
            <w:hideMark/>
          </w:tcPr>
          <w:p w14:paraId="1B5EE92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single" w:sz="4" w:space="0" w:color="auto"/>
              <w:right w:val="nil"/>
            </w:tcBorders>
            <w:shd w:val="clear" w:color="000000" w:fill="FFFFFF"/>
            <w:noWrap/>
            <w:vAlign w:val="bottom"/>
            <w:hideMark/>
          </w:tcPr>
          <w:p w14:paraId="2324401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716</w:t>
            </w:r>
          </w:p>
        </w:tc>
      </w:tr>
      <w:tr w:rsidR="00D61CAD" w:rsidRPr="000939E3" w14:paraId="222E5A59" w14:textId="77777777" w:rsidTr="00D61CAD">
        <w:trPr>
          <w:trHeight w:val="20"/>
        </w:trPr>
        <w:tc>
          <w:tcPr>
            <w:tcW w:w="1627" w:type="pct"/>
            <w:tcBorders>
              <w:top w:val="single" w:sz="4" w:space="0" w:color="auto"/>
              <w:left w:val="nil"/>
              <w:bottom w:val="nil"/>
              <w:right w:val="nil"/>
            </w:tcBorders>
            <w:shd w:val="clear" w:color="000000" w:fill="FFFFFF"/>
            <w:noWrap/>
            <w:vAlign w:val="bottom"/>
            <w:hideMark/>
          </w:tcPr>
          <w:p w14:paraId="11FF294D" w14:textId="77777777" w:rsidR="00D61CAD" w:rsidRPr="000939E3" w:rsidRDefault="00D61CAD" w:rsidP="00D61CAD">
            <w:pPr>
              <w:spacing w:after="0" w:line="240" w:lineRule="auto"/>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NACE</w:t>
            </w:r>
          </w:p>
        </w:tc>
        <w:tc>
          <w:tcPr>
            <w:tcW w:w="1018" w:type="pct"/>
            <w:tcBorders>
              <w:top w:val="single" w:sz="4" w:space="0" w:color="auto"/>
              <w:left w:val="nil"/>
              <w:bottom w:val="nil"/>
              <w:right w:val="nil"/>
            </w:tcBorders>
            <w:shd w:val="clear" w:color="000000" w:fill="FFFFFF"/>
            <w:noWrap/>
            <w:vAlign w:val="bottom"/>
            <w:hideMark/>
          </w:tcPr>
          <w:p w14:paraId="04E0257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1019" w:type="pct"/>
            <w:tcBorders>
              <w:top w:val="single" w:sz="4" w:space="0" w:color="auto"/>
              <w:left w:val="nil"/>
              <w:bottom w:val="nil"/>
              <w:right w:val="nil"/>
            </w:tcBorders>
            <w:shd w:val="clear" w:color="000000" w:fill="FFFFFF"/>
            <w:noWrap/>
            <w:vAlign w:val="bottom"/>
            <w:hideMark/>
          </w:tcPr>
          <w:p w14:paraId="26096247"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55" w:type="pct"/>
            <w:tcBorders>
              <w:top w:val="single" w:sz="4" w:space="0" w:color="auto"/>
              <w:left w:val="nil"/>
              <w:bottom w:val="nil"/>
              <w:right w:val="nil"/>
            </w:tcBorders>
            <w:shd w:val="clear" w:color="000000" w:fill="FFFFFF"/>
            <w:noWrap/>
            <w:vAlign w:val="bottom"/>
            <w:hideMark/>
          </w:tcPr>
          <w:p w14:paraId="510C0BC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81" w:type="pct"/>
            <w:tcBorders>
              <w:top w:val="single" w:sz="4" w:space="0" w:color="auto"/>
              <w:left w:val="nil"/>
              <w:bottom w:val="nil"/>
              <w:right w:val="nil"/>
            </w:tcBorders>
            <w:shd w:val="clear" w:color="000000" w:fill="FFFFFF"/>
            <w:noWrap/>
            <w:vAlign w:val="bottom"/>
            <w:hideMark/>
          </w:tcPr>
          <w:p w14:paraId="562D47F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r>
      <w:tr w:rsidR="00D61CAD" w:rsidRPr="000939E3" w14:paraId="66927D40" w14:textId="77777777" w:rsidTr="00D61CAD">
        <w:trPr>
          <w:trHeight w:val="20"/>
        </w:trPr>
        <w:tc>
          <w:tcPr>
            <w:tcW w:w="1627" w:type="pct"/>
            <w:tcBorders>
              <w:top w:val="nil"/>
              <w:left w:val="nil"/>
              <w:bottom w:val="nil"/>
              <w:right w:val="nil"/>
            </w:tcBorders>
            <w:shd w:val="clear" w:color="000000" w:fill="FFFFFF"/>
            <w:noWrap/>
            <w:vAlign w:val="bottom"/>
            <w:hideMark/>
          </w:tcPr>
          <w:p w14:paraId="674CC1BA"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Priemyselná výroba</w:t>
            </w:r>
          </w:p>
        </w:tc>
        <w:tc>
          <w:tcPr>
            <w:tcW w:w="1018" w:type="pct"/>
            <w:tcBorders>
              <w:top w:val="nil"/>
              <w:left w:val="nil"/>
              <w:bottom w:val="nil"/>
              <w:right w:val="nil"/>
            </w:tcBorders>
            <w:shd w:val="clear" w:color="000000" w:fill="FFFFFF"/>
            <w:noWrap/>
            <w:vAlign w:val="bottom"/>
            <w:hideMark/>
          </w:tcPr>
          <w:p w14:paraId="06B0DBA8"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-1,3</w:t>
            </w:r>
          </w:p>
        </w:tc>
        <w:tc>
          <w:tcPr>
            <w:tcW w:w="1019" w:type="pct"/>
            <w:tcBorders>
              <w:top w:val="nil"/>
              <w:left w:val="nil"/>
              <w:bottom w:val="nil"/>
              <w:right w:val="nil"/>
            </w:tcBorders>
            <w:shd w:val="clear" w:color="000000" w:fill="FFFFFF"/>
            <w:noWrap/>
            <w:vAlign w:val="bottom"/>
            <w:hideMark/>
          </w:tcPr>
          <w:p w14:paraId="49E782C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29,7</w:t>
            </w:r>
          </w:p>
        </w:tc>
        <w:tc>
          <w:tcPr>
            <w:tcW w:w="655" w:type="pct"/>
            <w:tcBorders>
              <w:top w:val="nil"/>
              <w:left w:val="nil"/>
              <w:bottom w:val="nil"/>
              <w:right w:val="nil"/>
            </w:tcBorders>
            <w:shd w:val="clear" w:color="000000" w:fill="FFFFFF"/>
            <w:noWrap/>
            <w:vAlign w:val="bottom"/>
            <w:hideMark/>
          </w:tcPr>
          <w:p w14:paraId="51905EA9"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nil"/>
              <w:right w:val="nil"/>
            </w:tcBorders>
            <w:shd w:val="clear" w:color="000000" w:fill="FFFFFF"/>
            <w:noWrap/>
            <w:vAlign w:val="bottom"/>
            <w:hideMark/>
          </w:tcPr>
          <w:p w14:paraId="2A8C61D9"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1 083</w:t>
            </w:r>
          </w:p>
        </w:tc>
      </w:tr>
      <w:tr w:rsidR="00D61CAD" w:rsidRPr="000939E3" w14:paraId="0C133D56" w14:textId="77777777" w:rsidTr="00D61CAD">
        <w:trPr>
          <w:trHeight w:val="20"/>
        </w:trPr>
        <w:tc>
          <w:tcPr>
            <w:tcW w:w="1627" w:type="pct"/>
            <w:tcBorders>
              <w:top w:val="nil"/>
              <w:left w:val="nil"/>
              <w:bottom w:val="nil"/>
              <w:right w:val="nil"/>
            </w:tcBorders>
            <w:shd w:val="clear" w:color="000000" w:fill="FFFFFF"/>
            <w:noWrap/>
            <w:vAlign w:val="bottom"/>
            <w:hideMark/>
          </w:tcPr>
          <w:p w14:paraId="1CDBDBAA"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Veľkoobchod a maloobchod</w:t>
            </w:r>
          </w:p>
        </w:tc>
        <w:tc>
          <w:tcPr>
            <w:tcW w:w="1018" w:type="pct"/>
            <w:tcBorders>
              <w:top w:val="nil"/>
              <w:left w:val="nil"/>
              <w:bottom w:val="nil"/>
              <w:right w:val="nil"/>
            </w:tcBorders>
            <w:shd w:val="clear" w:color="000000" w:fill="FFFFFF"/>
            <w:noWrap/>
            <w:vAlign w:val="bottom"/>
            <w:hideMark/>
          </w:tcPr>
          <w:p w14:paraId="3986D35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11,4</w:t>
            </w:r>
          </w:p>
        </w:tc>
        <w:tc>
          <w:tcPr>
            <w:tcW w:w="1019" w:type="pct"/>
            <w:tcBorders>
              <w:top w:val="nil"/>
              <w:left w:val="nil"/>
              <w:bottom w:val="nil"/>
              <w:right w:val="nil"/>
            </w:tcBorders>
            <w:shd w:val="clear" w:color="000000" w:fill="FFFFFF"/>
            <w:noWrap/>
            <w:vAlign w:val="bottom"/>
            <w:hideMark/>
          </w:tcPr>
          <w:p w14:paraId="046573A4"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9,0</w:t>
            </w:r>
          </w:p>
        </w:tc>
        <w:tc>
          <w:tcPr>
            <w:tcW w:w="655" w:type="pct"/>
            <w:tcBorders>
              <w:top w:val="nil"/>
              <w:left w:val="nil"/>
              <w:bottom w:val="nil"/>
              <w:right w:val="nil"/>
            </w:tcBorders>
            <w:shd w:val="clear" w:color="000000" w:fill="FFFFFF"/>
            <w:noWrap/>
            <w:vAlign w:val="bottom"/>
            <w:hideMark/>
          </w:tcPr>
          <w:p w14:paraId="43120A4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81" w:type="pct"/>
            <w:tcBorders>
              <w:top w:val="nil"/>
              <w:left w:val="nil"/>
              <w:bottom w:val="nil"/>
              <w:right w:val="nil"/>
            </w:tcBorders>
            <w:shd w:val="clear" w:color="000000" w:fill="FFFFFF"/>
            <w:noWrap/>
            <w:vAlign w:val="bottom"/>
            <w:hideMark/>
          </w:tcPr>
          <w:p w14:paraId="2622473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413</w:t>
            </w:r>
          </w:p>
        </w:tc>
      </w:tr>
      <w:tr w:rsidR="00D61CAD" w:rsidRPr="000939E3" w14:paraId="2AFA8957" w14:textId="77777777" w:rsidTr="00D61CAD">
        <w:trPr>
          <w:trHeight w:val="20"/>
        </w:trPr>
        <w:tc>
          <w:tcPr>
            <w:tcW w:w="1627" w:type="pct"/>
            <w:tcBorders>
              <w:top w:val="nil"/>
              <w:left w:val="nil"/>
              <w:bottom w:val="nil"/>
              <w:right w:val="nil"/>
            </w:tcBorders>
            <w:shd w:val="clear" w:color="000000" w:fill="FFFFFF"/>
            <w:noWrap/>
            <w:vAlign w:val="bottom"/>
            <w:hideMark/>
          </w:tcPr>
          <w:p w14:paraId="5924C7BC"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Doprava a skladovanie</w:t>
            </w:r>
          </w:p>
        </w:tc>
        <w:tc>
          <w:tcPr>
            <w:tcW w:w="1018" w:type="pct"/>
            <w:tcBorders>
              <w:top w:val="nil"/>
              <w:left w:val="nil"/>
              <w:bottom w:val="nil"/>
              <w:right w:val="nil"/>
            </w:tcBorders>
            <w:shd w:val="clear" w:color="000000" w:fill="FFFFFF"/>
            <w:noWrap/>
            <w:vAlign w:val="bottom"/>
            <w:hideMark/>
          </w:tcPr>
          <w:p w14:paraId="730F59A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9,9</w:t>
            </w:r>
          </w:p>
        </w:tc>
        <w:tc>
          <w:tcPr>
            <w:tcW w:w="1019" w:type="pct"/>
            <w:tcBorders>
              <w:top w:val="nil"/>
              <w:left w:val="nil"/>
              <w:bottom w:val="nil"/>
              <w:right w:val="nil"/>
            </w:tcBorders>
            <w:shd w:val="clear" w:color="000000" w:fill="FFFFFF"/>
            <w:noWrap/>
            <w:vAlign w:val="bottom"/>
            <w:hideMark/>
          </w:tcPr>
          <w:p w14:paraId="2EF02EA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14,1</w:t>
            </w:r>
          </w:p>
        </w:tc>
        <w:tc>
          <w:tcPr>
            <w:tcW w:w="655" w:type="pct"/>
            <w:tcBorders>
              <w:top w:val="nil"/>
              <w:left w:val="nil"/>
              <w:bottom w:val="nil"/>
              <w:right w:val="nil"/>
            </w:tcBorders>
            <w:shd w:val="clear" w:color="000000" w:fill="FFFFFF"/>
            <w:noWrap/>
            <w:vAlign w:val="bottom"/>
            <w:hideMark/>
          </w:tcPr>
          <w:p w14:paraId="4F3A3FE4"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nil"/>
              <w:right w:val="nil"/>
            </w:tcBorders>
            <w:shd w:val="clear" w:color="000000" w:fill="FFFFFF"/>
            <w:noWrap/>
            <w:vAlign w:val="bottom"/>
            <w:hideMark/>
          </w:tcPr>
          <w:p w14:paraId="08B1E067"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873</w:t>
            </w:r>
          </w:p>
        </w:tc>
      </w:tr>
      <w:tr w:rsidR="00D61CAD" w:rsidRPr="000939E3" w14:paraId="3E956DE5" w14:textId="77777777" w:rsidTr="00D61CAD">
        <w:trPr>
          <w:trHeight w:val="20"/>
        </w:trPr>
        <w:tc>
          <w:tcPr>
            <w:tcW w:w="1627" w:type="pct"/>
            <w:tcBorders>
              <w:top w:val="nil"/>
              <w:left w:val="nil"/>
              <w:bottom w:val="nil"/>
              <w:right w:val="nil"/>
            </w:tcBorders>
            <w:shd w:val="clear" w:color="000000" w:fill="FFFFFF"/>
            <w:noWrap/>
            <w:vAlign w:val="bottom"/>
            <w:hideMark/>
          </w:tcPr>
          <w:p w14:paraId="687391BD"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Ubytovanie a stravovacie služby</w:t>
            </w:r>
          </w:p>
        </w:tc>
        <w:tc>
          <w:tcPr>
            <w:tcW w:w="1018" w:type="pct"/>
            <w:tcBorders>
              <w:top w:val="nil"/>
              <w:left w:val="nil"/>
              <w:bottom w:val="nil"/>
              <w:right w:val="nil"/>
            </w:tcBorders>
            <w:shd w:val="clear" w:color="000000" w:fill="FFFFFF"/>
            <w:noWrap/>
            <w:vAlign w:val="bottom"/>
            <w:hideMark/>
          </w:tcPr>
          <w:p w14:paraId="34AAF646"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22,5</w:t>
            </w:r>
          </w:p>
        </w:tc>
        <w:tc>
          <w:tcPr>
            <w:tcW w:w="1019" w:type="pct"/>
            <w:tcBorders>
              <w:top w:val="nil"/>
              <w:left w:val="nil"/>
              <w:bottom w:val="nil"/>
              <w:right w:val="nil"/>
            </w:tcBorders>
            <w:shd w:val="clear" w:color="000000" w:fill="FFFFFF"/>
            <w:noWrap/>
            <w:vAlign w:val="bottom"/>
            <w:hideMark/>
          </w:tcPr>
          <w:p w14:paraId="1DB6A38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5,0</w:t>
            </w:r>
          </w:p>
        </w:tc>
        <w:tc>
          <w:tcPr>
            <w:tcW w:w="655" w:type="pct"/>
            <w:tcBorders>
              <w:top w:val="nil"/>
              <w:left w:val="nil"/>
              <w:bottom w:val="nil"/>
              <w:right w:val="nil"/>
            </w:tcBorders>
            <w:shd w:val="clear" w:color="000000" w:fill="FFFFFF"/>
            <w:noWrap/>
            <w:vAlign w:val="bottom"/>
            <w:hideMark/>
          </w:tcPr>
          <w:p w14:paraId="02ABA864"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nil"/>
              <w:right w:val="nil"/>
            </w:tcBorders>
            <w:shd w:val="clear" w:color="000000" w:fill="FFFFFF"/>
            <w:noWrap/>
            <w:vAlign w:val="bottom"/>
            <w:hideMark/>
          </w:tcPr>
          <w:p w14:paraId="0E67C8F7"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166</w:t>
            </w:r>
          </w:p>
        </w:tc>
      </w:tr>
      <w:tr w:rsidR="00D61CAD" w:rsidRPr="000939E3" w14:paraId="66D87EB6" w14:textId="77777777" w:rsidTr="00D61CAD">
        <w:trPr>
          <w:trHeight w:val="20"/>
        </w:trPr>
        <w:tc>
          <w:tcPr>
            <w:tcW w:w="1627" w:type="pct"/>
            <w:tcBorders>
              <w:top w:val="nil"/>
              <w:left w:val="nil"/>
              <w:bottom w:val="nil"/>
              <w:right w:val="nil"/>
            </w:tcBorders>
            <w:shd w:val="clear" w:color="000000" w:fill="FFFFFF"/>
            <w:noWrap/>
            <w:vAlign w:val="bottom"/>
            <w:hideMark/>
          </w:tcPr>
          <w:p w14:paraId="05A5C396"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Informácie a komunikácia</w:t>
            </w:r>
          </w:p>
        </w:tc>
        <w:tc>
          <w:tcPr>
            <w:tcW w:w="1018" w:type="pct"/>
            <w:tcBorders>
              <w:top w:val="nil"/>
              <w:left w:val="nil"/>
              <w:bottom w:val="nil"/>
              <w:right w:val="nil"/>
            </w:tcBorders>
            <w:shd w:val="clear" w:color="000000" w:fill="FFFFFF"/>
            <w:noWrap/>
            <w:vAlign w:val="bottom"/>
            <w:hideMark/>
          </w:tcPr>
          <w:p w14:paraId="434CF95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10,0</w:t>
            </w:r>
          </w:p>
        </w:tc>
        <w:tc>
          <w:tcPr>
            <w:tcW w:w="1019" w:type="pct"/>
            <w:tcBorders>
              <w:top w:val="nil"/>
              <w:left w:val="nil"/>
              <w:bottom w:val="nil"/>
              <w:right w:val="nil"/>
            </w:tcBorders>
            <w:shd w:val="clear" w:color="000000" w:fill="FFFFFF"/>
            <w:noWrap/>
            <w:vAlign w:val="bottom"/>
            <w:hideMark/>
          </w:tcPr>
          <w:p w14:paraId="7B06E3C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30,1</w:t>
            </w:r>
          </w:p>
        </w:tc>
        <w:tc>
          <w:tcPr>
            <w:tcW w:w="655" w:type="pct"/>
            <w:tcBorders>
              <w:top w:val="nil"/>
              <w:left w:val="nil"/>
              <w:bottom w:val="nil"/>
              <w:right w:val="nil"/>
            </w:tcBorders>
            <w:shd w:val="clear" w:color="000000" w:fill="FFFFFF"/>
            <w:noWrap/>
            <w:vAlign w:val="bottom"/>
            <w:hideMark/>
          </w:tcPr>
          <w:p w14:paraId="525E6E8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nil"/>
              <w:right w:val="nil"/>
            </w:tcBorders>
            <w:shd w:val="clear" w:color="000000" w:fill="FFFFFF"/>
            <w:noWrap/>
            <w:vAlign w:val="bottom"/>
            <w:hideMark/>
          </w:tcPr>
          <w:p w14:paraId="0BC3852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201</w:t>
            </w:r>
          </w:p>
        </w:tc>
      </w:tr>
      <w:tr w:rsidR="00D61CAD" w:rsidRPr="000939E3" w14:paraId="283FF231" w14:textId="77777777" w:rsidTr="00D61CAD">
        <w:trPr>
          <w:trHeight w:val="20"/>
        </w:trPr>
        <w:tc>
          <w:tcPr>
            <w:tcW w:w="1627" w:type="pct"/>
            <w:tcBorders>
              <w:top w:val="nil"/>
              <w:left w:val="nil"/>
              <w:bottom w:val="nil"/>
              <w:right w:val="nil"/>
            </w:tcBorders>
            <w:shd w:val="clear" w:color="000000" w:fill="FFFFFF"/>
            <w:noWrap/>
            <w:vAlign w:val="bottom"/>
            <w:hideMark/>
          </w:tcPr>
          <w:p w14:paraId="1A81FFE2"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Finančné a poisťovacie služby</w:t>
            </w:r>
          </w:p>
        </w:tc>
        <w:tc>
          <w:tcPr>
            <w:tcW w:w="1018" w:type="pct"/>
            <w:tcBorders>
              <w:top w:val="nil"/>
              <w:left w:val="nil"/>
              <w:bottom w:val="nil"/>
              <w:right w:val="nil"/>
            </w:tcBorders>
            <w:shd w:val="clear" w:color="000000" w:fill="FFFFFF"/>
            <w:noWrap/>
            <w:vAlign w:val="bottom"/>
            <w:hideMark/>
          </w:tcPr>
          <w:p w14:paraId="08424CE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-5,2</w:t>
            </w:r>
          </w:p>
        </w:tc>
        <w:tc>
          <w:tcPr>
            <w:tcW w:w="1019" w:type="pct"/>
            <w:tcBorders>
              <w:top w:val="nil"/>
              <w:left w:val="nil"/>
              <w:bottom w:val="nil"/>
              <w:right w:val="nil"/>
            </w:tcBorders>
            <w:shd w:val="clear" w:color="000000" w:fill="FFFFFF"/>
            <w:noWrap/>
            <w:vAlign w:val="bottom"/>
            <w:hideMark/>
          </w:tcPr>
          <w:p w14:paraId="728E1967"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19,9</w:t>
            </w:r>
          </w:p>
        </w:tc>
        <w:tc>
          <w:tcPr>
            <w:tcW w:w="655" w:type="pct"/>
            <w:tcBorders>
              <w:top w:val="nil"/>
              <w:left w:val="nil"/>
              <w:bottom w:val="nil"/>
              <w:right w:val="nil"/>
            </w:tcBorders>
            <w:shd w:val="clear" w:color="000000" w:fill="FFFFFF"/>
            <w:noWrap/>
            <w:vAlign w:val="bottom"/>
            <w:hideMark/>
          </w:tcPr>
          <w:p w14:paraId="5071878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nil"/>
              <w:right w:val="nil"/>
            </w:tcBorders>
            <w:shd w:val="clear" w:color="000000" w:fill="FFFFFF"/>
            <w:noWrap/>
            <w:vAlign w:val="bottom"/>
            <w:hideMark/>
          </w:tcPr>
          <w:p w14:paraId="2E69B48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220</w:t>
            </w:r>
          </w:p>
        </w:tc>
      </w:tr>
      <w:tr w:rsidR="00D61CAD" w:rsidRPr="000939E3" w14:paraId="75E2B061" w14:textId="77777777" w:rsidTr="00D61CAD">
        <w:trPr>
          <w:trHeight w:val="20"/>
        </w:trPr>
        <w:tc>
          <w:tcPr>
            <w:tcW w:w="1627" w:type="pct"/>
            <w:tcBorders>
              <w:top w:val="nil"/>
              <w:left w:val="nil"/>
              <w:bottom w:val="nil"/>
              <w:right w:val="nil"/>
            </w:tcBorders>
            <w:shd w:val="clear" w:color="000000" w:fill="FFFFFF"/>
            <w:noWrap/>
            <w:vAlign w:val="bottom"/>
            <w:hideMark/>
          </w:tcPr>
          <w:p w14:paraId="383B1665"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Odborné vedecké a technické činnosti</w:t>
            </w:r>
          </w:p>
        </w:tc>
        <w:tc>
          <w:tcPr>
            <w:tcW w:w="1018" w:type="pct"/>
            <w:tcBorders>
              <w:top w:val="nil"/>
              <w:left w:val="nil"/>
              <w:bottom w:val="nil"/>
              <w:right w:val="nil"/>
            </w:tcBorders>
            <w:shd w:val="clear" w:color="000000" w:fill="FFFFFF"/>
            <w:noWrap/>
            <w:vAlign w:val="bottom"/>
            <w:hideMark/>
          </w:tcPr>
          <w:p w14:paraId="4DD6FD4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31,2</w:t>
            </w:r>
          </w:p>
        </w:tc>
        <w:tc>
          <w:tcPr>
            <w:tcW w:w="1019" w:type="pct"/>
            <w:tcBorders>
              <w:top w:val="nil"/>
              <w:left w:val="nil"/>
              <w:bottom w:val="nil"/>
              <w:right w:val="nil"/>
            </w:tcBorders>
            <w:shd w:val="clear" w:color="000000" w:fill="FFFFFF"/>
            <w:noWrap/>
            <w:vAlign w:val="bottom"/>
            <w:hideMark/>
          </w:tcPr>
          <w:p w14:paraId="4BC0604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16,5</w:t>
            </w:r>
          </w:p>
        </w:tc>
        <w:tc>
          <w:tcPr>
            <w:tcW w:w="655" w:type="pct"/>
            <w:tcBorders>
              <w:top w:val="nil"/>
              <w:left w:val="nil"/>
              <w:bottom w:val="nil"/>
              <w:right w:val="nil"/>
            </w:tcBorders>
            <w:shd w:val="clear" w:color="000000" w:fill="FFFFFF"/>
            <w:noWrap/>
            <w:vAlign w:val="bottom"/>
            <w:hideMark/>
          </w:tcPr>
          <w:p w14:paraId="2E3AF79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nil"/>
              <w:right w:val="nil"/>
            </w:tcBorders>
            <w:shd w:val="clear" w:color="000000" w:fill="FFFFFF"/>
            <w:noWrap/>
            <w:vAlign w:val="bottom"/>
            <w:hideMark/>
          </w:tcPr>
          <w:p w14:paraId="2739F7C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496</w:t>
            </w:r>
          </w:p>
        </w:tc>
      </w:tr>
      <w:tr w:rsidR="00D61CAD" w:rsidRPr="000939E3" w14:paraId="036EB917" w14:textId="77777777" w:rsidTr="00D61CAD">
        <w:trPr>
          <w:trHeight w:val="20"/>
        </w:trPr>
        <w:tc>
          <w:tcPr>
            <w:tcW w:w="1627" w:type="pct"/>
            <w:tcBorders>
              <w:top w:val="nil"/>
              <w:left w:val="nil"/>
              <w:bottom w:val="nil"/>
              <w:right w:val="nil"/>
            </w:tcBorders>
            <w:shd w:val="clear" w:color="000000" w:fill="FFFFFF"/>
            <w:noWrap/>
            <w:vAlign w:val="bottom"/>
            <w:hideMark/>
          </w:tcPr>
          <w:p w14:paraId="14957074"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Administratívne a podporné služby</w:t>
            </w:r>
          </w:p>
        </w:tc>
        <w:tc>
          <w:tcPr>
            <w:tcW w:w="1018" w:type="pct"/>
            <w:tcBorders>
              <w:top w:val="nil"/>
              <w:left w:val="nil"/>
              <w:bottom w:val="nil"/>
              <w:right w:val="nil"/>
            </w:tcBorders>
            <w:shd w:val="clear" w:color="000000" w:fill="FFFFFF"/>
            <w:noWrap/>
            <w:vAlign w:val="bottom"/>
            <w:hideMark/>
          </w:tcPr>
          <w:p w14:paraId="4407C55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9,3</w:t>
            </w:r>
          </w:p>
        </w:tc>
        <w:tc>
          <w:tcPr>
            <w:tcW w:w="1019" w:type="pct"/>
            <w:tcBorders>
              <w:top w:val="nil"/>
              <w:left w:val="nil"/>
              <w:bottom w:val="nil"/>
              <w:right w:val="nil"/>
            </w:tcBorders>
            <w:shd w:val="clear" w:color="000000" w:fill="FFFFFF"/>
            <w:noWrap/>
            <w:vAlign w:val="bottom"/>
            <w:hideMark/>
          </w:tcPr>
          <w:p w14:paraId="79299096"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16,0</w:t>
            </w:r>
          </w:p>
        </w:tc>
        <w:tc>
          <w:tcPr>
            <w:tcW w:w="655" w:type="pct"/>
            <w:tcBorders>
              <w:top w:val="nil"/>
              <w:left w:val="nil"/>
              <w:bottom w:val="nil"/>
              <w:right w:val="nil"/>
            </w:tcBorders>
            <w:shd w:val="clear" w:color="000000" w:fill="FFFFFF"/>
            <w:noWrap/>
            <w:vAlign w:val="bottom"/>
            <w:hideMark/>
          </w:tcPr>
          <w:p w14:paraId="4A9CB45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nil"/>
              <w:right w:val="nil"/>
            </w:tcBorders>
            <w:shd w:val="clear" w:color="000000" w:fill="FFFFFF"/>
            <w:noWrap/>
            <w:vAlign w:val="bottom"/>
            <w:hideMark/>
          </w:tcPr>
          <w:p w14:paraId="78C046F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413</w:t>
            </w:r>
          </w:p>
        </w:tc>
      </w:tr>
      <w:tr w:rsidR="00D61CAD" w:rsidRPr="000939E3" w14:paraId="1A7A9B8B" w14:textId="77777777" w:rsidTr="00D61CAD">
        <w:trPr>
          <w:trHeight w:val="20"/>
        </w:trPr>
        <w:tc>
          <w:tcPr>
            <w:tcW w:w="1627" w:type="pct"/>
            <w:tcBorders>
              <w:top w:val="nil"/>
              <w:left w:val="nil"/>
              <w:right w:val="nil"/>
            </w:tcBorders>
            <w:shd w:val="clear" w:color="000000" w:fill="FFFFFF"/>
            <w:noWrap/>
            <w:vAlign w:val="bottom"/>
            <w:hideMark/>
          </w:tcPr>
          <w:p w14:paraId="49BF4E8B"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Vzdelávanie</w:t>
            </w:r>
          </w:p>
        </w:tc>
        <w:tc>
          <w:tcPr>
            <w:tcW w:w="1018" w:type="pct"/>
            <w:tcBorders>
              <w:top w:val="nil"/>
              <w:left w:val="nil"/>
              <w:right w:val="nil"/>
            </w:tcBorders>
            <w:shd w:val="clear" w:color="000000" w:fill="FFFFFF"/>
            <w:noWrap/>
            <w:vAlign w:val="bottom"/>
            <w:hideMark/>
          </w:tcPr>
          <w:p w14:paraId="4B35044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16,6</w:t>
            </w:r>
          </w:p>
        </w:tc>
        <w:tc>
          <w:tcPr>
            <w:tcW w:w="1019" w:type="pct"/>
            <w:tcBorders>
              <w:top w:val="nil"/>
              <w:left w:val="nil"/>
              <w:right w:val="nil"/>
            </w:tcBorders>
            <w:shd w:val="clear" w:color="000000" w:fill="FFFFFF"/>
            <w:noWrap/>
            <w:vAlign w:val="bottom"/>
            <w:hideMark/>
          </w:tcPr>
          <w:p w14:paraId="4BF1490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11,6</w:t>
            </w:r>
          </w:p>
        </w:tc>
        <w:tc>
          <w:tcPr>
            <w:tcW w:w="655" w:type="pct"/>
            <w:tcBorders>
              <w:top w:val="nil"/>
              <w:left w:val="nil"/>
              <w:right w:val="nil"/>
            </w:tcBorders>
            <w:shd w:val="clear" w:color="000000" w:fill="FFFFFF"/>
            <w:noWrap/>
            <w:vAlign w:val="bottom"/>
            <w:hideMark/>
          </w:tcPr>
          <w:p w14:paraId="028C088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right w:val="nil"/>
            </w:tcBorders>
            <w:shd w:val="clear" w:color="000000" w:fill="FFFFFF"/>
            <w:noWrap/>
            <w:vAlign w:val="bottom"/>
            <w:hideMark/>
          </w:tcPr>
          <w:p w14:paraId="512F3114"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372</w:t>
            </w:r>
          </w:p>
        </w:tc>
      </w:tr>
      <w:tr w:rsidR="00D61CAD" w:rsidRPr="000939E3" w14:paraId="444AE795" w14:textId="77777777" w:rsidTr="00D61CAD">
        <w:trPr>
          <w:trHeight w:val="20"/>
        </w:trPr>
        <w:tc>
          <w:tcPr>
            <w:tcW w:w="1627" w:type="pct"/>
            <w:tcBorders>
              <w:top w:val="nil"/>
              <w:left w:val="nil"/>
              <w:bottom w:val="single" w:sz="4" w:space="0" w:color="auto"/>
              <w:right w:val="nil"/>
            </w:tcBorders>
            <w:shd w:val="clear" w:color="000000" w:fill="FFFFFF"/>
            <w:noWrap/>
            <w:vAlign w:val="bottom"/>
            <w:hideMark/>
          </w:tcPr>
          <w:p w14:paraId="6CADF4B7"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Zdravotníctvo a sociálna pomoc</w:t>
            </w:r>
          </w:p>
        </w:tc>
        <w:tc>
          <w:tcPr>
            <w:tcW w:w="1018" w:type="pct"/>
            <w:tcBorders>
              <w:top w:val="nil"/>
              <w:left w:val="nil"/>
              <w:bottom w:val="single" w:sz="4" w:space="0" w:color="auto"/>
              <w:right w:val="nil"/>
            </w:tcBorders>
            <w:shd w:val="clear" w:color="000000" w:fill="FFFFFF"/>
            <w:noWrap/>
            <w:vAlign w:val="bottom"/>
            <w:hideMark/>
          </w:tcPr>
          <w:p w14:paraId="68920CC9"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16,2</w:t>
            </w:r>
          </w:p>
        </w:tc>
        <w:tc>
          <w:tcPr>
            <w:tcW w:w="1019" w:type="pct"/>
            <w:tcBorders>
              <w:top w:val="nil"/>
              <w:left w:val="nil"/>
              <w:bottom w:val="single" w:sz="4" w:space="0" w:color="auto"/>
              <w:right w:val="nil"/>
            </w:tcBorders>
            <w:shd w:val="clear" w:color="000000" w:fill="FFFFFF"/>
            <w:noWrap/>
            <w:vAlign w:val="bottom"/>
            <w:hideMark/>
          </w:tcPr>
          <w:p w14:paraId="4601620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-1,9</w:t>
            </w:r>
          </w:p>
        </w:tc>
        <w:tc>
          <w:tcPr>
            <w:tcW w:w="655" w:type="pct"/>
            <w:tcBorders>
              <w:top w:val="nil"/>
              <w:left w:val="nil"/>
              <w:bottom w:val="single" w:sz="4" w:space="0" w:color="auto"/>
              <w:right w:val="nil"/>
            </w:tcBorders>
            <w:shd w:val="clear" w:color="000000" w:fill="FFFFFF"/>
            <w:noWrap/>
            <w:vAlign w:val="bottom"/>
            <w:hideMark/>
          </w:tcPr>
          <w:p w14:paraId="3E1B36D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single" w:sz="4" w:space="0" w:color="auto"/>
              <w:right w:val="nil"/>
            </w:tcBorders>
            <w:shd w:val="clear" w:color="000000" w:fill="FFFFFF"/>
            <w:noWrap/>
            <w:vAlign w:val="bottom"/>
            <w:hideMark/>
          </w:tcPr>
          <w:p w14:paraId="3513665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970</w:t>
            </w:r>
          </w:p>
        </w:tc>
      </w:tr>
      <w:tr w:rsidR="00D61CAD" w:rsidRPr="000939E3" w14:paraId="02FE61AA" w14:textId="77777777" w:rsidTr="00D61CAD">
        <w:trPr>
          <w:trHeight w:val="20"/>
        </w:trPr>
        <w:tc>
          <w:tcPr>
            <w:tcW w:w="1627" w:type="pct"/>
            <w:tcBorders>
              <w:top w:val="single" w:sz="4" w:space="0" w:color="auto"/>
              <w:left w:val="nil"/>
              <w:bottom w:val="nil"/>
              <w:right w:val="nil"/>
            </w:tcBorders>
            <w:shd w:val="clear" w:color="000000" w:fill="FFFFFF"/>
            <w:noWrap/>
            <w:vAlign w:val="bottom"/>
            <w:hideMark/>
          </w:tcPr>
          <w:p w14:paraId="08A32B41" w14:textId="77777777" w:rsidR="00D61CAD" w:rsidRPr="000939E3" w:rsidRDefault="00D61CAD" w:rsidP="00D61CAD">
            <w:pPr>
              <w:spacing w:after="0" w:line="240" w:lineRule="auto"/>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Obvyklý pobyt</w:t>
            </w:r>
          </w:p>
        </w:tc>
        <w:tc>
          <w:tcPr>
            <w:tcW w:w="1018" w:type="pct"/>
            <w:tcBorders>
              <w:top w:val="single" w:sz="4" w:space="0" w:color="auto"/>
              <w:left w:val="nil"/>
              <w:bottom w:val="nil"/>
              <w:right w:val="nil"/>
            </w:tcBorders>
            <w:shd w:val="clear" w:color="000000" w:fill="FFFFFF"/>
            <w:noWrap/>
            <w:vAlign w:val="bottom"/>
            <w:hideMark/>
          </w:tcPr>
          <w:p w14:paraId="76BF143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1019" w:type="pct"/>
            <w:tcBorders>
              <w:top w:val="single" w:sz="4" w:space="0" w:color="auto"/>
              <w:left w:val="nil"/>
              <w:bottom w:val="nil"/>
              <w:right w:val="nil"/>
            </w:tcBorders>
            <w:shd w:val="clear" w:color="000000" w:fill="FFFFFF"/>
            <w:noWrap/>
            <w:vAlign w:val="bottom"/>
            <w:hideMark/>
          </w:tcPr>
          <w:p w14:paraId="1B772CE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55" w:type="pct"/>
            <w:tcBorders>
              <w:top w:val="single" w:sz="4" w:space="0" w:color="auto"/>
              <w:left w:val="nil"/>
              <w:bottom w:val="nil"/>
              <w:right w:val="nil"/>
            </w:tcBorders>
            <w:shd w:val="clear" w:color="000000" w:fill="FFFFFF"/>
            <w:noWrap/>
            <w:vAlign w:val="bottom"/>
            <w:hideMark/>
          </w:tcPr>
          <w:p w14:paraId="4602E9F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81" w:type="pct"/>
            <w:tcBorders>
              <w:top w:val="single" w:sz="4" w:space="0" w:color="auto"/>
              <w:left w:val="nil"/>
              <w:bottom w:val="nil"/>
              <w:right w:val="nil"/>
            </w:tcBorders>
            <w:shd w:val="clear" w:color="000000" w:fill="FFFFFF"/>
            <w:noWrap/>
            <w:vAlign w:val="bottom"/>
            <w:hideMark/>
          </w:tcPr>
          <w:p w14:paraId="78D79F1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r>
      <w:tr w:rsidR="00D61CAD" w:rsidRPr="000939E3" w14:paraId="308A7FD7" w14:textId="77777777" w:rsidTr="00D61CAD">
        <w:trPr>
          <w:trHeight w:val="20"/>
        </w:trPr>
        <w:tc>
          <w:tcPr>
            <w:tcW w:w="1627" w:type="pct"/>
            <w:tcBorders>
              <w:top w:val="nil"/>
              <w:left w:val="nil"/>
              <w:bottom w:val="nil"/>
              <w:right w:val="nil"/>
            </w:tcBorders>
            <w:shd w:val="clear" w:color="000000" w:fill="FFFFFF"/>
            <w:noWrap/>
            <w:vAlign w:val="bottom"/>
            <w:hideMark/>
          </w:tcPr>
          <w:p w14:paraId="73F56E6D"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Bratislava</w:t>
            </w:r>
          </w:p>
        </w:tc>
        <w:tc>
          <w:tcPr>
            <w:tcW w:w="1018" w:type="pct"/>
            <w:tcBorders>
              <w:top w:val="nil"/>
              <w:left w:val="nil"/>
              <w:bottom w:val="nil"/>
              <w:right w:val="nil"/>
            </w:tcBorders>
            <w:shd w:val="clear" w:color="000000" w:fill="FFFFFF"/>
            <w:noWrap/>
            <w:vAlign w:val="bottom"/>
            <w:hideMark/>
          </w:tcPr>
          <w:p w14:paraId="299A4A3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14,6</w:t>
            </w:r>
          </w:p>
        </w:tc>
        <w:tc>
          <w:tcPr>
            <w:tcW w:w="1019" w:type="pct"/>
            <w:tcBorders>
              <w:top w:val="nil"/>
              <w:left w:val="nil"/>
              <w:bottom w:val="nil"/>
              <w:right w:val="nil"/>
            </w:tcBorders>
            <w:shd w:val="clear" w:color="000000" w:fill="FFFFFF"/>
            <w:noWrap/>
            <w:vAlign w:val="bottom"/>
            <w:hideMark/>
          </w:tcPr>
          <w:p w14:paraId="1F1E82F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15,4</w:t>
            </w:r>
          </w:p>
        </w:tc>
        <w:tc>
          <w:tcPr>
            <w:tcW w:w="655" w:type="pct"/>
            <w:tcBorders>
              <w:top w:val="nil"/>
              <w:left w:val="nil"/>
              <w:bottom w:val="nil"/>
              <w:right w:val="nil"/>
            </w:tcBorders>
            <w:shd w:val="clear" w:color="000000" w:fill="FFFFFF"/>
            <w:noWrap/>
            <w:vAlign w:val="bottom"/>
            <w:hideMark/>
          </w:tcPr>
          <w:p w14:paraId="7092124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81" w:type="pct"/>
            <w:tcBorders>
              <w:top w:val="nil"/>
              <w:left w:val="nil"/>
              <w:bottom w:val="nil"/>
              <w:right w:val="nil"/>
            </w:tcBorders>
            <w:shd w:val="clear" w:color="000000" w:fill="FFFFFF"/>
            <w:noWrap/>
            <w:vAlign w:val="bottom"/>
            <w:hideMark/>
          </w:tcPr>
          <w:p w14:paraId="2ED4B0A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599</w:t>
            </w:r>
          </w:p>
        </w:tc>
      </w:tr>
      <w:tr w:rsidR="00D61CAD" w:rsidRPr="000939E3" w14:paraId="57E86E5F" w14:textId="77777777" w:rsidTr="00D61CAD">
        <w:trPr>
          <w:trHeight w:val="20"/>
        </w:trPr>
        <w:tc>
          <w:tcPr>
            <w:tcW w:w="1627" w:type="pct"/>
            <w:tcBorders>
              <w:top w:val="nil"/>
              <w:left w:val="nil"/>
              <w:bottom w:val="nil"/>
              <w:right w:val="nil"/>
            </w:tcBorders>
            <w:shd w:val="clear" w:color="000000" w:fill="FFFFFF"/>
            <w:noWrap/>
            <w:vAlign w:val="bottom"/>
            <w:hideMark/>
          </w:tcPr>
          <w:p w14:paraId="4C572E47"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Západné Slovensko</w:t>
            </w:r>
          </w:p>
        </w:tc>
        <w:tc>
          <w:tcPr>
            <w:tcW w:w="1018" w:type="pct"/>
            <w:tcBorders>
              <w:top w:val="nil"/>
              <w:left w:val="nil"/>
              <w:bottom w:val="nil"/>
              <w:right w:val="nil"/>
            </w:tcBorders>
            <w:shd w:val="clear" w:color="000000" w:fill="FFFFFF"/>
            <w:noWrap/>
            <w:vAlign w:val="bottom"/>
            <w:hideMark/>
          </w:tcPr>
          <w:p w14:paraId="47972519"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7,5</w:t>
            </w:r>
          </w:p>
        </w:tc>
        <w:tc>
          <w:tcPr>
            <w:tcW w:w="1019" w:type="pct"/>
            <w:tcBorders>
              <w:top w:val="nil"/>
              <w:left w:val="nil"/>
              <w:bottom w:val="nil"/>
              <w:right w:val="nil"/>
            </w:tcBorders>
            <w:shd w:val="clear" w:color="000000" w:fill="FFFFFF"/>
            <w:noWrap/>
            <w:vAlign w:val="bottom"/>
            <w:hideMark/>
          </w:tcPr>
          <w:p w14:paraId="0C76F89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18,2</w:t>
            </w:r>
          </w:p>
        </w:tc>
        <w:tc>
          <w:tcPr>
            <w:tcW w:w="655" w:type="pct"/>
            <w:tcBorders>
              <w:top w:val="nil"/>
              <w:left w:val="nil"/>
              <w:bottom w:val="nil"/>
              <w:right w:val="nil"/>
            </w:tcBorders>
            <w:shd w:val="clear" w:color="000000" w:fill="FFFFFF"/>
            <w:noWrap/>
            <w:vAlign w:val="bottom"/>
            <w:hideMark/>
          </w:tcPr>
          <w:p w14:paraId="4B2C7248"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bottom w:val="nil"/>
              <w:right w:val="nil"/>
            </w:tcBorders>
            <w:shd w:val="clear" w:color="000000" w:fill="FFFFFF"/>
            <w:noWrap/>
            <w:vAlign w:val="bottom"/>
            <w:hideMark/>
          </w:tcPr>
          <w:p w14:paraId="0329066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686</w:t>
            </w:r>
          </w:p>
        </w:tc>
      </w:tr>
      <w:tr w:rsidR="00D61CAD" w:rsidRPr="000939E3" w14:paraId="73D3115F" w14:textId="77777777" w:rsidTr="00D61CAD">
        <w:trPr>
          <w:trHeight w:val="20"/>
        </w:trPr>
        <w:tc>
          <w:tcPr>
            <w:tcW w:w="1627" w:type="pct"/>
            <w:tcBorders>
              <w:top w:val="nil"/>
              <w:left w:val="nil"/>
              <w:right w:val="nil"/>
            </w:tcBorders>
            <w:shd w:val="clear" w:color="000000" w:fill="FFFFFF"/>
            <w:noWrap/>
            <w:vAlign w:val="bottom"/>
            <w:hideMark/>
          </w:tcPr>
          <w:p w14:paraId="0ADF0623"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Stredné Slovensko</w:t>
            </w:r>
          </w:p>
        </w:tc>
        <w:tc>
          <w:tcPr>
            <w:tcW w:w="1018" w:type="pct"/>
            <w:tcBorders>
              <w:top w:val="nil"/>
              <w:left w:val="nil"/>
              <w:right w:val="nil"/>
            </w:tcBorders>
            <w:shd w:val="clear" w:color="000000" w:fill="FFFFFF"/>
            <w:noWrap/>
            <w:vAlign w:val="bottom"/>
            <w:hideMark/>
          </w:tcPr>
          <w:p w14:paraId="28FB2C1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11,8</w:t>
            </w:r>
          </w:p>
        </w:tc>
        <w:tc>
          <w:tcPr>
            <w:tcW w:w="1019" w:type="pct"/>
            <w:tcBorders>
              <w:top w:val="nil"/>
              <w:left w:val="nil"/>
              <w:right w:val="nil"/>
            </w:tcBorders>
            <w:shd w:val="clear" w:color="000000" w:fill="FFFFFF"/>
            <w:noWrap/>
            <w:vAlign w:val="bottom"/>
            <w:hideMark/>
          </w:tcPr>
          <w:p w14:paraId="46D7D4E9"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19,8</w:t>
            </w:r>
          </w:p>
        </w:tc>
        <w:tc>
          <w:tcPr>
            <w:tcW w:w="655" w:type="pct"/>
            <w:tcBorders>
              <w:top w:val="nil"/>
              <w:left w:val="nil"/>
              <w:right w:val="nil"/>
            </w:tcBorders>
            <w:shd w:val="clear" w:color="000000" w:fill="FFFFFF"/>
            <w:noWrap/>
            <w:vAlign w:val="bottom"/>
            <w:hideMark/>
          </w:tcPr>
          <w:p w14:paraId="610FC4F6"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w:t>
            </w:r>
          </w:p>
        </w:tc>
        <w:tc>
          <w:tcPr>
            <w:tcW w:w="681" w:type="pct"/>
            <w:tcBorders>
              <w:top w:val="nil"/>
              <w:left w:val="nil"/>
              <w:right w:val="nil"/>
            </w:tcBorders>
            <w:shd w:val="clear" w:color="000000" w:fill="FFFFFF"/>
            <w:noWrap/>
            <w:vAlign w:val="bottom"/>
            <w:hideMark/>
          </w:tcPr>
          <w:p w14:paraId="3503F4C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487</w:t>
            </w:r>
          </w:p>
        </w:tc>
      </w:tr>
      <w:tr w:rsidR="00D61CAD" w:rsidRPr="000939E3" w14:paraId="3B86879B" w14:textId="77777777" w:rsidTr="00D61CAD">
        <w:trPr>
          <w:trHeight w:val="20"/>
        </w:trPr>
        <w:tc>
          <w:tcPr>
            <w:tcW w:w="1627" w:type="pct"/>
            <w:tcBorders>
              <w:top w:val="nil"/>
              <w:left w:val="nil"/>
              <w:bottom w:val="single" w:sz="4" w:space="0" w:color="auto"/>
              <w:right w:val="nil"/>
            </w:tcBorders>
            <w:shd w:val="clear" w:color="000000" w:fill="FFFFFF"/>
            <w:noWrap/>
            <w:vAlign w:val="bottom"/>
            <w:hideMark/>
          </w:tcPr>
          <w:p w14:paraId="034E4C7F"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Východné Slovensko</w:t>
            </w:r>
          </w:p>
        </w:tc>
        <w:tc>
          <w:tcPr>
            <w:tcW w:w="1018" w:type="pct"/>
            <w:tcBorders>
              <w:top w:val="nil"/>
              <w:left w:val="nil"/>
              <w:bottom w:val="single" w:sz="4" w:space="0" w:color="auto"/>
              <w:right w:val="nil"/>
            </w:tcBorders>
            <w:shd w:val="clear" w:color="000000" w:fill="FFFFFF"/>
            <w:noWrap/>
            <w:vAlign w:val="bottom"/>
            <w:hideMark/>
          </w:tcPr>
          <w:p w14:paraId="6DD955A9"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10,9</w:t>
            </w:r>
          </w:p>
        </w:tc>
        <w:tc>
          <w:tcPr>
            <w:tcW w:w="1019" w:type="pct"/>
            <w:tcBorders>
              <w:top w:val="nil"/>
              <w:left w:val="nil"/>
              <w:bottom w:val="single" w:sz="4" w:space="0" w:color="auto"/>
              <w:right w:val="nil"/>
            </w:tcBorders>
            <w:shd w:val="clear" w:color="000000" w:fill="FFFFFF"/>
            <w:noWrap/>
            <w:vAlign w:val="bottom"/>
            <w:hideMark/>
          </w:tcPr>
          <w:p w14:paraId="45B8371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11,4</w:t>
            </w:r>
          </w:p>
        </w:tc>
        <w:tc>
          <w:tcPr>
            <w:tcW w:w="655" w:type="pct"/>
            <w:tcBorders>
              <w:top w:val="nil"/>
              <w:left w:val="nil"/>
              <w:bottom w:val="single" w:sz="4" w:space="0" w:color="auto"/>
              <w:right w:val="nil"/>
            </w:tcBorders>
            <w:shd w:val="clear" w:color="000000" w:fill="FFFFFF"/>
            <w:noWrap/>
            <w:vAlign w:val="bottom"/>
            <w:hideMark/>
          </w:tcPr>
          <w:p w14:paraId="4725961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681" w:type="pct"/>
            <w:tcBorders>
              <w:top w:val="nil"/>
              <w:left w:val="nil"/>
              <w:bottom w:val="single" w:sz="4" w:space="0" w:color="auto"/>
              <w:right w:val="nil"/>
            </w:tcBorders>
            <w:shd w:val="clear" w:color="000000" w:fill="FFFFFF"/>
            <w:noWrap/>
            <w:vAlign w:val="bottom"/>
            <w:hideMark/>
          </w:tcPr>
          <w:p w14:paraId="07FACC9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rFonts w:eastAsia="Times New Roman" w:cs="Times New Roman"/>
                <w:color w:val="000000"/>
                <w:sz w:val="20"/>
                <w:szCs w:val="20"/>
                <w:lang w:eastAsia="sk-SK"/>
              </w:rPr>
              <w:t>481</w:t>
            </w:r>
          </w:p>
        </w:tc>
      </w:tr>
      <w:tr w:rsidR="00D61CAD" w:rsidRPr="000939E3" w14:paraId="764B9C4A" w14:textId="77777777" w:rsidTr="00D61CAD">
        <w:trPr>
          <w:trHeight w:val="20"/>
        </w:trPr>
        <w:tc>
          <w:tcPr>
            <w:tcW w:w="1627" w:type="pct"/>
            <w:tcBorders>
              <w:top w:val="single" w:sz="4" w:space="0" w:color="auto"/>
              <w:left w:val="nil"/>
              <w:bottom w:val="nil"/>
              <w:right w:val="nil"/>
            </w:tcBorders>
            <w:shd w:val="clear" w:color="auto" w:fill="auto"/>
            <w:noWrap/>
            <w:vAlign w:val="bottom"/>
            <w:hideMark/>
          </w:tcPr>
          <w:p w14:paraId="330D103D" w14:textId="77777777" w:rsidR="00D61CAD" w:rsidRPr="000939E3" w:rsidRDefault="00D61CAD" w:rsidP="00D61CAD">
            <w:pPr>
              <w:spacing w:after="0" w:line="240" w:lineRule="auto"/>
              <w:jc w:val="center"/>
              <w:rPr>
                <w:rFonts w:eastAsia="Times New Roman" w:cs="Times New Roman"/>
                <w:color w:val="000000"/>
                <w:lang w:eastAsia="sk-SK"/>
              </w:rPr>
            </w:pPr>
          </w:p>
        </w:tc>
        <w:tc>
          <w:tcPr>
            <w:tcW w:w="1018" w:type="pct"/>
            <w:tcBorders>
              <w:top w:val="single" w:sz="4" w:space="0" w:color="auto"/>
              <w:left w:val="nil"/>
              <w:bottom w:val="nil"/>
              <w:right w:val="nil"/>
            </w:tcBorders>
            <w:shd w:val="clear" w:color="auto" w:fill="auto"/>
            <w:noWrap/>
            <w:vAlign w:val="bottom"/>
            <w:hideMark/>
          </w:tcPr>
          <w:p w14:paraId="1734C037" w14:textId="77777777" w:rsidR="00D61CAD" w:rsidRPr="000939E3" w:rsidRDefault="00D61CAD" w:rsidP="00D61CAD">
            <w:pPr>
              <w:spacing w:after="0" w:line="240" w:lineRule="auto"/>
              <w:rPr>
                <w:rFonts w:eastAsia="Times New Roman" w:cs="Times New Roman"/>
                <w:lang w:eastAsia="sk-SK"/>
              </w:rPr>
            </w:pPr>
          </w:p>
        </w:tc>
        <w:tc>
          <w:tcPr>
            <w:tcW w:w="1019" w:type="pct"/>
            <w:tcBorders>
              <w:top w:val="single" w:sz="4" w:space="0" w:color="auto"/>
              <w:left w:val="nil"/>
              <w:bottom w:val="nil"/>
              <w:right w:val="nil"/>
            </w:tcBorders>
            <w:shd w:val="clear" w:color="auto" w:fill="auto"/>
            <w:noWrap/>
            <w:vAlign w:val="bottom"/>
            <w:hideMark/>
          </w:tcPr>
          <w:p w14:paraId="5DBEBF77" w14:textId="77777777" w:rsidR="00D61CAD" w:rsidRPr="000939E3" w:rsidRDefault="00D61CAD" w:rsidP="00D61CAD">
            <w:pPr>
              <w:spacing w:after="0" w:line="240" w:lineRule="auto"/>
              <w:jc w:val="center"/>
              <w:rPr>
                <w:rFonts w:eastAsia="Times New Roman" w:cs="Times New Roman"/>
                <w:lang w:eastAsia="sk-SK"/>
              </w:rPr>
            </w:pPr>
          </w:p>
        </w:tc>
        <w:tc>
          <w:tcPr>
            <w:tcW w:w="1336" w:type="pct"/>
            <w:gridSpan w:val="2"/>
            <w:tcBorders>
              <w:top w:val="single" w:sz="4" w:space="0" w:color="auto"/>
              <w:left w:val="nil"/>
              <w:bottom w:val="nil"/>
              <w:right w:val="nil"/>
            </w:tcBorders>
            <w:shd w:val="clear" w:color="auto" w:fill="auto"/>
            <w:noWrap/>
            <w:hideMark/>
          </w:tcPr>
          <w:p w14:paraId="79C42EFD" w14:textId="77777777" w:rsidR="00D61CAD" w:rsidRPr="000939E3" w:rsidRDefault="00D61CAD" w:rsidP="00D61CAD">
            <w:pPr>
              <w:keepNext/>
              <w:spacing w:after="0" w:line="240" w:lineRule="auto"/>
              <w:jc w:val="right"/>
              <w:rPr>
                <w:rFonts w:eastAsia="Times New Roman" w:cs="Times New Roman"/>
                <w:lang w:eastAsia="sk-SK"/>
              </w:rPr>
            </w:pPr>
            <w:r w:rsidRPr="000939E3">
              <w:rPr>
                <w:i/>
                <w:sz w:val="18"/>
              </w:rPr>
              <w:t>Zdroj: prepočty ÚHP</w:t>
            </w:r>
          </w:p>
        </w:tc>
      </w:tr>
    </w:tbl>
    <w:p w14:paraId="04046E9B" w14:textId="1E8D9314" w:rsidR="008E3B2B" w:rsidRPr="000939E3" w:rsidRDefault="008E3B2B" w:rsidP="004714F8">
      <w:pPr>
        <w:spacing w:after="160" w:line="259" w:lineRule="auto"/>
        <w:jc w:val="left"/>
        <w:rPr>
          <w:b/>
          <w:sz w:val="24"/>
        </w:rPr>
      </w:pPr>
    </w:p>
    <w:p w14:paraId="15815B05" w14:textId="44E44D95" w:rsidR="00D61CAD" w:rsidRPr="000939E3" w:rsidRDefault="008E3B2B" w:rsidP="004714F8">
      <w:pPr>
        <w:spacing w:after="160" w:line="259" w:lineRule="auto"/>
        <w:jc w:val="left"/>
        <w:rPr>
          <w:b/>
          <w:sz w:val="24"/>
        </w:rPr>
      </w:pPr>
      <w:r w:rsidRPr="000939E3">
        <w:rPr>
          <w:b/>
          <w:sz w:val="24"/>
        </w:rPr>
        <w:br w:type="page"/>
      </w:r>
    </w:p>
    <w:p w14:paraId="3913E3A3" w14:textId="77777777" w:rsidR="00D61CAD" w:rsidRPr="000939E3" w:rsidRDefault="00D61CAD" w:rsidP="00D61CAD">
      <w:pPr>
        <w:pStyle w:val="Popis"/>
        <w:rPr>
          <w:b w:val="0"/>
          <w:sz w:val="22"/>
        </w:rPr>
      </w:pPr>
      <w:bookmarkStart w:id="325" w:name="_Ref11754343"/>
      <w:r w:rsidRPr="000939E3">
        <w:rPr>
          <w:sz w:val="22"/>
        </w:rPr>
        <w:t xml:space="preserve">Príloha </w:t>
      </w:r>
      <w:r w:rsidRPr="000939E3">
        <w:rPr>
          <w:sz w:val="22"/>
        </w:rPr>
        <w:fldChar w:fldCharType="begin"/>
      </w:r>
      <w:r w:rsidRPr="000939E3">
        <w:rPr>
          <w:sz w:val="22"/>
        </w:rPr>
        <w:instrText xml:space="preserve"> SEQ Príloha \* ARABIC </w:instrText>
      </w:r>
      <w:r w:rsidRPr="000939E3">
        <w:rPr>
          <w:sz w:val="22"/>
        </w:rPr>
        <w:fldChar w:fldCharType="separate"/>
      </w:r>
      <w:r w:rsidR="00BF69CA">
        <w:rPr>
          <w:noProof/>
          <w:sz w:val="22"/>
        </w:rPr>
        <w:t>12</w:t>
      </w:r>
      <w:r w:rsidRPr="000939E3">
        <w:rPr>
          <w:sz w:val="22"/>
        </w:rPr>
        <w:fldChar w:fldCharType="end"/>
      </w:r>
      <w:bookmarkEnd w:id="325"/>
      <w:r w:rsidRPr="000939E3">
        <w:rPr>
          <w:sz w:val="22"/>
        </w:rPr>
        <w:t>: Zmena mzdy pri zmene zamestnania (±12 mesiacov)</w:t>
      </w:r>
    </w:p>
    <w:tbl>
      <w:tblPr>
        <w:tblW w:w="5000" w:type="pct"/>
        <w:tblCellMar>
          <w:left w:w="70" w:type="dxa"/>
          <w:right w:w="70" w:type="dxa"/>
        </w:tblCellMar>
        <w:tblLook w:val="04A0" w:firstRow="1" w:lastRow="0" w:firstColumn="1" w:lastColumn="0" w:noHBand="0" w:noVBand="1"/>
      </w:tblPr>
      <w:tblGrid>
        <w:gridCol w:w="3292"/>
        <w:gridCol w:w="1826"/>
        <w:gridCol w:w="1827"/>
        <w:gridCol w:w="1112"/>
        <w:gridCol w:w="1015"/>
      </w:tblGrid>
      <w:tr w:rsidR="00D61CAD" w:rsidRPr="000939E3" w14:paraId="1ADEEC47" w14:textId="77777777" w:rsidTr="00D61CAD">
        <w:trPr>
          <w:trHeight w:val="20"/>
        </w:trPr>
        <w:tc>
          <w:tcPr>
            <w:tcW w:w="1814" w:type="pct"/>
            <w:tcBorders>
              <w:top w:val="single" w:sz="4" w:space="0" w:color="auto"/>
              <w:left w:val="nil"/>
              <w:bottom w:val="nil"/>
              <w:right w:val="nil"/>
            </w:tcBorders>
            <w:shd w:val="clear" w:color="000000" w:fill="FFFFFF"/>
            <w:noWrap/>
            <w:vAlign w:val="bottom"/>
            <w:hideMark/>
          </w:tcPr>
          <w:p w14:paraId="4B10A7F3"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w:t>
            </w:r>
          </w:p>
        </w:tc>
        <w:tc>
          <w:tcPr>
            <w:tcW w:w="2013" w:type="pct"/>
            <w:gridSpan w:val="2"/>
            <w:tcBorders>
              <w:top w:val="single" w:sz="4" w:space="0" w:color="auto"/>
              <w:left w:val="nil"/>
              <w:bottom w:val="nil"/>
              <w:right w:val="nil"/>
            </w:tcBorders>
            <w:shd w:val="clear" w:color="000000" w:fill="FFFFFF"/>
            <w:vAlign w:val="center"/>
            <w:hideMark/>
          </w:tcPr>
          <w:p w14:paraId="5907F6E8" w14:textId="77777777" w:rsidR="00D61CAD" w:rsidRPr="000939E3" w:rsidRDefault="00D61CAD" w:rsidP="00D61CAD">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Percentuálna zmena</w:t>
            </w:r>
          </w:p>
        </w:tc>
        <w:tc>
          <w:tcPr>
            <w:tcW w:w="613" w:type="pct"/>
            <w:vMerge w:val="restart"/>
            <w:tcBorders>
              <w:top w:val="single" w:sz="4" w:space="0" w:color="auto"/>
              <w:left w:val="nil"/>
              <w:bottom w:val="nil"/>
              <w:right w:val="nil"/>
            </w:tcBorders>
            <w:shd w:val="clear" w:color="000000" w:fill="FFFFFF"/>
            <w:vAlign w:val="center"/>
            <w:hideMark/>
          </w:tcPr>
          <w:p w14:paraId="2198161F" w14:textId="77777777" w:rsidR="00D61CAD" w:rsidRPr="000939E3" w:rsidRDefault="00D61CAD" w:rsidP="00D61CAD">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Štatistická významnosť rozdielu</w:t>
            </w:r>
          </w:p>
        </w:tc>
        <w:tc>
          <w:tcPr>
            <w:tcW w:w="559" w:type="pct"/>
            <w:vMerge w:val="restart"/>
            <w:tcBorders>
              <w:top w:val="single" w:sz="4" w:space="0" w:color="auto"/>
              <w:left w:val="nil"/>
              <w:bottom w:val="nil"/>
              <w:right w:val="nil"/>
            </w:tcBorders>
            <w:shd w:val="clear" w:color="000000" w:fill="FFFFFF"/>
            <w:vAlign w:val="center"/>
            <w:hideMark/>
          </w:tcPr>
          <w:p w14:paraId="6295760E" w14:textId="77777777" w:rsidR="00D61CAD" w:rsidRPr="000939E3" w:rsidRDefault="00D61CAD" w:rsidP="00D61CAD">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Počet pozorovaní spolu</w:t>
            </w:r>
          </w:p>
        </w:tc>
      </w:tr>
      <w:tr w:rsidR="00D61CAD" w:rsidRPr="000939E3" w14:paraId="3FAB57FD" w14:textId="77777777" w:rsidTr="00D61CAD">
        <w:trPr>
          <w:trHeight w:val="20"/>
        </w:trPr>
        <w:tc>
          <w:tcPr>
            <w:tcW w:w="1814" w:type="pct"/>
            <w:tcBorders>
              <w:top w:val="nil"/>
              <w:left w:val="nil"/>
              <w:bottom w:val="single" w:sz="4" w:space="0" w:color="auto"/>
              <w:right w:val="nil"/>
            </w:tcBorders>
            <w:shd w:val="clear" w:color="000000" w:fill="FFFFFF"/>
            <w:noWrap/>
            <w:vAlign w:val="center"/>
            <w:hideMark/>
          </w:tcPr>
          <w:p w14:paraId="751B1690" w14:textId="77777777" w:rsidR="00D61CAD" w:rsidRPr="000939E3" w:rsidRDefault="00D61CAD" w:rsidP="00D61CAD">
            <w:pPr>
              <w:spacing w:after="0" w:line="240" w:lineRule="auto"/>
              <w:jc w:val="center"/>
              <w:rPr>
                <w:rFonts w:eastAsia="Times New Roman" w:cs="Times New Roman"/>
                <w:color w:val="000000"/>
                <w:sz w:val="20"/>
                <w:szCs w:val="20"/>
                <w:lang w:eastAsia="sk-SK"/>
              </w:rPr>
            </w:pPr>
          </w:p>
        </w:tc>
        <w:tc>
          <w:tcPr>
            <w:tcW w:w="1006" w:type="pct"/>
            <w:tcBorders>
              <w:top w:val="nil"/>
              <w:left w:val="nil"/>
              <w:bottom w:val="single" w:sz="4" w:space="0" w:color="auto"/>
              <w:right w:val="nil"/>
            </w:tcBorders>
            <w:shd w:val="clear" w:color="000000" w:fill="FFFFFF"/>
            <w:noWrap/>
            <w:vAlign w:val="center"/>
            <w:hideMark/>
          </w:tcPr>
          <w:p w14:paraId="2B3D8A0D" w14:textId="77777777" w:rsidR="00D61CAD" w:rsidRPr="000939E3" w:rsidRDefault="00D61CAD" w:rsidP="00D61CAD">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Súkromný → Verejný</w:t>
            </w:r>
          </w:p>
        </w:tc>
        <w:tc>
          <w:tcPr>
            <w:tcW w:w="1007" w:type="pct"/>
            <w:tcBorders>
              <w:top w:val="nil"/>
              <w:left w:val="nil"/>
              <w:bottom w:val="single" w:sz="4" w:space="0" w:color="auto"/>
              <w:right w:val="nil"/>
            </w:tcBorders>
            <w:shd w:val="clear" w:color="000000" w:fill="FFFFFF"/>
            <w:noWrap/>
            <w:vAlign w:val="center"/>
            <w:hideMark/>
          </w:tcPr>
          <w:p w14:paraId="72E5D263" w14:textId="77777777" w:rsidR="00D61CAD" w:rsidRPr="000939E3" w:rsidRDefault="00D61CAD" w:rsidP="00D61CAD">
            <w:pPr>
              <w:spacing w:after="0" w:line="240" w:lineRule="auto"/>
              <w:jc w:val="center"/>
              <w:rPr>
                <w:rFonts w:eastAsia="Times New Roman" w:cs="Times New Roman"/>
                <w:b/>
                <w:bCs/>
                <w:color w:val="000000"/>
                <w:sz w:val="20"/>
                <w:szCs w:val="20"/>
                <w:lang w:eastAsia="sk-SK"/>
              </w:rPr>
            </w:pPr>
            <w:r w:rsidRPr="000939E3">
              <w:rPr>
                <w:rFonts w:eastAsia="Times New Roman" w:cs="Times New Roman"/>
                <w:b/>
                <w:bCs/>
                <w:color w:val="000000"/>
                <w:sz w:val="20"/>
                <w:szCs w:val="20"/>
                <w:lang w:eastAsia="sk-SK"/>
              </w:rPr>
              <w:t>Verejný → Súkromný</w:t>
            </w:r>
          </w:p>
        </w:tc>
        <w:tc>
          <w:tcPr>
            <w:tcW w:w="613" w:type="pct"/>
            <w:vMerge/>
            <w:tcBorders>
              <w:top w:val="nil"/>
              <w:left w:val="nil"/>
              <w:bottom w:val="single" w:sz="4" w:space="0" w:color="auto"/>
              <w:right w:val="nil"/>
            </w:tcBorders>
            <w:vAlign w:val="center"/>
            <w:hideMark/>
          </w:tcPr>
          <w:p w14:paraId="75C50C9C" w14:textId="77777777" w:rsidR="00D61CAD" w:rsidRPr="000939E3" w:rsidRDefault="00D61CAD" w:rsidP="00D61CAD">
            <w:pPr>
              <w:spacing w:after="0" w:line="240" w:lineRule="auto"/>
              <w:rPr>
                <w:rFonts w:eastAsia="Times New Roman" w:cs="Times New Roman"/>
                <w:b/>
                <w:bCs/>
                <w:color w:val="000000"/>
                <w:sz w:val="20"/>
                <w:szCs w:val="20"/>
                <w:lang w:eastAsia="sk-SK"/>
              </w:rPr>
            </w:pPr>
          </w:p>
        </w:tc>
        <w:tc>
          <w:tcPr>
            <w:tcW w:w="559" w:type="pct"/>
            <w:vMerge/>
            <w:tcBorders>
              <w:top w:val="nil"/>
              <w:left w:val="nil"/>
              <w:bottom w:val="single" w:sz="4" w:space="0" w:color="auto"/>
              <w:right w:val="nil"/>
            </w:tcBorders>
            <w:vAlign w:val="center"/>
            <w:hideMark/>
          </w:tcPr>
          <w:p w14:paraId="2381A533" w14:textId="77777777" w:rsidR="00D61CAD" w:rsidRPr="000939E3" w:rsidRDefault="00D61CAD" w:rsidP="00D61CAD">
            <w:pPr>
              <w:spacing w:after="0" w:line="240" w:lineRule="auto"/>
              <w:rPr>
                <w:rFonts w:eastAsia="Times New Roman" w:cs="Times New Roman"/>
                <w:b/>
                <w:bCs/>
                <w:color w:val="000000"/>
                <w:sz w:val="20"/>
                <w:szCs w:val="20"/>
                <w:lang w:eastAsia="sk-SK"/>
              </w:rPr>
            </w:pPr>
          </w:p>
        </w:tc>
      </w:tr>
      <w:tr w:rsidR="00D61CAD" w:rsidRPr="000939E3" w14:paraId="70991862" w14:textId="77777777" w:rsidTr="00D61CAD">
        <w:trPr>
          <w:trHeight w:val="20"/>
        </w:trPr>
        <w:tc>
          <w:tcPr>
            <w:tcW w:w="1814" w:type="pct"/>
            <w:tcBorders>
              <w:top w:val="single" w:sz="4" w:space="0" w:color="auto"/>
              <w:left w:val="nil"/>
              <w:bottom w:val="single" w:sz="4" w:space="0" w:color="auto"/>
              <w:right w:val="nil"/>
            </w:tcBorders>
            <w:shd w:val="clear" w:color="000000" w:fill="FFFFFF"/>
            <w:noWrap/>
            <w:vAlign w:val="bottom"/>
            <w:hideMark/>
          </w:tcPr>
          <w:p w14:paraId="2B5B632C" w14:textId="77777777" w:rsidR="00D61CAD" w:rsidRPr="000939E3" w:rsidRDefault="00D61CAD" w:rsidP="00D61CAD">
            <w:pPr>
              <w:spacing w:after="0" w:line="240" w:lineRule="auto"/>
              <w:rPr>
                <w:rFonts w:eastAsia="Times New Roman" w:cs="Times New Roman"/>
                <w:b/>
                <w:bCs/>
                <w:color w:val="000000"/>
                <w:sz w:val="20"/>
                <w:szCs w:val="20"/>
                <w:lang w:eastAsia="sk-SK"/>
              </w:rPr>
            </w:pPr>
            <w:r w:rsidRPr="000939E3">
              <w:rPr>
                <w:b/>
                <w:bCs/>
                <w:color w:val="000000"/>
                <w:sz w:val="20"/>
                <w:szCs w:val="20"/>
              </w:rPr>
              <w:t>Celkovo</w:t>
            </w:r>
          </w:p>
        </w:tc>
        <w:tc>
          <w:tcPr>
            <w:tcW w:w="1006" w:type="pct"/>
            <w:tcBorders>
              <w:top w:val="single" w:sz="4" w:space="0" w:color="auto"/>
              <w:left w:val="nil"/>
              <w:bottom w:val="single" w:sz="4" w:space="0" w:color="auto"/>
              <w:right w:val="nil"/>
            </w:tcBorders>
            <w:shd w:val="clear" w:color="000000" w:fill="FFFFFF"/>
            <w:noWrap/>
            <w:vAlign w:val="bottom"/>
            <w:hideMark/>
          </w:tcPr>
          <w:p w14:paraId="6BF855C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20,6</w:t>
            </w:r>
          </w:p>
        </w:tc>
        <w:tc>
          <w:tcPr>
            <w:tcW w:w="1007" w:type="pct"/>
            <w:tcBorders>
              <w:top w:val="single" w:sz="4" w:space="0" w:color="auto"/>
              <w:left w:val="nil"/>
              <w:bottom w:val="single" w:sz="4" w:space="0" w:color="auto"/>
              <w:right w:val="nil"/>
            </w:tcBorders>
            <w:shd w:val="clear" w:color="000000" w:fill="FFFFFF"/>
            <w:noWrap/>
            <w:vAlign w:val="bottom"/>
            <w:hideMark/>
          </w:tcPr>
          <w:p w14:paraId="3100192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22,6</w:t>
            </w:r>
          </w:p>
        </w:tc>
        <w:tc>
          <w:tcPr>
            <w:tcW w:w="613" w:type="pct"/>
            <w:tcBorders>
              <w:top w:val="single" w:sz="4" w:space="0" w:color="auto"/>
              <w:left w:val="nil"/>
              <w:bottom w:val="single" w:sz="4" w:space="0" w:color="auto"/>
              <w:right w:val="nil"/>
            </w:tcBorders>
            <w:shd w:val="clear" w:color="000000" w:fill="FFFFFF"/>
            <w:noWrap/>
            <w:vAlign w:val="bottom"/>
            <w:hideMark/>
          </w:tcPr>
          <w:p w14:paraId="6BD2915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single" w:sz="4" w:space="0" w:color="auto"/>
              <w:left w:val="nil"/>
              <w:bottom w:val="single" w:sz="4" w:space="0" w:color="auto"/>
              <w:right w:val="nil"/>
            </w:tcBorders>
            <w:shd w:val="clear" w:color="000000" w:fill="FFFFFF"/>
            <w:noWrap/>
            <w:vAlign w:val="bottom"/>
            <w:hideMark/>
          </w:tcPr>
          <w:p w14:paraId="081D8C39"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1 797</w:t>
            </w:r>
          </w:p>
        </w:tc>
      </w:tr>
      <w:tr w:rsidR="00D61CAD" w:rsidRPr="000939E3" w14:paraId="21C771DE" w14:textId="77777777" w:rsidTr="00D61CAD">
        <w:trPr>
          <w:trHeight w:val="20"/>
        </w:trPr>
        <w:tc>
          <w:tcPr>
            <w:tcW w:w="1814" w:type="pct"/>
            <w:tcBorders>
              <w:top w:val="single" w:sz="4" w:space="0" w:color="auto"/>
              <w:left w:val="nil"/>
              <w:bottom w:val="nil"/>
              <w:right w:val="nil"/>
            </w:tcBorders>
            <w:shd w:val="clear" w:color="000000" w:fill="FFFFFF"/>
            <w:noWrap/>
            <w:vAlign w:val="bottom"/>
            <w:hideMark/>
          </w:tcPr>
          <w:p w14:paraId="3C4951DA" w14:textId="77777777" w:rsidR="00D61CAD" w:rsidRPr="000939E3" w:rsidRDefault="00D61CAD" w:rsidP="00D61CAD">
            <w:pPr>
              <w:spacing w:after="0" w:line="240" w:lineRule="auto"/>
              <w:rPr>
                <w:rFonts w:eastAsia="Times New Roman" w:cs="Times New Roman"/>
                <w:b/>
                <w:bCs/>
                <w:color w:val="000000"/>
                <w:sz w:val="20"/>
                <w:szCs w:val="20"/>
                <w:lang w:eastAsia="sk-SK"/>
              </w:rPr>
            </w:pPr>
            <w:r w:rsidRPr="000939E3">
              <w:rPr>
                <w:b/>
                <w:bCs/>
                <w:color w:val="000000"/>
                <w:sz w:val="20"/>
                <w:szCs w:val="20"/>
              </w:rPr>
              <w:t>Pohlavie</w:t>
            </w:r>
          </w:p>
        </w:tc>
        <w:tc>
          <w:tcPr>
            <w:tcW w:w="1006" w:type="pct"/>
            <w:tcBorders>
              <w:top w:val="single" w:sz="4" w:space="0" w:color="auto"/>
              <w:left w:val="nil"/>
              <w:bottom w:val="nil"/>
              <w:right w:val="nil"/>
            </w:tcBorders>
            <w:shd w:val="clear" w:color="000000" w:fill="FFFFFF"/>
            <w:noWrap/>
            <w:vAlign w:val="bottom"/>
            <w:hideMark/>
          </w:tcPr>
          <w:p w14:paraId="63D5E18C"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 </w:t>
            </w:r>
          </w:p>
        </w:tc>
        <w:tc>
          <w:tcPr>
            <w:tcW w:w="1007" w:type="pct"/>
            <w:tcBorders>
              <w:top w:val="single" w:sz="4" w:space="0" w:color="auto"/>
              <w:left w:val="nil"/>
              <w:bottom w:val="nil"/>
              <w:right w:val="nil"/>
            </w:tcBorders>
            <w:shd w:val="clear" w:color="000000" w:fill="FFFFFF"/>
            <w:noWrap/>
            <w:vAlign w:val="bottom"/>
            <w:hideMark/>
          </w:tcPr>
          <w:p w14:paraId="1F3AB16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613" w:type="pct"/>
            <w:tcBorders>
              <w:top w:val="single" w:sz="4" w:space="0" w:color="auto"/>
              <w:left w:val="nil"/>
              <w:bottom w:val="nil"/>
              <w:right w:val="nil"/>
            </w:tcBorders>
            <w:shd w:val="clear" w:color="000000" w:fill="FFFFFF"/>
            <w:noWrap/>
            <w:vAlign w:val="bottom"/>
            <w:hideMark/>
          </w:tcPr>
          <w:p w14:paraId="29B43AF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single" w:sz="4" w:space="0" w:color="auto"/>
              <w:left w:val="nil"/>
              <w:bottom w:val="nil"/>
              <w:right w:val="nil"/>
            </w:tcBorders>
            <w:shd w:val="clear" w:color="000000" w:fill="FFFFFF"/>
            <w:noWrap/>
            <w:vAlign w:val="bottom"/>
            <w:hideMark/>
          </w:tcPr>
          <w:p w14:paraId="0248112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r>
      <w:tr w:rsidR="00D61CAD" w:rsidRPr="000939E3" w14:paraId="4B3BE475" w14:textId="77777777" w:rsidTr="00D61CAD">
        <w:trPr>
          <w:trHeight w:val="20"/>
        </w:trPr>
        <w:tc>
          <w:tcPr>
            <w:tcW w:w="1814" w:type="pct"/>
            <w:tcBorders>
              <w:top w:val="nil"/>
              <w:left w:val="nil"/>
              <w:right w:val="nil"/>
            </w:tcBorders>
            <w:shd w:val="clear" w:color="000000" w:fill="FFFFFF"/>
            <w:noWrap/>
            <w:vAlign w:val="bottom"/>
            <w:hideMark/>
          </w:tcPr>
          <w:p w14:paraId="7B6823EB"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Ženy</w:t>
            </w:r>
          </w:p>
        </w:tc>
        <w:tc>
          <w:tcPr>
            <w:tcW w:w="1006" w:type="pct"/>
            <w:tcBorders>
              <w:top w:val="nil"/>
              <w:left w:val="nil"/>
              <w:right w:val="nil"/>
            </w:tcBorders>
            <w:shd w:val="clear" w:color="000000" w:fill="FFFFFF"/>
            <w:noWrap/>
            <w:vAlign w:val="bottom"/>
            <w:hideMark/>
          </w:tcPr>
          <w:p w14:paraId="6536F02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18,0</w:t>
            </w:r>
          </w:p>
        </w:tc>
        <w:tc>
          <w:tcPr>
            <w:tcW w:w="1007" w:type="pct"/>
            <w:tcBorders>
              <w:top w:val="nil"/>
              <w:left w:val="nil"/>
              <w:right w:val="nil"/>
            </w:tcBorders>
            <w:shd w:val="clear" w:color="000000" w:fill="FFFFFF"/>
            <w:noWrap/>
            <w:vAlign w:val="bottom"/>
            <w:hideMark/>
          </w:tcPr>
          <w:p w14:paraId="07A7AC5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18,0</w:t>
            </w:r>
          </w:p>
        </w:tc>
        <w:tc>
          <w:tcPr>
            <w:tcW w:w="613" w:type="pct"/>
            <w:tcBorders>
              <w:top w:val="nil"/>
              <w:left w:val="nil"/>
              <w:right w:val="nil"/>
            </w:tcBorders>
            <w:shd w:val="clear" w:color="000000" w:fill="FFFFFF"/>
            <w:noWrap/>
            <w:vAlign w:val="bottom"/>
            <w:hideMark/>
          </w:tcPr>
          <w:p w14:paraId="468C14F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nil"/>
              <w:left w:val="nil"/>
              <w:right w:val="nil"/>
            </w:tcBorders>
            <w:shd w:val="clear" w:color="000000" w:fill="FFFFFF"/>
            <w:noWrap/>
            <w:vAlign w:val="bottom"/>
            <w:hideMark/>
          </w:tcPr>
          <w:p w14:paraId="070E50B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1 082</w:t>
            </w:r>
          </w:p>
        </w:tc>
      </w:tr>
      <w:tr w:rsidR="00D61CAD" w:rsidRPr="000939E3" w14:paraId="781EFB41" w14:textId="77777777" w:rsidTr="00D61CAD">
        <w:trPr>
          <w:trHeight w:val="20"/>
        </w:trPr>
        <w:tc>
          <w:tcPr>
            <w:tcW w:w="1814" w:type="pct"/>
            <w:tcBorders>
              <w:top w:val="nil"/>
              <w:left w:val="nil"/>
              <w:bottom w:val="single" w:sz="4" w:space="0" w:color="auto"/>
              <w:right w:val="nil"/>
            </w:tcBorders>
            <w:shd w:val="clear" w:color="000000" w:fill="FFFFFF"/>
            <w:noWrap/>
            <w:vAlign w:val="bottom"/>
            <w:hideMark/>
          </w:tcPr>
          <w:p w14:paraId="53B84421"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Muži</w:t>
            </w:r>
          </w:p>
        </w:tc>
        <w:tc>
          <w:tcPr>
            <w:tcW w:w="1006" w:type="pct"/>
            <w:tcBorders>
              <w:top w:val="nil"/>
              <w:left w:val="nil"/>
              <w:bottom w:val="single" w:sz="4" w:space="0" w:color="auto"/>
              <w:right w:val="nil"/>
            </w:tcBorders>
            <w:shd w:val="clear" w:color="000000" w:fill="FFFFFF"/>
            <w:noWrap/>
            <w:vAlign w:val="bottom"/>
            <w:hideMark/>
          </w:tcPr>
          <w:p w14:paraId="5F1A87D8"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24,5</w:t>
            </w:r>
          </w:p>
        </w:tc>
        <w:tc>
          <w:tcPr>
            <w:tcW w:w="1007" w:type="pct"/>
            <w:tcBorders>
              <w:top w:val="nil"/>
              <w:left w:val="nil"/>
              <w:bottom w:val="single" w:sz="4" w:space="0" w:color="auto"/>
              <w:right w:val="nil"/>
            </w:tcBorders>
            <w:shd w:val="clear" w:color="000000" w:fill="FFFFFF"/>
            <w:noWrap/>
            <w:vAlign w:val="bottom"/>
            <w:hideMark/>
          </w:tcPr>
          <w:p w14:paraId="17DA4BD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29,0</w:t>
            </w:r>
          </w:p>
        </w:tc>
        <w:tc>
          <w:tcPr>
            <w:tcW w:w="613" w:type="pct"/>
            <w:tcBorders>
              <w:top w:val="nil"/>
              <w:left w:val="nil"/>
              <w:bottom w:val="single" w:sz="4" w:space="0" w:color="auto"/>
              <w:right w:val="nil"/>
            </w:tcBorders>
            <w:shd w:val="clear" w:color="000000" w:fill="FFFFFF"/>
            <w:noWrap/>
            <w:vAlign w:val="bottom"/>
            <w:hideMark/>
          </w:tcPr>
          <w:p w14:paraId="2C9CB0A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nil"/>
              <w:left w:val="nil"/>
              <w:bottom w:val="single" w:sz="4" w:space="0" w:color="auto"/>
              <w:right w:val="nil"/>
            </w:tcBorders>
            <w:shd w:val="clear" w:color="000000" w:fill="FFFFFF"/>
            <w:noWrap/>
            <w:vAlign w:val="bottom"/>
            <w:hideMark/>
          </w:tcPr>
          <w:p w14:paraId="1230E07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715</w:t>
            </w:r>
          </w:p>
        </w:tc>
      </w:tr>
      <w:tr w:rsidR="00D61CAD" w:rsidRPr="000939E3" w14:paraId="60CEFFD0" w14:textId="77777777" w:rsidTr="00D61CAD">
        <w:trPr>
          <w:trHeight w:val="20"/>
        </w:trPr>
        <w:tc>
          <w:tcPr>
            <w:tcW w:w="1814" w:type="pct"/>
            <w:tcBorders>
              <w:top w:val="single" w:sz="4" w:space="0" w:color="auto"/>
              <w:left w:val="nil"/>
              <w:bottom w:val="nil"/>
              <w:right w:val="nil"/>
            </w:tcBorders>
            <w:shd w:val="clear" w:color="000000" w:fill="FFFFFF"/>
            <w:noWrap/>
            <w:vAlign w:val="bottom"/>
            <w:hideMark/>
          </w:tcPr>
          <w:p w14:paraId="5799F342" w14:textId="77777777" w:rsidR="00D61CAD" w:rsidRPr="000939E3" w:rsidRDefault="00D61CAD" w:rsidP="00D61CAD">
            <w:pPr>
              <w:spacing w:after="0" w:line="240" w:lineRule="auto"/>
              <w:rPr>
                <w:rFonts w:eastAsia="Times New Roman" w:cs="Times New Roman"/>
                <w:b/>
                <w:bCs/>
                <w:color w:val="000000"/>
                <w:sz w:val="20"/>
                <w:szCs w:val="20"/>
                <w:lang w:eastAsia="sk-SK"/>
              </w:rPr>
            </w:pPr>
            <w:r w:rsidRPr="000939E3">
              <w:rPr>
                <w:b/>
                <w:bCs/>
                <w:color w:val="000000"/>
                <w:sz w:val="20"/>
                <w:szCs w:val="20"/>
              </w:rPr>
              <w:t>Vek</w:t>
            </w:r>
          </w:p>
        </w:tc>
        <w:tc>
          <w:tcPr>
            <w:tcW w:w="1006" w:type="pct"/>
            <w:tcBorders>
              <w:top w:val="single" w:sz="4" w:space="0" w:color="auto"/>
              <w:left w:val="nil"/>
              <w:bottom w:val="nil"/>
              <w:right w:val="nil"/>
            </w:tcBorders>
            <w:shd w:val="clear" w:color="000000" w:fill="FFFFFF"/>
            <w:noWrap/>
            <w:vAlign w:val="bottom"/>
            <w:hideMark/>
          </w:tcPr>
          <w:p w14:paraId="4816148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1007" w:type="pct"/>
            <w:tcBorders>
              <w:top w:val="single" w:sz="4" w:space="0" w:color="auto"/>
              <w:left w:val="nil"/>
              <w:bottom w:val="nil"/>
              <w:right w:val="nil"/>
            </w:tcBorders>
            <w:shd w:val="clear" w:color="000000" w:fill="FFFFFF"/>
            <w:noWrap/>
            <w:vAlign w:val="bottom"/>
            <w:hideMark/>
          </w:tcPr>
          <w:p w14:paraId="121F3C7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613" w:type="pct"/>
            <w:tcBorders>
              <w:top w:val="single" w:sz="4" w:space="0" w:color="auto"/>
              <w:left w:val="nil"/>
              <w:bottom w:val="nil"/>
              <w:right w:val="nil"/>
            </w:tcBorders>
            <w:shd w:val="clear" w:color="000000" w:fill="FFFFFF"/>
            <w:noWrap/>
            <w:vAlign w:val="bottom"/>
            <w:hideMark/>
          </w:tcPr>
          <w:p w14:paraId="535E7F0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single" w:sz="4" w:space="0" w:color="auto"/>
              <w:left w:val="nil"/>
              <w:bottom w:val="nil"/>
              <w:right w:val="nil"/>
            </w:tcBorders>
            <w:shd w:val="clear" w:color="000000" w:fill="FFFFFF"/>
            <w:noWrap/>
            <w:vAlign w:val="bottom"/>
            <w:hideMark/>
          </w:tcPr>
          <w:p w14:paraId="6B3B664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r>
      <w:tr w:rsidR="00D61CAD" w:rsidRPr="000939E3" w14:paraId="3CB01881" w14:textId="77777777" w:rsidTr="00D61CAD">
        <w:trPr>
          <w:trHeight w:val="20"/>
        </w:trPr>
        <w:tc>
          <w:tcPr>
            <w:tcW w:w="1814" w:type="pct"/>
            <w:tcBorders>
              <w:top w:val="nil"/>
              <w:left w:val="nil"/>
              <w:bottom w:val="nil"/>
              <w:right w:val="nil"/>
            </w:tcBorders>
            <w:shd w:val="clear" w:color="000000" w:fill="FFFFFF"/>
            <w:noWrap/>
            <w:vAlign w:val="bottom"/>
            <w:hideMark/>
          </w:tcPr>
          <w:p w14:paraId="0038C8ED"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18 - 24</w:t>
            </w:r>
          </w:p>
        </w:tc>
        <w:tc>
          <w:tcPr>
            <w:tcW w:w="1006" w:type="pct"/>
            <w:tcBorders>
              <w:top w:val="nil"/>
              <w:left w:val="nil"/>
              <w:bottom w:val="nil"/>
              <w:right w:val="nil"/>
            </w:tcBorders>
            <w:shd w:val="clear" w:color="000000" w:fill="FFFFFF"/>
            <w:noWrap/>
            <w:vAlign w:val="bottom"/>
            <w:hideMark/>
          </w:tcPr>
          <w:p w14:paraId="1D80D0F7"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14,4</w:t>
            </w:r>
          </w:p>
        </w:tc>
        <w:tc>
          <w:tcPr>
            <w:tcW w:w="1007" w:type="pct"/>
            <w:tcBorders>
              <w:top w:val="nil"/>
              <w:left w:val="nil"/>
              <w:bottom w:val="nil"/>
              <w:right w:val="nil"/>
            </w:tcBorders>
            <w:shd w:val="clear" w:color="000000" w:fill="FFFFFF"/>
            <w:noWrap/>
            <w:vAlign w:val="bottom"/>
            <w:hideMark/>
          </w:tcPr>
          <w:p w14:paraId="71DD554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46,2</w:t>
            </w:r>
          </w:p>
        </w:tc>
        <w:tc>
          <w:tcPr>
            <w:tcW w:w="613" w:type="pct"/>
            <w:tcBorders>
              <w:top w:val="nil"/>
              <w:left w:val="nil"/>
              <w:bottom w:val="nil"/>
              <w:right w:val="nil"/>
            </w:tcBorders>
            <w:shd w:val="clear" w:color="000000" w:fill="FFFFFF"/>
            <w:noWrap/>
            <w:vAlign w:val="bottom"/>
            <w:hideMark/>
          </w:tcPr>
          <w:p w14:paraId="531E03F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nil"/>
              <w:left w:val="nil"/>
              <w:bottom w:val="nil"/>
              <w:right w:val="nil"/>
            </w:tcBorders>
            <w:shd w:val="clear" w:color="000000" w:fill="FFFFFF"/>
            <w:noWrap/>
            <w:vAlign w:val="bottom"/>
            <w:hideMark/>
          </w:tcPr>
          <w:p w14:paraId="418C414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59</w:t>
            </w:r>
          </w:p>
        </w:tc>
      </w:tr>
      <w:tr w:rsidR="00D61CAD" w:rsidRPr="000939E3" w14:paraId="1EAE6DF7" w14:textId="77777777" w:rsidTr="00D61CAD">
        <w:trPr>
          <w:trHeight w:val="20"/>
        </w:trPr>
        <w:tc>
          <w:tcPr>
            <w:tcW w:w="1814" w:type="pct"/>
            <w:tcBorders>
              <w:top w:val="nil"/>
              <w:left w:val="nil"/>
              <w:bottom w:val="nil"/>
              <w:right w:val="nil"/>
            </w:tcBorders>
            <w:shd w:val="clear" w:color="000000" w:fill="FFFFFF"/>
            <w:noWrap/>
            <w:vAlign w:val="bottom"/>
            <w:hideMark/>
          </w:tcPr>
          <w:p w14:paraId="4AA8E80D"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25 - 29</w:t>
            </w:r>
          </w:p>
        </w:tc>
        <w:tc>
          <w:tcPr>
            <w:tcW w:w="1006" w:type="pct"/>
            <w:tcBorders>
              <w:top w:val="nil"/>
              <w:left w:val="nil"/>
              <w:bottom w:val="nil"/>
              <w:right w:val="nil"/>
            </w:tcBorders>
            <w:shd w:val="clear" w:color="000000" w:fill="FFFFFF"/>
            <w:noWrap/>
            <w:vAlign w:val="bottom"/>
            <w:hideMark/>
          </w:tcPr>
          <w:p w14:paraId="4CDB16B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26,8</w:t>
            </w:r>
          </w:p>
        </w:tc>
        <w:tc>
          <w:tcPr>
            <w:tcW w:w="1007" w:type="pct"/>
            <w:tcBorders>
              <w:top w:val="nil"/>
              <w:left w:val="nil"/>
              <w:bottom w:val="nil"/>
              <w:right w:val="nil"/>
            </w:tcBorders>
            <w:shd w:val="clear" w:color="000000" w:fill="FFFFFF"/>
            <w:noWrap/>
            <w:vAlign w:val="bottom"/>
            <w:hideMark/>
          </w:tcPr>
          <w:p w14:paraId="0C04063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24,2</w:t>
            </w:r>
          </w:p>
        </w:tc>
        <w:tc>
          <w:tcPr>
            <w:tcW w:w="613" w:type="pct"/>
            <w:tcBorders>
              <w:top w:val="nil"/>
              <w:left w:val="nil"/>
              <w:bottom w:val="nil"/>
              <w:right w:val="nil"/>
            </w:tcBorders>
            <w:shd w:val="clear" w:color="000000" w:fill="FFFFFF"/>
            <w:noWrap/>
            <w:vAlign w:val="bottom"/>
            <w:hideMark/>
          </w:tcPr>
          <w:p w14:paraId="117000C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nil"/>
              <w:left w:val="nil"/>
              <w:bottom w:val="nil"/>
              <w:right w:val="nil"/>
            </w:tcBorders>
            <w:shd w:val="clear" w:color="000000" w:fill="FFFFFF"/>
            <w:noWrap/>
            <w:vAlign w:val="bottom"/>
            <w:hideMark/>
          </w:tcPr>
          <w:p w14:paraId="10DA384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290</w:t>
            </w:r>
          </w:p>
        </w:tc>
      </w:tr>
      <w:tr w:rsidR="00D61CAD" w:rsidRPr="000939E3" w14:paraId="6D547F26" w14:textId="77777777" w:rsidTr="00D61CAD">
        <w:trPr>
          <w:trHeight w:val="20"/>
        </w:trPr>
        <w:tc>
          <w:tcPr>
            <w:tcW w:w="1814" w:type="pct"/>
            <w:tcBorders>
              <w:top w:val="nil"/>
              <w:left w:val="nil"/>
              <w:bottom w:val="nil"/>
              <w:right w:val="nil"/>
            </w:tcBorders>
            <w:shd w:val="clear" w:color="000000" w:fill="FFFFFF"/>
            <w:noWrap/>
            <w:vAlign w:val="bottom"/>
            <w:hideMark/>
          </w:tcPr>
          <w:p w14:paraId="24BD529B"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30 - 34</w:t>
            </w:r>
          </w:p>
        </w:tc>
        <w:tc>
          <w:tcPr>
            <w:tcW w:w="1006" w:type="pct"/>
            <w:tcBorders>
              <w:top w:val="nil"/>
              <w:left w:val="nil"/>
              <w:bottom w:val="nil"/>
              <w:right w:val="nil"/>
            </w:tcBorders>
            <w:shd w:val="clear" w:color="000000" w:fill="FFFFFF"/>
            <w:noWrap/>
            <w:vAlign w:val="bottom"/>
            <w:hideMark/>
          </w:tcPr>
          <w:p w14:paraId="0E16CEC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25,1</w:t>
            </w:r>
          </w:p>
        </w:tc>
        <w:tc>
          <w:tcPr>
            <w:tcW w:w="1007" w:type="pct"/>
            <w:tcBorders>
              <w:top w:val="nil"/>
              <w:left w:val="nil"/>
              <w:bottom w:val="nil"/>
              <w:right w:val="nil"/>
            </w:tcBorders>
            <w:shd w:val="clear" w:color="000000" w:fill="FFFFFF"/>
            <w:noWrap/>
            <w:vAlign w:val="bottom"/>
            <w:hideMark/>
          </w:tcPr>
          <w:p w14:paraId="1C07E3F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27,2</w:t>
            </w:r>
          </w:p>
        </w:tc>
        <w:tc>
          <w:tcPr>
            <w:tcW w:w="613" w:type="pct"/>
            <w:tcBorders>
              <w:top w:val="nil"/>
              <w:left w:val="nil"/>
              <w:bottom w:val="nil"/>
              <w:right w:val="nil"/>
            </w:tcBorders>
            <w:shd w:val="clear" w:color="000000" w:fill="FFFFFF"/>
            <w:noWrap/>
            <w:vAlign w:val="bottom"/>
            <w:hideMark/>
          </w:tcPr>
          <w:p w14:paraId="75C23B1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nil"/>
              <w:left w:val="nil"/>
              <w:bottom w:val="nil"/>
              <w:right w:val="nil"/>
            </w:tcBorders>
            <w:shd w:val="clear" w:color="000000" w:fill="FFFFFF"/>
            <w:noWrap/>
            <w:vAlign w:val="bottom"/>
            <w:hideMark/>
          </w:tcPr>
          <w:p w14:paraId="376308C7"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252</w:t>
            </w:r>
          </w:p>
        </w:tc>
      </w:tr>
      <w:tr w:rsidR="00D61CAD" w:rsidRPr="000939E3" w14:paraId="0DAAA30F" w14:textId="77777777" w:rsidTr="00D61CAD">
        <w:trPr>
          <w:trHeight w:val="20"/>
        </w:trPr>
        <w:tc>
          <w:tcPr>
            <w:tcW w:w="1814" w:type="pct"/>
            <w:tcBorders>
              <w:top w:val="nil"/>
              <w:left w:val="nil"/>
              <w:bottom w:val="nil"/>
              <w:right w:val="nil"/>
            </w:tcBorders>
            <w:shd w:val="clear" w:color="000000" w:fill="FFFFFF"/>
            <w:noWrap/>
            <w:vAlign w:val="bottom"/>
            <w:hideMark/>
          </w:tcPr>
          <w:p w14:paraId="5D9ED23C"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35 - 44</w:t>
            </w:r>
          </w:p>
        </w:tc>
        <w:tc>
          <w:tcPr>
            <w:tcW w:w="1006" w:type="pct"/>
            <w:tcBorders>
              <w:top w:val="nil"/>
              <w:left w:val="nil"/>
              <w:bottom w:val="nil"/>
              <w:right w:val="nil"/>
            </w:tcBorders>
            <w:shd w:val="clear" w:color="000000" w:fill="FFFFFF"/>
            <w:noWrap/>
            <w:vAlign w:val="bottom"/>
            <w:hideMark/>
          </w:tcPr>
          <w:p w14:paraId="30F42456"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16,9</w:t>
            </w:r>
          </w:p>
        </w:tc>
        <w:tc>
          <w:tcPr>
            <w:tcW w:w="1007" w:type="pct"/>
            <w:tcBorders>
              <w:top w:val="nil"/>
              <w:left w:val="nil"/>
              <w:bottom w:val="nil"/>
              <w:right w:val="nil"/>
            </w:tcBorders>
            <w:shd w:val="clear" w:color="000000" w:fill="FFFFFF"/>
            <w:noWrap/>
            <w:vAlign w:val="bottom"/>
            <w:hideMark/>
          </w:tcPr>
          <w:p w14:paraId="2122B73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22,2</w:t>
            </w:r>
          </w:p>
        </w:tc>
        <w:tc>
          <w:tcPr>
            <w:tcW w:w="613" w:type="pct"/>
            <w:tcBorders>
              <w:top w:val="nil"/>
              <w:left w:val="nil"/>
              <w:bottom w:val="nil"/>
              <w:right w:val="nil"/>
            </w:tcBorders>
            <w:shd w:val="clear" w:color="000000" w:fill="FFFFFF"/>
            <w:noWrap/>
            <w:vAlign w:val="bottom"/>
            <w:hideMark/>
          </w:tcPr>
          <w:p w14:paraId="4BDC30E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nil"/>
              <w:left w:val="nil"/>
              <w:bottom w:val="nil"/>
              <w:right w:val="nil"/>
            </w:tcBorders>
            <w:shd w:val="clear" w:color="000000" w:fill="FFFFFF"/>
            <w:noWrap/>
            <w:vAlign w:val="bottom"/>
            <w:hideMark/>
          </w:tcPr>
          <w:p w14:paraId="594D831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607</w:t>
            </w:r>
          </w:p>
        </w:tc>
      </w:tr>
      <w:tr w:rsidR="00D61CAD" w:rsidRPr="000939E3" w14:paraId="2DB353EA" w14:textId="77777777" w:rsidTr="00D61CAD">
        <w:trPr>
          <w:trHeight w:val="20"/>
        </w:trPr>
        <w:tc>
          <w:tcPr>
            <w:tcW w:w="1814" w:type="pct"/>
            <w:tcBorders>
              <w:top w:val="nil"/>
              <w:left w:val="nil"/>
              <w:right w:val="nil"/>
            </w:tcBorders>
            <w:shd w:val="clear" w:color="000000" w:fill="FFFFFF"/>
            <w:noWrap/>
            <w:vAlign w:val="bottom"/>
            <w:hideMark/>
          </w:tcPr>
          <w:p w14:paraId="663E3589"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45 - 54</w:t>
            </w:r>
          </w:p>
        </w:tc>
        <w:tc>
          <w:tcPr>
            <w:tcW w:w="1006" w:type="pct"/>
            <w:tcBorders>
              <w:top w:val="nil"/>
              <w:left w:val="nil"/>
              <w:right w:val="nil"/>
            </w:tcBorders>
            <w:shd w:val="clear" w:color="000000" w:fill="FFFFFF"/>
            <w:noWrap/>
            <w:vAlign w:val="bottom"/>
            <w:hideMark/>
          </w:tcPr>
          <w:p w14:paraId="7B98C6B8"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20,5</w:t>
            </w:r>
          </w:p>
        </w:tc>
        <w:tc>
          <w:tcPr>
            <w:tcW w:w="1007" w:type="pct"/>
            <w:tcBorders>
              <w:top w:val="nil"/>
              <w:left w:val="nil"/>
              <w:right w:val="nil"/>
            </w:tcBorders>
            <w:shd w:val="clear" w:color="000000" w:fill="FFFFFF"/>
            <w:noWrap/>
            <w:vAlign w:val="bottom"/>
            <w:hideMark/>
          </w:tcPr>
          <w:p w14:paraId="2F0C8E0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17,6</w:t>
            </w:r>
          </w:p>
        </w:tc>
        <w:tc>
          <w:tcPr>
            <w:tcW w:w="613" w:type="pct"/>
            <w:tcBorders>
              <w:top w:val="nil"/>
              <w:left w:val="nil"/>
              <w:right w:val="nil"/>
            </w:tcBorders>
            <w:shd w:val="clear" w:color="000000" w:fill="FFFFFF"/>
            <w:noWrap/>
            <w:vAlign w:val="bottom"/>
            <w:hideMark/>
          </w:tcPr>
          <w:p w14:paraId="0FB0C4A9"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nil"/>
              <w:left w:val="nil"/>
              <w:right w:val="nil"/>
            </w:tcBorders>
            <w:shd w:val="clear" w:color="000000" w:fill="FFFFFF"/>
            <w:noWrap/>
            <w:vAlign w:val="bottom"/>
            <w:hideMark/>
          </w:tcPr>
          <w:p w14:paraId="0B754A6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432</w:t>
            </w:r>
          </w:p>
        </w:tc>
      </w:tr>
      <w:tr w:rsidR="00D61CAD" w:rsidRPr="000939E3" w14:paraId="4FE5A5C8" w14:textId="77777777" w:rsidTr="00D61CAD">
        <w:trPr>
          <w:trHeight w:val="20"/>
        </w:trPr>
        <w:tc>
          <w:tcPr>
            <w:tcW w:w="1814" w:type="pct"/>
            <w:tcBorders>
              <w:top w:val="nil"/>
              <w:left w:val="nil"/>
              <w:bottom w:val="single" w:sz="4" w:space="0" w:color="auto"/>
              <w:right w:val="nil"/>
            </w:tcBorders>
            <w:shd w:val="clear" w:color="000000" w:fill="FFFFFF"/>
            <w:noWrap/>
            <w:vAlign w:val="bottom"/>
            <w:hideMark/>
          </w:tcPr>
          <w:p w14:paraId="53A70854"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55 +</w:t>
            </w:r>
          </w:p>
        </w:tc>
        <w:tc>
          <w:tcPr>
            <w:tcW w:w="1006" w:type="pct"/>
            <w:tcBorders>
              <w:top w:val="nil"/>
              <w:left w:val="nil"/>
              <w:bottom w:val="single" w:sz="4" w:space="0" w:color="auto"/>
              <w:right w:val="nil"/>
            </w:tcBorders>
            <w:shd w:val="clear" w:color="000000" w:fill="FFFFFF"/>
            <w:noWrap/>
            <w:vAlign w:val="bottom"/>
            <w:hideMark/>
          </w:tcPr>
          <w:p w14:paraId="49F773E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20,0</w:t>
            </w:r>
          </w:p>
        </w:tc>
        <w:tc>
          <w:tcPr>
            <w:tcW w:w="1007" w:type="pct"/>
            <w:tcBorders>
              <w:top w:val="nil"/>
              <w:left w:val="nil"/>
              <w:bottom w:val="single" w:sz="4" w:space="0" w:color="auto"/>
              <w:right w:val="nil"/>
            </w:tcBorders>
            <w:shd w:val="clear" w:color="000000" w:fill="FFFFFF"/>
            <w:noWrap/>
            <w:vAlign w:val="bottom"/>
            <w:hideMark/>
          </w:tcPr>
          <w:p w14:paraId="35273D24"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9,8</w:t>
            </w:r>
          </w:p>
        </w:tc>
        <w:tc>
          <w:tcPr>
            <w:tcW w:w="613" w:type="pct"/>
            <w:tcBorders>
              <w:top w:val="nil"/>
              <w:left w:val="nil"/>
              <w:bottom w:val="single" w:sz="4" w:space="0" w:color="auto"/>
              <w:right w:val="nil"/>
            </w:tcBorders>
            <w:shd w:val="clear" w:color="000000" w:fill="FFFFFF"/>
            <w:noWrap/>
            <w:vAlign w:val="bottom"/>
            <w:hideMark/>
          </w:tcPr>
          <w:p w14:paraId="3D615316"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nil"/>
              <w:left w:val="nil"/>
              <w:bottom w:val="single" w:sz="4" w:space="0" w:color="auto"/>
              <w:right w:val="nil"/>
            </w:tcBorders>
            <w:shd w:val="clear" w:color="000000" w:fill="FFFFFF"/>
            <w:noWrap/>
            <w:vAlign w:val="bottom"/>
            <w:hideMark/>
          </w:tcPr>
          <w:p w14:paraId="59BD57F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157</w:t>
            </w:r>
          </w:p>
        </w:tc>
      </w:tr>
      <w:tr w:rsidR="00D61CAD" w:rsidRPr="000939E3" w14:paraId="58CCDB6B" w14:textId="77777777" w:rsidTr="00D61CAD">
        <w:trPr>
          <w:trHeight w:val="20"/>
        </w:trPr>
        <w:tc>
          <w:tcPr>
            <w:tcW w:w="1814" w:type="pct"/>
            <w:tcBorders>
              <w:top w:val="single" w:sz="4" w:space="0" w:color="auto"/>
              <w:left w:val="nil"/>
              <w:bottom w:val="nil"/>
              <w:right w:val="nil"/>
            </w:tcBorders>
            <w:shd w:val="clear" w:color="000000" w:fill="FFFFFF"/>
            <w:noWrap/>
            <w:vAlign w:val="bottom"/>
            <w:hideMark/>
          </w:tcPr>
          <w:p w14:paraId="3815C2D2" w14:textId="77777777" w:rsidR="00D61CAD" w:rsidRPr="000939E3" w:rsidRDefault="00D61CAD" w:rsidP="00D61CAD">
            <w:pPr>
              <w:spacing w:after="0" w:line="240" w:lineRule="auto"/>
              <w:rPr>
                <w:rFonts w:eastAsia="Times New Roman" w:cs="Times New Roman"/>
                <w:b/>
                <w:bCs/>
                <w:color w:val="000000"/>
                <w:sz w:val="20"/>
                <w:szCs w:val="20"/>
                <w:lang w:eastAsia="sk-SK"/>
              </w:rPr>
            </w:pPr>
            <w:r w:rsidRPr="000939E3">
              <w:rPr>
                <w:b/>
                <w:bCs/>
                <w:color w:val="000000"/>
                <w:sz w:val="20"/>
                <w:szCs w:val="20"/>
              </w:rPr>
              <w:t>Vzdelanie</w:t>
            </w:r>
          </w:p>
        </w:tc>
        <w:tc>
          <w:tcPr>
            <w:tcW w:w="1006" w:type="pct"/>
            <w:tcBorders>
              <w:top w:val="single" w:sz="4" w:space="0" w:color="auto"/>
              <w:left w:val="nil"/>
              <w:bottom w:val="nil"/>
              <w:right w:val="nil"/>
            </w:tcBorders>
            <w:shd w:val="clear" w:color="000000" w:fill="FFFFFF"/>
            <w:noWrap/>
            <w:vAlign w:val="bottom"/>
            <w:hideMark/>
          </w:tcPr>
          <w:p w14:paraId="35DFD1F9"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1007" w:type="pct"/>
            <w:tcBorders>
              <w:top w:val="single" w:sz="4" w:space="0" w:color="auto"/>
              <w:left w:val="nil"/>
              <w:bottom w:val="nil"/>
              <w:right w:val="nil"/>
            </w:tcBorders>
            <w:shd w:val="clear" w:color="000000" w:fill="FFFFFF"/>
            <w:noWrap/>
            <w:vAlign w:val="bottom"/>
            <w:hideMark/>
          </w:tcPr>
          <w:p w14:paraId="6687159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613" w:type="pct"/>
            <w:tcBorders>
              <w:top w:val="single" w:sz="4" w:space="0" w:color="auto"/>
              <w:left w:val="nil"/>
              <w:bottom w:val="nil"/>
              <w:right w:val="nil"/>
            </w:tcBorders>
            <w:shd w:val="clear" w:color="000000" w:fill="FFFFFF"/>
            <w:noWrap/>
            <w:vAlign w:val="bottom"/>
            <w:hideMark/>
          </w:tcPr>
          <w:p w14:paraId="6753734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single" w:sz="4" w:space="0" w:color="auto"/>
              <w:left w:val="nil"/>
              <w:bottom w:val="nil"/>
              <w:right w:val="nil"/>
            </w:tcBorders>
            <w:shd w:val="clear" w:color="000000" w:fill="FFFFFF"/>
            <w:noWrap/>
            <w:vAlign w:val="bottom"/>
            <w:hideMark/>
          </w:tcPr>
          <w:p w14:paraId="0779701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r>
      <w:tr w:rsidR="00D61CAD" w:rsidRPr="000939E3" w14:paraId="206E75DA" w14:textId="77777777" w:rsidTr="00D61CAD">
        <w:trPr>
          <w:trHeight w:val="20"/>
        </w:trPr>
        <w:tc>
          <w:tcPr>
            <w:tcW w:w="1814" w:type="pct"/>
            <w:tcBorders>
              <w:top w:val="nil"/>
              <w:left w:val="nil"/>
              <w:right w:val="nil"/>
            </w:tcBorders>
            <w:shd w:val="clear" w:color="000000" w:fill="FFFFFF"/>
            <w:noWrap/>
            <w:vAlign w:val="bottom"/>
            <w:hideMark/>
          </w:tcPr>
          <w:p w14:paraId="460A8E42"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Stredné</w:t>
            </w:r>
          </w:p>
        </w:tc>
        <w:tc>
          <w:tcPr>
            <w:tcW w:w="1006" w:type="pct"/>
            <w:tcBorders>
              <w:top w:val="nil"/>
              <w:left w:val="nil"/>
              <w:right w:val="nil"/>
            </w:tcBorders>
            <w:shd w:val="clear" w:color="000000" w:fill="FFFFFF"/>
            <w:noWrap/>
            <w:vAlign w:val="bottom"/>
            <w:hideMark/>
          </w:tcPr>
          <w:p w14:paraId="1E00538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16,2</w:t>
            </w:r>
          </w:p>
        </w:tc>
        <w:tc>
          <w:tcPr>
            <w:tcW w:w="1007" w:type="pct"/>
            <w:tcBorders>
              <w:top w:val="nil"/>
              <w:left w:val="nil"/>
              <w:right w:val="nil"/>
            </w:tcBorders>
            <w:shd w:val="clear" w:color="000000" w:fill="FFFFFF"/>
            <w:noWrap/>
            <w:vAlign w:val="bottom"/>
            <w:hideMark/>
          </w:tcPr>
          <w:p w14:paraId="0D90CB1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27,5</w:t>
            </w:r>
          </w:p>
        </w:tc>
        <w:tc>
          <w:tcPr>
            <w:tcW w:w="613" w:type="pct"/>
            <w:tcBorders>
              <w:top w:val="nil"/>
              <w:left w:val="nil"/>
              <w:right w:val="nil"/>
            </w:tcBorders>
            <w:shd w:val="clear" w:color="000000" w:fill="FFFFFF"/>
            <w:noWrap/>
            <w:vAlign w:val="bottom"/>
            <w:hideMark/>
          </w:tcPr>
          <w:p w14:paraId="06CD016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nil"/>
              <w:left w:val="nil"/>
              <w:right w:val="nil"/>
            </w:tcBorders>
            <w:shd w:val="clear" w:color="000000" w:fill="FFFFFF"/>
            <w:noWrap/>
            <w:vAlign w:val="bottom"/>
            <w:hideMark/>
          </w:tcPr>
          <w:p w14:paraId="01BBE5E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863</w:t>
            </w:r>
          </w:p>
        </w:tc>
      </w:tr>
      <w:tr w:rsidR="00D61CAD" w:rsidRPr="000939E3" w14:paraId="7B81F0D0" w14:textId="77777777" w:rsidTr="00D61CAD">
        <w:trPr>
          <w:trHeight w:val="20"/>
        </w:trPr>
        <w:tc>
          <w:tcPr>
            <w:tcW w:w="1814" w:type="pct"/>
            <w:tcBorders>
              <w:top w:val="nil"/>
              <w:left w:val="nil"/>
              <w:bottom w:val="single" w:sz="4" w:space="0" w:color="auto"/>
              <w:right w:val="nil"/>
            </w:tcBorders>
            <w:shd w:val="clear" w:color="000000" w:fill="FFFFFF"/>
            <w:noWrap/>
            <w:vAlign w:val="bottom"/>
            <w:hideMark/>
          </w:tcPr>
          <w:p w14:paraId="48ABFDDF"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Vysokoškolské</w:t>
            </w:r>
          </w:p>
        </w:tc>
        <w:tc>
          <w:tcPr>
            <w:tcW w:w="1006" w:type="pct"/>
            <w:tcBorders>
              <w:top w:val="nil"/>
              <w:left w:val="nil"/>
              <w:bottom w:val="single" w:sz="4" w:space="0" w:color="auto"/>
              <w:right w:val="nil"/>
            </w:tcBorders>
            <w:shd w:val="clear" w:color="000000" w:fill="FFFFFF"/>
            <w:noWrap/>
            <w:vAlign w:val="bottom"/>
            <w:hideMark/>
          </w:tcPr>
          <w:p w14:paraId="09371E0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23,9</w:t>
            </w:r>
          </w:p>
        </w:tc>
        <w:tc>
          <w:tcPr>
            <w:tcW w:w="1007" w:type="pct"/>
            <w:tcBorders>
              <w:top w:val="nil"/>
              <w:left w:val="nil"/>
              <w:bottom w:val="single" w:sz="4" w:space="0" w:color="auto"/>
              <w:right w:val="nil"/>
            </w:tcBorders>
            <w:shd w:val="clear" w:color="000000" w:fill="FFFFFF"/>
            <w:noWrap/>
            <w:vAlign w:val="bottom"/>
            <w:hideMark/>
          </w:tcPr>
          <w:p w14:paraId="22885128"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19,1</w:t>
            </w:r>
          </w:p>
        </w:tc>
        <w:tc>
          <w:tcPr>
            <w:tcW w:w="613" w:type="pct"/>
            <w:tcBorders>
              <w:top w:val="nil"/>
              <w:left w:val="nil"/>
              <w:bottom w:val="single" w:sz="4" w:space="0" w:color="auto"/>
              <w:right w:val="nil"/>
            </w:tcBorders>
            <w:shd w:val="clear" w:color="000000" w:fill="FFFFFF"/>
            <w:noWrap/>
            <w:vAlign w:val="bottom"/>
            <w:hideMark/>
          </w:tcPr>
          <w:p w14:paraId="629E381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nil"/>
              <w:left w:val="nil"/>
              <w:bottom w:val="single" w:sz="4" w:space="0" w:color="auto"/>
              <w:right w:val="nil"/>
            </w:tcBorders>
            <w:shd w:val="clear" w:color="000000" w:fill="FFFFFF"/>
            <w:noWrap/>
            <w:vAlign w:val="bottom"/>
            <w:hideMark/>
          </w:tcPr>
          <w:p w14:paraId="6ADB561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772</w:t>
            </w:r>
          </w:p>
        </w:tc>
      </w:tr>
      <w:tr w:rsidR="00D61CAD" w:rsidRPr="000939E3" w14:paraId="28165642" w14:textId="77777777" w:rsidTr="00D61CAD">
        <w:trPr>
          <w:trHeight w:val="20"/>
        </w:trPr>
        <w:tc>
          <w:tcPr>
            <w:tcW w:w="1814" w:type="pct"/>
            <w:tcBorders>
              <w:top w:val="single" w:sz="4" w:space="0" w:color="auto"/>
              <w:left w:val="nil"/>
              <w:bottom w:val="nil"/>
              <w:right w:val="nil"/>
            </w:tcBorders>
            <w:shd w:val="clear" w:color="000000" w:fill="FFFFFF"/>
            <w:noWrap/>
            <w:vAlign w:val="bottom"/>
            <w:hideMark/>
          </w:tcPr>
          <w:p w14:paraId="43005A91" w14:textId="77777777" w:rsidR="00D61CAD" w:rsidRPr="000939E3" w:rsidRDefault="00D61CAD" w:rsidP="00D61CAD">
            <w:pPr>
              <w:spacing w:after="0" w:line="240" w:lineRule="auto"/>
              <w:rPr>
                <w:rFonts w:eastAsia="Times New Roman" w:cs="Times New Roman"/>
                <w:b/>
                <w:bCs/>
                <w:color w:val="000000"/>
                <w:sz w:val="20"/>
                <w:szCs w:val="20"/>
                <w:lang w:eastAsia="sk-SK"/>
              </w:rPr>
            </w:pPr>
            <w:r w:rsidRPr="000939E3">
              <w:rPr>
                <w:b/>
                <w:bCs/>
                <w:color w:val="000000"/>
                <w:sz w:val="20"/>
                <w:szCs w:val="20"/>
              </w:rPr>
              <w:t>Plat pred zmenou</w:t>
            </w:r>
          </w:p>
        </w:tc>
        <w:tc>
          <w:tcPr>
            <w:tcW w:w="1006" w:type="pct"/>
            <w:tcBorders>
              <w:top w:val="single" w:sz="4" w:space="0" w:color="auto"/>
              <w:left w:val="nil"/>
              <w:bottom w:val="nil"/>
              <w:right w:val="nil"/>
            </w:tcBorders>
            <w:shd w:val="clear" w:color="000000" w:fill="FFFFFF"/>
            <w:noWrap/>
            <w:vAlign w:val="bottom"/>
            <w:hideMark/>
          </w:tcPr>
          <w:p w14:paraId="7F9F4204"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1007" w:type="pct"/>
            <w:tcBorders>
              <w:top w:val="single" w:sz="4" w:space="0" w:color="auto"/>
              <w:left w:val="nil"/>
              <w:bottom w:val="nil"/>
              <w:right w:val="nil"/>
            </w:tcBorders>
            <w:shd w:val="clear" w:color="000000" w:fill="FFFFFF"/>
            <w:noWrap/>
            <w:vAlign w:val="bottom"/>
            <w:hideMark/>
          </w:tcPr>
          <w:p w14:paraId="1BB48F6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613" w:type="pct"/>
            <w:tcBorders>
              <w:top w:val="single" w:sz="4" w:space="0" w:color="auto"/>
              <w:left w:val="nil"/>
              <w:bottom w:val="nil"/>
              <w:right w:val="nil"/>
            </w:tcBorders>
            <w:shd w:val="clear" w:color="000000" w:fill="FFFFFF"/>
            <w:noWrap/>
            <w:vAlign w:val="bottom"/>
            <w:hideMark/>
          </w:tcPr>
          <w:p w14:paraId="78ED8D39"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single" w:sz="4" w:space="0" w:color="auto"/>
              <w:left w:val="nil"/>
              <w:bottom w:val="nil"/>
              <w:right w:val="nil"/>
            </w:tcBorders>
            <w:shd w:val="clear" w:color="000000" w:fill="FFFFFF"/>
            <w:noWrap/>
            <w:vAlign w:val="bottom"/>
            <w:hideMark/>
          </w:tcPr>
          <w:p w14:paraId="4C4FAFC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r>
      <w:tr w:rsidR="00D61CAD" w:rsidRPr="000939E3" w14:paraId="07B3AC9C" w14:textId="77777777" w:rsidTr="00D61CAD">
        <w:trPr>
          <w:trHeight w:val="20"/>
        </w:trPr>
        <w:tc>
          <w:tcPr>
            <w:tcW w:w="1814" w:type="pct"/>
            <w:tcBorders>
              <w:top w:val="nil"/>
              <w:left w:val="nil"/>
              <w:bottom w:val="nil"/>
              <w:right w:val="nil"/>
            </w:tcBorders>
            <w:shd w:val="clear" w:color="000000" w:fill="FFFFFF"/>
            <w:noWrap/>
            <w:vAlign w:val="bottom"/>
            <w:hideMark/>
          </w:tcPr>
          <w:p w14:paraId="7BF7DEF7"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1. kvantil</w:t>
            </w:r>
          </w:p>
        </w:tc>
        <w:tc>
          <w:tcPr>
            <w:tcW w:w="1006" w:type="pct"/>
            <w:tcBorders>
              <w:top w:val="nil"/>
              <w:left w:val="nil"/>
              <w:bottom w:val="nil"/>
              <w:right w:val="nil"/>
            </w:tcBorders>
            <w:shd w:val="clear" w:color="000000" w:fill="FFFFFF"/>
            <w:noWrap/>
            <w:vAlign w:val="bottom"/>
            <w:hideMark/>
          </w:tcPr>
          <w:p w14:paraId="6F31A46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44,4</w:t>
            </w:r>
          </w:p>
        </w:tc>
        <w:tc>
          <w:tcPr>
            <w:tcW w:w="1007" w:type="pct"/>
            <w:tcBorders>
              <w:top w:val="nil"/>
              <w:left w:val="nil"/>
              <w:bottom w:val="nil"/>
              <w:right w:val="nil"/>
            </w:tcBorders>
            <w:shd w:val="clear" w:color="000000" w:fill="FFFFFF"/>
            <w:noWrap/>
            <w:vAlign w:val="bottom"/>
            <w:hideMark/>
          </w:tcPr>
          <w:p w14:paraId="5E7C5124"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47,2</w:t>
            </w:r>
          </w:p>
        </w:tc>
        <w:tc>
          <w:tcPr>
            <w:tcW w:w="613" w:type="pct"/>
            <w:tcBorders>
              <w:top w:val="nil"/>
              <w:left w:val="nil"/>
              <w:bottom w:val="nil"/>
              <w:right w:val="nil"/>
            </w:tcBorders>
            <w:shd w:val="clear" w:color="000000" w:fill="FFFFFF"/>
            <w:noWrap/>
            <w:vAlign w:val="bottom"/>
            <w:hideMark/>
          </w:tcPr>
          <w:p w14:paraId="6241B09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nil"/>
              <w:left w:val="nil"/>
              <w:bottom w:val="nil"/>
              <w:right w:val="nil"/>
            </w:tcBorders>
            <w:shd w:val="clear" w:color="000000" w:fill="FFFFFF"/>
            <w:noWrap/>
            <w:vAlign w:val="bottom"/>
            <w:hideMark/>
          </w:tcPr>
          <w:p w14:paraId="0D1F6007"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505</w:t>
            </w:r>
          </w:p>
        </w:tc>
      </w:tr>
      <w:tr w:rsidR="00D61CAD" w:rsidRPr="000939E3" w14:paraId="4298D2AF" w14:textId="77777777" w:rsidTr="00D61CAD">
        <w:trPr>
          <w:trHeight w:val="20"/>
        </w:trPr>
        <w:tc>
          <w:tcPr>
            <w:tcW w:w="1814" w:type="pct"/>
            <w:tcBorders>
              <w:top w:val="nil"/>
              <w:left w:val="nil"/>
              <w:bottom w:val="nil"/>
              <w:right w:val="nil"/>
            </w:tcBorders>
            <w:shd w:val="clear" w:color="000000" w:fill="FFFFFF"/>
            <w:noWrap/>
            <w:vAlign w:val="bottom"/>
            <w:hideMark/>
          </w:tcPr>
          <w:p w14:paraId="12F19BC4"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2. kvantil</w:t>
            </w:r>
          </w:p>
        </w:tc>
        <w:tc>
          <w:tcPr>
            <w:tcW w:w="1006" w:type="pct"/>
            <w:tcBorders>
              <w:top w:val="nil"/>
              <w:left w:val="nil"/>
              <w:bottom w:val="nil"/>
              <w:right w:val="nil"/>
            </w:tcBorders>
            <w:shd w:val="clear" w:color="000000" w:fill="FFFFFF"/>
            <w:noWrap/>
            <w:vAlign w:val="bottom"/>
            <w:hideMark/>
          </w:tcPr>
          <w:p w14:paraId="59F15F6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15,8</w:t>
            </w:r>
          </w:p>
        </w:tc>
        <w:tc>
          <w:tcPr>
            <w:tcW w:w="1007" w:type="pct"/>
            <w:tcBorders>
              <w:top w:val="nil"/>
              <w:left w:val="nil"/>
              <w:bottom w:val="nil"/>
              <w:right w:val="nil"/>
            </w:tcBorders>
            <w:shd w:val="clear" w:color="000000" w:fill="FFFFFF"/>
            <w:noWrap/>
            <w:vAlign w:val="bottom"/>
            <w:hideMark/>
          </w:tcPr>
          <w:p w14:paraId="1BE6E5C4"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28,8</w:t>
            </w:r>
          </w:p>
        </w:tc>
        <w:tc>
          <w:tcPr>
            <w:tcW w:w="613" w:type="pct"/>
            <w:tcBorders>
              <w:top w:val="nil"/>
              <w:left w:val="nil"/>
              <w:bottom w:val="nil"/>
              <w:right w:val="nil"/>
            </w:tcBorders>
            <w:shd w:val="clear" w:color="000000" w:fill="FFFFFF"/>
            <w:noWrap/>
            <w:vAlign w:val="bottom"/>
            <w:hideMark/>
          </w:tcPr>
          <w:p w14:paraId="04094BC6"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nil"/>
              <w:left w:val="nil"/>
              <w:bottom w:val="nil"/>
              <w:right w:val="nil"/>
            </w:tcBorders>
            <w:shd w:val="clear" w:color="000000" w:fill="FFFFFF"/>
            <w:noWrap/>
            <w:vAlign w:val="bottom"/>
            <w:hideMark/>
          </w:tcPr>
          <w:p w14:paraId="73ACADE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487</w:t>
            </w:r>
          </w:p>
        </w:tc>
      </w:tr>
      <w:tr w:rsidR="00D61CAD" w:rsidRPr="000939E3" w14:paraId="720E59EC" w14:textId="77777777" w:rsidTr="00D61CAD">
        <w:trPr>
          <w:trHeight w:val="20"/>
        </w:trPr>
        <w:tc>
          <w:tcPr>
            <w:tcW w:w="1814" w:type="pct"/>
            <w:tcBorders>
              <w:top w:val="nil"/>
              <w:left w:val="nil"/>
              <w:bottom w:val="nil"/>
              <w:right w:val="nil"/>
            </w:tcBorders>
            <w:shd w:val="clear" w:color="000000" w:fill="FFFFFF"/>
            <w:noWrap/>
            <w:vAlign w:val="bottom"/>
            <w:hideMark/>
          </w:tcPr>
          <w:p w14:paraId="7BD753F8"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3. kvantil</w:t>
            </w:r>
          </w:p>
        </w:tc>
        <w:tc>
          <w:tcPr>
            <w:tcW w:w="1006" w:type="pct"/>
            <w:tcBorders>
              <w:top w:val="nil"/>
              <w:left w:val="nil"/>
              <w:bottom w:val="nil"/>
              <w:right w:val="nil"/>
            </w:tcBorders>
            <w:shd w:val="clear" w:color="000000" w:fill="FFFFFF"/>
            <w:noWrap/>
            <w:vAlign w:val="bottom"/>
            <w:hideMark/>
          </w:tcPr>
          <w:p w14:paraId="0EBD4D7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8,9</w:t>
            </w:r>
          </w:p>
        </w:tc>
        <w:tc>
          <w:tcPr>
            <w:tcW w:w="1007" w:type="pct"/>
            <w:tcBorders>
              <w:top w:val="nil"/>
              <w:left w:val="nil"/>
              <w:bottom w:val="nil"/>
              <w:right w:val="nil"/>
            </w:tcBorders>
            <w:shd w:val="clear" w:color="000000" w:fill="FFFFFF"/>
            <w:noWrap/>
            <w:vAlign w:val="bottom"/>
            <w:hideMark/>
          </w:tcPr>
          <w:p w14:paraId="0F5208E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14,2</w:t>
            </w:r>
          </w:p>
        </w:tc>
        <w:tc>
          <w:tcPr>
            <w:tcW w:w="613" w:type="pct"/>
            <w:tcBorders>
              <w:top w:val="nil"/>
              <w:left w:val="nil"/>
              <w:bottom w:val="nil"/>
              <w:right w:val="nil"/>
            </w:tcBorders>
            <w:shd w:val="clear" w:color="000000" w:fill="FFFFFF"/>
            <w:noWrap/>
            <w:vAlign w:val="bottom"/>
            <w:hideMark/>
          </w:tcPr>
          <w:p w14:paraId="592B651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nil"/>
              <w:left w:val="nil"/>
              <w:bottom w:val="nil"/>
              <w:right w:val="nil"/>
            </w:tcBorders>
            <w:shd w:val="clear" w:color="000000" w:fill="FFFFFF"/>
            <w:noWrap/>
            <w:vAlign w:val="bottom"/>
            <w:hideMark/>
          </w:tcPr>
          <w:p w14:paraId="70D337B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387</w:t>
            </w:r>
          </w:p>
        </w:tc>
      </w:tr>
      <w:tr w:rsidR="00D61CAD" w:rsidRPr="000939E3" w14:paraId="6CFAE310" w14:textId="77777777" w:rsidTr="00D61CAD">
        <w:trPr>
          <w:trHeight w:val="20"/>
        </w:trPr>
        <w:tc>
          <w:tcPr>
            <w:tcW w:w="1814" w:type="pct"/>
            <w:tcBorders>
              <w:top w:val="nil"/>
              <w:left w:val="nil"/>
              <w:right w:val="nil"/>
            </w:tcBorders>
            <w:shd w:val="clear" w:color="000000" w:fill="FFFFFF"/>
            <w:noWrap/>
            <w:vAlign w:val="bottom"/>
            <w:hideMark/>
          </w:tcPr>
          <w:p w14:paraId="2B9CB423"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4. kvantil</w:t>
            </w:r>
          </w:p>
        </w:tc>
        <w:tc>
          <w:tcPr>
            <w:tcW w:w="1006" w:type="pct"/>
            <w:tcBorders>
              <w:top w:val="nil"/>
              <w:left w:val="nil"/>
              <w:right w:val="nil"/>
            </w:tcBorders>
            <w:shd w:val="clear" w:color="000000" w:fill="FFFFFF"/>
            <w:noWrap/>
            <w:vAlign w:val="bottom"/>
            <w:hideMark/>
          </w:tcPr>
          <w:p w14:paraId="35B770D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-1,1</w:t>
            </w:r>
          </w:p>
        </w:tc>
        <w:tc>
          <w:tcPr>
            <w:tcW w:w="1007" w:type="pct"/>
            <w:tcBorders>
              <w:top w:val="nil"/>
              <w:left w:val="nil"/>
              <w:right w:val="nil"/>
            </w:tcBorders>
            <w:shd w:val="clear" w:color="000000" w:fill="FFFFFF"/>
            <w:noWrap/>
            <w:vAlign w:val="bottom"/>
            <w:hideMark/>
          </w:tcPr>
          <w:p w14:paraId="5971B96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4,3</w:t>
            </w:r>
          </w:p>
        </w:tc>
        <w:tc>
          <w:tcPr>
            <w:tcW w:w="613" w:type="pct"/>
            <w:tcBorders>
              <w:top w:val="nil"/>
              <w:left w:val="nil"/>
              <w:right w:val="nil"/>
            </w:tcBorders>
            <w:shd w:val="clear" w:color="000000" w:fill="FFFFFF"/>
            <w:noWrap/>
            <w:vAlign w:val="bottom"/>
            <w:hideMark/>
          </w:tcPr>
          <w:p w14:paraId="7AE3A76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nil"/>
              <w:left w:val="nil"/>
              <w:right w:val="nil"/>
            </w:tcBorders>
            <w:shd w:val="clear" w:color="000000" w:fill="FFFFFF"/>
            <w:noWrap/>
            <w:vAlign w:val="bottom"/>
            <w:hideMark/>
          </w:tcPr>
          <w:p w14:paraId="0A9ABAB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252</w:t>
            </w:r>
          </w:p>
        </w:tc>
      </w:tr>
      <w:tr w:rsidR="00D61CAD" w:rsidRPr="000939E3" w14:paraId="33B3ED10" w14:textId="77777777" w:rsidTr="00D61CAD">
        <w:trPr>
          <w:trHeight w:val="20"/>
        </w:trPr>
        <w:tc>
          <w:tcPr>
            <w:tcW w:w="1814" w:type="pct"/>
            <w:tcBorders>
              <w:top w:val="nil"/>
              <w:left w:val="nil"/>
              <w:bottom w:val="single" w:sz="4" w:space="0" w:color="auto"/>
              <w:right w:val="nil"/>
            </w:tcBorders>
            <w:shd w:val="clear" w:color="000000" w:fill="FFFFFF"/>
            <w:noWrap/>
            <w:vAlign w:val="bottom"/>
            <w:hideMark/>
          </w:tcPr>
          <w:p w14:paraId="6FE5C70F"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5. kvantil</w:t>
            </w:r>
          </w:p>
        </w:tc>
        <w:tc>
          <w:tcPr>
            <w:tcW w:w="1006" w:type="pct"/>
            <w:tcBorders>
              <w:top w:val="nil"/>
              <w:left w:val="nil"/>
              <w:bottom w:val="single" w:sz="4" w:space="0" w:color="auto"/>
              <w:right w:val="nil"/>
            </w:tcBorders>
            <w:shd w:val="clear" w:color="000000" w:fill="FFFFFF"/>
            <w:noWrap/>
            <w:vAlign w:val="bottom"/>
            <w:hideMark/>
          </w:tcPr>
          <w:p w14:paraId="5D127A2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0,3</w:t>
            </w:r>
          </w:p>
        </w:tc>
        <w:tc>
          <w:tcPr>
            <w:tcW w:w="1007" w:type="pct"/>
            <w:tcBorders>
              <w:top w:val="nil"/>
              <w:left w:val="nil"/>
              <w:bottom w:val="single" w:sz="4" w:space="0" w:color="auto"/>
              <w:right w:val="nil"/>
            </w:tcBorders>
            <w:shd w:val="clear" w:color="000000" w:fill="FFFFFF"/>
            <w:noWrap/>
            <w:vAlign w:val="bottom"/>
            <w:hideMark/>
          </w:tcPr>
          <w:p w14:paraId="28E596D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4,8</w:t>
            </w:r>
          </w:p>
        </w:tc>
        <w:tc>
          <w:tcPr>
            <w:tcW w:w="613" w:type="pct"/>
            <w:tcBorders>
              <w:top w:val="nil"/>
              <w:left w:val="nil"/>
              <w:bottom w:val="single" w:sz="4" w:space="0" w:color="auto"/>
              <w:right w:val="nil"/>
            </w:tcBorders>
            <w:shd w:val="clear" w:color="000000" w:fill="FFFFFF"/>
            <w:noWrap/>
            <w:vAlign w:val="bottom"/>
            <w:hideMark/>
          </w:tcPr>
          <w:p w14:paraId="0AD994E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nil"/>
              <w:left w:val="nil"/>
              <w:bottom w:val="single" w:sz="4" w:space="0" w:color="auto"/>
              <w:right w:val="nil"/>
            </w:tcBorders>
            <w:shd w:val="clear" w:color="000000" w:fill="FFFFFF"/>
            <w:noWrap/>
            <w:vAlign w:val="bottom"/>
            <w:hideMark/>
          </w:tcPr>
          <w:p w14:paraId="5832E62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166</w:t>
            </w:r>
          </w:p>
        </w:tc>
      </w:tr>
      <w:tr w:rsidR="00D61CAD" w:rsidRPr="000939E3" w14:paraId="39046759" w14:textId="77777777" w:rsidTr="00D61CAD">
        <w:trPr>
          <w:trHeight w:val="20"/>
        </w:trPr>
        <w:tc>
          <w:tcPr>
            <w:tcW w:w="1814" w:type="pct"/>
            <w:tcBorders>
              <w:top w:val="single" w:sz="4" w:space="0" w:color="auto"/>
              <w:left w:val="nil"/>
              <w:bottom w:val="nil"/>
              <w:right w:val="nil"/>
            </w:tcBorders>
            <w:shd w:val="clear" w:color="000000" w:fill="FFFFFF"/>
            <w:noWrap/>
            <w:vAlign w:val="bottom"/>
            <w:hideMark/>
          </w:tcPr>
          <w:p w14:paraId="189A4D91" w14:textId="77777777" w:rsidR="00D61CAD" w:rsidRPr="000939E3" w:rsidRDefault="00D61CAD" w:rsidP="00D61CAD">
            <w:pPr>
              <w:spacing w:after="0" w:line="240" w:lineRule="auto"/>
              <w:rPr>
                <w:rFonts w:eastAsia="Times New Roman" w:cs="Times New Roman"/>
                <w:b/>
                <w:bCs/>
                <w:color w:val="000000"/>
                <w:sz w:val="20"/>
                <w:szCs w:val="20"/>
                <w:lang w:eastAsia="sk-SK"/>
              </w:rPr>
            </w:pPr>
            <w:r w:rsidRPr="000939E3">
              <w:rPr>
                <w:b/>
                <w:bCs/>
                <w:color w:val="000000"/>
                <w:sz w:val="20"/>
                <w:szCs w:val="20"/>
              </w:rPr>
              <w:t>NACE</w:t>
            </w:r>
          </w:p>
        </w:tc>
        <w:tc>
          <w:tcPr>
            <w:tcW w:w="1006" w:type="pct"/>
            <w:tcBorders>
              <w:top w:val="single" w:sz="4" w:space="0" w:color="auto"/>
              <w:left w:val="nil"/>
              <w:bottom w:val="nil"/>
              <w:right w:val="nil"/>
            </w:tcBorders>
            <w:shd w:val="clear" w:color="000000" w:fill="FFFFFF"/>
            <w:noWrap/>
            <w:vAlign w:val="bottom"/>
            <w:hideMark/>
          </w:tcPr>
          <w:p w14:paraId="729E637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1007" w:type="pct"/>
            <w:tcBorders>
              <w:top w:val="single" w:sz="4" w:space="0" w:color="auto"/>
              <w:left w:val="nil"/>
              <w:bottom w:val="nil"/>
              <w:right w:val="nil"/>
            </w:tcBorders>
            <w:shd w:val="clear" w:color="000000" w:fill="FFFFFF"/>
            <w:noWrap/>
            <w:vAlign w:val="bottom"/>
            <w:hideMark/>
          </w:tcPr>
          <w:p w14:paraId="415B3B2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613" w:type="pct"/>
            <w:tcBorders>
              <w:top w:val="single" w:sz="4" w:space="0" w:color="auto"/>
              <w:left w:val="nil"/>
              <w:bottom w:val="nil"/>
              <w:right w:val="nil"/>
            </w:tcBorders>
            <w:shd w:val="clear" w:color="000000" w:fill="FFFFFF"/>
            <w:noWrap/>
            <w:vAlign w:val="bottom"/>
            <w:hideMark/>
          </w:tcPr>
          <w:p w14:paraId="63FA10E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single" w:sz="4" w:space="0" w:color="auto"/>
              <w:left w:val="nil"/>
              <w:bottom w:val="nil"/>
              <w:right w:val="nil"/>
            </w:tcBorders>
            <w:shd w:val="clear" w:color="000000" w:fill="FFFFFF"/>
            <w:noWrap/>
            <w:vAlign w:val="bottom"/>
            <w:hideMark/>
          </w:tcPr>
          <w:p w14:paraId="0B683D4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r>
      <w:tr w:rsidR="00D61CAD" w:rsidRPr="000939E3" w14:paraId="7682CB87" w14:textId="77777777" w:rsidTr="00D61CAD">
        <w:trPr>
          <w:trHeight w:val="20"/>
        </w:trPr>
        <w:tc>
          <w:tcPr>
            <w:tcW w:w="1814" w:type="pct"/>
            <w:tcBorders>
              <w:top w:val="nil"/>
              <w:left w:val="nil"/>
              <w:bottom w:val="nil"/>
              <w:right w:val="nil"/>
            </w:tcBorders>
            <w:shd w:val="clear" w:color="000000" w:fill="FFFFFF"/>
            <w:noWrap/>
            <w:vAlign w:val="bottom"/>
            <w:hideMark/>
          </w:tcPr>
          <w:p w14:paraId="78FD99E5"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Priemyselná výroba</w:t>
            </w:r>
          </w:p>
        </w:tc>
        <w:tc>
          <w:tcPr>
            <w:tcW w:w="1006" w:type="pct"/>
            <w:tcBorders>
              <w:top w:val="nil"/>
              <w:left w:val="nil"/>
              <w:bottom w:val="nil"/>
              <w:right w:val="nil"/>
            </w:tcBorders>
            <w:shd w:val="clear" w:color="000000" w:fill="FFFFFF"/>
            <w:noWrap/>
            <w:vAlign w:val="bottom"/>
            <w:hideMark/>
          </w:tcPr>
          <w:p w14:paraId="3405DAD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9,5</w:t>
            </w:r>
          </w:p>
        </w:tc>
        <w:tc>
          <w:tcPr>
            <w:tcW w:w="1007" w:type="pct"/>
            <w:tcBorders>
              <w:top w:val="nil"/>
              <w:left w:val="nil"/>
              <w:bottom w:val="nil"/>
              <w:right w:val="nil"/>
            </w:tcBorders>
            <w:shd w:val="clear" w:color="000000" w:fill="FFFFFF"/>
            <w:noWrap/>
            <w:vAlign w:val="bottom"/>
            <w:hideMark/>
          </w:tcPr>
          <w:p w14:paraId="5FA9D65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39,7</w:t>
            </w:r>
          </w:p>
        </w:tc>
        <w:tc>
          <w:tcPr>
            <w:tcW w:w="613" w:type="pct"/>
            <w:tcBorders>
              <w:top w:val="nil"/>
              <w:left w:val="nil"/>
              <w:bottom w:val="nil"/>
              <w:right w:val="nil"/>
            </w:tcBorders>
            <w:shd w:val="clear" w:color="000000" w:fill="FFFFFF"/>
            <w:noWrap/>
            <w:vAlign w:val="bottom"/>
            <w:hideMark/>
          </w:tcPr>
          <w:p w14:paraId="11912FE3"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nil"/>
              <w:left w:val="nil"/>
              <w:bottom w:val="nil"/>
              <w:right w:val="nil"/>
            </w:tcBorders>
            <w:shd w:val="clear" w:color="000000" w:fill="FFFFFF"/>
            <w:noWrap/>
            <w:vAlign w:val="bottom"/>
            <w:hideMark/>
          </w:tcPr>
          <w:p w14:paraId="09E6CE3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340</w:t>
            </w:r>
          </w:p>
        </w:tc>
      </w:tr>
      <w:tr w:rsidR="00D61CAD" w:rsidRPr="000939E3" w14:paraId="6151C229" w14:textId="77777777" w:rsidTr="00D61CAD">
        <w:trPr>
          <w:trHeight w:val="20"/>
        </w:trPr>
        <w:tc>
          <w:tcPr>
            <w:tcW w:w="1814" w:type="pct"/>
            <w:tcBorders>
              <w:top w:val="nil"/>
              <w:left w:val="nil"/>
              <w:bottom w:val="nil"/>
              <w:right w:val="nil"/>
            </w:tcBorders>
            <w:shd w:val="clear" w:color="000000" w:fill="FFFFFF"/>
            <w:noWrap/>
            <w:vAlign w:val="bottom"/>
            <w:hideMark/>
          </w:tcPr>
          <w:p w14:paraId="12C7044A"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Veľkoobchod a maloobchod</w:t>
            </w:r>
          </w:p>
        </w:tc>
        <w:tc>
          <w:tcPr>
            <w:tcW w:w="1006" w:type="pct"/>
            <w:tcBorders>
              <w:top w:val="nil"/>
              <w:left w:val="nil"/>
              <w:bottom w:val="nil"/>
              <w:right w:val="nil"/>
            </w:tcBorders>
            <w:shd w:val="clear" w:color="000000" w:fill="FFFFFF"/>
            <w:noWrap/>
            <w:vAlign w:val="bottom"/>
            <w:hideMark/>
          </w:tcPr>
          <w:p w14:paraId="77FC434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17,7</w:t>
            </w:r>
          </w:p>
        </w:tc>
        <w:tc>
          <w:tcPr>
            <w:tcW w:w="1007" w:type="pct"/>
            <w:tcBorders>
              <w:top w:val="nil"/>
              <w:left w:val="nil"/>
              <w:bottom w:val="nil"/>
              <w:right w:val="nil"/>
            </w:tcBorders>
            <w:shd w:val="clear" w:color="000000" w:fill="FFFFFF"/>
            <w:noWrap/>
            <w:vAlign w:val="bottom"/>
            <w:hideMark/>
          </w:tcPr>
          <w:p w14:paraId="23AED88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20,4</w:t>
            </w:r>
          </w:p>
        </w:tc>
        <w:tc>
          <w:tcPr>
            <w:tcW w:w="613" w:type="pct"/>
            <w:tcBorders>
              <w:top w:val="nil"/>
              <w:left w:val="nil"/>
              <w:bottom w:val="nil"/>
              <w:right w:val="nil"/>
            </w:tcBorders>
            <w:shd w:val="clear" w:color="000000" w:fill="FFFFFF"/>
            <w:noWrap/>
            <w:vAlign w:val="bottom"/>
            <w:hideMark/>
          </w:tcPr>
          <w:p w14:paraId="05B6BBE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nil"/>
              <w:left w:val="nil"/>
              <w:bottom w:val="nil"/>
              <w:right w:val="nil"/>
            </w:tcBorders>
            <w:shd w:val="clear" w:color="000000" w:fill="FFFFFF"/>
            <w:noWrap/>
            <w:vAlign w:val="bottom"/>
            <w:hideMark/>
          </w:tcPr>
          <w:p w14:paraId="4E5300C7"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129</w:t>
            </w:r>
          </w:p>
        </w:tc>
      </w:tr>
      <w:tr w:rsidR="00D61CAD" w:rsidRPr="000939E3" w14:paraId="682724F9" w14:textId="77777777" w:rsidTr="00D61CAD">
        <w:trPr>
          <w:trHeight w:val="20"/>
        </w:trPr>
        <w:tc>
          <w:tcPr>
            <w:tcW w:w="1814" w:type="pct"/>
            <w:tcBorders>
              <w:top w:val="nil"/>
              <w:left w:val="nil"/>
              <w:bottom w:val="nil"/>
              <w:right w:val="nil"/>
            </w:tcBorders>
            <w:shd w:val="clear" w:color="000000" w:fill="FFFFFF"/>
            <w:noWrap/>
            <w:vAlign w:val="bottom"/>
            <w:hideMark/>
          </w:tcPr>
          <w:p w14:paraId="18928001"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Doprava a skladovanie</w:t>
            </w:r>
          </w:p>
        </w:tc>
        <w:tc>
          <w:tcPr>
            <w:tcW w:w="1006" w:type="pct"/>
            <w:tcBorders>
              <w:top w:val="nil"/>
              <w:left w:val="nil"/>
              <w:bottom w:val="nil"/>
              <w:right w:val="nil"/>
            </w:tcBorders>
            <w:shd w:val="clear" w:color="000000" w:fill="FFFFFF"/>
            <w:noWrap/>
            <w:vAlign w:val="bottom"/>
            <w:hideMark/>
          </w:tcPr>
          <w:p w14:paraId="4745696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17,5</w:t>
            </w:r>
          </w:p>
        </w:tc>
        <w:tc>
          <w:tcPr>
            <w:tcW w:w="1007" w:type="pct"/>
            <w:tcBorders>
              <w:top w:val="nil"/>
              <w:left w:val="nil"/>
              <w:bottom w:val="nil"/>
              <w:right w:val="nil"/>
            </w:tcBorders>
            <w:shd w:val="clear" w:color="000000" w:fill="FFFFFF"/>
            <w:noWrap/>
            <w:vAlign w:val="bottom"/>
            <w:hideMark/>
          </w:tcPr>
          <w:p w14:paraId="4CEA43E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24,2</w:t>
            </w:r>
          </w:p>
        </w:tc>
        <w:tc>
          <w:tcPr>
            <w:tcW w:w="613" w:type="pct"/>
            <w:tcBorders>
              <w:top w:val="nil"/>
              <w:left w:val="nil"/>
              <w:bottom w:val="nil"/>
              <w:right w:val="nil"/>
            </w:tcBorders>
            <w:shd w:val="clear" w:color="000000" w:fill="FFFFFF"/>
            <w:noWrap/>
            <w:vAlign w:val="bottom"/>
            <w:hideMark/>
          </w:tcPr>
          <w:p w14:paraId="523ADAF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nil"/>
              <w:left w:val="nil"/>
              <w:bottom w:val="nil"/>
              <w:right w:val="nil"/>
            </w:tcBorders>
            <w:shd w:val="clear" w:color="000000" w:fill="FFFFFF"/>
            <w:noWrap/>
            <w:vAlign w:val="bottom"/>
            <w:hideMark/>
          </w:tcPr>
          <w:p w14:paraId="36EE1EF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260</w:t>
            </w:r>
          </w:p>
        </w:tc>
      </w:tr>
      <w:tr w:rsidR="00D61CAD" w:rsidRPr="000939E3" w14:paraId="4EBF6A2B" w14:textId="77777777" w:rsidTr="00D61CAD">
        <w:trPr>
          <w:trHeight w:val="20"/>
        </w:trPr>
        <w:tc>
          <w:tcPr>
            <w:tcW w:w="1814" w:type="pct"/>
            <w:tcBorders>
              <w:top w:val="nil"/>
              <w:left w:val="nil"/>
              <w:bottom w:val="nil"/>
              <w:right w:val="nil"/>
            </w:tcBorders>
            <w:shd w:val="clear" w:color="000000" w:fill="FFFFFF"/>
            <w:noWrap/>
            <w:vAlign w:val="bottom"/>
            <w:hideMark/>
          </w:tcPr>
          <w:p w14:paraId="40C26196"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Ubytovanie a stravovacie služby</w:t>
            </w:r>
          </w:p>
        </w:tc>
        <w:tc>
          <w:tcPr>
            <w:tcW w:w="1006" w:type="pct"/>
            <w:tcBorders>
              <w:top w:val="nil"/>
              <w:left w:val="nil"/>
              <w:bottom w:val="nil"/>
              <w:right w:val="nil"/>
            </w:tcBorders>
            <w:shd w:val="clear" w:color="000000" w:fill="FFFFFF"/>
            <w:noWrap/>
            <w:vAlign w:val="bottom"/>
            <w:hideMark/>
          </w:tcPr>
          <w:p w14:paraId="7C269E5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41,7</w:t>
            </w:r>
          </w:p>
        </w:tc>
        <w:tc>
          <w:tcPr>
            <w:tcW w:w="1007" w:type="pct"/>
            <w:tcBorders>
              <w:top w:val="nil"/>
              <w:left w:val="nil"/>
              <w:bottom w:val="nil"/>
              <w:right w:val="nil"/>
            </w:tcBorders>
            <w:shd w:val="clear" w:color="000000" w:fill="FFFFFF"/>
            <w:noWrap/>
            <w:vAlign w:val="bottom"/>
            <w:hideMark/>
          </w:tcPr>
          <w:p w14:paraId="7096650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-3,3</w:t>
            </w:r>
          </w:p>
        </w:tc>
        <w:tc>
          <w:tcPr>
            <w:tcW w:w="613" w:type="pct"/>
            <w:tcBorders>
              <w:top w:val="nil"/>
              <w:left w:val="nil"/>
              <w:bottom w:val="nil"/>
              <w:right w:val="nil"/>
            </w:tcBorders>
            <w:shd w:val="clear" w:color="000000" w:fill="FFFFFF"/>
            <w:noWrap/>
            <w:vAlign w:val="bottom"/>
            <w:hideMark/>
          </w:tcPr>
          <w:p w14:paraId="54AF6296"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nil"/>
              <w:left w:val="nil"/>
              <w:bottom w:val="nil"/>
              <w:right w:val="nil"/>
            </w:tcBorders>
            <w:shd w:val="clear" w:color="000000" w:fill="FFFFFF"/>
            <w:noWrap/>
            <w:vAlign w:val="bottom"/>
            <w:hideMark/>
          </w:tcPr>
          <w:p w14:paraId="6765FD9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42</w:t>
            </w:r>
          </w:p>
        </w:tc>
      </w:tr>
      <w:tr w:rsidR="00D61CAD" w:rsidRPr="000939E3" w14:paraId="61D6C1B1" w14:textId="77777777" w:rsidTr="00D61CAD">
        <w:trPr>
          <w:trHeight w:val="20"/>
        </w:trPr>
        <w:tc>
          <w:tcPr>
            <w:tcW w:w="1814" w:type="pct"/>
            <w:tcBorders>
              <w:top w:val="nil"/>
              <w:left w:val="nil"/>
              <w:bottom w:val="nil"/>
              <w:right w:val="nil"/>
            </w:tcBorders>
            <w:shd w:val="clear" w:color="000000" w:fill="FFFFFF"/>
            <w:noWrap/>
            <w:vAlign w:val="bottom"/>
            <w:hideMark/>
          </w:tcPr>
          <w:p w14:paraId="2058D04F"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Finančné a poisťovacie služby</w:t>
            </w:r>
          </w:p>
        </w:tc>
        <w:tc>
          <w:tcPr>
            <w:tcW w:w="1006" w:type="pct"/>
            <w:tcBorders>
              <w:top w:val="nil"/>
              <w:left w:val="nil"/>
              <w:bottom w:val="nil"/>
              <w:right w:val="nil"/>
            </w:tcBorders>
            <w:shd w:val="clear" w:color="000000" w:fill="FFFFFF"/>
            <w:noWrap/>
            <w:vAlign w:val="bottom"/>
            <w:hideMark/>
          </w:tcPr>
          <w:p w14:paraId="0A3C34A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-8,1</w:t>
            </w:r>
          </w:p>
        </w:tc>
        <w:tc>
          <w:tcPr>
            <w:tcW w:w="1007" w:type="pct"/>
            <w:tcBorders>
              <w:top w:val="nil"/>
              <w:left w:val="nil"/>
              <w:bottom w:val="nil"/>
              <w:right w:val="nil"/>
            </w:tcBorders>
            <w:shd w:val="clear" w:color="000000" w:fill="FFFFFF"/>
            <w:noWrap/>
            <w:vAlign w:val="bottom"/>
            <w:hideMark/>
          </w:tcPr>
          <w:p w14:paraId="42BBB45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37,1</w:t>
            </w:r>
          </w:p>
        </w:tc>
        <w:tc>
          <w:tcPr>
            <w:tcW w:w="613" w:type="pct"/>
            <w:tcBorders>
              <w:top w:val="nil"/>
              <w:left w:val="nil"/>
              <w:bottom w:val="nil"/>
              <w:right w:val="nil"/>
            </w:tcBorders>
            <w:shd w:val="clear" w:color="000000" w:fill="FFFFFF"/>
            <w:noWrap/>
            <w:vAlign w:val="bottom"/>
            <w:hideMark/>
          </w:tcPr>
          <w:p w14:paraId="3603569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nil"/>
              <w:left w:val="nil"/>
              <w:bottom w:val="nil"/>
              <w:right w:val="nil"/>
            </w:tcBorders>
            <w:shd w:val="clear" w:color="000000" w:fill="FFFFFF"/>
            <w:noWrap/>
            <w:vAlign w:val="bottom"/>
            <w:hideMark/>
          </w:tcPr>
          <w:p w14:paraId="391E7E0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61</w:t>
            </w:r>
          </w:p>
        </w:tc>
      </w:tr>
      <w:tr w:rsidR="00D61CAD" w:rsidRPr="000939E3" w14:paraId="5FA87976" w14:textId="77777777" w:rsidTr="00D61CAD">
        <w:trPr>
          <w:trHeight w:val="20"/>
        </w:trPr>
        <w:tc>
          <w:tcPr>
            <w:tcW w:w="1814" w:type="pct"/>
            <w:tcBorders>
              <w:top w:val="nil"/>
              <w:left w:val="nil"/>
              <w:bottom w:val="nil"/>
              <w:right w:val="nil"/>
            </w:tcBorders>
            <w:shd w:val="clear" w:color="000000" w:fill="FFFFFF"/>
            <w:noWrap/>
            <w:vAlign w:val="bottom"/>
            <w:hideMark/>
          </w:tcPr>
          <w:p w14:paraId="06D17EA4"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Odborné vedecké a technické činnosti</w:t>
            </w:r>
          </w:p>
        </w:tc>
        <w:tc>
          <w:tcPr>
            <w:tcW w:w="1006" w:type="pct"/>
            <w:tcBorders>
              <w:top w:val="nil"/>
              <w:left w:val="nil"/>
              <w:bottom w:val="nil"/>
              <w:right w:val="nil"/>
            </w:tcBorders>
            <w:shd w:val="clear" w:color="000000" w:fill="FFFFFF"/>
            <w:noWrap/>
            <w:vAlign w:val="bottom"/>
            <w:hideMark/>
          </w:tcPr>
          <w:p w14:paraId="2DF41D2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44,9</w:t>
            </w:r>
          </w:p>
        </w:tc>
        <w:tc>
          <w:tcPr>
            <w:tcW w:w="1007" w:type="pct"/>
            <w:tcBorders>
              <w:top w:val="nil"/>
              <w:left w:val="nil"/>
              <w:bottom w:val="nil"/>
              <w:right w:val="nil"/>
            </w:tcBorders>
            <w:shd w:val="clear" w:color="000000" w:fill="FFFFFF"/>
            <w:noWrap/>
            <w:vAlign w:val="bottom"/>
            <w:hideMark/>
          </w:tcPr>
          <w:p w14:paraId="090FA7F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19,2</w:t>
            </w:r>
          </w:p>
        </w:tc>
        <w:tc>
          <w:tcPr>
            <w:tcW w:w="613" w:type="pct"/>
            <w:tcBorders>
              <w:top w:val="nil"/>
              <w:left w:val="nil"/>
              <w:bottom w:val="nil"/>
              <w:right w:val="nil"/>
            </w:tcBorders>
            <w:shd w:val="clear" w:color="000000" w:fill="FFFFFF"/>
            <w:noWrap/>
            <w:vAlign w:val="bottom"/>
            <w:hideMark/>
          </w:tcPr>
          <w:p w14:paraId="38AB115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nil"/>
              <w:left w:val="nil"/>
              <w:bottom w:val="nil"/>
              <w:right w:val="nil"/>
            </w:tcBorders>
            <w:shd w:val="clear" w:color="000000" w:fill="FFFFFF"/>
            <w:noWrap/>
            <w:vAlign w:val="bottom"/>
            <w:hideMark/>
          </w:tcPr>
          <w:p w14:paraId="15C5C879"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131</w:t>
            </w:r>
          </w:p>
        </w:tc>
      </w:tr>
      <w:tr w:rsidR="00D61CAD" w:rsidRPr="000939E3" w14:paraId="0C90AFFA" w14:textId="77777777" w:rsidTr="00D61CAD">
        <w:trPr>
          <w:trHeight w:val="20"/>
        </w:trPr>
        <w:tc>
          <w:tcPr>
            <w:tcW w:w="1814" w:type="pct"/>
            <w:tcBorders>
              <w:top w:val="nil"/>
              <w:left w:val="nil"/>
              <w:bottom w:val="nil"/>
              <w:right w:val="nil"/>
            </w:tcBorders>
            <w:shd w:val="clear" w:color="000000" w:fill="FFFFFF"/>
            <w:noWrap/>
            <w:vAlign w:val="bottom"/>
            <w:hideMark/>
          </w:tcPr>
          <w:p w14:paraId="5D4883D9"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Administratívne a podporné služby</w:t>
            </w:r>
          </w:p>
        </w:tc>
        <w:tc>
          <w:tcPr>
            <w:tcW w:w="1006" w:type="pct"/>
            <w:tcBorders>
              <w:top w:val="nil"/>
              <w:left w:val="nil"/>
              <w:bottom w:val="nil"/>
              <w:right w:val="nil"/>
            </w:tcBorders>
            <w:shd w:val="clear" w:color="000000" w:fill="FFFFFF"/>
            <w:noWrap/>
            <w:vAlign w:val="bottom"/>
            <w:hideMark/>
          </w:tcPr>
          <w:p w14:paraId="41F70FD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26,9</w:t>
            </w:r>
          </w:p>
        </w:tc>
        <w:tc>
          <w:tcPr>
            <w:tcW w:w="1007" w:type="pct"/>
            <w:tcBorders>
              <w:top w:val="nil"/>
              <w:left w:val="nil"/>
              <w:bottom w:val="nil"/>
              <w:right w:val="nil"/>
            </w:tcBorders>
            <w:shd w:val="clear" w:color="000000" w:fill="FFFFFF"/>
            <w:noWrap/>
            <w:vAlign w:val="bottom"/>
            <w:hideMark/>
          </w:tcPr>
          <w:p w14:paraId="3E26CC06"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33,0</w:t>
            </w:r>
          </w:p>
        </w:tc>
        <w:tc>
          <w:tcPr>
            <w:tcW w:w="613" w:type="pct"/>
            <w:tcBorders>
              <w:top w:val="nil"/>
              <w:left w:val="nil"/>
              <w:bottom w:val="nil"/>
              <w:right w:val="nil"/>
            </w:tcBorders>
            <w:shd w:val="clear" w:color="000000" w:fill="FFFFFF"/>
            <w:noWrap/>
            <w:vAlign w:val="bottom"/>
            <w:hideMark/>
          </w:tcPr>
          <w:p w14:paraId="716DC8C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nil"/>
              <w:left w:val="nil"/>
              <w:bottom w:val="nil"/>
              <w:right w:val="nil"/>
            </w:tcBorders>
            <w:shd w:val="clear" w:color="000000" w:fill="FFFFFF"/>
            <w:noWrap/>
            <w:vAlign w:val="bottom"/>
            <w:hideMark/>
          </w:tcPr>
          <w:p w14:paraId="1BBBBEB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95</w:t>
            </w:r>
          </w:p>
        </w:tc>
      </w:tr>
      <w:tr w:rsidR="00D61CAD" w:rsidRPr="000939E3" w14:paraId="145569AF" w14:textId="77777777" w:rsidTr="00D61CAD">
        <w:trPr>
          <w:trHeight w:val="20"/>
        </w:trPr>
        <w:tc>
          <w:tcPr>
            <w:tcW w:w="1814" w:type="pct"/>
            <w:tcBorders>
              <w:top w:val="nil"/>
              <w:left w:val="nil"/>
              <w:right w:val="nil"/>
            </w:tcBorders>
            <w:shd w:val="clear" w:color="000000" w:fill="FFFFFF"/>
            <w:noWrap/>
            <w:vAlign w:val="bottom"/>
            <w:hideMark/>
          </w:tcPr>
          <w:p w14:paraId="25BBCB76"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Vzdelávanie</w:t>
            </w:r>
          </w:p>
        </w:tc>
        <w:tc>
          <w:tcPr>
            <w:tcW w:w="1006" w:type="pct"/>
            <w:tcBorders>
              <w:top w:val="nil"/>
              <w:left w:val="nil"/>
              <w:right w:val="nil"/>
            </w:tcBorders>
            <w:shd w:val="clear" w:color="000000" w:fill="FFFFFF"/>
            <w:noWrap/>
            <w:vAlign w:val="bottom"/>
            <w:hideMark/>
          </w:tcPr>
          <w:p w14:paraId="307925D7"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13,4</w:t>
            </w:r>
          </w:p>
        </w:tc>
        <w:tc>
          <w:tcPr>
            <w:tcW w:w="1007" w:type="pct"/>
            <w:tcBorders>
              <w:top w:val="nil"/>
              <w:left w:val="nil"/>
              <w:right w:val="nil"/>
            </w:tcBorders>
            <w:shd w:val="clear" w:color="000000" w:fill="FFFFFF"/>
            <w:noWrap/>
            <w:vAlign w:val="bottom"/>
            <w:hideMark/>
          </w:tcPr>
          <w:p w14:paraId="32AD76E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14,9</w:t>
            </w:r>
          </w:p>
        </w:tc>
        <w:tc>
          <w:tcPr>
            <w:tcW w:w="613" w:type="pct"/>
            <w:tcBorders>
              <w:top w:val="nil"/>
              <w:left w:val="nil"/>
              <w:right w:val="nil"/>
            </w:tcBorders>
            <w:shd w:val="clear" w:color="000000" w:fill="FFFFFF"/>
            <w:noWrap/>
            <w:vAlign w:val="bottom"/>
            <w:hideMark/>
          </w:tcPr>
          <w:p w14:paraId="43B68468"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nil"/>
              <w:left w:val="nil"/>
              <w:right w:val="nil"/>
            </w:tcBorders>
            <w:shd w:val="clear" w:color="000000" w:fill="FFFFFF"/>
            <w:noWrap/>
            <w:vAlign w:val="bottom"/>
            <w:hideMark/>
          </w:tcPr>
          <w:p w14:paraId="4C026E7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115</w:t>
            </w:r>
          </w:p>
        </w:tc>
      </w:tr>
      <w:tr w:rsidR="00D61CAD" w:rsidRPr="000939E3" w14:paraId="1D415C4D" w14:textId="77777777" w:rsidTr="00D61CAD">
        <w:trPr>
          <w:trHeight w:val="20"/>
        </w:trPr>
        <w:tc>
          <w:tcPr>
            <w:tcW w:w="1814" w:type="pct"/>
            <w:tcBorders>
              <w:top w:val="nil"/>
              <w:left w:val="nil"/>
              <w:bottom w:val="single" w:sz="4" w:space="0" w:color="auto"/>
              <w:right w:val="nil"/>
            </w:tcBorders>
            <w:shd w:val="clear" w:color="000000" w:fill="FFFFFF"/>
            <w:noWrap/>
            <w:vAlign w:val="bottom"/>
            <w:hideMark/>
          </w:tcPr>
          <w:p w14:paraId="2BC421DD"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Zdravotníctvo a sociálna pomoc</w:t>
            </w:r>
          </w:p>
        </w:tc>
        <w:tc>
          <w:tcPr>
            <w:tcW w:w="1006" w:type="pct"/>
            <w:tcBorders>
              <w:top w:val="nil"/>
              <w:left w:val="nil"/>
              <w:bottom w:val="single" w:sz="4" w:space="0" w:color="auto"/>
              <w:right w:val="nil"/>
            </w:tcBorders>
            <w:shd w:val="clear" w:color="000000" w:fill="FFFFFF"/>
            <w:noWrap/>
            <w:vAlign w:val="bottom"/>
            <w:hideMark/>
          </w:tcPr>
          <w:p w14:paraId="1E53D31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27,9</w:t>
            </w:r>
          </w:p>
        </w:tc>
        <w:tc>
          <w:tcPr>
            <w:tcW w:w="1007" w:type="pct"/>
            <w:tcBorders>
              <w:top w:val="nil"/>
              <w:left w:val="nil"/>
              <w:bottom w:val="single" w:sz="4" w:space="0" w:color="auto"/>
              <w:right w:val="nil"/>
            </w:tcBorders>
            <w:shd w:val="clear" w:color="000000" w:fill="FFFFFF"/>
            <w:noWrap/>
            <w:vAlign w:val="bottom"/>
            <w:hideMark/>
          </w:tcPr>
          <w:p w14:paraId="10D69904"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8,0</w:t>
            </w:r>
          </w:p>
        </w:tc>
        <w:tc>
          <w:tcPr>
            <w:tcW w:w="613" w:type="pct"/>
            <w:tcBorders>
              <w:top w:val="nil"/>
              <w:left w:val="nil"/>
              <w:bottom w:val="single" w:sz="4" w:space="0" w:color="auto"/>
              <w:right w:val="nil"/>
            </w:tcBorders>
            <w:shd w:val="clear" w:color="000000" w:fill="FFFFFF"/>
            <w:noWrap/>
            <w:vAlign w:val="bottom"/>
            <w:hideMark/>
          </w:tcPr>
          <w:p w14:paraId="13B8D8A4"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nil"/>
              <w:left w:val="nil"/>
              <w:bottom w:val="single" w:sz="4" w:space="0" w:color="auto"/>
              <w:right w:val="nil"/>
            </w:tcBorders>
            <w:shd w:val="clear" w:color="000000" w:fill="FFFFFF"/>
            <w:noWrap/>
            <w:vAlign w:val="bottom"/>
            <w:hideMark/>
          </w:tcPr>
          <w:p w14:paraId="355BC92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303</w:t>
            </w:r>
          </w:p>
        </w:tc>
      </w:tr>
      <w:tr w:rsidR="00D61CAD" w:rsidRPr="000939E3" w14:paraId="56431644" w14:textId="77777777" w:rsidTr="00D61CAD">
        <w:trPr>
          <w:trHeight w:val="20"/>
        </w:trPr>
        <w:tc>
          <w:tcPr>
            <w:tcW w:w="1814" w:type="pct"/>
            <w:tcBorders>
              <w:top w:val="single" w:sz="4" w:space="0" w:color="auto"/>
              <w:left w:val="nil"/>
              <w:bottom w:val="nil"/>
              <w:right w:val="nil"/>
            </w:tcBorders>
            <w:shd w:val="clear" w:color="000000" w:fill="FFFFFF"/>
            <w:noWrap/>
            <w:vAlign w:val="bottom"/>
            <w:hideMark/>
          </w:tcPr>
          <w:p w14:paraId="6F7EBC1A"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b/>
                <w:bCs/>
                <w:color w:val="000000"/>
                <w:sz w:val="20"/>
                <w:szCs w:val="20"/>
              </w:rPr>
              <w:t>Obvyklý pobyt</w:t>
            </w:r>
          </w:p>
        </w:tc>
        <w:tc>
          <w:tcPr>
            <w:tcW w:w="1006" w:type="pct"/>
            <w:tcBorders>
              <w:top w:val="single" w:sz="4" w:space="0" w:color="auto"/>
              <w:left w:val="nil"/>
              <w:bottom w:val="nil"/>
              <w:right w:val="nil"/>
            </w:tcBorders>
            <w:shd w:val="clear" w:color="000000" w:fill="FFFFFF"/>
            <w:noWrap/>
            <w:vAlign w:val="bottom"/>
            <w:hideMark/>
          </w:tcPr>
          <w:p w14:paraId="6C03323F"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1007" w:type="pct"/>
            <w:tcBorders>
              <w:top w:val="single" w:sz="4" w:space="0" w:color="auto"/>
              <w:left w:val="nil"/>
              <w:bottom w:val="nil"/>
              <w:right w:val="nil"/>
            </w:tcBorders>
            <w:shd w:val="clear" w:color="000000" w:fill="FFFFFF"/>
            <w:noWrap/>
            <w:vAlign w:val="bottom"/>
            <w:hideMark/>
          </w:tcPr>
          <w:p w14:paraId="51AB7E04"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613" w:type="pct"/>
            <w:tcBorders>
              <w:top w:val="single" w:sz="4" w:space="0" w:color="auto"/>
              <w:left w:val="nil"/>
              <w:bottom w:val="nil"/>
              <w:right w:val="nil"/>
            </w:tcBorders>
            <w:shd w:val="clear" w:color="000000" w:fill="FFFFFF"/>
            <w:noWrap/>
            <w:vAlign w:val="bottom"/>
            <w:hideMark/>
          </w:tcPr>
          <w:p w14:paraId="3B0E4548"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single" w:sz="4" w:space="0" w:color="auto"/>
              <w:left w:val="nil"/>
              <w:bottom w:val="nil"/>
              <w:right w:val="nil"/>
            </w:tcBorders>
            <w:shd w:val="clear" w:color="000000" w:fill="FFFFFF"/>
            <w:noWrap/>
            <w:vAlign w:val="bottom"/>
            <w:hideMark/>
          </w:tcPr>
          <w:p w14:paraId="2D84AF3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r>
      <w:tr w:rsidR="00D61CAD" w:rsidRPr="000939E3" w14:paraId="4C76B43F" w14:textId="77777777" w:rsidTr="00D61CAD">
        <w:trPr>
          <w:trHeight w:val="20"/>
        </w:trPr>
        <w:tc>
          <w:tcPr>
            <w:tcW w:w="1814" w:type="pct"/>
            <w:tcBorders>
              <w:top w:val="nil"/>
              <w:left w:val="nil"/>
              <w:bottom w:val="nil"/>
              <w:right w:val="nil"/>
            </w:tcBorders>
            <w:shd w:val="clear" w:color="000000" w:fill="FFFFFF"/>
            <w:noWrap/>
            <w:vAlign w:val="bottom"/>
            <w:hideMark/>
          </w:tcPr>
          <w:p w14:paraId="66BA1281" w14:textId="77777777" w:rsidR="00D61CAD" w:rsidRPr="000939E3" w:rsidRDefault="00D61CAD" w:rsidP="00D61CAD">
            <w:pPr>
              <w:spacing w:after="0" w:line="240" w:lineRule="auto"/>
              <w:rPr>
                <w:rFonts w:eastAsia="Times New Roman" w:cs="Times New Roman"/>
                <w:b/>
                <w:bCs/>
                <w:color w:val="000000"/>
                <w:sz w:val="20"/>
                <w:szCs w:val="20"/>
                <w:lang w:eastAsia="sk-SK"/>
              </w:rPr>
            </w:pPr>
            <w:r w:rsidRPr="000939E3">
              <w:rPr>
                <w:color w:val="000000"/>
                <w:sz w:val="20"/>
                <w:szCs w:val="20"/>
              </w:rPr>
              <w:t>Bratislava</w:t>
            </w:r>
          </w:p>
        </w:tc>
        <w:tc>
          <w:tcPr>
            <w:tcW w:w="1006" w:type="pct"/>
            <w:tcBorders>
              <w:top w:val="nil"/>
              <w:left w:val="nil"/>
              <w:bottom w:val="nil"/>
              <w:right w:val="nil"/>
            </w:tcBorders>
            <w:shd w:val="clear" w:color="000000" w:fill="FFFFFF"/>
            <w:noWrap/>
            <w:vAlign w:val="bottom"/>
            <w:hideMark/>
          </w:tcPr>
          <w:p w14:paraId="0B64DCF9"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18,0</w:t>
            </w:r>
          </w:p>
        </w:tc>
        <w:tc>
          <w:tcPr>
            <w:tcW w:w="1007" w:type="pct"/>
            <w:tcBorders>
              <w:top w:val="nil"/>
              <w:left w:val="nil"/>
              <w:bottom w:val="nil"/>
              <w:right w:val="nil"/>
            </w:tcBorders>
            <w:shd w:val="clear" w:color="000000" w:fill="FFFFFF"/>
            <w:noWrap/>
            <w:vAlign w:val="bottom"/>
            <w:hideMark/>
          </w:tcPr>
          <w:p w14:paraId="377DE478"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22,6</w:t>
            </w:r>
          </w:p>
        </w:tc>
        <w:tc>
          <w:tcPr>
            <w:tcW w:w="613" w:type="pct"/>
            <w:tcBorders>
              <w:top w:val="nil"/>
              <w:left w:val="nil"/>
              <w:bottom w:val="nil"/>
              <w:right w:val="nil"/>
            </w:tcBorders>
            <w:shd w:val="clear" w:color="000000" w:fill="FFFFFF"/>
            <w:noWrap/>
            <w:vAlign w:val="bottom"/>
            <w:hideMark/>
          </w:tcPr>
          <w:p w14:paraId="73B2A948"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nil"/>
              <w:left w:val="nil"/>
              <w:bottom w:val="nil"/>
              <w:right w:val="nil"/>
            </w:tcBorders>
            <w:shd w:val="clear" w:color="000000" w:fill="FFFFFF"/>
            <w:noWrap/>
            <w:vAlign w:val="bottom"/>
            <w:hideMark/>
          </w:tcPr>
          <w:p w14:paraId="2815194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164</w:t>
            </w:r>
          </w:p>
        </w:tc>
      </w:tr>
      <w:tr w:rsidR="00D61CAD" w:rsidRPr="000939E3" w14:paraId="004F78EA" w14:textId="77777777" w:rsidTr="00D61CAD">
        <w:trPr>
          <w:trHeight w:val="20"/>
        </w:trPr>
        <w:tc>
          <w:tcPr>
            <w:tcW w:w="1814" w:type="pct"/>
            <w:tcBorders>
              <w:top w:val="nil"/>
              <w:left w:val="nil"/>
              <w:bottom w:val="nil"/>
              <w:right w:val="nil"/>
            </w:tcBorders>
            <w:shd w:val="clear" w:color="000000" w:fill="FFFFFF"/>
            <w:noWrap/>
            <w:vAlign w:val="bottom"/>
            <w:hideMark/>
          </w:tcPr>
          <w:p w14:paraId="00EDA25E"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Západné Slovensko</w:t>
            </w:r>
          </w:p>
        </w:tc>
        <w:tc>
          <w:tcPr>
            <w:tcW w:w="1006" w:type="pct"/>
            <w:tcBorders>
              <w:top w:val="nil"/>
              <w:left w:val="nil"/>
              <w:bottom w:val="nil"/>
              <w:right w:val="nil"/>
            </w:tcBorders>
            <w:shd w:val="clear" w:color="000000" w:fill="FFFFFF"/>
            <w:noWrap/>
            <w:vAlign w:val="bottom"/>
            <w:hideMark/>
          </w:tcPr>
          <w:p w14:paraId="377A9C95"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19,6</w:t>
            </w:r>
          </w:p>
        </w:tc>
        <w:tc>
          <w:tcPr>
            <w:tcW w:w="1007" w:type="pct"/>
            <w:tcBorders>
              <w:top w:val="nil"/>
              <w:left w:val="nil"/>
              <w:bottom w:val="nil"/>
              <w:right w:val="nil"/>
            </w:tcBorders>
            <w:shd w:val="clear" w:color="000000" w:fill="FFFFFF"/>
            <w:noWrap/>
            <w:vAlign w:val="bottom"/>
            <w:hideMark/>
          </w:tcPr>
          <w:p w14:paraId="75D5CEF4"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29,5</w:t>
            </w:r>
          </w:p>
        </w:tc>
        <w:tc>
          <w:tcPr>
            <w:tcW w:w="613" w:type="pct"/>
            <w:tcBorders>
              <w:top w:val="nil"/>
              <w:left w:val="nil"/>
              <w:bottom w:val="nil"/>
              <w:right w:val="nil"/>
            </w:tcBorders>
            <w:shd w:val="clear" w:color="000000" w:fill="FFFFFF"/>
            <w:noWrap/>
            <w:vAlign w:val="bottom"/>
            <w:hideMark/>
          </w:tcPr>
          <w:p w14:paraId="26714F3E"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w:t>
            </w:r>
          </w:p>
        </w:tc>
        <w:tc>
          <w:tcPr>
            <w:tcW w:w="559" w:type="pct"/>
            <w:tcBorders>
              <w:top w:val="nil"/>
              <w:left w:val="nil"/>
              <w:bottom w:val="nil"/>
              <w:right w:val="nil"/>
            </w:tcBorders>
            <w:shd w:val="clear" w:color="000000" w:fill="FFFFFF"/>
            <w:noWrap/>
            <w:vAlign w:val="bottom"/>
            <w:hideMark/>
          </w:tcPr>
          <w:p w14:paraId="63F9C6E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198</w:t>
            </w:r>
          </w:p>
        </w:tc>
      </w:tr>
      <w:tr w:rsidR="00D61CAD" w:rsidRPr="000939E3" w14:paraId="7CFB5A2E" w14:textId="77777777" w:rsidTr="00D61CAD">
        <w:trPr>
          <w:trHeight w:val="20"/>
        </w:trPr>
        <w:tc>
          <w:tcPr>
            <w:tcW w:w="1814" w:type="pct"/>
            <w:tcBorders>
              <w:top w:val="nil"/>
              <w:left w:val="nil"/>
              <w:right w:val="nil"/>
            </w:tcBorders>
            <w:shd w:val="clear" w:color="000000" w:fill="FFFFFF"/>
            <w:noWrap/>
            <w:vAlign w:val="bottom"/>
            <w:hideMark/>
          </w:tcPr>
          <w:p w14:paraId="03DE4DF4"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Stredné Slovensko</w:t>
            </w:r>
          </w:p>
        </w:tc>
        <w:tc>
          <w:tcPr>
            <w:tcW w:w="1006" w:type="pct"/>
            <w:tcBorders>
              <w:top w:val="nil"/>
              <w:left w:val="nil"/>
              <w:right w:val="nil"/>
            </w:tcBorders>
            <w:shd w:val="clear" w:color="000000" w:fill="FFFFFF"/>
            <w:noWrap/>
            <w:vAlign w:val="bottom"/>
            <w:hideMark/>
          </w:tcPr>
          <w:p w14:paraId="02612BD0"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22,1</w:t>
            </w:r>
          </w:p>
        </w:tc>
        <w:tc>
          <w:tcPr>
            <w:tcW w:w="1007" w:type="pct"/>
            <w:tcBorders>
              <w:top w:val="nil"/>
              <w:left w:val="nil"/>
              <w:right w:val="nil"/>
            </w:tcBorders>
            <w:shd w:val="clear" w:color="000000" w:fill="FFFFFF"/>
            <w:noWrap/>
            <w:vAlign w:val="bottom"/>
            <w:hideMark/>
          </w:tcPr>
          <w:p w14:paraId="64DA85D1"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27,6</w:t>
            </w:r>
          </w:p>
        </w:tc>
        <w:tc>
          <w:tcPr>
            <w:tcW w:w="613" w:type="pct"/>
            <w:tcBorders>
              <w:top w:val="nil"/>
              <w:left w:val="nil"/>
              <w:right w:val="nil"/>
            </w:tcBorders>
            <w:shd w:val="clear" w:color="000000" w:fill="FFFFFF"/>
            <w:noWrap/>
            <w:vAlign w:val="bottom"/>
            <w:hideMark/>
          </w:tcPr>
          <w:p w14:paraId="2E4C7FE2"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nil"/>
              <w:left w:val="nil"/>
              <w:right w:val="nil"/>
            </w:tcBorders>
            <w:shd w:val="clear" w:color="000000" w:fill="FFFFFF"/>
            <w:noWrap/>
            <w:vAlign w:val="bottom"/>
            <w:hideMark/>
          </w:tcPr>
          <w:p w14:paraId="47D2CC7B"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127</w:t>
            </w:r>
          </w:p>
        </w:tc>
      </w:tr>
      <w:tr w:rsidR="00D61CAD" w:rsidRPr="000939E3" w14:paraId="4A7B2404" w14:textId="77777777" w:rsidTr="00D61CAD">
        <w:trPr>
          <w:trHeight w:val="20"/>
        </w:trPr>
        <w:tc>
          <w:tcPr>
            <w:tcW w:w="1814" w:type="pct"/>
            <w:tcBorders>
              <w:top w:val="nil"/>
              <w:left w:val="nil"/>
              <w:bottom w:val="single" w:sz="4" w:space="0" w:color="auto"/>
              <w:right w:val="nil"/>
            </w:tcBorders>
            <w:shd w:val="clear" w:color="000000" w:fill="FFFFFF"/>
            <w:noWrap/>
            <w:vAlign w:val="bottom"/>
            <w:hideMark/>
          </w:tcPr>
          <w:p w14:paraId="51BF8C33" w14:textId="77777777" w:rsidR="00D61CAD" w:rsidRPr="000939E3" w:rsidRDefault="00D61CAD" w:rsidP="00D61CAD">
            <w:pPr>
              <w:spacing w:after="0" w:line="240" w:lineRule="auto"/>
              <w:rPr>
                <w:rFonts w:eastAsia="Times New Roman" w:cs="Times New Roman"/>
                <w:color w:val="000000"/>
                <w:sz w:val="20"/>
                <w:szCs w:val="20"/>
                <w:lang w:eastAsia="sk-SK"/>
              </w:rPr>
            </w:pPr>
            <w:r w:rsidRPr="000939E3">
              <w:rPr>
                <w:color w:val="000000"/>
                <w:sz w:val="20"/>
                <w:szCs w:val="20"/>
              </w:rPr>
              <w:t>Východné Slovensko</w:t>
            </w:r>
          </w:p>
        </w:tc>
        <w:tc>
          <w:tcPr>
            <w:tcW w:w="1006" w:type="pct"/>
            <w:tcBorders>
              <w:top w:val="nil"/>
              <w:left w:val="nil"/>
              <w:bottom w:val="single" w:sz="4" w:space="0" w:color="auto"/>
              <w:right w:val="nil"/>
            </w:tcBorders>
            <w:shd w:val="clear" w:color="000000" w:fill="FFFFFF"/>
            <w:noWrap/>
            <w:vAlign w:val="bottom"/>
            <w:hideMark/>
          </w:tcPr>
          <w:p w14:paraId="3C72532C"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17,3</w:t>
            </w:r>
          </w:p>
        </w:tc>
        <w:tc>
          <w:tcPr>
            <w:tcW w:w="1007" w:type="pct"/>
            <w:tcBorders>
              <w:top w:val="nil"/>
              <w:left w:val="nil"/>
              <w:bottom w:val="single" w:sz="4" w:space="0" w:color="auto"/>
              <w:right w:val="nil"/>
            </w:tcBorders>
            <w:shd w:val="clear" w:color="000000" w:fill="FFFFFF"/>
            <w:noWrap/>
            <w:vAlign w:val="bottom"/>
            <w:hideMark/>
          </w:tcPr>
          <w:p w14:paraId="08EDA63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20,3</w:t>
            </w:r>
          </w:p>
        </w:tc>
        <w:tc>
          <w:tcPr>
            <w:tcW w:w="613" w:type="pct"/>
            <w:tcBorders>
              <w:top w:val="nil"/>
              <w:left w:val="nil"/>
              <w:bottom w:val="single" w:sz="4" w:space="0" w:color="auto"/>
              <w:right w:val="nil"/>
            </w:tcBorders>
            <w:shd w:val="clear" w:color="000000" w:fill="FFFFFF"/>
            <w:noWrap/>
            <w:vAlign w:val="bottom"/>
            <w:hideMark/>
          </w:tcPr>
          <w:p w14:paraId="200F312D"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 </w:t>
            </w:r>
          </w:p>
        </w:tc>
        <w:tc>
          <w:tcPr>
            <w:tcW w:w="559" w:type="pct"/>
            <w:tcBorders>
              <w:top w:val="nil"/>
              <w:left w:val="nil"/>
              <w:bottom w:val="single" w:sz="4" w:space="0" w:color="auto"/>
              <w:right w:val="nil"/>
            </w:tcBorders>
            <w:shd w:val="clear" w:color="000000" w:fill="FFFFFF"/>
            <w:noWrap/>
            <w:vAlign w:val="bottom"/>
            <w:hideMark/>
          </w:tcPr>
          <w:p w14:paraId="01DE5BFA" w14:textId="77777777" w:rsidR="00D61CAD" w:rsidRPr="000939E3" w:rsidRDefault="00D61CAD" w:rsidP="00D61CAD">
            <w:pPr>
              <w:spacing w:after="0" w:line="240" w:lineRule="auto"/>
              <w:jc w:val="center"/>
              <w:rPr>
                <w:rFonts w:eastAsia="Times New Roman" w:cs="Times New Roman"/>
                <w:color w:val="000000"/>
                <w:sz w:val="20"/>
                <w:szCs w:val="20"/>
                <w:lang w:eastAsia="sk-SK"/>
              </w:rPr>
            </w:pPr>
            <w:r w:rsidRPr="000939E3">
              <w:rPr>
                <w:color w:val="000000"/>
                <w:sz w:val="20"/>
                <w:szCs w:val="20"/>
              </w:rPr>
              <w:t>140</w:t>
            </w:r>
          </w:p>
        </w:tc>
      </w:tr>
      <w:tr w:rsidR="00D61CAD" w:rsidRPr="000939E3" w14:paraId="303DC52F" w14:textId="77777777" w:rsidTr="00D61CAD">
        <w:trPr>
          <w:trHeight w:val="20"/>
        </w:trPr>
        <w:tc>
          <w:tcPr>
            <w:tcW w:w="1814" w:type="pct"/>
            <w:tcBorders>
              <w:top w:val="single" w:sz="4" w:space="0" w:color="auto"/>
              <w:left w:val="nil"/>
              <w:right w:val="nil"/>
            </w:tcBorders>
            <w:shd w:val="clear" w:color="auto" w:fill="auto"/>
            <w:noWrap/>
            <w:vAlign w:val="bottom"/>
          </w:tcPr>
          <w:p w14:paraId="71218F02" w14:textId="77777777" w:rsidR="00D61CAD" w:rsidRPr="000939E3" w:rsidRDefault="00D61CAD" w:rsidP="00D61CAD">
            <w:pPr>
              <w:spacing w:after="0" w:line="240" w:lineRule="auto"/>
              <w:jc w:val="center"/>
              <w:rPr>
                <w:rFonts w:eastAsia="Times New Roman" w:cs="Times New Roman"/>
                <w:color w:val="000000"/>
                <w:lang w:eastAsia="sk-SK"/>
              </w:rPr>
            </w:pPr>
          </w:p>
        </w:tc>
        <w:tc>
          <w:tcPr>
            <w:tcW w:w="1006" w:type="pct"/>
            <w:tcBorders>
              <w:top w:val="single" w:sz="4" w:space="0" w:color="auto"/>
              <w:left w:val="nil"/>
              <w:right w:val="nil"/>
            </w:tcBorders>
            <w:shd w:val="clear" w:color="auto" w:fill="auto"/>
            <w:noWrap/>
            <w:vAlign w:val="bottom"/>
          </w:tcPr>
          <w:p w14:paraId="2F78439A" w14:textId="77777777" w:rsidR="00D61CAD" w:rsidRPr="000939E3" w:rsidRDefault="00D61CAD" w:rsidP="00D61CAD">
            <w:pPr>
              <w:spacing w:after="0" w:line="240" w:lineRule="auto"/>
              <w:rPr>
                <w:rFonts w:eastAsia="Times New Roman" w:cs="Times New Roman"/>
                <w:lang w:eastAsia="sk-SK"/>
              </w:rPr>
            </w:pPr>
          </w:p>
        </w:tc>
        <w:tc>
          <w:tcPr>
            <w:tcW w:w="1007" w:type="pct"/>
            <w:tcBorders>
              <w:top w:val="single" w:sz="4" w:space="0" w:color="auto"/>
              <w:left w:val="nil"/>
              <w:right w:val="nil"/>
            </w:tcBorders>
            <w:shd w:val="clear" w:color="auto" w:fill="auto"/>
            <w:noWrap/>
            <w:vAlign w:val="bottom"/>
          </w:tcPr>
          <w:p w14:paraId="33C638CC" w14:textId="77777777" w:rsidR="00D61CAD" w:rsidRPr="000939E3" w:rsidRDefault="00D61CAD" w:rsidP="00D61CAD">
            <w:pPr>
              <w:spacing w:after="0" w:line="240" w:lineRule="auto"/>
              <w:jc w:val="center"/>
              <w:rPr>
                <w:rFonts w:eastAsia="Times New Roman" w:cs="Times New Roman"/>
                <w:lang w:eastAsia="sk-SK"/>
              </w:rPr>
            </w:pPr>
          </w:p>
        </w:tc>
        <w:tc>
          <w:tcPr>
            <w:tcW w:w="1172" w:type="pct"/>
            <w:gridSpan w:val="2"/>
            <w:tcBorders>
              <w:top w:val="single" w:sz="4" w:space="0" w:color="auto"/>
              <w:left w:val="nil"/>
              <w:right w:val="nil"/>
            </w:tcBorders>
            <w:shd w:val="clear" w:color="auto" w:fill="auto"/>
            <w:noWrap/>
          </w:tcPr>
          <w:p w14:paraId="567DB962" w14:textId="77777777" w:rsidR="00D61CAD" w:rsidRPr="000939E3" w:rsidRDefault="00D61CAD" w:rsidP="00D61CAD">
            <w:pPr>
              <w:keepNext/>
              <w:spacing w:after="0" w:line="240" w:lineRule="auto"/>
              <w:jc w:val="right"/>
              <w:rPr>
                <w:rFonts w:eastAsia="Times New Roman" w:cs="Times New Roman"/>
                <w:lang w:eastAsia="sk-SK"/>
              </w:rPr>
            </w:pPr>
            <w:r w:rsidRPr="000939E3">
              <w:rPr>
                <w:i/>
                <w:sz w:val="18"/>
              </w:rPr>
              <w:t>Zdroj: prepočty ÚHP</w:t>
            </w:r>
          </w:p>
        </w:tc>
      </w:tr>
    </w:tbl>
    <w:p w14:paraId="4CC27B15" w14:textId="77777777" w:rsidR="00D61CAD" w:rsidRPr="000939E3" w:rsidRDefault="00D61CAD" w:rsidP="008E3B2B">
      <w:pPr>
        <w:spacing w:after="0"/>
        <w:rPr>
          <w:sz w:val="24"/>
        </w:rPr>
      </w:pPr>
    </w:p>
    <w:tbl>
      <w:tblPr>
        <w:tblpPr w:leftFromText="141" w:rightFromText="141" w:vertAnchor="text" w:horzAnchor="margin" w:tblpY="83"/>
        <w:tblW w:w="9072" w:type="dxa"/>
        <w:tblLayout w:type="fixed"/>
        <w:tblCellMar>
          <w:left w:w="70" w:type="dxa"/>
          <w:right w:w="70" w:type="dxa"/>
        </w:tblCellMar>
        <w:tblLook w:val="04A0" w:firstRow="1" w:lastRow="0" w:firstColumn="1" w:lastColumn="0" w:noHBand="0" w:noVBand="1"/>
      </w:tblPr>
      <w:tblGrid>
        <w:gridCol w:w="2835"/>
        <w:gridCol w:w="851"/>
        <w:gridCol w:w="770"/>
        <w:gridCol w:w="847"/>
        <w:gridCol w:w="850"/>
        <w:gridCol w:w="768"/>
        <w:gridCol w:w="734"/>
        <w:gridCol w:w="768"/>
        <w:gridCol w:w="649"/>
      </w:tblGrid>
      <w:tr w:rsidR="00D61CAD" w:rsidRPr="000939E3" w14:paraId="66B98F9D" w14:textId="77777777" w:rsidTr="00D61CAD">
        <w:trPr>
          <w:trHeight w:val="20"/>
        </w:trPr>
        <w:tc>
          <w:tcPr>
            <w:tcW w:w="9072" w:type="dxa"/>
            <w:gridSpan w:val="9"/>
            <w:tcBorders>
              <w:top w:val="nil"/>
              <w:left w:val="nil"/>
              <w:bottom w:val="nil"/>
            </w:tcBorders>
          </w:tcPr>
          <w:p w14:paraId="71A51F95" w14:textId="77777777" w:rsidR="00D61CAD" w:rsidRPr="000939E3" w:rsidRDefault="00D61CAD" w:rsidP="00D61CAD">
            <w:pPr>
              <w:pStyle w:val="Popis"/>
              <w:rPr>
                <w:rFonts w:ascii="Times New Roman" w:eastAsia="Times New Roman" w:hAnsi="Times New Roman" w:cs="Times New Roman"/>
              </w:rPr>
            </w:pPr>
            <w:bookmarkStart w:id="326" w:name="_Ref532827167"/>
            <w:r w:rsidRPr="000939E3">
              <w:rPr>
                <w:sz w:val="22"/>
              </w:rPr>
              <w:t xml:space="preserve">Príloha </w:t>
            </w:r>
            <w:r w:rsidRPr="000939E3">
              <w:rPr>
                <w:sz w:val="22"/>
              </w:rPr>
              <w:fldChar w:fldCharType="begin"/>
            </w:r>
            <w:r w:rsidRPr="000939E3">
              <w:rPr>
                <w:sz w:val="22"/>
              </w:rPr>
              <w:instrText xml:space="preserve"> SEQ Príloha \* ARABIC </w:instrText>
            </w:r>
            <w:r w:rsidRPr="000939E3">
              <w:rPr>
                <w:sz w:val="22"/>
              </w:rPr>
              <w:fldChar w:fldCharType="separate"/>
            </w:r>
            <w:r w:rsidR="00BF69CA">
              <w:rPr>
                <w:noProof/>
                <w:sz w:val="22"/>
              </w:rPr>
              <w:t>13</w:t>
            </w:r>
            <w:r w:rsidRPr="000939E3">
              <w:rPr>
                <w:sz w:val="22"/>
              </w:rPr>
              <w:fldChar w:fldCharType="end"/>
            </w:r>
            <w:bookmarkEnd w:id="326"/>
            <w:r w:rsidRPr="000939E3">
              <w:rPr>
                <w:sz w:val="22"/>
              </w:rPr>
              <w:t xml:space="preserve">: </w:t>
            </w:r>
            <w:r w:rsidRPr="000939E3">
              <w:rPr>
                <w:rFonts w:eastAsia="Times New Roman" w:cs="Times New Roman"/>
                <w:bCs/>
                <w:sz w:val="22"/>
              </w:rPr>
              <w:t>Pracovné podmienky zamestnancov (spolu za rok 2017)</w:t>
            </w:r>
          </w:p>
        </w:tc>
      </w:tr>
      <w:tr w:rsidR="00D61CAD" w:rsidRPr="000939E3" w14:paraId="5B50300B" w14:textId="77777777" w:rsidTr="00D61CAD">
        <w:trPr>
          <w:trHeight w:val="20"/>
        </w:trPr>
        <w:tc>
          <w:tcPr>
            <w:tcW w:w="2835" w:type="dxa"/>
            <w:vMerge w:val="restart"/>
            <w:tcBorders>
              <w:top w:val="single" w:sz="4" w:space="0" w:color="auto"/>
              <w:right w:val="single" w:sz="4" w:space="0" w:color="auto"/>
            </w:tcBorders>
            <w:shd w:val="clear" w:color="auto" w:fill="auto"/>
            <w:noWrap/>
            <w:vAlign w:val="center"/>
            <w:hideMark/>
          </w:tcPr>
          <w:p w14:paraId="77C756DE" w14:textId="77777777" w:rsidR="00D61CAD" w:rsidRPr="000939E3" w:rsidRDefault="00D61CAD" w:rsidP="00D61CAD">
            <w:pPr>
              <w:keepNext/>
              <w:spacing w:after="0" w:line="240" w:lineRule="auto"/>
              <w:rPr>
                <w:rFonts w:eastAsia="Times New Roman" w:cs="Times New Roman"/>
                <w:sz w:val="20"/>
                <w:szCs w:val="20"/>
                <w:lang w:eastAsia="sk-SK"/>
              </w:rPr>
            </w:pPr>
            <w:r w:rsidRPr="000939E3">
              <w:rPr>
                <w:rFonts w:eastAsia="Times New Roman" w:cs="Times New Roman"/>
                <w:sz w:val="20"/>
                <w:szCs w:val="20"/>
                <w:lang w:eastAsia="sk-SK"/>
              </w:rPr>
              <w:t> zamestnanie</w:t>
            </w:r>
          </w:p>
        </w:tc>
        <w:tc>
          <w:tcPr>
            <w:tcW w:w="1621" w:type="dxa"/>
            <w:gridSpan w:val="2"/>
            <w:tcBorders>
              <w:top w:val="single" w:sz="4" w:space="0" w:color="auto"/>
              <w:left w:val="nil"/>
              <w:bottom w:val="nil"/>
              <w:right w:val="single" w:sz="4" w:space="0" w:color="000000"/>
            </w:tcBorders>
            <w:shd w:val="clear" w:color="auto" w:fill="auto"/>
            <w:noWrap/>
            <w:vAlign w:val="center"/>
            <w:hideMark/>
          </w:tcPr>
          <w:p w14:paraId="355C84E0" w14:textId="77777777" w:rsidR="00D61CAD" w:rsidRPr="000939E3" w:rsidRDefault="00D61CAD" w:rsidP="00D61CAD">
            <w:pPr>
              <w:keepNext/>
              <w:spacing w:after="0"/>
              <w:jc w:val="center"/>
              <w:rPr>
                <w:sz w:val="20"/>
                <w:szCs w:val="20"/>
              </w:rPr>
            </w:pPr>
            <w:r w:rsidRPr="000939E3">
              <w:rPr>
                <w:sz w:val="20"/>
                <w:szCs w:val="20"/>
              </w:rPr>
              <w:t>odpracovaný čas mesačne (v hod.)</w:t>
            </w:r>
          </w:p>
        </w:tc>
        <w:tc>
          <w:tcPr>
            <w:tcW w:w="1697" w:type="dxa"/>
            <w:gridSpan w:val="2"/>
            <w:tcBorders>
              <w:top w:val="single" w:sz="4" w:space="0" w:color="auto"/>
              <w:left w:val="nil"/>
              <w:bottom w:val="nil"/>
              <w:right w:val="single" w:sz="4" w:space="0" w:color="auto"/>
            </w:tcBorders>
          </w:tcPr>
          <w:p w14:paraId="39625387" w14:textId="77777777" w:rsidR="00D61CAD" w:rsidRPr="000939E3" w:rsidRDefault="00D61CAD" w:rsidP="00D61CAD">
            <w:pPr>
              <w:keepNext/>
              <w:spacing w:after="0" w:line="240" w:lineRule="auto"/>
              <w:jc w:val="center"/>
              <w:rPr>
                <w:sz w:val="20"/>
                <w:szCs w:val="20"/>
              </w:rPr>
            </w:pPr>
            <w:r w:rsidRPr="000939E3">
              <w:rPr>
                <w:sz w:val="20"/>
                <w:szCs w:val="20"/>
              </w:rPr>
              <w:t>platené nadčasy za rok (v hod.)</w:t>
            </w:r>
          </w:p>
        </w:tc>
        <w:tc>
          <w:tcPr>
            <w:tcW w:w="1502"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0C2B26D5" w14:textId="77777777" w:rsidR="00D61CAD" w:rsidRPr="000939E3" w:rsidRDefault="00D61CAD" w:rsidP="00D61CAD">
            <w:pPr>
              <w:keepNext/>
              <w:spacing w:after="0" w:line="240" w:lineRule="auto"/>
              <w:jc w:val="center"/>
              <w:rPr>
                <w:rFonts w:eastAsia="Times New Roman" w:cs="Times New Roman"/>
                <w:sz w:val="20"/>
                <w:szCs w:val="20"/>
                <w:lang w:eastAsia="sk-SK"/>
              </w:rPr>
            </w:pPr>
            <w:r w:rsidRPr="000939E3">
              <w:rPr>
                <w:sz w:val="20"/>
                <w:szCs w:val="20"/>
              </w:rPr>
              <w:t>týždne čerpanej dovolenky</w:t>
            </w:r>
          </w:p>
        </w:tc>
        <w:tc>
          <w:tcPr>
            <w:tcW w:w="1417" w:type="dxa"/>
            <w:gridSpan w:val="2"/>
            <w:tcBorders>
              <w:top w:val="single" w:sz="4" w:space="0" w:color="auto"/>
              <w:left w:val="nil"/>
              <w:bottom w:val="nil"/>
            </w:tcBorders>
            <w:shd w:val="clear" w:color="auto" w:fill="auto"/>
            <w:noWrap/>
            <w:vAlign w:val="center"/>
            <w:hideMark/>
          </w:tcPr>
          <w:p w14:paraId="6E7D631D" w14:textId="77777777" w:rsidR="00D61CAD" w:rsidRPr="000939E3" w:rsidRDefault="00D61CAD" w:rsidP="00D61CAD">
            <w:pPr>
              <w:keepNext/>
              <w:spacing w:after="0" w:line="240" w:lineRule="auto"/>
              <w:jc w:val="center"/>
              <w:rPr>
                <w:rFonts w:eastAsia="Times New Roman" w:cs="Times New Roman"/>
                <w:sz w:val="20"/>
                <w:szCs w:val="20"/>
                <w:lang w:eastAsia="sk-SK"/>
              </w:rPr>
            </w:pPr>
            <w:r w:rsidRPr="000939E3">
              <w:rPr>
                <w:sz w:val="20"/>
                <w:szCs w:val="20"/>
              </w:rPr>
              <w:t>počet dní čerpanej PN</w:t>
            </w:r>
          </w:p>
        </w:tc>
      </w:tr>
      <w:tr w:rsidR="00D61CAD" w:rsidRPr="000939E3" w14:paraId="41F4C187" w14:textId="77777777" w:rsidTr="00D61CAD">
        <w:trPr>
          <w:trHeight w:val="20"/>
        </w:trPr>
        <w:tc>
          <w:tcPr>
            <w:tcW w:w="2835" w:type="dxa"/>
            <w:vMerge/>
            <w:tcBorders>
              <w:bottom w:val="single" w:sz="4" w:space="0" w:color="auto"/>
              <w:right w:val="single" w:sz="4" w:space="0" w:color="auto"/>
            </w:tcBorders>
            <w:shd w:val="clear" w:color="auto" w:fill="auto"/>
            <w:noWrap/>
            <w:vAlign w:val="bottom"/>
            <w:hideMark/>
          </w:tcPr>
          <w:p w14:paraId="2E4FEE0A" w14:textId="77777777" w:rsidR="00D61CAD" w:rsidRPr="000939E3" w:rsidRDefault="00D61CAD" w:rsidP="00D61CAD">
            <w:pPr>
              <w:keepNext/>
              <w:spacing w:after="0" w:line="240" w:lineRule="auto"/>
              <w:rPr>
                <w:rFonts w:eastAsia="Times New Roman" w:cs="Times New Roman"/>
                <w:sz w:val="20"/>
                <w:szCs w:val="20"/>
                <w:lang w:eastAsia="sk-SK"/>
              </w:rPr>
            </w:pPr>
          </w:p>
        </w:tc>
        <w:tc>
          <w:tcPr>
            <w:tcW w:w="851" w:type="dxa"/>
            <w:tcBorders>
              <w:top w:val="nil"/>
              <w:left w:val="nil"/>
              <w:bottom w:val="single" w:sz="4" w:space="0" w:color="auto"/>
              <w:right w:val="nil"/>
            </w:tcBorders>
            <w:shd w:val="clear" w:color="auto" w:fill="auto"/>
            <w:noWrap/>
            <w:vAlign w:val="bottom"/>
            <w:hideMark/>
          </w:tcPr>
          <w:p w14:paraId="4B6BB984" w14:textId="77777777" w:rsidR="00D61CAD" w:rsidRPr="000939E3" w:rsidRDefault="00D61CAD" w:rsidP="00D61CAD">
            <w:pPr>
              <w:keepNext/>
              <w:spacing w:after="0" w:line="240" w:lineRule="auto"/>
              <w:jc w:val="center"/>
              <w:rPr>
                <w:rFonts w:eastAsia="Times New Roman" w:cs="Times New Roman"/>
                <w:sz w:val="20"/>
                <w:szCs w:val="20"/>
                <w:lang w:eastAsia="sk-SK"/>
              </w:rPr>
            </w:pPr>
            <w:r w:rsidRPr="000939E3">
              <w:rPr>
                <w:rFonts w:eastAsia="Times New Roman" w:cs="Times New Roman"/>
                <w:sz w:val="20"/>
                <w:szCs w:val="20"/>
                <w:lang w:eastAsia="sk-SK"/>
              </w:rPr>
              <w:t>verejný</w:t>
            </w:r>
          </w:p>
        </w:tc>
        <w:tc>
          <w:tcPr>
            <w:tcW w:w="770" w:type="dxa"/>
            <w:tcBorders>
              <w:top w:val="nil"/>
              <w:left w:val="nil"/>
              <w:bottom w:val="single" w:sz="4" w:space="0" w:color="auto"/>
              <w:right w:val="single" w:sz="4" w:space="0" w:color="auto"/>
            </w:tcBorders>
            <w:shd w:val="clear" w:color="auto" w:fill="auto"/>
            <w:noWrap/>
            <w:vAlign w:val="bottom"/>
            <w:hideMark/>
          </w:tcPr>
          <w:p w14:paraId="7EB8EC85" w14:textId="77777777" w:rsidR="00D61CAD" w:rsidRPr="000939E3" w:rsidRDefault="00D61CAD" w:rsidP="00D61CAD">
            <w:pPr>
              <w:keepNext/>
              <w:spacing w:after="0" w:line="240" w:lineRule="auto"/>
              <w:jc w:val="center"/>
              <w:rPr>
                <w:rFonts w:eastAsia="Times New Roman" w:cs="Times New Roman"/>
                <w:sz w:val="20"/>
                <w:szCs w:val="20"/>
                <w:lang w:eastAsia="sk-SK"/>
              </w:rPr>
            </w:pPr>
            <w:r w:rsidRPr="000939E3">
              <w:rPr>
                <w:rFonts w:eastAsia="Times New Roman" w:cs="Times New Roman"/>
                <w:sz w:val="20"/>
                <w:szCs w:val="20"/>
                <w:lang w:eastAsia="sk-SK"/>
              </w:rPr>
              <w:t>súkr.</w:t>
            </w:r>
          </w:p>
        </w:tc>
        <w:tc>
          <w:tcPr>
            <w:tcW w:w="847" w:type="dxa"/>
            <w:tcBorders>
              <w:top w:val="nil"/>
              <w:left w:val="nil"/>
              <w:bottom w:val="single" w:sz="4" w:space="0" w:color="auto"/>
              <w:right w:val="nil"/>
            </w:tcBorders>
            <w:vAlign w:val="bottom"/>
          </w:tcPr>
          <w:p w14:paraId="175695EB" w14:textId="77777777" w:rsidR="00D61CAD" w:rsidRPr="000939E3" w:rsidRDefault="00D61CAD" w:rsidP="00D61CAD">
            <w:pPr>
              <w:keepNext/>
              <w:spacing w:after="0" w:line="240" w:lineRule="auto"/>
              <w:jc w:val="center"/>
              <w:rPr>
                <w:rFonts w:eastAsia="Times New Roman" w:cs="Times New Roman"/>
                <w:sz w:val="20"/>
                <w:szCs w:val="20"/>
                <w:lang w:eastAsia="sk-SK"/>
              </w:rPr>
            </w:pPr>
            <w:r w:rsidRPr="000939E3">
              <w:rPr>
                <w:rFonts w:eastAsia="Times New Roman" w:cs="Times New Roman"/>
                <w:sz w:val="20"/>
                <w:szCs w:val="20"/>
                <w:lang w:eastAsia="sk-SK"/>
              </w:rPr>
              <w:t>verejný</w:t>
            </w:r>
          </w:p>
        </w:tc>
        <w:tc>
          <w:tcPr>
            <w:tcW w:w="850" w:type="dxa"/>
            <w:tcBorders>
              <w:top w:val="nil"/>
              <w:left w:val="nil"/>
              <w:bottom w:val="single" w:sz="4" w:space="0" w:color="auto"/>
              <w:right w:val="single" w:sz="4" w:space="0" w:color="auto"/>
            </w:tcBorders>
            <w:vAlign w:val="bottom"/>
          </w:tcPr>
          <w:p w14:paraId="6FC2058D" w14:textId="77777777" w:rsidR="00D61CAD" w:rsidRPr="000939E3" w:rsidRDefault="00D61CAD" w:rsidP="00D61CAD">
            <w:pPr>
              <w:keepNext/>
              <w:spacing w:after="0" w:line="240" w:lineRule="auto"/>
              <w:jc w:val="center"/>
              <w:rPr>
                <w:rFonts w:eastAsia="Times New Roman" w:cs="Times New Roman"/>
                <w:sz w:val="20"/>
                <w:szCs w:val="20"/>
                <w:lang w:eastAsia="sk-SK"/>
              </w:rPr>
            </w:pPr>
            <w:r w:rsidRPr="000939E3">
              <w:rPr>
                <w:rFonts w:eastAsia="Times New Roman" w:cs="Times New Roman"/>
                <w:sz w:val="20"/>
                <w:szCs w:val="20"/>
                <w:lang w:eastAsia="sk-SK"/>
              </w:rPr>
              <w:t>súkr.</w:t>
            </w:r>
          </w:p>
        </w:tc>
        <w:tc>
          <w:tcPr>
            <w:tcW w:w="768" w:type="dxa"/>
            <w:tcBorders>
              <w:top w:val="nil"/>
              <w:left w:val="single" w:sz="4" w:space="0" w:color="auto"/>
              <w:bottom w:val="single" w:sz="4" w:space="0" w:color="auto"/>
              <w:right w:val="nil"/>
            </w:tcBorders>
            <w:shd w:val="clear" w:color="auto" w:fill="auto"/>
            <w:noWrap/>
            <w:vAlign w:val="bottom"/>
            <w:hideMark/>
          </w:tcPr>
          <w:p w14:paraId="015BE05F" w14:textId="77777777" w:rsidR="00D61CAD" w:rsidRPr="000939E3" w:rsidRDefault="00D61CAD" w:rsidP="00D61CAD">
            <w:pPr>
              <w:keepNext/>
              <w:spacing w:after="0" w:line="240" w:lineRule="auto"/>
              <w:jc w:val="center"/>
              <w:rPr>
                <w:rFonts w:eastAsia="Times New Roman" w:cs="Times New Roman"/>
                <w:sz w:val="20"/>
                <w:szCs w:val="20"/>
                <w:lang w:eastAsia="sk-SK"/>
              </w:rPr>
            </w:pPr>
            <w:r w:rsidRPr="000939E3">
              <w:rPr>
                <w:rFonts w:eastAsia="Times New Roman" w:cs="Times New Roman"/>
                <w:sz w:val="20"/>
                <w:szCs w:val="20"/>
                <w:lang w:eastAsia="sk-SK"/>
              </w:rPr>
              <w:t>verejný</w:t>
            </w:r>
          </w:p>
        </w:tc>
        <w:tc>
          <w:tcPr>
            <w:tcW w:w="734" w:type="dxa"/>
            <w:tcBorders>
              <w:top w:val="nil"/>
              <w:left w:val="nil"/>
              <w:bottom w:val="single" w:sz="4" w:space="0" w:color="auto"/>
              <w:right w:val="single" w:sz="4" w:space="0" w:color="auto"/>
            </w:tcBorders>
            <w:shd w:val="clear" w:color="auto" w:fill="auto"/>
            <w:noWrap/>
            <w:vAlign w:val="bottom"/>
            <w:hideMark/>
          </w:tcPr>
          <w:p w14:paraId="3CBB5096" w14:textId="77777777" w:rsidR="00D61CAD" w:rsidRPr="000939E3" w:rsidRDefault="00D61CAD" w:rsidP="00D61CAD">
            <w:pPr>
              <w:keepNext/>
              <w:spacing w:after="0" w:line="240" w:lineRule="auto"/>
              <w:jc w:val="center"/>
              <w:rPr>
                <w:rFonts w:eastAsia="Times New Roman" w:cs="Times New Roman"/>
                <w:sz w:val="20"/>
                <w:szCs w:val="20"/>
                <w:lang w:eastAsia="sk-SK"/>
              </w:rPr>
            </w:pPr>
            <w:r w:rsidRPr="000939E3">
              <w:rPr>
                <w:rFonts w:eastAsia="Times New Roman" w:cs="Times New Roman"/>
                <w:sz w:val="20"/>
                <w:szCs w:val="20"/>
                <w:lang w:eastAsia="sk-SK"/>
              </w:rPr>
              <w:t>súkr.</w:t>
            </w:r>
          </w:p>
        </w:tc>
        <w:tc>
          <w:tcPr>
            <w:tcW w:w="768" w:type="dxa"/>
            <w:tcBorders>
              <w:top w:val="nil"/>
              <w:left w:val="nil"/>
              <w:bottom w:val="single" w:sz="4" w:space="0" w:color="auto"/>
              <w:right w:val="nil"/>
            </w:tcBorders>
            <w:shd w:val="clear" w:color="auto" w:fill="auto"/>
            <w:noWrap/>
            <w:vAlign w:val="bottom"/>
            <w:hideMark/>
          </w:tcPr>
          <w:p w14:paraId="790F6D8C" w14:textId="77777777" w:rsidR="00D61CAD" w:rsidRPr="000939E3" w:rsidRDefault="00D61CAD" w:rsidP="00D61CAD">
            <w:pPr>
              <w:keepNext/>
              <w:spacing w:after="0" w:line="240" w:lineRule="auto"/>
              <w:jc w:val="center"/>
              <w:rPr>
                <w:rFonts w:eastAsia="Times New Roman" w:cs="Times New Roman"/>
                <w:sz w:val="20"/>
                <w:szCs w:val="20"/>
                <w:lang w:eastAsia="sk-SK"/>
              </w:rPr>
            </w:pPr>
            <w:r w:rsidRPr="000939E3">
              <w:rPr>
                <w:rFonts w:eastAsia="Times New Roman" w:cs="Times New Roman"/>
                <w:sz w:val="20"/>
                <w:szCs w:val="20"/>
                <w:lang w:eastAsia="sk-SK"/>
              </w:rPr>
              <w:t>verejný</w:t>
            </w:r>
          </w:p>
        </w:tc>
        <w:tc>
          <w:tcPr>
            <w:tcW w:w="649" w:type="dxa"/>
            <w:tcBorders>
              <w:top w:val="nil"/>
              <w:left w:val="nil"/>
              <w:bottom w:val="single" w:sz="4" w:space="0" w:color="auto"/>
            </w:tcBorders>
            <w:shd w:val="clear" w:color="auto" w:fill="auto"/>
            <w:noWrap/>
            <w:vAlign w:val="bottom"/>
            <w:hideMark/>
          </w:tcPr>
          <w:p w14:paraId="5FEA7E1B" w14:textId="77777777" w:rsidR="00D61CAD" w:rsidRPr="000939E3" w:rsidRDefault="00D61CAD" w:rsidP="00D61CAD">
            <w:pPr>
              <w:keepNext/>
              <w:spacing w:after="0" w:line="240" w:lineRule="auto"/>
              <w:jc w:val="center"/>
              <w:rPr>
                <w:rFonts w:eastAsia="Times New Roman" w:cs="Times New Roman"/>
                <w:sz w:val="20"/>
                <w:szCs w:val="20"/>
                <w:lang w:eastAsia="sk-SK"/>
              </w:rPr>
            </w:pPr>
            <w:r w:rsidRPr="000939E3">
              <w:rPr>
                <w:rFonts w:eastAsia="Times New Roman" w:cs="Times New Roman"/>
                <w:sz w:val="20"/>
                <w:szCs w:val="20"/>
                <w:lang w:eastAsia="sk-SK"/>
              </w:rPr>
              <w:t>súkr.</w:t>
            </w:r>
          </w:p>
        </w:tc>
      </w:tr>
      <w:tr w:rsidR="00D61CAD" w:rsidRPr="000939E3" w14:paraId="28DD34BA" w14:textId="77777777" w:rsidTr="00D61CAD">
        <w:trPr>
          <w:trHeight w:val="20"/>
        </w:trPr>
        <w:tc>
          <w:tcPr>
            <w:tcW w:w="2835" w:type="dxa"/>
            <w:tcBorders>
              <w:top w:val="nil"/>
              <w:left w:val="nil"/>
              <w:bottom w:val="nil"/>
              <w:right w:val="single" w:sz="4" w:space="0" w:color="auto"/>
            </w:tcBorders>
            <w:shd w:val="clear" w:color="auto" w:fill="auto"/>
            <w:noWrap/>
            <w:tcMar>
              <w:right w:w="28" w:type="dxa"/>
            </w:tcMar>
            <w:vAlign w:val="center"/>
            <w:hideMark/>
          </w:tcPr>
          <w:p w14:paraId="65B12B36" w14:textId="77777777" w:rsidR="00D61CAD" w:rsidRPr="000939E3" w:rsidRDefault="00D61CAD" w:rsidP="00D61CAD">
            <w:pPr>
              <w:keepNext/>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Zákonodarcovia, riadiaci prac.</w:t>
            </w:r>
          </w:p>
        </w:tc>
        <w:tc>
          <w:tcPr>
            <w:tcW w:w="851" w:type="dxa"/>
            <w:tcBorders>
              <w:top w:val="single" w:sz="4" w:space="0" w:color="auto"/>
              <w:left w:val="single" w:sz="4" w:space="0" w:color="auto"/>
              <w:bottom w:val="nil"/>
              <w:right w:val="nil"/>
            </w:tcBorders>
            <w:shd w:val="clear" w:color="auto" w:fill="auto"/>
            <w:noWrap/>
            <w:vAlign w:val="bottom"/>
            <w:hideMark/>
          </w:tcPr>
          <w:p w14:paraId="58D3A848"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135,1</w:t>
            </w:r>
          </w:p>
        </w:tc>
        <w:tc>
          <w:tcPr>
            <w:tcW w:w="770" w:type="dxa"/>
            <w:tcBorders>
              <w:top w:val="single" w:sz="4" w:space="0" w:color="auto"/>
              <w:left w:val="nil"/>
              <w:bottom w:val="nil"/>
              <w:right w:val="single" w:sz="4" w:space="0" w:color="auto"/>
            </w:tcBorders>
            <w:shd w:val="clear" w:color="auto" w:fill="auto"/>
            <w:noWrap/>
            <w:vAlign w:val="bottom"/>
            <w:hideMark/>
          </w:tcPr>
          <w:p w14:paraId="4AEBC10D"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146,8</w:t>
            </w:r>
          </w:p>
        </w:tc>
        <w:tc>
          <w:tcPr>
            <w:tcW w:w="847" w:type="dxa"/>
            <w:tcBorders>
              <w:top w:val="nil"/>
              <w:left w:val="nil"/>
              <w:bottom w:val="nil"/>
              <w:right w:val="nil"/>
            </w:tcBorders>
            <w:vAlign w:val="bottom"/>
          </w:tcPr>
          <w:p w14:paraId="5159E2F8" w14:textId="77777777" w:rsidR="00D61CAD" w:rsidRPr="000939E3" w:rsidRDefault="00D61CAD" w:rsidP="00D61CAD">
            <w:pPr>
              <w:keepNext/>
              <w:spacing w:after="0" w:line="240" w:lineRule="auto"/>
              <w:jc w:val="right"/>
              <w:rPr>
                <w:sz w:val="20"/>
                <w:szCs w:val="20"/>
              </w:rPr>
            </w:pPr>
            <w:r w:rsidRPr="000939E3">
              <w:rPr>
                <w:sz w:val="20"/>
                <w:szCs w:val="20"/>
              </w:rPr>
              <w:t>14,2</w:t>
            </w:r>
          </w:p>
        </w:tc>
        <w:tc>
          <w:tcPr>
            <w:tcW w:w="850" w:type="dxa"/>
            <w:tcBorders>
              <w:top w:val="nil"/>
              <w:left w:val="nil"/>
              <w:bottom w:val="nil"/>
              <w:right w:val="single" w:sz="4" w:space="0" w:color="auto"/>
            </w:tcBorders>
            <w:vAlign w:val="bottom"/>
          </w:tcPr>
          <w:p w14:paraId="0065165F" w14:textId="77777777" w:rsidR="00D61CAD" w:rsidRPr="000939E3" w:rsidRDefault="00D61CAD" w:rsidP="00D61CAD">
            <w:pPr>
              <w:keepNext/>
              <w:spacing w:after="0" w:line="240" w:lineRule="auto"/>
              <w:jc w:val="right"/>
              <w:rPr>
                <w:sz w:val="20"/>
                <w:szCs w:val="20"/>
              </w:rPr>
            </w:pPr>
            <w:r w:rsidRPr="000939E3">
              <w:rPr>
                <w:sz w:val="20"/>
                <w:szCs w:val="20"/>
              </w:rPr>
              <w:t>11,1</w:t>
            </w:r>
          </w:p>
        </w:tc>
        <w:tc>
          <w:tcPr>
            <w:tcW w:w="768" w:type="dxa"/>
            <w:tcBorders>
              <w:top w:val="nil"/>
              <w:left w:val="single" w:sz="4" w:space="0" w:color="auto"/>
              <w:bottom w:val="nil"/>
              <w:right w:val="nil"/>
            </w:tcBorders>
            <w:shd w:val="clear" w:color="auto" w:fill="auto"/>
            <w:noWrap/>
            <w:vAlign w:val="bottom"/>
            <w:hideMark/>
          </w:tcPr>
          <w:p w14:paraId="4117D88F"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6,0</w:t>
            </w:r>
          </w:p>
        </w:tc>
        <w:tc>
          <w:tcPr>
            <w:tcW w:w="734" w:type="dxa"/>
            <w:tcBorders>
              <w:top w:val="nil"/>
              <w:left w:val="nil"/>
              <w:bottom w:val="nil"/>
              <w:right w:val="single" w:sz="4" w:space="0" w:color="auto"/>
            </w:tcBorders>
            <w:shd w:val="clear" w:color="auto" w:fill="auto"/>
            <w:noWrap/>
            <w:vAlign w:val="bottom"/>
            <w:hideMark/>
          </w:tcPr>
          <w:p w14:paraId="4ADBB992"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4,5</w:t>
            </w:r>
          </w:p>
        </w:tc>
        <w:tc>
          <w:tcPr>
            <w:tcW w:w="768" w:type="dxa"/>
            <w:tcBorders>
              <w:top w:val="nil"/>
              <w:left w:val="nil"/>
              <w:bottom w:val="nil"/>
              <w:right w:val="nil"/>
            </w:tcBorders>
            <w:shd w:val="clear" w:color="auto" w:fill="auto"/>
            <w:noWrap/>
            <w:vAlign w:val="bottom"/>
            <w:hideMark/>
          </w:tcPr>
          <w:p w14:paraId="6A6AF32C"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4,5</w:t>
            </w:r>
          </w:p>
        </w:tc>
        <w:tc>
          <w:tcPr>
            <w:tcW w:w="649" w:type="dxa"/>
            <w:tcBorders>
              <w:top w:val="nil"/>
              <w:left w:val="nil"/>
              <w:bottom w:val="nil"/>
            </w:tcBorders>
            <w:shd w:val="clear" w:color="auto" w:fill="auto"/>
            <w:noWrap/>
            <w:vAlign w:val="bottom"/>
            <w:hideMark/>
          </w:tcPr>
          <w:p w14:paraId="23FFD6B9"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3,9</w:t>
            </w:r>
          </w:p>
        </w:tc>
      </w:tr>
      <w:tr w:rsidR="00D61CAD" w:rsidRPr="000939E3" w14:paraId="07F2D0A5" w14:textId="77777777" w:rsidTr="00D61CAD">
        <w:trPr>
          <w:trHeight w:val="20"/>
        </w:trPr>
        <w:tc>
          <w:tcPr>
            <w:tcW w:w="2835" w:type="dxa"/>
            <w:tcBorders>
              <w:top w:val="nil"/>
              <w:left w:val="nil"/>
              <w:bottom w:val="nil"/>
              <w:right w:val="single" w:sz="4" w:space="0" w:color="auto"/>
            </w:tcBorders>
            <w:shd w:val="clear" w:color="auto" w:fill="auto"/>
            <w:noWrap/>
            <w:tcMar>
              <w:right w:w="28" w:type="dxa"/>
            </w:tcMar>
            <w:vAlign w:val="center"/>
            <w:hideMark/>
          </w:tcPr>
          <w:p w14:paraId="493C7BEB" w14:textId="77777777" w:rsidR="00D61CAD" w:rsidRPr="000939E3" w:rsidRDefault="00D61CAD" w:rsidP="00D61CAD">
            <w:pPr>
              <w:keepNext/>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Špecialisti</w:t>
            </w:r>
          </w:p>
        </w:tc>
        <w:tc>
          <w:tcPr>
            <w:tcW w:w="851" w:type="dxa"/>
            <w:tcBorders>
              <w:top w:val="nil"/>
              <w:left w:val="single" w:sz="4" w:space="0" w:color="auto"/>
              <w:bottom w:val="nil"/>
              <w:right w:val="nil"/>
            </w:tcBorders>
            <w:shd w:val="clear" w:color="auto" w:fill="auto"/>
            <w:noWrap/>
            <w:vAlign w:val="bottom"/>
            <w:hideMark/>
          </w:tcPr>
          <w:p w14:paraId="306AB0A0"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130,0</w:t>
            </w:r>
          </w:p>
        </w:tc>
        <w:tc>
          <w:tcPr>
            <w:tcW w:w="770" w:type="dxa"/>
            <w:tcBorders>
              <w:top w:val="nil"/>
              <w:left w:val="nil"/>
              <w:bottom w:val="nil"/>
              <w:right w:val="single" w:sz="4" w:space="0" w:color="auto"/>
            </w:tcBorders>
            <w:shd w:val="clear" w:color="auto" w:fill="auto"/>
            <w:noWrap/>
            <w:vAlign w:val="bottom"/>
            <w:hideMark/>
          </w:tcPr>
          <w:p w14:paraId="0806C431"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144,0</w:t>
            </w:r>
          </w:p>
        </w:tc>
        <w:tc>
          <w:tcPr>
            <w:tcW w:w="847" w:type="dxa"/>
            <w:tcBorders>
              <w:top w:val="nil"/>
              <w:left w:val="nil"/>
              <w:bottom w:val="nil"/>
              <w:right w:val="nil"/>
            </w:tcBorders>
            <w:vAlign w:val="bottom"/>
          </w:tcPr>
          <w:p w14:paraId="06A14C05" w14:textId="77777777" w:rsidR="00D61CAD" w:rsidRPr="000939E3" w:rsidRDefault="00D61CAD" w:rsidP="00D61CAD">
            <w:pPr>
              <w:keepNext/>
              <w:spacing w:after="0" w:line="240" w:lineRule="auto"/>
              <w:jc w:val="right"/>
              <w:rPr>
                <w:sz w:val="20"/>
                <w:szCs w:val="20"/>
              </w:rPr>
            </w:pPr>
            <w:r w:rsidRPr="000939E3">
              <w:rPr>
                <w:sz w:val="20"/>
                <w:szCs w:val="20"/>
              </w:rPr>
              <w:t>33,3</w:t>
            </w:r>
          </w:p>
        </w:tc>
        <w:tc>
          <w:tcPr>
            <w:tcW w:w="850" w:type="dxa"/>
            <w:tcBorders>
              <w:top w:val="nil"/>
              <w:left w:val="nil"/>
              <w:bottom w:val="nil"/>
              <w:right w:val="single" w:sz="4" w:space="0" w:color="auto"/>
            </w:tcBorders>
            <w:vAlign w:val="bottom"/>
          </w:tcPr>
          <w:p w14:paraId="74EE027A" w14:textId="77777777" w:rsidR="00D61CAD" w:rsidRPr="000939E3" w:rsidRDefault="00D61CAD" w:rsidP="00D61CAD">
            <w:pPr>
              <w:keepNext/>
              <w:spacing w:after="0" w:line="240" w:lineRule="auto"/>
              <w:jc w:val="right"/>
              <w:rPr>
                <w:sz w:val="20"/>
                <w:szCs w:val="20"/>
              </w:rPr>
            </w:pPr>
            <w:r w:rsidRPr="000939E3">
              <w:rPr>
                <w:sz w:val="20"/>
                <w:szCs w:val="20"/>
              </w:rPr>
              <w:t>20,1</w:t>
            </w:r>
          </w:p>
        </w:tc>
        <w:tc>
          <w:tcPr>
            <w:tcW w:w="768" w:type="dxa"/>
            <w:tcBorders>
              <w:top w:val="nil"/>
              <w:left w:val="single" w:sz="4" w:space="0" w:color="auto"/>
              <w:bottom w:val="nil"/>
              <w:right w:val="nil"/>
            </w:tcBorders>
            <w:shd w:val="clear" w:color="auto" w:fill="auto"/>
            <w:noWrap/>
            <w:vAlign w:val="bottom"/>
            <w:hideMark/>
          </w:tcPr>
          <w:p w14:paraId="69E1F808"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7,1</w:t>
            </w:r>
          </w:p>
        </w:tc>
        <w:tc>
          <w:tcPr>
            <w:tcW w:w="734" w:type="dxa"/>
            <w:tcBorders>
              <w:top w:val="nil"/>
              <w:left w:val="nil"/>
              <w:bottom w:val="nil"/>
              <w:right w:val="single" w:sz="4" w:space="0" w:color="auto"/>
            </w:tcBorders>
            <w:shd w:val="clear" w:color="auto" w:fill="auto"/>
            <w:noWrap/>
            <w:vAlign w:val="bottom"/>
            <w:hideMark/>
          </w:tcPr>
          <w:p w14:paraId="1CF53289"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4,6</w:t>
            </w:r>
          </w:p>
        </w:tc>
        <w:tc>
          <w:tcPr>
            <w:tcW w:w="768" w:type="dxa"/>
            <w:tcBorders>
              <w:top w:val="nil"/>
              <w:left w:val="nil"/>
              <w:bottom w:val="nil"/>
              <w:right w:val="nil"/>
            </w:tcBorders>
            <w:shd w:val="clear" w:color="auto" w:fill="auto"/>
            <w:noWrap/>
            <w:vAlign w:val="bottom"/>
            <w:hideMark/>
          </w:tcPr>
          <w:p w14:paraId="05A06D44"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6,7</w:t>
            </w:r>
          </w:p>
        </w:tc>
        <w:tc>
          <w:tcPr>
            <w:tcW w:w="649" w:type="dxa"/>
            <w:tcBorders>
              <w:top w:val="nil"/>
              <w:left w:val="nil"/>
              <w:bottom w:val="nil"/>
            </w:tcBorders>
            <w:shd w:val="clear" w:color="auto" w:fill="auto"/>
            <w:noWrap/>
            <w:vAlign w:val="bottom"/>
            <w:hideMark/>
          </w:tcPr>
          <w:p w14:paraId="768C85B8"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4,9</w:t>
            </w:r>
          </w:p>
        </w:tc>
      </w:tr>
      <w:tr w:rsidR="00D61CAD" w:rsidRPr="000939E3" w14:paraId="7FE72B3D" w14:textId="77777777" w:rsidTr="00D61CAD">
        <w:trPr>
          <w:trHeight w:val="20"/>
        </w:trPr>
        <w:tc>
          <w:tcPr>
            <w:tcW w:w="2835" w:type="dxa"/>
            <w:tcBorders>
              <w:top w:val="nil"/>
              <w:left w:val="nil"/>
              <w:bottom w:val="nil"/>
              <w:right w:val="single" w:sz="4" w:space="0" w:color="auto"/>
            </w:tcBorders>
            <w:shd w:val="clear" w:color="auto" w:fill="auto"/>
            <w:noWrap/>
            <w:tcMar>
              <w:right w:w="28" w:type="dxa"/>
            </w:tcMar>
            <w:vAlign w:val="center"/>
            <w:hideMark/>
          </w:tcPr>
          <w:p w14:paraId="093AF388" w14:textId="77777777" w:rsidR="00D61CAD" w:rsidRPr="000939E3" w:rsidRDefault="00D61CAD" w:rsidP="00D61CAD">
            <w:pPr>
              <w:keepNext/>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Technici a odborní pracovníci</w:t>
            </w:r>
          </w:p>
        </w:tc>
        <w:tc>
          <w:tcPr>
            <w:tcW w:w="851" w:type="dxa"/>
            <w:tcBorders>
              <w:top w:val="nil"/>
              <w:left w:val="single" w:sz="4" w:space="0" w:color="auto"/>
              <w:bottom w:val="nil"/>
              <w:right w:val="nil"/>
            </w:tcBorders>
            <w:shd w:val="clear" w:color="auto" w:fill="auto"/>
            <w:noWrap/>
            <w:vAlign w:val="bottom"/>
            <w:hideMark/>
          </w:tcPr>
          <w:p w14:paraId="359D549D"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133,9</w:t>
            </w:r>
          </w:p>
        </w:tc>
        <w:tc>
          <w:tcPr>
            <w:tcW w:w="770" w:type="dxa"/>
            <w:tcBorders>
              <w:top w:val="nil"/>
              <w:left w:val="nil"/>
              <w:bottom w:val="nil"/>
              <w:right w:val="single" w:sz="4" w:space="0" w:color="auto"/>
            </w:tcBorders>
            <w:shd w:val="clear" w:color="auto" w:fill="auto"/>
            <w:noWrap/>
            <w:vAlign w:val="bottom"/>
            <w:hideMark/>
          </w:tcPr>
          <w:p w14:paraId="6FC3EB51"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144,0</w:t>
            </w:r>
          </w:p>
        </w:tc>
        <w:tc>
          <w:tcPr>
            <w:tcW w:w="847" w:type="dxa"/>
            <w:tcBorders>
              <w:top w:val="nil"/>
              <w:left w:val="nil"/>
              <w:bottom w:val="nil"/>
              <w:right w:val="nil"/>
            </w:tcBorders>
            <w:vAlign w:val="bottom"/>
          </w:tcPr>
          <w:p w14:paraId="4A276BED" w14:textId="77777777" w:rsidR="00D61CAD" w:rsidRPr="000939E3" w:rsidRDefault="00D61CAD" w:rsidP="00D61CAD">
            <w:pPr>
              <w:keepNext/>
              <w:spacing w:after="0" w:line="240" w:lineRule="auto"/>
              <w:jc w:val="right"/>
              <w:rPr>
                <w:sz w:val="20"/>
                <w:szCs w:val="20"/>
              </w:rPr>
            </w:pPr>
            <w:r w:rsidRPr="000939E3">
              <w:rPr>
                <w:sz w:val="20"/>
                <w:szCs w:val="20"/>
              </w:rPr>
              <w:t>24,3</w:t>
            </w:r>
          </w:p>
        </w:tc>
        <w:tc>
          <w:tcPr>
            <w:tcW w:w="850" w:type="dxa"/>
            <w:tcBorders>
              <w:top w:val="nil"/>
              <w:left w:val="nil"/>
              <w:bottom w:val="nil"/>
              <w:right w:val="single" w:sz="4" w:space="0" w:color="auto"/>
            </w:tcBorders>
            <w:vAlign w:val="bottom"/>
          </w:tcPr>
          <w:p w14:paraId="65643358" w14:textId="77777777" w:rsidR="00D61CAD" w:rsidRPr="000939E3" w:rsidRDefault="00D61CAD" w:rsidP="00D61CAD">
            <w:pPr>
              <w:keepNext/>
              <w:spacing w:after="0" w:line="240" w:lineRule="auto"/>
              <w:jc w:val="right"/>
              <w:rPr>
                <w:sz w:val="20"/>
                <w:szCs w:val="20"/>
              </w:rPr>
            </w:pPr>
            <w:r w:rsidRPr="000939E3">
              <w:rPr>
                <w:sz w:val="20"/>
                <w:szCs w:val="20"/>
              </w:rPr>
              <w:t>31,4</w:t>
            </w:r>
          </w:p>
        </w:tc>
        <w:tc>
          <w:tcPr>
            <w:tcW w:w="768" w:type="dxa"/>
            <w:tcBorders>
              <w:top w:val="nil"/>
              <w:left w:val="single" w:sz="4" w:space="0" w:color="auto"/>
              <w:bottom w:val="nil"/>
              <w:right w:val="nil"/>
            </w:tcBorders>
            <w:shd w:val="clear" w:color="auto" w:fill="auto"/>
            <w:noWrap/>
            <w:vAlign w:val="bottom"/>
            <w:hideMark/>
          </w:tcPr>
          <w:p w14:paraId="5012A56A"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5,4</w:t>
            </w:r>
          </w:p>
        </w:tc>
        <w:tc>
          <w:tcPr>
            <w:tcW w:w="734" w:type="dxa"/>
            <w:tcBorders>
              <w:top w:val="nil"/>
              <w:left w:val="nil"/>
              <w:bottom w:val="nil"/>
              <w:right w:val="single" w:sz="4" w:space="0" w:color="auto"/>
            </w:tcBorders>
            <w:shd w:val="clear" w:color="auto" w:fill="auto"/>
            <w:noWrap/>
            <w:vAlign w:val="bottom"/>
            <w:hideMark/>
          </w:tcPr>
          <w:p w14:paraId="7660A34E"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4,5</w:t>
            </w:r>
          </w:p>
        </w:tc>
        <w:tc>
          <w:tcPr>
            <w:tcW w:w="768" w:type="dxa"/>
            <w:tcBorders>
              <w:top w:val="nil"/>
              <w:left w:val="nil"/>
              <w:bottom w:val="nil"/>
              <w:right w:val="nil"/>
            </w:tcBorders>
            <w:shd w:val="clear" w:color="auto" w:fill="auto"/>
            <w:noWrap/>
            <w:vAlign w:val="bottom"/>
            <w:hideMark/>
          </w:tcPr>
          <w:p w14:paraId="7465D255"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7,2</w:t>
            </w:r>
          </w:p>
        </w:tc>
        <w:tc>
          <w:tcPr>
            <w:tcW w:w="649" w:type="dxa"/>
            <w:tcBorders>
              <w:top w:val="nil"/>
              <w:left w:val="nil"/>
              <w:bottom w:val="nil"/>
            </w:tcBorders>
            <w:shd w:val="clear" w:color="auto" w:fill="auto"/>
            <w:noWrap/>
            <w:vAlign w:val="bottom"/>
            <w:hideMark/>
          </w:tcPr>
          <w:p w14:paraId="0142EF68"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5,6</w:t>
            </w:r>
          </w:p>
        </w:tc>
      </w:tr>
      <w:tr w:rsidR="00D61CAD" w:rsidRPr="000939E3" w14:paraId="2DE14A70" w14:textId="77777777" w:rsidTr="00D61CAD">
        <w:trPr>
          <w:trHeight w:val="20"/>
        </w:trPr>
        <w:tc>
          <w:tcPr>
            <w:tcW w:w="2835" w:type="dxa"/>
            <w:tcBorders>
              <w:top w:val="nil"/>
              <w:left w:val="nil"/>
              <w:bottom w:val="nil"/>
              <w:right w:val="single" w:sz="4" w:space="0" w:color="auto"/>
            </w:tcBorders>
            <w:shd w:val="clear" w:color="auto" w:fill="auto"/>
            <w:noWrap/>
            <w:tcMar>
              <w:right w:w="28" w:type="dxa"/>
            </w:tcMar>
            <w:vAlign w:val="center"/>
            <w:hideMark/>
          </w:tcPr>
          <w:p w14:paraId="6272C7C8" w14:textId="77777777" w:rsidR="00D61CAD" w:rsidRPr="000939E3" w:rsidRDefault="00D61CAD" w:rsidP="00D61CAD">
            <w:pPr>
              <w:keepNext/>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Administratívni pracovníci</w:t>
            </w:r>
          </w:p>
        </w:tc>
        <w:tc>
          <w:tcPr>
            <w:tcW w:w="851" w:type="dxa"/>
            <w:tcBorders>
              <w:top w:val="nil"/>
              <w:left w:val="single" w:sz="4" w:space="0" w:color="auto"/>
              <w:bottom w:val="nil"/>
              <w:right w:val="nil"/>
            </w:tcBorders>
            <w:shd w:val="clear" w:color="auto" w:fill="auto"/>
            <w:noWrap/>
            <w:vAlign w:val="bottom"/>
            <w:hideMark/>
          </w:tcPr>
          <w:p w14:paraId="68673C5D"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131,6</w:t>
            </w:r>
          </w:p>
        </w:tc>
        <w:tc>
          <w:tcPr>
            <w:tcW w:w="770" w:type="dxa"/>
            <w:tcBorders>
              <w:top w:val="nil"/>
              <w:left w:val="nil"/>
              <w:bottom w:val="nil"/>
              <w:right w:val="single" w:sz="4" w:space="0" w:color="auto"/>
            </w:tcBorders>
            <w:shd w:val="clear" w:color="auto" w:fill="auto"/>
            <w:noWrap/>
            <w:vAlign w:val="bottom"/>
            <w:hideMark/>
          </w:tcPr>
          <w:p w14:paraId="5B83AD86"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142,0</w:t>
            </w:r>
          </w:p>
        </w:tc>
        <w:tc>
          <w:tcPr>
            <w:tcW w:w="847" w:type="dxa"/>
            <w:tcBorders>
              <w:top w:val="nil"/>
              <w:left w:val="nil"/>
              <w:bottom w:val="nil"/>
              <w:right w:val="nil"/>
            </w:tcBorders>
            <w:vAlign w:val="bottom"/>
          </w:tcPr>
          <w:p w14:paraId="65A4E38A" w14:textId="77777777" w:rsidR="00D61CAD" w:rsidRPr="000939E3" w:rsidRDefault="00D61CAD" w:rsidP="00D61CAD">
            <w:pPr>
              <w:keepNext/>
              <w:spacing w:after="0" w:line="240" w:lineRule="auto"/>
              <w:jc w:val="right"/>
              <w:rPr>
                <w:sz w:val="20"/>
                <w:szCs w:val="20"/>
              </w:rPr>
            </w:pPr>
            <w:r w:rsidRPr="000939E3">
              <w:rPr>
                <w:sz w:val="20"/>
                <w:szCs w:val="20"/>
              </w:rPr>
              <w:t>12,2</w:t>
            </w:r>
          </w:p>
        </w:tc>
        <w:tc>
          <w:tcPr>
            <w:tcW w:w="850" w:type="dxa"/>
            <w:tcBorders>
              <w:top w:val="nil"/>
              <w:left w:val="nil"/>
              <w:bottom w:val="nil"/>
              <w:right w:val="single" w:sz="4" w:space="0" w:color="auto"/>
            </w:tcBorders>
            <w:vAlign w:val="bottom"/>
          </w:tcPr>
          <w:p w14:paraId="01BA1AA0" w14:textId="77777777" w:rsidR="00D61CAD" w:rsidRPr="000939E3" w:rsidRDefault="00D61CAD" w:rsidP="00D61CAD">
            <w:pPr>
              <w:keepNext/>
              <w:spacing w:after="0" w:line="240" w:lineRule="auto"/>
              <w:jc w:val="right"/>
              <w:rPr>
                <w:sz w:val="20"/>
                <w:szCs w:val="20"/>
              </w:rPr>
            </w:pPr>
            <w:r w:rsidRPr="000939E3">
              <w:rPr>
                <w:sz w:val="20"/>
                <w:szCs w:val="20"/>
              </w:rPr>
              <w:t>28,5</w:t>
            </w:r>
          </w:p>
        </w:tc>
        <w:tc>
          <w:tcPr>
            <w:tcW w:w="768" w:type="dxa"/>
            <w:tcBorders>
              <w:top w:val="nil"/>
              <w:left w:val="single" w:sz="4" w:space="0" w:color="auto"/>
              <w:bottom w:val="nil"/>
              <w:right w:val="nil"/>
            </w:tcBorders>
            <w:shd w:val="clear" w:color="auto" w:fill="auto"/>
            <w:noWrap/>
            <w:vAlign w:val="bottom"/>
            <w:hideMark/>
          </w:tcPr>
          <w:p w14:paraId="5B9C1868"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5,3</w:t>
            </w:r>
          </w:p>
        </w:tc>
        <w:tc>
          <w:tcPr>
            <w:tcW w:w="734" w:type="dxa"/>
            <w:tcBorders>
              <w:top w:val="nil"/>
              <w:left w:val="nil"/>
              <w:bottom w:val="nil"/>
              <w:right w:val="single" w:sz="4" w:space="0" w:color="auto"/>
            </w:tcBorders>
            <w:shd w:val="clear" w:color="auto" w:fill="auto"/>
            <w:noWrap/>
            <w:vAlign w:val="bottom"/>
            <w:hideMark/>
          </w:tcPr>
          <w:p w14:paraId="0E61350A"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4,3</w:t>
            </w:r>
          </w:p>
        </w:tc>
        <w:tc>
          <w:tcPr>
            <w:tcW w:w="768" w:type="dxa"/>
            <w:tcBorders>
              <w:top w:val="nil"/>
              <w:left w:val="nil"/>
              <w:bottom w:val="nil"/>
              <w:right w:val="nil"/>
            </w:tcBorders>
            <w:shd w:val="clear" w:color="auto" w:fill="auto"/>
            <w:noWrap/>
            <w:vAlign w:val="bottom"/>
            <w:hideMark/>
          </w:tcPr>
          <w:p w14:paraId="423C704A"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9,0</w:t>
            </w:r>
          </w:p>
        </w:tc>
        <w:tc>
          <w:tcPr>
            <w:tcW w:w="649" w:type="dxa"/>
            <w:tcBorders>
              <w:top w:val="nil"/>
              <w:left w:val="nil"/>
              <w:bottom w:val="nil"/>
            </w:tcBorders>
            <w:shd w:val="clear" w:color="auto" w:fill="auto"/>
            <w:noWrap/>
            <w:vAlign w:val="bottom"/>
            <w:hideMark/>
          </w:tcPr>
          <w:p w14:paraId="23AC8E71"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7,3</w:t>
            </w:r>
          </w:p>
        </w:tc>
      </w:tr>
      <w:tr w:rsidR="00D61CAD" w:rsidRPr="000939E3" w14:paraId="0F0A2192" w14:textId="77777777" w:rsidTr="00D61CAD">
        <w:trPr>
          <w:trHeight w:val="20"/>
        </w:trPr>
        <w:tc>
          <w:tcPr>
            <w:tcW w:w="2835" w:type="dxa"/>
            <w:tcBorders>
              <w:top w:val="nil"/>
              <w:left w:val="nil"/>
              <w:bottom w:val="nil"/>
              <w:right w:val="single" w:sz="4" w:space="0" w:color="auto"/>
            </w:tcBorders>
            <w:shd w:val="clear" w:color="auto" w:fill="auto"/>
            <w:noWrap/>
            <w:tcMar>
              <w:right w:w="28" w:type="dxa"/>
            </w:tcMar>
            <w:vAlign w:val="center"/>
            <w:hideMark/>
          </w:tcPr>
          <w:p w14:paraId="36F165CF" w14:textId="77777777" w:rsidR="00D61CAD" w:rsidRPr="000939E3" w:rsidRDefault="00D61CAD" w:rsidP="00D61CAD">
            <w:pPr>
              <w:keepNext/>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Prac. v službách a obchode</w:t>
            </w:r>
          </w:p>
        </w:tc>
        <w:tc>
          <w:tcPr>
            <w:tcW w:w="851" w:type="dxa"/>
            <w:tcBorders>
              <w:top w:val="nil"/>
              <w:left w:val="single" w:sz="4" w:space="0" w:color="auto"/>
              <w:bottom w:val="nil"/>
              <w:right w:val="nil"/>
            </w:tcBorders>
            <w:shd w:val="clear" w:color="auto" w:fill="auto"/>
            <w:noWrap/>
            <w:vAlign w:val="bottom"/>
            <w:hideMark/>
          </w:tcPr>
          <w:p w14:paraId="65DB75BD"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133,6</w:t>
            </w:r>
          </w:p>
        </w:tc>
        <w:tc>
          <w:tcPr>
            <w:tcW w:w="770" w:type="dxa"/>
            <w:tcBorders>
              <w:top w:val="nil"/>
              <w:left w:val="nil"/>
              <w:bottom w:val="nil"/>
              <w:right w:val="single" w:sz="4" w:space="0" w:color="auto"/>
            </w:tcBorders>
            <w:shd w:val="clear" w:color="auto" w:fill="auto"/>
            <w:noWrap/>
            <w:vAlign w:val="bottom"/>
            <w:hideMark/>
          </w:tcPr>
          <w:p w14:paraId="2F40AEB3"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145,2</w:t>
            </w:r>
          </w:p>
        </w:tc>
        <w:tc>
          <w:tcPr>
            <w:tcW w:w="847" w:type="dxa"/>
            <w:tcBorders>
              <w:top w:val="nil"/>
              <w:left w:val="nil"/>
              <w:bottom w:val="nil"/>
              <w:right w:val="nil"/>
            </w:tcBorders>
            <w:vAlign w:val="bottom"/>
          </w:tcPr>
          <w:p w14:paraId="5F7AD71A" w14:textId="77777777" w:rsidR="00D61CAD" w:rsidRPr="000939E3" w:rsidRDefault="00D61CAD" w:rsidP="00D61CAD">
            <w:pPr>
              <w:keepNext/>
              <w:spacing w:after="0" w:line="240" w:lineRule="auto"/>
              <w:jc w:val="right"/>
              <w:rPr>
                <w:sz w:val="20"/>
                <w:szCs w:val="20"/>
              </w:rPr>
            </w:pPr>
            <w:r w:rsidRPr="000939E3">
              <w:rPr>
                <w:sz w:val="20"/>
                <w:szCs w:val="20"/>
              </w:rPr>
              <w:t>41,8</w:t>
            </w:r>
          </w:p>
        </w:tc>
        <w:tc>
          <w:tcPr>
            <w:tcW w:w="850" w:type="dxa"/>
            <w:tcBorders>
              <w:top w:val="nil"/>
              <w:left w:val="nil"/>
              <w:bottom w:val="nil"/>
              <w:right w:val="single" w:sz="4" w:space="0" w:color="auto"/>
            </w:tcBorders>
            <w:vAlign w:val="bottom"/>
          </w:tcPr>
          <w:p w14:paraId="069AE4A1" w14:textId="77777777" w:rsidR="00D61CAD" w:rsidRPr="000939E3" w:rsidRDefault="00D61CAD" w:rsidP="00D61CAD">
            <w:pPr>
              <w:keepNext/>
              <w:spacing w:after="0" w:line="240" w:lineRule="auto"/>
              <w:jc w:val="right"/>
              <w:rPr>
                <w:sz w:val="20"/>
                <w:szCs w:val="20"/>
              </w:rPr>
            </w:pPr>
            <w:r w:rsidRPr="000939E3">
              <w:rPr>
                <w:sz w:val="20"/>
                <w:szCs w:val="20"/>
              </w:rPr>
              <w:t>44,2</w:t>
            </w:r>
          </w:p>
        </w:tc>
        <w:tc>
          <w:tcPr>
            <w:tcW w:w="768" w:type="dxa"/>
            <w:tcBorders>
              <w:top w:val="nil"/>
              <w:left w:val="single" w:sz="4" w:space="0" w:color="auto"/>
              <w:bottom w:val="nil"/>
              <w:right w:val="nil"/>
            </w:tcBorders>
            <w:shd w:val="clear" w:color="auto" w:fill="auto"/>
            <w:noWrap/>
            <w:vAlign w:val="bottom"/>
            <w:hideMark/>
          </w:tcPr>
          <w:p w14:paraId="7F41A257"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5,4</w:t>
            </w:r>
          </w:p>
        </w:tc>
        <w:tc>
          <w:tcPr>
            <w:tcW w:w="734" w:type="dxa"/>
            <w:tcBorders>
              <w:top w:val="nil"/>
              <w:left w:val="nil"/>
              <w:bottom w:val="nil"/>
              <w:right w:val="single" w:sz="4" w:space="0" w:color="auto"/>
            </w:tcBorders>
            <w:shd w:val="clear" w:color="auto" w:fill="auto"/>
            <w:noWrap/>
            <w:vAlign w:val="bottom"/>
            <w:hideMark/>
          </w:tcPr>
          <w:p w14:paraId="13FDEA1B"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4,4</w:t>
            </w:r>
          </w:p>
        </w:tc>
        <w:tc>
          <w:tcPr>
            <w:tcW w:w="768" w:type="dxa"/>
            <w:tcBorders>
              <w:top w:val="nil"/>
              <w:left w:val="nil"/>
              <w:bottom w:val="nil"/>
              <w:right w:val="nil"/>
            </w:tcBorders>
            <w:shd w:val="clear" w:color="auto" w:fill="auto"/>
            <w:noWrap/>
            <w:vAlign w:val="bottom"/>
            <w:hideMark/>
          </w:tcPr>
          <w:p w14:paraId="0F0AC316"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10,7</w:t>
            </w:r>
          </w:p>
        </w:tc>
        <w:tc>
          <w:tcPr>
            <w:tcW w:w="649" w:type="dxa"/>
            <w:tcBorders>
              <w:top w:val="nil"/>
              <w:left w:val="nil"/>
              <w:bottom w:val="nil"/>
            </w:tcBorders>
            <w:shd w:val="clear" w:color="auto" w:fill="auto"/>
            <w:noWrap/>
            <w:vAlign w:val="bottom"/>
            <w:hideMark/>
          </w:tcPr>
          <w:p w14:paraId="2AEADC17"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9,7</w:t>
            </w:r>
          </w:p>
        </w:tc>
      </w:tr>
      <w:tr w:rsidR="00D61CAD" w:rsidRPr="000939E3" w14:paraId="51EAF86C" w14:textId="77777777" w:rsidTr="00D61CAD">
        <w:trPr>
          <w:trHeight w:val="20"/>
        </w:trPr>
        <w:tc>
          <w:tcPr>
            <w:tcW w:w="2835" w:type="dxa"/>
            <w:tcBorders>
              <w:top w:val="nil"/>
              <w:left w:val="nil"/>
              <w:bottom w:val="nil"/>
              <w:right w:val="single" w:sz="4" w:space="0" w:color="auto"/>
            </w:tcBorders>
            <w:shd w:val="clear" w:color="auto" w:fill="auto"/>
            <w:noWrap/>
            <w:tcMar>
              <w:right w:w="28" w:type="dxa"/>
            </w:tcMar>
            <w:vAlign w:val="center"/>
            <w:hideMark/>
          </w:tcPr>
          <w:p w14:paraId="12B68EE5" w14:textId="77777777" w:rsidR="00D61CAD" w:rsidRPr="000939E3" w:rsidRDefault="00D61CAD" w:rsidP="00D61CAD">
            <w:pPr>
              <w:keepNext/>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 xml:space="preserve">Kvalifikovaní prac. v poľnohosp. </w:t>
            </w:r>
          </w:p>
        </w:tc>
        <w:tc>
          <w:tcPr>
            <w:tcW w:w="851" w:type="dxa"/>
            <w:tcBorders>
              <w:top w:val="nil"/>
              <w:left w:val="single" w:sz="4" w:space="0" w:color="auto"/>
              <w:bottom w:val="nil"/>
              <w:right w:val="nil"/>
            </w:tcBorders>
            <w:shd w:val="clear" w:color="auto" w:fill="auto"/>
            <w:noWrap/>
            <w:vAlign w:val="bottom"/>
            <w:hideMark/>
          </w:tcPr>
          <w:p w14:paraId="0094AB28"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130,7</w:t>
            </w:r>
          </w:p>
        </w:tc>
        <w:tc>
          <w:tcPr>
            <w:tcW w:w="770" w:type="dxa"/>
            <w:tcBorders>
              <w:top w:val="nil"/>
              <w:left w:val="nil"/>
              <w:bottom w:val="nil"/>
              <w:right w:val="single" w:sz="4" w:space="0" w:color="auto"/>
            </w:tcBorders>
            <w:shd w:val="clear" w:color="auto" w:fill="auto"/>
            <w:noWrap/>
            <w:vAlign w:val="bottom"/>
            <w:hideMark/>
          </w:tcPr>
          <w:p w14:paraId="6276C757"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147,1</w:t>
            </w:r>
          </w:p>
        </w:tc>
        <w:tc>
          <w:tcPr>
            <w:tcW w:w="847" w:type="dxa"/>
            <w:tcBorders>
              <w:top w:val="nil"/>
              <w:left w:val="nil"/>
              <w:bottom w:val="nil"/>
              <w:right w:val="nil"/>
            </w:tcBorders>
            <w:vAlign w:val="bottom"/>
          </w:tcPr>
          <w:p w14:paraId="01CA3C16" w14:textId="77777777" w:rsidR="00D61CAD" w:rsidRPr="000939E3" w:rsidRDefault="00D61CAD" w:rsidP="00D61CAD">
            <w:pPr>
              <w:keepNext/>
              <w:spacing w:after="0" w:line="240" w:lineRule="auto"/>
              <w:jc w:val="right"/>
              <w:rPr>
                <w:sz w:val="20"/>
                <w:szCs w:val="20"/>
              </w:rPr>
            </w:pPr>
            <w:r w:rsidRPr="000939E3">
              <w:rPr>
                <w:sz w:val="20"/>
                <w:szCs w:val="20"/>
              </w:rPr>
              <w:t>40,5</w:t>
            </w:r>
          </w:p>
        </w:tc>
        <w:tc>
          <w:tcPr>
            <w:tcW w:w="850" w:type="dxa"/>
            <w:tcBorders>
              <w:top w:val="nil"/>
              <w:left w:val="nil"/>
              <w:bottom w:val="nil"/>
              <w:right w:val="single" w:sz="4" w:space="0" w:color="auto"/>
            </w:tcBorders>
            <w:vAlign w:val="bottom"/>
          </w:tcPr>
          <w:p w14:paraId="466FD103" w14:textId="77777777" w:rsidR="00D61CAD" w:rsidRPr="000939E3" w:rsidRDefault="00D61CAD" w:rsidP="00D61CAD">
            <w:pPr>
              <w:keepNext/>
              <w:spacing w:after="0" w:line="240" w:lineRule="auto"/>
              <w:jc w:val="right"/>
              <w:rPr>
                <w:sz w:val="20"/>
                <w:szCs w:val="20"/>
              </w:rPr>
            </w:pPr>
            <w:r w:rsidRPr="000939E3">
              <w:rPr>
                <w:sz w:val="20"/>
                <w:szCs w:val="20"/>
              </w:rPr>
              <w:t>48,5</w:t>
            </w:r>
          </w:p>
        </w:tc>
        <w:tc>
          <w:tcPr>
            <w:tcW w:w="768" w:type="dxa"/>
            <w:tcBorders>
              <w:top w:val="nil"/>
              <w:left w:val="single" w:sz="4" w:space="0" w:color="auto"/>
              <w:bottom w:val="nil"/>
              <w:right w:val="nil"/>
            </w:tcBorders>
            <w:shd w:val="clear" w:color="auto" w:fill="auto"/>
            <w:noWrap/>
            <w:vAlign w:val="bottom"/>
            <w:hideMark/>
          </w:tcPr>
          <w:p w14:paraId="4AB242B3"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5,3</w:t>
            </w:r>
          </w:p>
        </w:tc>
        <w:tc>
          <w:tcPr>
            <w:tcW w:w="734" w:type="dxa"/>
            <w:tcBorders>
              <w:top w:val="nil"/>
              <w:left w:val="nil"/>
              <w:bottom w:val="nil"/>
              <w:right w:val="single" w:sz="4" w:space="0" w:color="auto"/>
            </w:tcBorders>
            <w:shd w:val="clear" w:color="auto" w:fill="auto"/>
            <w:noWrap/>
            <w:vAlign w:val="bottom"/>
            <w:hideMark/>
          </w:tcPr>
          <w:p w14:paraId="33B59901"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4,3</w:t>
            </w:r>
          </w:p>
        </w:tc>
        <w:tc>
          <w:tcPr>
            <w:tcW w:w="768" w:type="dxa"/>
            <w:tcBorders>
              <w:top w:val="nil"/>
              <w:left w:val="nil"/>
              <w:bottom w:val="nil"/>
              <w:right w:val="nil"/>
            </w:tcBorders>
            <w:shd w:val="clear" w:color="auto" w:fill="auto"/>
            <w:noWrap/>
            <w:vAlign w:val="bottom"/>
            <w:hideMark/>
          </w:tcPr>
          <w:p w14:paraId="58BB9C3F"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14,9</w:t>
            </w:r>
          </w:p>
        </w:tc>
        <w:tc>
          <w:tcPr>
            <w:tcW w:w="649" w:type="dxa"/>
            <w:tcBorders>
              <w:top w:val="nil"/>
              <w:left w:val="nil"/>
              <w:bottom w:val="nil"/>
            </w:tcBorders>
            <w:shd w:val="clear" w:color="auto" w:fill="auto"/>
            <w:noWrap/>
            <w:vAlign w:val="bottom"/>
            <w:hideMark/>
          </w:tcPr>
          <w:p w14:paraId="3065F168"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18,0</w:t>
            </w:r>
          </w:p>
        </w:tc>
      </w:tr>
      <w:tr w:rsidR="00D61CAD" w:rsidRPr="000939E3" w14:paraId="1ED39C33" w14:textId="77777777" w:rsidTr="00D61CAD">
        <w:trPr>
          <w:trHeight w:val="20"/>
        </w:trPr>
        <w:tc>
          <w:tcPr>
            <w:tcW w:w="2835" w:type="dxa"/>
            <w:tcBorders>
              <w:top w:val="nil"/>
              <w:left w:val="nil"/>
              <w:bottom w:val="nil"/>
              <w:right w:val="single" w:sz="4" w:space="0" w:color="auto"/>
            </w:tcBorders>
            <w:shd w:val="clear" w:color="auto" w:fill="auto"/>
            <w:noWrap/>
            <w:tcMar>
              <w:right w:w="28" w:type="dxa"/>
            </w:tcMar>
            <w:vAlign w:val="center"/>
            <w:hideMark/>
          </w:tcPr>
          <w:p w14:paraId="3E4938AD" w14:textId="4BB67148" w:rsidR="00D61CAD" w:rsidRPr="000939E3" w:rsidRDefault="00B41AEF" w:rsidP="00D61CAD">
            <w:pPr>
              <w:keepNext/>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Kvalifikovaní prac.a remes.</w:t>
            </w:r>
          </w:p>
        </w:tc>
        <w:tc>
          <w:tcPr>
            <w:tcW w:w="851" w:type="dxa"/>
            <w:tcBorders>
              <w:top w:val="nil"/>
              <w:left w:val="single" w:sz="4" w:space="0" w:color="auto"/>
              <w:bottom w:val="nil"/>
              <w:right w:val="nil"/>
            </w:tcBorders>
            <w:shd w:val="clear" w:color="auto" w:fill="auto"/>
            <w:noWrap/>
            <w:vAlign w:val="bottom"/>
            <w:hideMark/>
          </w:tcPr>
          <w:p w14:paraId="1A101ED7"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135,8</w:t>
            </w:r>
          </w:p>
        </w:tc>
        <w:tc>
          <w:tcPr>
            <w:tcW w:w="770" w:type="dxa"/>
            <w:tcBorders>
              <w:top w:val="nil"/>
              <w:left w:val="nil"/>
              <w:bottom w:val="nil"/>
              <w:right w:val="single" w:sz="4" w:space="0" w:color="auto"/>
            </w:tcBorders>
            <w:shd w:val="clear" w:color="auto" w:fill="auto"/>
            <w:noWrap/>
            <w:vAlign w:val="bottom"/>
            <w:hideMark/>
          </w:tcPr>
          <w:p w14:paraId="777BD759"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138,7</w:t>
            </w:r>
          </w:p>
        </w:tc>
        <w:tc>
          <w:tcPr>
            <w:tcW w:w="847" w:type="dxa"/>
            <w:tcBorders>
              <w:top w:val="nil"/>
              <w:left w:val="nil"/>
              <w:bottom w:val="nil"/>
              <w:right w:val="nil"/>
            </w:tcBorders>
            <w:vAlign w:val="bottom"/>
          </w:tcPr>
          <w:p w14:paraId="650168D7" w14:textId="77777777" w:rsidR="00D61CAD" w:rsidRPr="000939E3" w:rsidRDefault="00D61CAD" w:rsidP="00D61CAD">
            <w:pPr>
              <w:keepNext/>
              <w:spacing w:after="0" w:line="240" w:lineRule="auto"/>
              <w:jc w:val="right"/>
              <w:rPr>
                <w:sz w:val="20"/>
                <w:szCs w:val="20"/>
              </w:rPr>
            </w:pPr>
            <w:r w:rsidRPr="000939E3">
              <w:rPr>
                <w:sz w:val="20"/>
                <w:szCs w:val="20"/>
              </w:rPr>
              <w:t>55,1</w:t>
            </w:r>
          </w:p>
        </w:tc>
        <w:tc>
          <w:tcPr>
            <w:tcW w:w="850" w:type="dxa"/>
            <w:tcBorders>
              <w:top w:val="nil"/>
              <w:left w:val="nil"/>
              <w:bottom w:val="nil"/>
              <w:right w:val="single" w:sz="4" w:space="0" w:color="auto"/>
            </w:tcBorders>
            <w:vAlign w:val="bottom"/>
          </w:tcPr>
          <w:p w14:paraId="021FF586" w14:textId="77777777" w:rsidR="00D61CAD" w:rsidRPr="000939E3" w:rsidRDefault="00D61CAD" w:rsidP="00D61CAD">
            <w:pPr>
              <w:keepNext/>
              <w:spacing w:after="0" w:line="240" w:lineRule="auto"/>
              <w:jc w:val="right"/>
              <w:rPr>
                <w:sz w:val="20"/>
                <w:szCs w:val="20"/>
              </w:rPr>
            </w:pPr>
            <w:r w:rsidRPr="000939E3">
              <w:rPr>
                <w:sz w:val="20"/>
                <w:szCs w:val="20"/>
              </w:rPr>
              <w:t>68,0</w:t>
            </w:r>
          </w:p>
        </w:tc>
        <w:tc>
          <w:tcPr>
            <w:tcW w:w="768" w:type="dxa"/>
            <w:tcBorders>
              <w:top w:val="nil"/>
              <w:left w:val="single" w:sz="4" w:space="0" w:color="auto"/>
              <w:bottom w:val="nil"/>
              <w:right w:val="nil"/>
            </w:tcBorders>
            <w:shd w:val="clear" w:color="auto" w:fill="auto"/>
            <w:noWrap/>
            <w:vAlign w:val="bottom"/>
            <w:hideMark/>
          </w:tcPr>
          <w:p w14:paraId="1F1ABAFF"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4,9</w:t>
            </w:r>
          </w:p>
        </w:tc>
        <w:tc>
          <w:tcPr>
            <w:tcW w:w="734" w:type="dxa"/>
            <w:tcBorders>
              <w:top w:val="nil"/>
              <w:left w:val="nil"/>
              <w:bottom w:val="nil"/>
              <w:right w:val="single" w:sz="4" w:space="0" w:color="auto"/>
            </w:tcBorders>
            <w:shd w:val="clear" w:color="auto" w:fill="auto"/>
            <w:noWrap/>
            <w:vAlign w:val="bottom"/>
            <w:hideMark/>
          </w:tcPr>
          <w:p w14:paraId="5F848DA5"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4,4</w:t>
            </w:r>
          </w:p>
        </w:tc>
        <w:tc>
          <w:tcPr>
            <w:tcW w:w="768" w:type="dxa"/>
            <w:tcBorders>
              <w:top w:val="nil"/>
              <w:left w:val="nil"/>
              <w:bottom w:val="nil"/>
              <w:right w:val="nil"/>
            </w:tcBorders>
            <w:shd w:val="clear" w:color="auto" w:fill="auto"/>
            <w:noWrap/>
            <w:vAlign w:val="bottom"/>
            <w:hideMark/>
          </w:tcPr>
          <w:p w14:paraId="7B3AEEF2"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8,6</w:t>
            </w:r>
          </w:p>
        </w:tc>
        <w:tc>
          <w:tcPr>
            <w:tcW w:w="649" w:type="dxa"/>
            <w:tcBorders>
              <w:top w:val="nil"/>
              <w:left w:val="nil"/>
              <w:bottom w:val="nil"/>
            </w:tcBorders>
            <w:shd w:val="clear" w:color="auto" w:fill="auto"/>
            <w:noWrap/>
            <w:vAlign w:val="bottom"/>
            <w:hideMark/>
          </w:tcPr>
          <w:p w14:paraId="1EEDAB5C"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13,1</w:t>
            </w:r>
          </w:p>
        </w:tc>
      </w:tr>
      <w:tr w:rsidR="00D61CAD" w:rsidRPr="000939E3" w14:paraId="75C6F232" w14:textId="77777777" w:rsidTr="00D61CAD">
        <w:trPr>
          <w:trHeight w:val="20"/>
        </w:trPr>
        <w:tc>
          <w:tcPr>
            <w:tcW w:w="2835" w:type="dxa"/>
            <w:tcBorders>
              <w:top w:val="nil"/>
              <w:left w:val="nil"/>
              <w:bottom w:val="nil"/>
              <w:right w:val="single" w:sz="4" w:space="0" w:color="auto"/>
            </w:tcBorders>
            <w:shd w:val="clear" w:color="auto" w:fill="auto"/>
            <w:noWrap/>
            <w:tcMar>
              <w:right w:w="28" w:type="dxa"/>
            </w:tcMar>
            <w:vAlign w:val="center"/>
            <w:hideMark/>
          </w:tcPr>
          <w:p w14:paraId="371C17B6" w14:textId="77777777" w:rsidR="00D61CAD" w:rsidRPr="000939E3" w:rsidRDefault="00D61CAD" w:rsidP="00D61CAD">
            <w:pPr>
              <w:keepNext/>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Operátori a montéri strojov a zar.</w:t>
            </w:r>
          </w:p>
        </w:tc>
        <w:tc>
          <w:tcPr>
            <w:tcW w:w="851" w:type="dxa"/>
            <w:tcBorders>
              <w:top w:val="nil"/>
              <w:left w:val="single" w:sz="4" w:space="0" w:color="auto"/>
              <w:bottom w:val="nil"/>
              <w:right w:val="nil"/>
            </w:tcBorders>
            <w:shd w:val="clear" w:color="auto" w:fill="auto"/>
            <w:noWrap/>
            <w:vAlign w:val="bottom"/>
            <w:hideMark/>
          </w:tcPr>
          <w:p w14:paraId="4BC66A06"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142,5</w:t>
            </w:r>
          </w:p>
        </w:tc>
        <w:tc>
          <w:tcPr>
            <w:tcW w:w="770" w:type="dxa"/>
            <w:tcBorders>
              <w:top w:val="nil"/>
              <w:left w:val="nil"/>
              <w:bottom w:val="nil"/>
              <w:right w:val="single" w:sz="4" w:space="0" w:color="auto"/>
            </w:tcBorders>
            <w:shd w:val="clear" w:color="auto" w:fill="auto"/>
            <w:noWrap/>
            <w:vAlign w:val="bottom"/>
            <w:hideMark/>
          </w:tcPr>
          <w:p w14:paraId="15DE37E8"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140,9</w:t>
            </w:r>
          </w:p>
        </w:tc>
        <w:tc>
          <w:tcPr>
            <w:tcW w:w="847" w:type="dxa"/>
            <w:tcBorders>
              <w:top w:val="nil"/>
              <w:left w:val="nil"/>
              <w:bottom w:val="nil"/>
              <w:right w:val="nil"/>
            </w:tcBorders>
            <w:vAlign w:val="bottom"/>
          </w:tcPr>
          <w:p w14:paraId="09137CF3" w14:textId="77777777" w:rsidR="00D61CAD" w:rsidRPr="000939E3" w:rsidRDefault="00D61CAD" w:rsidP="00D61CAD">
            <w:pPr>
              <w:keepNext/>
              <w:spacing w:after="0" w:line="240" w:lineRule="auto"/>
              <w:jc w:val="right"/>
              <w:rPr>
                <w:sz w:val="20"/>
                <w:szCs w:val="20"/>
              </w:rPr>
            </w:pPr>
            <w:r w:rsidRPr="000939E3">
              <w:rPr>
                <w:sz w:val="20"/>
                <w:szCs w:val="20"/>
              </w:rPr>
              <w:t>113,7</w:t>
            </w:r>
          </w:p>
        </w:tc>
        <w:tc>
          <w:tcPr>
            <w:tcW w:w="850" w:type="dxa"/>
            <w:tcBorders>
              <w:top w:val="nil"/>
              <w:left w:val="nil"/>
              <w:bottom w:val="nil"/>
              <w:right w:val="single" w:sz="4" w:space="0" w:color="auto"/>
            </w:tcBorders>
            <w:vAlign w:val="bottom"/>
          </w:tcPr>
          <w:p w14:paraId="4BAD3C8F" w14:textId="77777777" w:rsidR="00D61CAD" w:rsidRPr="000939E3" w:rsidRDefault="00D61CAD" w:rsidP="00D61CAD">
            <w:pPr>
              <w:keepNext/>
              <w:spacing w:after="0" w:line="240" w:lineRule="auto"/>
              <w:jc w:val="right"/>
              <w:rPr>
                <w:sz w:val="20"/>
                <w:szCs w:val="20"/>
              </w:rPr>
            </w:pPr>
            <w:r w:rsidRPr="000939E3">
              <w:rPr>
                <w:sz w:val="20"/>
                <w:szCs w:val="20"/>
              </w:rPr>
              <w:t>72,9</w:t>
            </w:r>
          </w:p>
        </w:tc>
        <w:tc>
          <w:tcPr>
            <w:tcW w:w="768" w:type="dxa"/>
            <w:tcBorders>
              <w:top w:val="nil"/>
              <w:left w:val="single" w:sz="4" w:space="0" w:color="auto"/>
              <w:bottom w:val="nil"/>
              <w:right w:val="nil"/>
            </w:tcBorders>
            <w:shd w:val="clear" w:color="auto" w:fill="auto"/>
            <w:noWrap/>
            <w:vAlign w:val="bottom"/>
            <w:hideMark/>
          </w:tcPr>
          <w:p w14:paraId="4FF92253"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4,8</w:t>
            </w:r>
          </w:p>
        </w:tc>
        <w:tc>
          <w:tcPr>
            <w:tcW w:w="734" w:type="dxa"/>
            <w:tcBorders>
              <w:top w:val="nil"/>
              <w:left w:val="nil"/>
              <w:bottom w:val="nil"/>
              <w:right w:val="single" w:sz="4" w:space="0" w:color="auto"/>
            </w:tcBorders>
            <w:shd w:val="clear" w:color="auto" w:fill="auto"/>
            <w:noWrap/>
            <w:vAlign w:val="bottom"/>
            <w:hideMark/>
          </w:tcPr>
          <w:p w14:paraId="23A6A4F8"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4,3</w:t>
            </w:r>
          </w:p>
        </w:tc>
        <w:tc>
          <w:tcPr>
            <w:tcW w:w="768" w:type="dxa"/>
            <w:tcBorders>
              <w:top w:val="nil"/>
              <w:left w:val="nil"/>
              <w:bottom w:val="nil"/>
              <w:right w:val="nil"/>
            </w:tcBorders>
            <w:shd w:val="clear" w:color="auto" w:fill="auto"/>
            <w:noWrap/>
            <w:vAlign w:val="bottom"/>
            <w:hideMark/>
          </w:tcPr>
          <w:p w14:paraId="4B137744"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7,9</w:t>
            </w:r>
          </w:p>
        </w:tc>
        <w:tc>
          <w:tcPr>
            <w:tcW w:w="649" w:type="dxa"/>
            <w:tcBorders>
              <w:top w:val="nil"/>
              <w:left w:val="nil"/>
              <w:bottom w:val="nil"/>
            </w:tcBorders>
            <w:shd w:val="clear" w:color="auto" w:fill="auto"/>
            <w:noWrap/>
            <w:vAlign w:val="bottom"/>
            <w:hideMark/>
          </w:tcPr>
          <w:p w14:paraId="44D335E2"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12,7</w:t>
            </w:r>
          </w:p>
        </w:tc>
      </w:tr>
      <w:tr w:rsidR="00D61CAD" w:rsidRPr="000939E3" w14:paraId="10ECF4F3" w14:textId="77777777" w:rsidTr="00D61CAD">
        <w:trPr>
          <w:trHeight w:val="20"/>
        </w:trPr>
        <w:tc>
          <w:tcPr>
            <w:tcW w:w="2835" w:type="dxa"/>
            <w:tcBorders>
              <w:top w:val="nil"/>
              <w:left w:val="nil"/>
              <w:bottom w:val="nil"/>
              <w:right w:val="single" w:sz="4" w:space="0" w:color="auto"/>
            </w:tcBorders>
            <w:shd w:val="clear" w:color="auto" w:fill="auto"/>
            <w:noWrap/>
            <w:tcMar>
              <w:right w:w="28" w:type="dxa"/>
            </w:tcMar>
            <w:vAlign w:val="center"/>
            <w:hideMark/>
          </w:tcPr>
          <w:p w14:paraId="6C4652DC" w14:textId="77777777" w:rsidR="00D61CAD" w:rsidRPr="000939E3" w:rsidRDefault="00D61CAD" w:rsidP="00D61CAD">
            <w:pPr>
              <w:keepNext/>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Pomocní a nekvalifikovaní prac.</w:t>
            </w:r>
          </w:p>
        </w:tc>
        <w:tc>
          <w:tcPr>
            <w:tcW w:w="851" w:type="dxa"/>
            <w:tcBorders>
              <w:top w:val="nil"/>
              <w:left w:val="single" w:sz="4" w:space="0" w:color="auto"/>
              <w:bottom w:val="nil"/>
              <w:right w:val="nil"/>
            </w:tcBorders>
            <w:shd w:val="clear" w:color="auto" w:fill="auto"/>
            <w:noWrap/>
            <w:vAlign w:val="bottom"/>
            <w:hideMark/>
          </w:tcPr>
          <w:p w14:paraId="60E5B4EF"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132,8</w:t>
            </w:r>
          </w:p>
        </w:tc>
        <w:tc>
          <w:tcPr>
            <w:tcW w:w="770" w:type="dxa"/>
            <w:tcBorders>
              <w:top w:val="nil"/>
              <w:left w:val="nil"/>
              <w:bottom w:val="nil"/>
              <w:right w:val="single" w:sz="4" w:space="0" w:color="auto"/>
            </w:tcBorders>
            <w:shd w:val="clear" w:color="auto" w:fill="auto"/>
            <w:noWrap/>
            <w:vAlign w:val="bottom"/>
            <w:hideMark/>
          </w:tcPr>
          <w:p w14:paraId="675B2E22"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137,7</w:t>
            </w:r>
          </w:p>
        </w:tc>
        <w:tc>
          <w:tcPr>
            <w:tcW w:w="847" w:type="dxa"/>
            <w:tcBorders>
              <w:top w:val="nil"/>
              <w:left w:val="nil"/>
              <w:bottom w:val="nil"/>
              <w:right w:val="nil"/>
            </w:tcBorders>
            <w:vAlign w:val="bottom"/>
          </w:tcPr>
          <w:p w14:paraId="3005AB1D" w14:textId="77777777" w:rsidR="00D61CAD" w:rsidRPr="000939E3" w:rsidRDefault="00D61CAD" w:rsidP="00D61CAD">
            <w:pPr>
              <w:keepNext/>
              <w:spacing w:after="0" w:line="240" w:lineRule="auto"/>
              <w:jc w:val="right"/>
              <w:rPr>
                <w:sz w:val="20"/>
                <w:szCs w:val="20"/>
              </w:rPr>
            </w:pPr>
            <w:r w:rsidRPr="000939E3">
              <w:rPr>
                <w:sz w:val="20"/>
                <w:szCs w:val="20"/>
              </w:rPr>
              <w:t>31,7</w:t>
            </w:r>
          </w:p>
        </w:tc>
        <w:tc>
          <w:tcPr>
            <w:tcW w:w="850" w:type="dxa"/>
            <w:tcBorders>
              <w:top w:val="nil"/>
              <w:left w:val="nil"/>
              <w:bottom w:val="nil"/>
              <w:right w:val="single" w:sz="4" w:space="0" w:color="auto"/>
            </w:tcBorders>
            <w:vAlign w:val="bottom"/>
          </w:tcPr>
          <w:p w14:paraId="64824C6D" w14:textId="77777777" w:rsidR="00D61CAD" w:rsidRPr="000939E3" w:rsidRDefault="00D61CAD" w:rsidP="00D61CAD">
            <w:pPr>
              <w:keepNext/>
              <w:spacing w:after="0" w:line="240" w:lineRule="auto"/>
              <w:jc w:val="right"/>
              <w:rPr>
                <w:sz w:val="20"/>
                <w:szCs w:val="20"/>
              </w:rPr>
            </w:pPr>
            <w:r w:rsidRPr="000939E3">
              <w:rPr>
                <w:sz w:val="20"/>
                <w:szCs w:val="20"/>
              </w:rPr>
              <w:t>46,5</w:t>
            </w:r>
          </w:p>
        </w:tc>
        <w:tc>
          <w:tcPr>
            <w:tcW w:w="768" w:type="dxa"/>
            <w:tcBorders>
              <w:top w:val="nil"/>
              <w:left w:val="single" w:sz="4" w:space="0" w:color="auto"/>
              <w:bottom w:val="nil"/>
              <w:right w:val="nil"/>
            </w:tcBorders>
            <w:shd w:val="clear" w:color="auto" w:fill="auto"/>
            <w:noWrap/>
            <w:vAlign w:val="bottom"/>
            <w:hideMark/>
          </w:tcPr>
          <w:p w14:paraId="75BAEA14"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5,4</w:t>
            </w:r>
          </w:p>
        </w:tc>
        <w:tc>
          <w:tcPr>
            <w:tcW w:w="734" w:type="dxa"/>
            <w:tcBorders>
              <w:top w:val="nil"/>
              <w:left w:val="nil"/>
              <w:bottom w:val="nil"/>
              <w:right w:val="single" w:sz="4" w:space="0" w:color="auto"/>
            </w:tcBorders>
            <w:shd w:val="clear" w:color="auto" w:fill="auto"/>
            <w:noWrap/>
            <w:vAlign w:val="bottom"/>
            <w:hideMark/>
          </w:tcPr>
          <w:p w14:paraId="1EB30478"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4,4</w:t>
            </w:r>
          </w:p>
        </w:tc>
        <w:tc>
          <w:tcPr>
            <w:tcW w:w="768" w:type="dxa"/>
            <w:tcBorders>
              <w:top w:val="nil"/>
              <w:left w:val="nil"/>
              <w:bottom w:val="nil"/>
              <w:right w:val="nil"/>
            </w:tcBorders>
            <w:shd w:val="clear" w:color="auto" w:fill="auto"/>
            <w:noWrap/>
            <w:vAlign w:val="bottom"/>
            <w:hideMark/>
          </w:tcPr>
          <w:p w14:paraId="54BF252B"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11,9</w:t>
            </w:r>
          </w:p>
        </w:tc>
        <w:tc>
          <w:tcPr>
            <w:tcW w:w="649" w:type="dxa"/>
            <w:tcBorders>
              <w:top w:val="nil"/>
              <w:left w:val="nil"/>
              <w:bottom w:val="nil"/>
            </w:tcBorders>
            <w:shd w:val="clear" w:color="auto" w:fill="auto"/>
            <w:noWrap/>
            <w:vAlign w:val="bottom"/>
            <w:hideMark/>
          </w:tcPr>
          <w:p w14:paraId="4401B797"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14,9</w:t>
            </w:r>
          </w:p>
        </w:tc>
      </w:tr>
      <w:tr w:rsidR="00D61CAD" w:rsidRPr="000939E3" w14:paraId="1DCA39B5" w14:textId="77777777" w:rsidTr="00D61CAD">
        <w:trPr>
          <w:trHeight w:val="20"/>
        </w:trPr>
        <w:tc>
          <w:tcPr>
            <w:tcW w:w="2835" w:type="dxa"/>
            <w:tcBorders>
              <w:top w:val="nil"/>
              <w:left w:val="nil"/>
              <w:bottom w:val="single" w:sz="4" w:space="0" w:color="auto"/>
              <w:right w:val="single" w:sz="4" w:space="0" w:color="auto"/>
            </w:tcBorders>
            <w:shd w:val="clear" w:color="auto" w:fill="auto"/>
            <w:noWrap/>
            <w:tcMar>
              <w:right w:w="28" w:type="dxa"/>
            </w:tcMar>
            <w:vAlign w:val="bottom"/>
            <w:hideMark/>
          </w:tcPr>
          <w:p w14:paraId="6D7DC0A0" w14:textId="77777777" w:rsidR="00D61CAD" w:rsidRPr="000939E3" w:rsidRDefault="00D61CAD" w:rsidP="00D61CAD">
            <w:pPr>
              <w:keepNext/>
              <w:spacing w:after="0" w:line="240" w:lineRule="auto"/>
              <w:rPr>
                <w:rFonts w:eastAsia="Times New Roman" w:cs="Times New Roman"/>
                <w:color w:val="000000"/>
                <w:sz w:val="20"/>
                <w:szCs w:val="20"/>
                <w:lang w:eastAsia="sk-SK"/>
              </w:rPr>
            </w:pPr>
            <w:r w:rsidRPr="000939E3">
              <w:rPr>
                <w:rFonts w:eastAsia="Times New Roman" w:cs="Times New Roman"/>
                <w:color w:val="000000"/>
                <w:sz w:val="20"/>
                <w:szCs w:val="20"/>
                <w:lang w:eastAsia="sk-SK"/>
              </w:rPr>
              <w:t>Neuvedené zamestnanie</w:t>
            </w:r>
          </w:p>
        </w:tc>
        <w:tc>
          <w:tcPr>
            <w:tcW w:w="851" w:type="dxa"/>
            <w:tcBorders>
              <w:top w:val="nil"/>
              <w:left w:val="single" w:sz="4" w:space="0" w:color="auto"/>
              <w:bottom w:val="single" w:sz="4" w:space="0" w:color="auto"/>
              <w:right w:val="nil"/>
            </w:tcBorders>
            <w:shd w:val="clear" w:color="auto" w:fill="auto"/>
            <w:noWrap/>
            <w:vAlign w:val="bottom"/>
            <w:hideMark/>
          </w:tcPr>
          <w:p w14:paraId="0C53BCBA"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129,6</w:t>
            </w:r>
          </w:p>
        </w:tc>
        <w:tc>
          <w:tcPr>
            <w:tcW w:w="770" w:type="dxa"/>
            <w:tcBorders>
              <w:top w:val="nil"/>
              <w:left w:val="nil"/>
              <w:bottom w:val="single" w:sz="4" w:space="0" w:color="auto"/>
              <w:right w:val="single" w:sz="4" w:space="0" w:color="auto"/>
            </w:tcBorders>
            <w:shd w:val="clear" w:color="auto" w:fill="auto"/>
            <w:noWrap/>
            <w:vAlign w:val="bottom"/>
            <w:hideMark/>
          </w:tcPr>
          <w:p w14:paraId="037BF621"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142,9</w:t>
            </w:r>
          </w:p>
        </w:tc>
        <w:tc>
          <w:tcPr>
            <w:tcW w:w="847" w:type="dxa"/>
            <w:tcBorders>
              <w:top w:val="nil"/>
              <w:left w:val="nil"/>
              <w:bottom w:val="single" w:sz="4" w:space="0" w:color="auto"/>
              <w:right w:val="nil"/>
            </w:tcBorders>
            <w:vAlign w:val="bottom"/>
          </w:tcPr>
          <w:p w14:paraId="459DF933" w14:textId="77777777" w:rsidR="00D61CAD" w:rsidRPr="000939E3" w:rsidRDefault="00D61CAD" w:rsidP="00D61CAD">
            <w:pPr>
              <w:keepNext/>
              <w:spacing w:after="0" w:line="240" w:lineRule="auto"/>
              <w:jc w:val="right"/>
              <w:rPr>
                <w:sz w:val="20"/>
                <w:szCs w:val="20"/>
              </w:rPr>
            </w:pPr>
            <w:r w:rsidRPr="000939E3">
              <w:rPr>
                <w:sz w:val="20"/>
                <w:szCs w:val="20"/>
              </w:rPr>
              <w:t>21,3</w:t>
            </w:r>
          </w:p>
        </w:tc>
        <w:tc>
          <w:tcPr>
            <w:tcW w:w="850" w:type="dxa"/>
            <w:tcBorders>
              <w:top w:val="nil"/>
              <w:left w:val="nil"/>
              <w:bottom w:val="single" w:sz="4" w:space="0" w:color="auto"/>
              <w:right w:val="single" w:sz="4" w:space="0" w:color="auto"/>
            </w:tcBorders>
            <w:vAlign w:val="bottom"/>
          </w:tcPr>
          <w:p w14:paraId="586DEF9E" w14:textId="77777777" w:rsidR="00D61CAD" w:rsidRPr="000939E3" w:rsidRDefault="00D61CAD" w:rsidP="00D61CAD">
            <w:pPr>
              <w:keepNext/>
              <w:spacing w:after="0" w:line="240" w:lineRule="auto"/>
              <w:jc w:val="right"/>
              <w:rPr>
                <w:sz w:val="20"/>
                <w:szCs w:val="20"/>
              </w:rPr>
            </w:pPr>
            <w:r w:rsidRPr="000939E3">
              <w:rPr>
                <w:sz w:val="20"/>
                <w:szCs w:val="20"/>
              </w:rPr>
              <w:t>29,8</w:t>
            </w:r>
          </w:p>
        </w:tc>
        <w:tc>
          <w:tcPr>
            <w:tcW w:w="768" w:type="dxa"/>
            <w:tcBorders>
              <w:top w:val="nil"/>
              <w:left w:val="single" w:sz="4" w:space="0" w:color="auto"/>
              <w:bottom w:val="single" w:sz="4" w:space="0" w:color="auto"/>
              <w:right w:val="nil"/>
            </w:tcBorders>
            <w:shd w:val="clear" w:color="auto" w:fill="auto"/>
            <w:noWrap/>
            <w:vAlign w:val="bottom"/>
            <w:hideMark/>
          </w:tcPr>
          <w:p w14:paraId="0C8E754A"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6,3</w:t>
            </w:r>
          </w:p>
        </w:tc>
        <w:tc>
          <w:tcPr>
            <w:tcW w:w="734" w:type="dxa"/>
            <w:tcBorders>
              <w:top w:val="nil"/>
              <w:left w:val="nil"/>
              <w:bottom w:val="single" w:sz="4" w:space="0" w:color="auto"/>
              <w:right w:val="single" w:sz="4" w:space="0" w:color="auto"/>
            </w:tcBorders>
            <w:shd w:val="clear" w:color="auto" w:fill="auto"/>
            <w:noWrap/>
            <w:vAlign w:val="bottom"/>
            <w:hideMark/>
          </w:tcPr>
          <w:p w14:paraId="50365925"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4,2</w:t>
            </w:r>
          </w:p>
        </w:tc>
        <w:tc>
          <w:tcPr>
            <w:tcW w:w="768" w:type="dxa"/>
            <w:tcBorders>
              <w:top w:val="nil"/>
              <w:left w:val="nil"/>
              <w:bottom w:val="single" w:sz="4" w:space="0" w:color="auto"/>
              <w:right w:val="nil"/>
            </w:tcBorders>
            <w:shd w:val="clear" w:color="auto" w:fill="auto"/>
            <w:noWrap/>
            <w:vAlign w:val="bottom"/>
            <w:hideMark/>
          </w:tcPr>
          <w:p w14:paraId="5006C24C"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8,1</w:t>
            </w:r>
          </w:p>
        </w:tc>
        <w:tc>
          <w:tcPr>
            <w:tcW w:w="649" w:type="dxa"/>
            <w:tcBorders>
              <w:top w:val="nil"/>
              <w:left w:val="nil"/>
              <w:bottom w:val="single" w:sz="4" w:space="0" w:color="auto"/>
            </w:tcBorders>
            <w:shd w:val="clear" w:color="auto" w:fill="auto"/>
            <w:noWrap/>
            <w:vAlign w:val="bottom"/>
            <w:hideMark/>
          </w:tcPr>
          <w:p w14:paraId="2E58BFFE"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8,4</w:t>
            </w:r>
          </w:p>
        </w:tc>
      </w:tr>
      <w:tr w:rsidR="00D61CAD" w:rsidRPr="000939E3" w14:paraId="0D33BFFD" w14:textId="77777777" w:rsidTr="00D61CAD">
        <w:trPr>
          <w:trHeight w:val="20"/>
        </w:trPr>
        <w:tc>
          <w:tcPr>
            <w:tcW w:w="2835" w:type="dxa"/>
            <w:tcBorders>
              <w:top w:val="single" w:sz="4" w:space="0" w:color="auto"/>
              <w:left w:val="nil"/>
              <w:bottom w:val="single" w:sz="4" w:space="0" w:color="auto"/>
              <w:right w:val="single" w:sz="4" w:space="0" w:color="auto"/>
            </w:tcBorders>
            <w:shd w:val="clear" w:color="auto" w:fill="auto"/>
            <w:noWrap/>
            <w:tcMar>
              <w:right w:w="28" w:type="dxa"/>
            </w:tcMar>
            <w:vAlign w:val="bottom"/>
            <w:hideMark/>
          </w:tcPr>
          <w:p w14:paraId="7214A4B3" w14:textId="77777777" w:rsidR="00D61CAD" w:rsidRPr="000939E3" w:rsidRDefault="00D61CAD" w:rsidP="00D61CAD">
            <w:pPr>
              <w:keepNext/>
              <w:spacing w:after="0" w:line="240" w:lineRule="auto"/>
              <w:rPr>
                <w:rFonts w:eastAsia="Times New Roman" w:cs="Times New Roman"/>
                <w:sz w:val="20"/>
                <w:szCs w:val="20"/>
                <w:lang w:eastAsia="sk-SK"/>
              </w:rPr>
            </w:pPr>
            <w:r w:rsidRPr="000939E3">
              <w:rPr>
                <w:rFonts w:eastAsia="Times New Roman" w:cs="Times New Roman"/>
                <w:sz w:val="20"/>
                <w:szCs w:val="20"/>
                <w:lang w:eastAsia="sk-SK"/>
              </w:rPr>
              <w:t>Spolu</w:t>
            </w:r>
          </w:p>
        </w:tc>
        <w:tc>
          <w:tcPr>
            <w:tcW w:w="851" w:type="dxa"/>
            <w:tcBorders>
              <w:top w:val="nil"/>
              <w:left w:val="single" w:sz="4" w:space="0" w:color="auto"/>
              <w:bottom w:val="single" w:sz="4" w:space="0" w:color="auto"/>
              <w:right w:val="nil"/>
            </w:tcBorders>
            <w:shd w:val="clear" w:color="auto" w:fill="auto"/>
            <w:noWrap/>
            <w:vAlign w:val="bottom"/>
            <w:hideMark/>
          </w:tcPr>
          <w:p w14:paraId="1CFF5FF7"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132,3</w:t>
            </w:r>
          </w:p>
        </w:tc>
        <w:tc>
          <w:tcPr>
            <w:tcW w:w="770" w:type="dxa"/>
            <w:tcBorders>
              <w:top w:val="nil"/>
              <w:left w:val="nil"/>
              <w:bottom w:val="single" w:sz="4" w:space="0" w:color="auto"/>
              <w:right w:val="single" w:sz="4" w:space="0" w:color="auto"/>
            </w:tcBorders>
            <w:shd w:val="clear" w:color="auto" w:fill="auto"/>
            <w:noWrap/>
            <w:vAlign w:val="bottom"/>
            <w:hideMark/>
          </w:tcPr>
          <w:p w14:paraId="0C1140CE"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142,4</w:t>
            </w:r>
          </w:p>
        </w:tc>
        <w:tc>
          <w:tcPr>
            <w:tcW w:w="847" w:type="dxa"/>
            <w:tcBorders>
              <w:top w:val="nil"/>
              <w:left w:val="nil"/>
              <w:bottom w:val="single" w:sz="4" w:space="0" w:color="auto"/>
              <w:right w:val="nil"/>
            </w:tcBorders>
            <w:vAlign w:val="bottom"/>
          </w:tcPr>
          <w:p w14:paraId="0CEFC98C" w14:textId="77777777" w:rsidR="00D61CAD" w:rsidRPr="000939E3" w:rsidRDefault="00D61CAD" w:rsidP="00D61CAD">
            <w:pPr>
              <w:keepNext/>
              <w:spacing w:after="0" w:line="240" w:lineRule="auto"/>
              <w:jc w:val="right"/>
              <w:rPr>
                <w:sz w:val="20"/>
                <w:szCs w:val="20"/>
              </w:rPr>
            </w:pPr>
            <w:r w:rsidRPr="000939E3">
              <w:rPr>
                <w:sz w:val="20"/>
                <w:szCs w:val="20"/>
              </w:rPr>
              <w:t>32,8</w:t>
            </w:r>
          </w:p>
        </w:tc>
        <w:tc>
          <w:tcPr>
            <w:tcW w:w="850" w:type="dxa"/>
            <w:tcBorders>
              <w:top w:val="nil"/>
              <w:left w:val="nil"/>
              <w:bottom w:val="single" w:sz="4" w:space="0" w:color="auto"/>
              <w:right w:val="single" w:sz="4" w:space="0" w:color="auto"/>
            </w:tcBorders>
            <w:vAlign w:val="bottom"/>
          </w:tcPr>
          <w:p w14:paraId="6613C7DD" w14:textId="77777777" w:rsidR="00D61CAD" w:rsidRPr="000939E3" w:rsidRDefault="00D61CAD" w:rsidP="00D61CAD">
            <w:pPr>
              <w:keepNext/>
              <w:spacing w:after="0" w:line="240" w:lineRule="auto"/>
              <w:jc w:val="right"/>
              <w:rPr>
                <w:sz w:val="20"/>
                <w:szCs w:val="20"/>
              </w:rPr>
            </w:pPr>
            <w:r w:rsidRPr="000939E3">
              <w:rPr>
                <w:sz w:val="20"/>
                <w:szCs w:val="20"/>
              </w:rPr>
              <w:t>41,7</w:t>
            </w:r>
          </w:p>
        </w:tc>
        <w:tc>
          <w:tcPr>
            <w:tcW w:w="768" w:type="dxa"/>
            <w:tcBorders>
              <w:top w:val="nil"/>
              <w:left w:val="single" w:sz="4" w:space="0" w:color="auto"/>
              <w:bottom w:val="single" w:sz="4" w:space="0" w:color="auto"/>
              <w:right w:val="nil"/>
            </w:tcBorders>
            <w:shd w:val="clear" w:color="auto" w:fill="auto"/>
            <w:noWrap/>
            <w:vAlign w:val="bottom"/>
            <w:hideMark/>
          </w:tcPr>
          <w:p w14:paraId="1FE7587B"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6,1</w:t>
            </w:r>
          </w:p>
        </w:tc>
        <w:tc>
          <w:tcPr>
            <w:tcW w:w="734" w:type="dxa"/>
            <w:tcBorders>
              <w:top w:val="nil"/>
              <w:left w:val="nil"/>
              <w:bottom w:val="single" w:sz="4" w:space="0" w:color="auto"/>
              <w:right w:val="single" w:sz="4" w:space="0" w:color="auto"/>
            </w:tcBorders>
            <w:shd w:val="clear" w:color="auto" w:fill="auto"/>
            <w:noWrap/>
            <w:vAlign w:val="bottom"/>
            <w:hideMark/>
          </w:tcPr>
          <w:p w14:paraId="093A2F71"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4,4</w:t>
            </w:r>
          </w:p>
        </w:tc>
        <w:tc>
          <w:tcPr>
            <w:tcW w:w="768" w:type="dxa"/>
            <w:tcBorders>
              <w:top w:val="nil"/>
              <w:left w:val="nil"/>
              <w:bottom w:val="single" w:sz="4" w:space="0" w:color="auto"/>
              <w:right w:val="nil"/>
            </w:tcBorders>
            <w:shd w:val="clear" w:color="auto" w:fill="auto"/>
            <w:noWrap/>
            <w:vAlign w:val="bottom"/>
            <w:hideMark/>
          </w:tcPr>
          <w:p w14:paraId="183AC3D7"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7,9</w:t>
            </w:r>
          </w:p>
        </w:tc>
        <w:tc>
          <w:tcPr>
            <w:tcW w:w="649" w:type="dxa"/>
            <w:tcBorders>
              <w:top w:val="single" w:sz="4" w:space="0" w:color="auto"/>
              <w:left w:val="nil"/>
              <w:bottom w:val="single" w:sz="4" w:space="0" w:color="auto"/>
            </w:tcBorders>
            <w:shd w:val="clear" w:color="auto" w:fill="auto"/>
            <w:noWrap/>
            <w:vAlign w:val="bottom"/>
            <w:hideMark/>
          </w:tcPr>
          <w:p w14:paraId="2177D504" w14:textId="77777777" w:rsidR="00D61CAD" w:rsidRPr="000939E3" w:rsidRDefault="00D61CAD" w:rsidP="00D61CAD">
            <w:pPr>
              <w:keepNext/>
              <w:spacing w:after="0" w:line="240" w:lineRule="auto"/>
              <w:jc w:val="right"/>
              <w:rPr>
                <w:rFonts w:eastAsia="Times New Roman" w:cs="Times New Roman"/>
                <w:sz w:val="20"/>
                <w:szCs w:val="20"/>
                <w:lang w:eastAsia="sk-SK"/>
              </w:rPr>
            </w:pPr>
            <w:r w:rsidRPr="000939E3">
              <w:rPr>
                <w:sz w:val="20"/>
                <w:szCs w:val="20"/>
              </w:rPr>
              <w:t>9,1</w:t>
            </w:r>
          </w:p>
        </w:tc>
      </w:tr>
      <w:tr w:rsidR="00D61CAD" w:rsidRPr="000939E3" w14:paraId="1613121E" w14:textId="77777777" w:rsidTr="00D61CAD">
        <w:trPr>
          <w:trHeight w:val="20"/>
        </w:trPr>
        <w:tc>
          <w:tcPr>
            <w:tcW w:w="6153" w:type="dxa"/>
            <w:gridSpan w:val="5"/>
            <w:tcBorders>
              <w:top w:val="single" w:sz="4" w:space="0" w:color="auto"/>
              <w:left w:val="nil"/>
              <w:bottom w:val="nil"/>
              <w:right w:val="nil"/>
            </w:tcBorders>
            <w:shd w:val="clear" w:color="auto" w:fill="auto"/>
            <w:noWrap/>
            <w:vAlign w:val="bottom"/>
            <w:hideMark/>
          </w:tcPr>
          <w:p w14:paraId="155915F8" w14:textId="77777777" w:rsidR="00D61CAD" w:rsidRPr="000939E3" w:rsidRDefault="00D61CAD" w:rsidP="00D61CAD">
            <w:pPr>
              <w:keepNext/>
              <w:spacing w:after="0" w:line="240" w:lineRule="auto"/>
              <w:rPr>
                <w:rFonts w:ascii="Times New Roman" w:eastAsia="Times New Roman" w:hAnsi="Times New Roman" w:cs="Times New Roman"/>
                <w:i/>
                <w:sz w:val="20"/>
                <w:szCs w:val="20"/>
                <w:lang w:eastAsia="sk-SK"/>
              </w:rPr>
            </w:pPr>
            <w:r w:rsidRPr="000939E3">
              <w:rPr>
                <w:rFonts w:eastAsia="Times New Roman" w:cs="Times New Roman"/>
                <w:i/>
                <w:sz w:val="18"/>
                <w:lang w:eastAsia="sk-SK"/>
              </w:rPr>
              <w:t>Pozn.: Zahŕňa zamestnancov, ktorí odpracovali u zamestnávateľa celý rok, na plný úväzok</w:t>
            </w:r>
          </w:p>
        </w:tc>
        <w:tc>
          <w:tcPr>
            <w:tcW w:w="2919" w:type="dxa"/>
            <w:gridSpan w:val="4"/>
            <w:tcBorders>
              <w:top w:val="nil"/>
              <w:left w:val="nil"/>
              <w:bottom w:val="nil"/>
              <w:right w:val="nil"/>
            </w:tcBorders>
            <w:shd w:val="clear" w:color="auto" w:fill="auto"/>
            <w:noWrap/>
            <w:hideMark/>
          </w:tcPr>
          <w:p w14:paraId="15AC8265" w14:textId="77777777" w:rsidR="00D61CAD" w:rsidRPr="000939E3" w:rsidRDefault="00D61CAD" w:rsidP="00D61CAD">
            <w:pPr>
              <w:keepNext/>
              <w:spacing w:after="0" w:line="240" w:lineRule="auto"/>
              <w:jc w:val="right"/>
              <w:rPr>
                <w:rFonts w:ascii="Times New Roman" w:eastAsia="Times New Roman" w:hAnsi="Times New Roman" w:cs="Times New Roman"/>
                <w:sz w:val="20"/>
                <w:szCs w:val="20"/>
                <w:lang w:eastAsia="sk-SK"/>
              </w:rPr>
            </w:pPr>
            <w:r w:rsidRPr="000939E3">
              <w:rPr>
                <w:rFonts w:eastAsia="Times New Roman" w:cs="Times New Roman"/>
                <w:i/>
                <w:sz w:val="18"/>
                <w:szCs w:val="18"/>
                <w:lang w:eastAsia="sk-SK"/>
              </w:rPr>
              <w:t>Zdroj: ISCP, prepočty ÚHP</w:t>
            </w:r>
          </w:p>
        </w:tc>
      </w:tr>
    </w:tbl>
    <w:p w14:paraId="74AACFED" w14:textId="77777777" w:rsidR="00D61CAD" w:rsidRPr="000939E3" w:rsidRDefault="00D61CAD" w:rsidP="00D61CAD">
      <w:pPr>
        <w:rPr>
          <w:b/>
          <w:sz w:val="24"/>
        </w:rPr>
      </w:pPr>
    </w:p>
    <w:p w14:paraId="66DE3A3E" w14:textId="7BBA1E23" w:rsidR="00D61CAD" w:rsidRPr="000939E3" w:rsidRDefault="00D61CAD" w:rsidP="004714F8">
      <w:pPr>
        <w:spacing w:after="160" w:line="259" w:lineRule="auto"/>
        <w:jc w:val="left"/>
        <w:rPr>
          <w:b/>
          <w:sz w:val="24"/>
        </w:rPr>
        <w:sectPr w:rsidR="00D61CAD" w:rsidRPr="000939E3" w:rsidSect="00626763">
          <w:pgSz w:w="11906" w:h="16838"/>
          <w:pgMar w:top="1417" w:right="1417" w:bottom="1417" w:left="1417" w:header="708" w:footer="708" w:gutter="0"/>
          <w:cols w:space="708"/>
          <w:docGrid w:linePitch="360"/>
        </w:sectPr>
      </w:pPr>
    </w:p>
    <w:p w14:paraId="766D3CF4" w14:textId="54599337" w:rsidR="00D61CAD" w:rsidRPr="000939E3" w:rsidRDefault="00D61CAD" w:rsidP="00D61CAD">
      <w:pPr>
        <w:pStyle w:val="Popis"/>
        <w:rPr>
          <w:b w:val="0"/>
          <w:i/>
          <w:color w:val="000000" w:themeColor="text1"/>
          <w:sz w:val="22"/>
        </w:rPr>
      </w:pPr>
      <w:bookmarkStart w:id="327" w:name="_Ref528316909"/>
      <w:r w:rsidRPr="000939E3">
        <w:rPr>
          <w:sz w:val="22"/>
        </w:rPr>
        <w:t xml:space="preserve">Príloha </w:t>
      </w:r>
      <w:r w:rsidRPr="000939E3">
        <w:rPr>
          <w:sz w:val="22"/>
        </w:rPr>
        <w:fldChar w:fldCharType="begin"/>
      </w:r>
      <w:r w:rsidRPr="000939E3">
        <w:rPr>
          <w:sz w:val="22"/>
        </w:rPr>
        <w:instrText xml:space="preserve"> SEQ Príloha \* ARABIC </w:instrText>
      </w:r>
      <w:r w:rsidRPr="000939E3">
        <w:rPr>
          <w:sz w:val="22"/>
        </w:rPr>
        <w:fldChar w:fldCharType="separate"/>
      </w:r>
      <w:r w:rsidR="00BF69CA">
        <w:rPr>
          <w:noProof/>
          <w:sz w:val="22"/>
        </w:rPr>
        <w:t>14</w:t>
      </w:r>
      <w:r w:rsidRPr="000939E3">
        <w:rPr>
          <w:sz w:val="22"/>
        </w:rPr>
        <w:fldChar w:fldCharType="end"/>
      </w:r>
      <w:bookmarkEnd w:id="327"/>
      <w:r w:rsidRPr="000939E3">
        <w:rPr>
          <w:sz w:val="22"/>
        </w:rPr>
        <w:t>:</w:t>
      </w:r>
      <w:r w:rsidRPr="000939E3">
        <w:rPr>
          <w:color w:val="000000" w:themeColor="text1"/>
          <w:sz w:val="22"/>
        </w:rPr>
        <w:t xml:space="preserve"> Priemerná veľkosť kapitol, ich aparátov a podriadených organizácií, 2011-201</w:t>
      </w:r>
      <w:r w:rsidR="00FD5987" w:rsidRPr="000939E3">
        <w:rPr>
          <w:color w:val="000000" w:themeColor="text1"/>
          <w:sz w:val="22"/>
        </w:rPr>
        <w:t>8</w:t>
      </w:r>
    </w:p>
    <w:tbl>
      <w:tblPr>
        <w:tblW w:w="14034" w:type="dxa"/>
        <w:tblLayout w:type="fixed"/>
        <w:tblCellMar>
          <w:left w:w="70" w:type="dxa"/>
          <w:right w:w="70" w:type="dxa"/>
        </w:tblCellMar>
        <w:tblLook w:val="04A0" w:firstRow="1" w:lastRow="0" w:firstColumn="1" w:lastColumn="0" w:noHBand="0" w:noVBand="1"/>
      </w:tblPr>
      <w:tblGrid>
        <w:gridCol w:w="3544"/>
        <w:gridCol w:w="1129"/>
        <w:gridCol w:w="1057"/>
        <w:gridCol w:w="1216"/>
        <w:gridCol w:w="1148"/>
        <w:gridCol w:w="1184"/>
        <w:gridCol w:w="1354"/>
        <w:gridCol w:w="1179"/>
        <w:gridCol w:w="947"/>
        <w:gridCol w:w="1276"/>
      </w:tblGrid>
      <w:tr w:rsidR="00FD5987" w:rsidRPr="000939E3" w14:paraId="2BAF4002" w14:textId="77777777" w:rsidTr="00FD5987">
        <w:trPr>
          <w:trHeight w:val="17"/>
        </w:trPr>
        <w:tc>
          <w:tcPr>
            <w:tcW w:w="3544" w:type="dxa"/>
            <w:tcBorders>
              <w:top w:val="single" w:sz="4" w:space="0" w:color="auto"/>
              <w:left w:val="nil"/>
              <w:bottom w:val="nil"/>
              <w:right w:val="nil"/>
            </w:tcBorders>
            <w:shd w:val="clear" w:color="auto" w:fill="auto"/>
            <w:noWrap/>
            <w:vAlign w:val="bottom"/>
            <w:hideMark/>
          </w:tcPr>
          <w:p w14:paraId="59C657CB" w14:textId="77777777" w:rsidR="00FD5987" w:rsidRPr="000939E3" w:rsidRDefault="00FD5987" w:rsidP="00FD5987">
            <w:pPr>
              <w:spacing w:after="0" w:line="240" w:lineRule="auto"/>
              <w:contextualSpacing/>
              <w:rPr>
                <w:rFonts w:ascii="Times New Roman" w:eastAsia="Times New Roman" w:hAnsi="Times New Roman" w:cs="Times New Roman"/>
                <w:sz w:val="16"/>
                <w:szCs w:val="24"/>
                <w:lang w:eastAsia="sk-SK"/>
              </w:rPr>
            </w:pPr>
          </w:p>
        </w:tc>
        <w:tc>
          <w:tcPr>
            <w:tcW w:w="3402"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22F2DF" w14:textId="77777777" w:rsidR="00FD5987" w:rsidRPr="000939E3" w:rsidRDefault="00FD5987" w:rsidP="00FD5987">
            <w:pPr>
              <w:spacing w:after="0" w:line="240" w:lineRule="auto"/>
              <w:contextualSpacing/>
              <w:jc w:val="center"/>
              <w:rPr>
                <w:rFonts w:eastAsia="Times New Roman" w:cs="Times New Roman"/>
                <w:b/>
                <w:bCs/>
                <w:color w:val="000000"/>
                <w:sz w:val="16"/>
                <w:szCs w:val="20"/>
                <w:lang w:eastAsia="sk-SK"/>
              </w:rPr>
            </w:pPr>
            <w:r w:rsidRPr="000939E3">
              <w:rPr>
                <w:rFonts w:eastAsia="Times New Roman" w:cs="Times New Roman"/>
                <w:b/>
                <w:bCs/>
                <w:color w:val="000000"/>
                <w:sz w:val="16"/>
                <w:szCs w:val="20"/>
                <w:lang w:eastAsia="sk-SK"/>
              </w:rPr>
              <w:t>Kapitoly (rozpočtové organizácie)</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C0C9C" w14:textId="77777777" w:rsidR="00FD5987" w:rsidRPr="000939E3" w:rsidRDefault="00FD5987" w:rsidP="00FD5987">
            <w:pPr>
              <w:spacing w:after="0" w:line="240" w:lineRule="auto"/>
              <w:contextualSpacing/>
              <w:jc w:val="center"/>
              <w:rPr>
                <w:rFonts w:eastAsia="Times New Roman" w:cs="Times New Roman"/>
                <w:b/>
                <w:bCs/>
                <w:color w:val="000000"/>
                <w:sz w:val="16"/>
                <w:szCs w:val="20"/>
                <w:lang w:eastAsia="sk-SK"/>
              </w:rPr>
            </w:pPr>
            <w:r w:rsidRPr="000939E3">
              <w:rPr>
                <w:rFonts w:eastAsia="Times New Roman" w:cs="Times New Roman"/>
                <w:b/>
                <w:bCs/>
                <w:color w:val="000000"/>
                <w:sz w:val="16"/>
                <w:szCs w:val="20"/>
                <w:lang w:eastAsia="sk-SK"/>
              </w:rPr>
              <w:t>Aparáty</w:t>
            </w:r>
          </w:p>
        </w:tc>
        <w:tc>
          <w:tcPr>
            <w:tcW w:w="3402" w:type="dxa"/>
            <w:gridSpan w:val="3"/>
            <w:tcBorders>
              <w:top w:val="single" w:sz="4" w:space="0" w:color="auto"/>
              <w:left w:val="single" w:sz="4" w:space="0" w:color="auto"/>
              <w:bottom w:val="single" w:sz="4" w:space="0" w:color="auto"/>
              <w:right w:val="nil"/>
            </w:tcBorders>
            <w:shd w:val="clear" w:color="auto" w:fill="auto"/>
            <w:vAlign w:val="bottom"/>
            <w:hideMark/>
          </w:tcPr>
          <w:p w14:paraId="7B0C8DF7" w14:textId="77777777" w:rsidR="00FD5987" w:rsidRPr="000939E3" w:rsidRDefault="00FD5987" w:rsidP="00FD5987">
            <w:pPr>
              <w:spacing w:after="0" w:line="240" w:lineRule="auto"/>
              <w:contextualSpacing/>
              <w:jc w:val="center"/>
              <w:rPr>
                <w:rFonts w:eastAsia="Times New Roman" w:cs="Times New Roman"/>
                <w:b/>
                <w:bCs/>
                <w:color w:val="000000"/>
                <w:sz w:val="16"/>
                <w:szCs w:val="20"/>
                <w:lang w:eastAsia="sk-SK"/>
              </w:rPr>
            </w:pPr>
            <w:r w:rsidRPr="000939E3">
              <w:rPr>
                <w:rFonts w:eastAsia="Times New Roman" w:cs="Times New Roman"/>
                <w:b/>
                <w:bCs/>
                <w:color w:val="000000"/>
                <w:sz w:val="16"/>
                <w:szCs w:val="20"/>
                <w:lang w:eastAsia="sk-SK"/>
              </w:rPr>
              <w:t>Podriadené rozpočtové organizácie</w:t>
            </w:r>
          </w:p>
        </w:tc>
      </w:tr>
      <w:tr w:rsidR="00FD5987" w:rsidRPr="000939E3" w14:paraId="05E98080" w14:textId="77777777" w:rsidTr="00FD5987">
        <w:trPr>
          <w:trHeight w:val="473"/>
        </w:trPr>
        <w:tc>
          <w:tcPr>
            <w:tcW w:w="3544" w:type="dxa"/>
            <w:tcBorders>
              <w:top w:val="single" w:sz="4" w:space="0" w:color="auto"/>
              <w:left w:val="nil"/>
              <w:bottom w:val="single" w:sz="4" w:space="0" w:color="auto"/>
              <w:right w:val="nil"/>
            </w:tcBorders>
            <w:shd w:val="clear" w:color="auto" w:fill="auto"/>
            <w:noWrap/>
            <w:vAlign w:val="bottom"/>
            <w:hideMark/>
          </w:tcPr>
          <w:p w14:paraId="7D374931" w14:textId="77777777" w:rsidR="00FD5987" w:rsidRPr="000939E3" w:rsidRDefault="00FD5987" w:rsidP="00FD5987">
            <w:pPr>
              <w:spacing w:after="0" w:line="240" w:lineRule="auto"/>
              <w:contextualSpacing/>
              <w:rPr>
                <w:rFonts w:eastAsia="Times New Roman" w:cs="Times New Roman"/>
                <w:b/>
                <w:bCs/>
                <w:color w:val="000000"/>
                <w:sz w:val="16"/>
                <w:szCs w:val="20"/>
                <w:lang w:eastAsia="sk-SK"/>
              </w:rPr>
            </w:pPr>
            <w:r w:rsidRPr="000939E3">
              <w:rPr>
                <w:rFonts w:eastAsia="Times New Roman" w:cs="Times New Roman"/>
                <w:b/>
                <w:bCs/>
                <w:color w:val="000000"/>
                <w:sz w:val="16"/>
                <w:szCs w:val="20"/>
                <w:lang w:eastAsia="sk-SK"/>
              </w:rPr>
              <w:t> </w:t>
            </w:r>
          </w:p>
        </w:tc>
        <w:tc>
          <w:tcPr>
            <w:tcW w:w="1129" w:type="dxa"/>
            <w:tcBorders>
              <w:top w:val="single" w:sz="4" w:space="0" w:color="auto"/>
              <w:left w:val="nil"/>
              <w:bottom w:val="single" w:sz="4" w:space="0" w:color="auto"/>
              <w:right w:val="nil"/>
            </w:tcBorders>
            <w:shd w:val="clear" w:color="auto" w:fill="auto"/>
            <w:vAlign w:val="bottom"/>
            <w:hideMark/>
          </w:tcPr>
          <w:p w14:paraId="4CFFCD0B" w14:textId="77777777" w:rsidR="00FD5987" w:rsidRPr="000939E3" w:rsidRDefault="00FD5987" w:rsidP="00FD5987">
            <w:pPr>
              <w:spacing w:after="0" w:line="240" w:lineRule="auto"/>
              <w:contextualSpacing/>
              <w:jc w:val="center"/>
              <w:rPr>
                <w:rFonts w:eastAsia="Times New Roman" w:cs="Times New Roman"/>
                <w:b/>
                <w:bCs/>
                <w:color w:val="000000"/>
                <w:sz w:val="16"/>
                <w:szCs w:val="20"/>
                <w:lang w:eastAsia="sk-SK"/>
              </w:rPr>
            </w:pPr>
            <w:r w:rsidRPr="000939E3">
              <w:rPr>
                <w:rFonts w:eastAsia="Times New Roman" w:cs="Times New Roman"/>
                <w:b/>
                <w:bCs/>
                <w:color w:val="000000"/>
                <w:sz w:val="16"/>
                <w:szCs w:val="20"/>
                <w:lang w:eastAsia="sk-SK"/>
              </w:rPr>
              <w:t>Počet zamestnancov</w:t>
            </w:r>
          </w:p>
        </w:tc>
        <w:tc>
          <w:tcPr>
            <w:tcW w:w="1057" w:type="dxa"/>
            <w:tcBorders>
              <w:top w:val="nil"/>
              <w:left w:val="nil"/>
              <w:bottom w:val="single" w:sz="4" w:space="0" w:color="auto"/>
              <w:right w:val="nil"/>
            </w:tcBorders>
            <w:shd w:val="clear" w:color="auto" w:fill="auto"/>
            <w:vAlign w:val="bottom"/>
            <w:hideMark/>
          </w:tcPr>
          <w:p w14:paraId="0C69FCBC" w14:textId="77777777" w:rsidR="00FD5987" w:rsidRPr="000939E3" w:rsidRDefault="00FD5987" w:rsidP="00FD5987">
            <w:pPr>
              <w:spacing w:after="0" w:line="240" w:lineRule="auto"/>
              <w:contextualSpacing/>
              <w:jc w:val="center"/>
              <w:rPr>
                <w:rFonts w:eastAsia="Times New Roman" w:cs="Times New Roman"/>
                <w:b/>
                <w:bCs/>
                <w:color w:val="000000"/>
                <w:sz w:val="16"/>
                <w:szCs w:val="20"/>
                <w:lang w:eastAsia="sk-SK"/>
              </w:rPr>
            </w:pPr>
            <w:r w:rsidRPr="000939E3">
              <w:rPr>
                <w:rFonts w:eastAsia="Times New Roman" w:cs="Times New Roman"/>
                <w:b/>
                <w:bCs/>
                <w:color w:val="000000"/>
                <w:sz w:val="16"/>
                <w:szCs w:val="20"/>
                <w:lang w:eastAsia="sk-SK"/>
              </w:rPr>
              <w:t xml:space="preserve">Mzdové výdavky </w:t>
            </w:r>
            <w:r w:rsidRPr="000939E3">
              <w:rPr>
                <w:rFonts w:eastAsia="Times New Roman" w:cs="Times New Roman"/>
                <w:b/>
                <w:bCs/>
                <w:color w:val="000000"/>
                <w:sz w:val="16"/>
                <w:szCs w:val="20"/>
                <w:lang w:eastAsia="sk-SK"/>
              </w:rPr>
              <w:br/>
              <w:t>(v mil. eur)</w:t>
            </w:r>
          </w:p>
        </w:tc>
        <w:tc>
          <w:tcPr>
            <w:tcW w:w="1216" w:type="dxa"/>
            <w:tcBorders>
              <w:top w:val="nil"/>
              <w:left w:val="nil"/>
              <w:bottom w:val="single" w:sz="4" w:space="0" w:color="auto"/>
              <w:right w:val="single" w:sz="4" w:space="0" w:color="auto"/>
            </w:tcBorders>
            <w:shd w:val="clear" w:color="auto" w:fill="auto"/>
            <w:vAlign w:val="bottom"/>
            <w:hideMark/>
          </w:tcPr>
          <w:p w14:paraId="591174B0" w14:textId="77777777" w:rsidR="00FD5987" w:rsidRPr="000939E3" w:rsidRDefault="00FD5987" w:rsidP="00FD5987">
            <w:pPr>
              <w:spacing w:after="0" w:line="240" w:lineRule="auto"/>
              <w:contextualSpacing/>
              <w:jc w:val="center"/>
              <w:rPr>
                <w:rFonts w:eastAsia="Times New Roman" w:cs="Times New Roman"/>
                <w:b/>
                <w:bCs/>
                <w:color w:val="000000"/>
                <w:sz w:val="16"/>
                <w:szCs w:val="20"/>
                <w:lang w:eastAsia="sk-SK"/>
              </w:rPr>
            </w:pPr>
            <w:r w:rsidRPr="000939E3">
              <w:rPr>
                <w:rFonts w:eastAsia="Times New Roman" w:cs="Times New Roman"/>
                <w:b/>
                <w:bCs/>
                <w:color w:val="000000"/>
                <w:sz w:val="16"/>
                <w:szCs w:val="20"/>
                <w:lang w:eastAsia="sk-SK"/>
              </w:rPr>
              <w:t xml:space="preserve">Priemerný mzdový výdavok </w:t>
            </w:r>
            <w:r w:rsidRPr="000939E3">
              <w:rPr>
                <w:rFonts w:eastAsia="Times New Roman" w:cs="Times New Roman"/>
                <w:b/>
                <w:bCs/>
                <w:color w:val="000000"/>
                <w:sz w:val="16"/>
                <w:szCs w:val="20"/>
                <w:lang w:eastAsia="sk-SK"/>
              </w:rPr>
              <w:br/>
              <w:t>(eur)</w:t>
            </w:r>
          </w:p>
        </w:tc>
        <w:tc>
          <w:tcPr>
            <w:tcW w:w="1148" w:type="dxa"/>
            <w:tcBorders>
              <w:top w:val="nil"/>
              <w:left w:val="single" w:sz="4" w:space="0" w:color="auto"/>
              <w:bottom w:val="single" w:sz="4" w:space="0" w:color="auto"/>
              <w:right w:val="nil"/>
            </w:tcBorders>
            <w:shd w:val="clear" w:color="auto" w:fill="auto"/>
            <w:vAlign w:val="bottom"/>
            <w:hideMark/>
          </w:tcPr>
          <w:p w14:paraId="0DB66D37" w14:textId="77777777" w:rsidR="00FD5987" w:rsidRPr="000939E3" w:rsidRDefault="00FD5987" w:rsidP="00FD5987">
            <w:pPr>
              <w:spacing w:after="0" w:line="240" w:lineRule="auto"/>
              <w:contextualSpacing/>
              <w:jc w:val="center"/>
              <w:rPr>
                <w:rFonts w:eastAsia="Times New Roman" w:cs="Times New Roman"/>
                <w:b/>
                <w:bCs/>
                <w:color w:val="000000"/>
                <w:sz w:val="16"/>
                <w:szCs w:val="20"/>
                <w:lang w:eastAsia="sk-SK"/>
              </w:rPr>
            </w:pPr>
            <w:r w:rsidRPr="000939E3">
              <w:rPr>
                <w:rFonts w:eastAsia="Times New Roman" w:cs="Times New Roman"/>
                <w:b/>
                <w:bCs/>
                <w:color w:val="000000"/>
                <w:sz w:val="16"/>
                <w:szCs w:val="20"/>
                <w:lang w:eastAsia="sk-SK"/>
              </w:rPr>
              <w:t>Počet zamestnancov</w:t>
            </w:r>
          </w:p>
        </w:tc>
        <w:tc>
          <w:tcPr>
            <w:tcW w:w="1184" w:type="dxa"/>
            <w:tcBorders>
              <w:top w:val="nil"/>
              <w:left w:val="nil"/>
              <w:bottom w:val="single" w:sz="4" w:space="0" w:color="auto"/>
              <w:right w:val="nil"/>
            </w:tcBorders>
            <w:shd w:val="clear" w:color="auto" w:fill="auto"/>
            <w:vAlign w:val="bottom"/>
            <w:hideMark/>
          </w:tcPr>
          <w:p w14:paraId="2A889253" w14:textId="77777777" w:rsidR="00FD5987" w:rsidRPr="000939E3" w:rsidRDefault="00FD5987" w:rsidP="00FD5987">
            <w:pPr>
              <w:spacing w:after="0" w:line="240" w:lineRule="auto"/>
              <w:contextualSpacing/>
              <w:jc w:val="center"/>
              <w:rPr>
                <w:rFonts w:eastAsia="Times New Roman" w:cs="Times New Roman"/>
                <w:b/>
                <w:bCs/>
                <w:color w:val="000000"/>
                <w:sz w:val="16"/>
                <w:szCs w:val="20"/>
                <w:lang w:eastAsia="sk-SK"/>
              </w:rPr>
            </w:pPr>
            <w:r w:rsidRPr="000939E3">
              <w:rPr>
                <w:rFonts w:eastAsia="Times New Roman" w:cs="Times New Roman"/>
                <w:b/>
                <w:bCs/>
                <w:color w:val="000000"/>
                <w:sz w:val="16"/>
                <w:szCs w:val="20"/>
                <w:lang w:eastAsia="sk-SK"/>
              </w:rPr>
              <w:t xml:space="preserve">Mzdové výdavky </w:t>
            </w:r>
            <w:r w:rsidRPr="000939E3">
              <w:rPr>
                <w:rFonts w:eastAsia="Times New Roman" w:cs="Times New Roman"/>
                <w:b/>
                <w:bCs/>
                <w:color w:val="000000"/>
                <w:sz w:val="16"/>
                <w:szCs w:val="20"/>
                <w:lang w:eastAsia="sk-SK"/>
              </w:rPr>
              <w:br/>
              <w:t>(v mil. eur)</w:t>
            </w:r>
          </w:p>
        </w:tc>
        <w:tc>
          <w:tcPr>
            <w:tcW w:w="1354" w:type="dxa"/>
            <w:tcBorders>
              <w:top w:val="nil"/>
              <w:left w:val="nil"/>
              <w:bottom w:val="single" w:sz="4" w:space="0" w:color="auto"/>
              <w:right w:val="single" w:sz="4" w:space="0" w:color="auto"/>
            </w:tcBorders>
            <w:shd w:val="clear" w:color="auto" w:fill="auto"/>
            <w:vAlign w:val="bottom"/>
            <w:hideMark/>
          </w:tcPr>
          <w:p w14:paraId="54624E98" w14:textId="77777777" w:rsidR="00FD5987" w:rsidRPr="000939E3" w:rsidRDefault="00FD5987" w:rsidP="00FD5987">
            <w:pPr>
              <w:spacing w:after="0" w:line="240" w:lineRule="auto"/>
              <w:contextualSpacing/>
              <w:jc w:val="center"/>
              <w:rPr>
                <w:rFonts w:eastAsia="Times New Roman" w:cs="Times New Roman"/>
                <w:b/>
                <w:bCs/>
                <w:color w:val="000000"/>
                <w:sz w:val="16"/>
                <w:szCs w:val="20"/>
                <w:lang w:eastAsia="sk-SK"/>
              </w:rPr>
            </w:pPr>
            <w:r w:rsidRPr="000939E3">
              <w:rPr>
                <w:rFonts w:eastAsia="Times New Roman" w:cs="Times New Roman"/>
                <w:b/>
                <w:bCs/>
                <w:color w:val="000000"/>
                <w:sz w:val="16"/>
                <w:szCs w:val="20"/>
                <w:lang w:eastAsia="sk-SK"/>
              </w:rPr>
              <w:t xml:space="preserve">Priemerný mzdový výdavok </w:t>
            </w:r>
            <w:r w:rsidRPr="000939E3">
              <w:rPr>
                <w:rFonts w:eastAsia="Times New Roman" w:cs="Times New Roman"/>
                <w:b/>
                <w:bCs/>
                <w:color w:val="000000"/>
                <w:sz w:val="16"/>
                <w:szCs w:val="20"/>
                <w:lang w:eastAsia="sk-SK"/>
              </w:rPr>
              <w:br/>
              <w:t>(eur)</w:t>
            </w:r>
          </w:p>
        </w:tc>
        <w:tc>
          <w:tcPr>
            <w:tcW w:w="1179" w:type="dxa"/>
            <w:tcBorders>
              <w:top w:val="nil"/>
              <w:left w:val="single" w:sz="4" w:space="0" w:color="auto"/>
              <w:bottom w:val="single" w:sz="4" w:space="0" w:color="auto"/>
              <w:right w:val="nil"/>
            </w:tcBorders>
            <w:shd w:val="clear" w:color="auto" w:fill="auto"/>
            <w:vAlign w:val="bottom"/>
            <w:hideMark/>
          </w:tcPr>
          <w:p w14:paraId="5A6E1241" w14:textId="77777777" w:rsidR="00FD5987" w:rsidRPr="000939E3" w:rsidRDefault="00FD5987" w:rsidP="00FD5987">
            <w:pPr>
              <w:spacing w:after="0" w:line="240" w:lineRule="auto"/>
              <w:contextualSpacing/>
              <w:jc w:val="center"/>
              <w:rPr>
                <w:rFonts w:eastAsia="Times New Roman" w:cs="Times New Roman"/>
                <w:b/>
                <w:bCs/>
                <w:color w:val="000000"/>
                <w:sz w:val="16"/>
                <w:szCs w:val="20"/>
                <w:lang w:eastAsia="sk-SK"/>
              </w:rPr>
            </w:pPr>
            <w:r w:rsidRPr="000939E3">
              <w:rPr>
                <w:rFonts w:eastAsia="Times New Roman" w:cs="Times New Roman"/>
                <w:b/>
                <w:bCs/>
                <w:color w:val="000000"/>
                <w:sz w:val="16"/>
                <w:szCs w:val="20"/>
                <w:lang w:eastAsia="sk-SK"/>
              </w:rPr>
              <w:t>Počet zamestnancov</w:t>
            </w:r>
          </w:p>
        </w:tc>
        <w:tc>
          <w:tcPr>
            <w:tcW w:w="947" w:type="dxa"/>
            <w:tcBorders>
              <w:top w:val="nil"/>
              <w:left w:val="nil"/>
              <w:bottom w:val="single" w:sz="4" w:space="0" w:color="auto"/>
              <w:right w:val="nil"/>
            </w:tcBorders>
            <w:shd w:val="clear" w:color="auto" w:fill="auto"/>
            <w:vAlign w:val="bottom"/>
            <w:hideMark/>
          </w:tcPr>
          <w:p w14:paraId="4BBF3D2D" w14:textId="77777777" w:rsidR="00FD5987" w:rsidRPr="000939E3" w:rsidRDefault="00FD5987" w:rsidP="00FD5987">
            <w:pPr>
              <w:spacing w:after="0" w:line="240" w:lineRule="auto"/>
              <w:contextualSpacing/>
              <w:jc w:val="center"/>
              <w:rPr>
                <w:rFonts w:eastAsia="Times New Roman" w:cs="Times New Roman"/>
                <w:b/>
                <w:bCs/>
                <w:color w:val="000000"/>
                <w:sz w:val="16"/>
                <w:szCs w:val="20"/>
                <w:lang w:eastAsia="sk-SK"/>
              </w:rPr>
            </w:pPr>
            <w:r w:rsidRPr="000939E3">
              <w:rPr>
                <w:rFonts w:eastAsia="Times New Roman" w:cs="Times New Roman"/>
                <w:b/>
                <w:bCs/>
                <w:color w:val="000000"/>
                <w:sz w:val="16"/>
                <w:szCs w:val="20"/>
                <w:lang w:eastAsia="sk-SK"/>
              </w:rPr>
              <w:t xml:space="preserve">Mzdové výdavky </w:t>
            </w:r>
            <w:r w:rsidRPr="000939E3">
              <w:rPr>
                <w:rFonts w:eastAsia="Times New Roman" w:cs="Times New Roman"/>
                <w:b/>
                <w:bCs/>
                <w:color w:val="000000"/>
                <w:sz w:val="16"/>
                <w:szCs w:val="20"/>
                <w:lang w:eastAsia="sk-SK"/>
              </w:rPr>
              <w:br/>
              <w:t>(v mil. eur)</w:t>
            </w:r>
          </w:p>
        </w:tc>
        <w:tc>
          <w:tcPr>
            <w:tcW w:w="1276" w:type="dxa"/>
            <w:tcBorders>
              <w:top w:val="nil"/>
              <w:left w:val="nil"/>
              <w:bottom w:val="single" w:sz="4" w:space="0" w:color="auto"/>
              <w:right w:val="nil"/>
            </w:tcBorders>
            <w:shd w:val="clear" w:color="auto" w:fill="auto"/>
            <w:vAlign w:val="bottom"/>
            <w:hideMark/>
          </w:tcPr>
          <w:p w14:paraId="029AC0F7" w14:textId="77777777" w:rsidR="00FD5987" w:rsidRPr="000939E3" w:rsidRDefault="00FD5987" w:rsidP="00FD5987">
            <w:pPr>
              <w:spacing w:after="0" w:line="240" w:lineRule="auto"/>
              <w:contextualSpacing/>
              <w:jc w:val="center"/>
              <w:rPr>
                <w:rFonts w:eastAsia="Times New Roman" w:cs="Times New Roman"/>
                <w:b/>
                <w:bCs/>
                <w:color w:val="000000"/>
                <w:sz w:val="16"/>
                <w:szCs w:val="20"/>
                <w:lang w:eastAsia="sk-SK"/>
              </w:rPr>
            </w:pPr>
            <w:r w:rsidRPr="000939E3">
              <w:rPr>
                <w:rFonts w:eastAsia="Times New Roman" w:cs="Times New Roman"/>
                <w:b/>
                <w:bCs/>
                <w:color w:val="000000"/>
                <w:sz w:val="16"/>
                <w:szCs w:val="20"/>
                <w:lang w:eastAsia="sk-SK"/>
              </w:rPr>
              <w:t xml:space="preserve">Priemerný mzdový výdavok </w:t>
            </w:r>
            <w:r w:rsidRPr="000939E3">
              <w:rPr>
                <w:rFonts w:eastAsia="Times New Roman" w:cs="Times New Roman"/>
                <w:b/>
                <w:bCs/>
                <w:color w:val="000000"/>
                <w:sz w:val="16"/>
                <w:szCs w:val="20"/>
                <w:lang w:eastAsia="sk-SK"/>
              </w:rPr>
              <w:br/>
              <w:t>(eur)</w:t>
            </w:r>
          </w:p>
        </w:tc>
      </w:tr>
      <w:tr w:rsidR="00FD5987" w:rsidRPr="000939E3" w14:paraId="35C2F692" w14:textId="77777777" w:rsidTr="00FD5987">
        <w:trPr>
          <w:trHeight w:val="17"/>
        </w:trPr>
        <w:tc>
          <w:tcPr>
            <w:tcW w:w="3544" w:type="dxa"/>
            <w:tcBorders>
              <w:top w:val="nil"/>
              <w:left w:val="nil"/>
              <w:bottom w:val="nil"/>
              <w:right w:val="nil"/>
            </w:tcBorders>
            <w:shd w:val="clear" w:color="auto" w:fill="auto"/>
            <w:noWrap/>
            <w:vAlign w:val="bottom"/>
            <w:hideMark/>
          </w:tcPr>
          <w:p w14:paraId="69F36DE4" w14:textId="77777777" w:rsidR="00FD5987" w:rsidRPr="000939E3" w:rsidRDefault="00FD5987" w:rsidP="00FD5987">
            <w:pPr>
              <w:spacing w:after="0"/>
              <w:contextualSpacing/>
              <w:rPr>
                <w:color w:val="000000"/>
                <w:sz w:val="16"/>
                <w:szCs w:val="16"/>
              </w:rPr>
            </w:pPr>
            <w:r w:rsidRPr="000939E3">
              <w:rPr>
                <w:color w:val="000000"/>
                <w:sz w:val="16"/>
                <w:szCs w:val="16"/>
              </w:rPr>
              <w:t>Ministerstvo vnútra SR</w:t>
            </w:r>
          </w:p>
        </w:tc>
        <w:tc>
          <w:tcPr>
            <w:tcW w:w="1129" w:type="dxa"/>
            <w:tcBorders>
              <w:top w:val="nil"/>
              <w:left w:val="nil"/>
              <w:bottom w:val="nil"/>
              <w:right w:val="nil"/>
            </w:tcBorders>
            <w:shd w:val="clear" w:color="auto" w:fill="auto"/>
            <w:noWrap/>
            <w:vAlign w:val="bottom"/>
            <w:hideMark/>
          </w:tcPr>
          <w:p w14:paraId="3ACBA7EC" w14:textId="77777777" w:rsidR="00FD5987" w:rsidRPr="000939E3" w:rsidRDefault="00FD5987" w:rsidP="00FD5987">
            <w:pPr>
              <w:spacing w:after="0"/>
              <w:contextualSpacing/>
              <w:jc w:val="right"/>
              <w:rPr>
                <w:sz w:val="16"/>
                <w:szCs w:val="16"/>
              </w:rPr>
            </w:pPr>
            <w:r w:rsidRPr="000939E3">
              <w:rPr>
                <w:sz w:val="16"/>
                <w:szCs w:val="16"/>
              </w:rPr>
              <w:t>44 827</w:t>
            </w:r>
          </w:p>
        </w:tc>
        <w:tc>
          <w:tcPr>
            <w:tcW w:w="1057" w:type="dxa"/>
            <w:tcBorders>
              <w:top w:val="nil"/>
              <w:left w:val="nil"/>
              <w:bottom w:val="nil"/>
              <w:right w:val="nil"/>
            </w:tcBorders>
            <w:shd w:val="clear" w:color="auto" w:fill="auto"/>
            <w:noWrap/>
            <w:vAlign w:val="bottom"/>
            <w:hideMark/>
          </w:tcPr>
          <w:p w14:paraId="31F5ED11" w14:textId="77777777" w:rsidR="00FD5987" w:rsidRPr="000939E3" w:rsidRDefault="00FD5987" w:rsidP="00FD5987">
            <w:pPr>
              <w:spacing w:after="0"/>
              <w:contextualSpacing/>
              <w:jc w:val="right"/>
              <w:rPr>
                <w:sz w:val="16"/>
                <w:szCs w:val="16"/>
              </w:rPr>
            </w:pPr>
            <w:r w:rsidRPr="000939E3">
              <w:rPr>
                <w:sz w:val="16"/>
                <w:szCs w:val="16"/>
              </w:rPr>
              <w:t>611,7</w:t>
            </w:r>
          </w:p>
        </w:tc>
        <w:tc>
          <w:tcPr>
            <w:tcW w:w="1216" w:type="dxa"/>
            <w:tcBorders>
              <w:top w:val="nil"/>
              <w:left w:val="nil"/>
              <w:bottom w:val="nil"/>
              <w:right w:val="single" w:sz="4" w:space="0" w:color="auto"/>
            </w:tcBorders>
            <w:shd w:val="clear" w:color="auto" w:fill="auto"/>
            <w:noWrap/>
            <w:vAlign w:val="bottom"/>
            <w:hideMark/>
          </w:tcPr>
          <w:p w14:paraId="429460F8" w14:textId="77777777" w:rsidR="00FD5987" w:rsidRPr="000939E3" w:rsidRDefault="00FD5987" w:rsidP="00FD5987">
            <w:pPr>
              <w:spacing w:after="0"/>
              <w:contextualSpacing/>
              <w:jc w:val="right"/>
              <w:rPr>
                <w:sz w:val="16"/>
                <w:szCs w:val="16"/>
              </w:rPr>
            </w:pPr>
            <w:r w:rsidRPr="000939E3">
              <w:rPr>
                <w:sz w:val="16"/>
                <w:szCs w:val="16"/>
              </w:rPr>
              <w:t>1 132</w:t>
            </w:r>
          </w:p>
        </w:tc>
        <w:tc>
          <w:tcPr>
            <w:tcW w:w="1148" w:type="dxa"/>
            <w:tcBorders>
              <w:top w:val="single" w:sz="4" w:space="0" w:color="auto"/>
              <w:left w:val="single" w:sz="4" w:space="0" w:color="auto"/>
              <w:bottom w:val="nil"/>
              <w:right w:val="nil"/>
            </w:tcBorders>
            <w:shd w:val="clear" w:color="auto" w:fill="auto"/>
            <w:noWrap/>
            <w:vAlign w:val="bottom"/>
            <w:hideMark/>
          </w:tcPr>
          <w:p w14:paraId="5158E1FC" w14:textId="77777777" w:rsidR="00FD5987" w:rsidRPr="000939E3" w:rsidRDefault="00FD5987" w:rsidP="00FD5987">
            <w:pPr>
              <w:spacing w:after="0"/>
              <w:contextualSpacing/>
              <w:jc w:val="right"/>
              <w:rPr>
                <w:color w:val="000000"/>
                <w:sz w:val="16"/>
                <w:szCs w:val="16"/>
              </w:rPr>
            </w:pPr>
            <w:r w:rsidRPr="000939E3">
              <w:rPr>
                <w:color w:val="000000"/>
                <w:sz w:val="16"/>
                <w:szCs w:val="16"/>
              </w:rPr>
              <w:t>1 290</w:t>
            </w:r>
          </w:p>
        </w:tc>
        <w:tc>
          <w:tcPr>
            <w:tcW w:w="1184" w:type="dxa"/>
            <w:tcBorders>
              <w:top w:val="nil"/>
              <w:left w:val="nil"/>
              <w:bottom w:val="nil"/>
              <w:right w:val="nil"/>
            </w:tcBorders>
            <w:shd w:val="clear" w:color="auto" w:fill="auto"/>
            <w:noWrap/>
            <w:vAlign w:val="bottom"/>
            <w:hideMark/>
          </w:tcPr>
          <w:p w14:paraId="59E25CDB" w14:textId="77777777" w:rsidR="00FD5987" w:rsidRPr="000939E3" w:rsidRDefault="00FD5987" w:rsidP="00FD5987">
            <w:pPr>
              <w:spacing w:after="0"/>
              <w:contextualSpacing/>
              <w:jc w:val="right"/>
              <w:rPr>
                <w:sz w:val="16"/>
                <w:szCs w:val="16"/>
              </w:rPr>
            </w:pPr>
            <w:r w:rsidRPr="000939E3">
              <w:rPr>
                <w:sz w:val="16"/>
                <w:szCs w:val="16"/>
              </w:rPr>
              <w:t>17,6</w:t>
            </w:r>
          </w:p>
        </w:tc>
        <w:tc>
          <w:tcPr>
            <w:tcW w:w="1354" w:type="dxa"/>
            <w:tcBorders>
              <w:top w:val="nil"/>
              <w:left w:val="nil"/>
              <w:bottom w:val="nil"/>
              <w:right w:val="single" w:sz="4" w:space="0" w:color="auto"/>
            </w:tcBorders>
            <w:shd w:val="clear" w:color="auto" w:fill="auto"/>
            <w:noWrap/>
            <w:vAlign w:val="bottom"/>
            <w:hideMark/>
          </w:tcPr>
          <w:p w14:paraId="5C11355E" w14:textId="77777777" w:rsidR="00FD5987" w:rsidRPr="000939E3" w:rsidRDefault="00FD5987" w:rsidP="00FD5987">
            <w:pPr>
              <w:spacing w:after="0"/>
              <w:contextualSpacing/>
              <w:jc w:val="right"/>
              <w:rPr>
                <w:color w:val="000000"/>
                <w:sz w:val="16"/>
                <w:szCs w:val="16"/>
              </w:rPr>
            </w:pPr>
            <w:r w:rsidRPr="000939E3">
              <w:rPr>
                <w:color w:val="000000"/>
                <w:sz w:val="16"/>
                <w:szCs w:val="16"/>
              </w:rPr>
              <w:t>1 095</w:t>
            </w:r>
          </w:p>
        </w:tc>
        <w:tc>
          <w:tcPr>
            <w:tcW w:w="1179" w:type="dxa"/>
            <w:tcBorders>
              <w:top w:val="nil"/>
              <w:left w:val="single" w:sz="4" w:space="0" w:color="auto"/>
              <w:bottom w:val="nil"/>
              <w:right w:val="nil"/>
            </w:tcBorders>
            <w:shd w:val="clear" w:color="auto" w:fill="auto"/>
            <w:noWrap/>
            <w:vAlign w:val="bottom"/>
            <w:hideMark/>
          </w:tcPr>
          <w:p w14:paraId="1B394200" w14:textId="77777777" w:rsidR="00FD5987" w:rsidRPr="000939E3" w:rsidRDefault="00FD5987" w:rsidP="00FD5987">
            <w:pPr>
              <w:spacing w:after="0"/>
              <w:contextualSpacing/>
              <w:jc w:val="right"/>
              <w:rPr>
                <w:color w:val="000000"/>
                <w:sz w:val="16"/>
                <w:szCs w:val="16"/>
              </w:rPr>
            </w:pPr>
            <w:r w:rsidRPr="000939E3">
              <w:rPr>
                <w:color w:val="000000"/>
                <w:sz w:val="16"/>
                <w:szCs w:val="16"/>
              </w:rPr>
              <w:t>43 538</w:t>
            </w:r>
          </w:p>
        </w:tc>
        <w:tc>
          <w:tcPr>
            <w:tcW w:w="947" w:type="dxa"/>
            <w:tcBorders>
              <w:top w:val="nil"/>
              <w:left w:val="nil"/>
              <w:bottom w:val="nil"/>
              <w:right w:val="nil"/>
            </w:tcBorders>
            <w:shd w:val="clear" w:color="auto" w:fill="auto"/>
            <w:noWrap/>
            <w:vAlign w:val="bottom"/>
            <w:hideMark/>
          </w:tcPr>
          <w:p w14:paraId="7EA5AE39" w14:textId="77777777" w:rsidR="00FD5987" w:rsidRPr="000939E3" w:rsidRDefault="00FD5987" w:rsidP="00FD5987">
            <w:pPr>
              <w:spacing w:after="0"/>
              <w:contextualSpacing/>
              <w:jc w:val="right"/>
              <w:rPr>
                <w:sz w:val="16"/>
                <w:szCs w:val="16"/>
              </w:rPr>
            </w:pPr>
            <w:r w:rsidRPr="000939E3">
              <w:rPr>
                <w:sz w:val="16"/>
                <w:szCs w:val="16"/>
              </w:rPr>
              <w:t>594,0</w:t>
            </w:r>
          </w:p>
        </w:tc>
        <w:tc>
          <w:tcPr>
            <w:tcW w:w="1276" w:type="dxa"/>
            <w:tcBorders>
              <w:top w:val="nil"/>
              <w:left w:val="nil"/>
              <w:bottom w:val="nil"/>
              <w:right w:val="nil"/>
            </w:tcBorders>
            <w:shd w:val="clear" w:color="auto" w:fill="auto"/>
            <w:noWrap/>
            <w:vAlign w:val="bottom"/>
            <w:hideMark/>
          </w:tcPr>
          <w:p w14:paraId="3519B1B3" w14:textId="77777777" w:rsidR="00FD5987" w:rsidRPr="000939E3" w:rsidRDefault="00FD5987" w:rsidP="00FD5987">
            <w:pPr>
              <w:spacing w:after="0"/>
              <w:contextualSpacing/>
              <w:jc w:val="right"/>
              <w:rPr>
                <w:color w:val="000000"/>
                <w:sz w:val="16"/>
                <w:szCs w:val="16"/>
              </w:rPr>
            </w:pPr>
            <w:r w:rsidRPr="000939E3">
              <w:rPr>
                <w:color w:val="000000"/>
                <w:sz w:val="16"/>
                <w:szCs w:val="16"/>
              </w:rPr>
              <w:t>1 137</w:t>
            </w:r>
          </w:p>
        </w:tc>
      </w:tr>
      <w:tr w:rsidR="00FD5987" w:rsidRPr="000939E3" w14:paraId="42F250A2" w14:textId="77777777" w:rsidTr="00FD5987">
        <w:trPr>
          <w:trHeight w:val="17"/>
        </w:trPr>
        <w:tc>
          <w:tcPr>
            <w:tcW w:w="3544" w:type="dxa"/>
            <w:tcBorders>
              <w:top w:val="nil"/>
              <w:left w:val="nil"/>
              <w:bottom w:val="nil"/>
              <w:right w:val="nil"/>
            </w:tcBorders>
            <w:shd w:val="clear" w:color="auto" w:fill="auto"/>
            <w:noWrap/>
            <w:vAlign w:val="bottom"/>
            <w:hideMark/>
          </w:tcPr>
          <w:p w14:paraId="137A1103" w14:textId="77777777" w:rsidR="00FD5987" w:rsidRPr="000939E3" w:rsidRDefault="00FD5987" w:rsidP="00FD5987">
            <w:pPr>
              <w:spacing w:after="0"/>
              <w:contextualSpacing/>
              <w:rPr>
                <w:color w:val="000000"/>
                <w:sz w:val="16"/>
                <w:szCs w:val="16"/>
              </w:rPr>
            </w:pPr>
            <w:r w:rsidRPr="000939E3">
              <w:rPr>
                <w:color w:val="000000"/>
                <w:sz w:val="16"/>
                <w:szCs w:val="16"/>
              </w:rPr>
              <w:t>Ministerstvo obrany SR</w:t>
            </w:r>
          </w:p>
        </w:tc>
        <w:tc>
          <w:tcPr>
            <w:tcW w:w="1129" w:type="dxa"/>
            <w:tcBorders>
              <w:top w:val="nil"/>
              <w:left w:val="nil"/>
              <w:bottom w:val="nil"/>
              <w:right w:val="nil"/>
            </w:tcBorders>
            <w:shd w:val="clear" w:color="auto" w:fill="auto"/>
            <w:noWrap/>
            <w:vAlign w:val="bottom"/>
            <w:hideMark/>
          </w:tcPr>
          <w:p w14:paraId="4CEB6EFD" w14:textId="77777777" w:rsidR="00FD5987" w:rsidRPr="000939E3" w:rsidRDefault="00FD5987" w:rsidP="00FD5987">
            <w:pPr>
              <w:spacing w:after="0"/>
              <w:contextualSpacing/>
              <w:jc w:val="right"/>
              <w:rPr>
                <w:sz w:val="16"/>
                <w:szCs w:val="16"/>
              </w:rPr>
            </w:pPr>
            <w:r w:rsidRPr="000939E3">
              <w:rPr>
                <w:sz w:val="16"/>
                <w:szCs w:val="16"/>
              </w:rPr>
              <w:t>20 035</w:t>
            </w:r>
          </w:p>
        </w:tc>
        <w:tc>
          <w:tcPr>
            <w:tcW w:w="1057" w:type="dxa"/>
            <w:tcBorders>
              <w:top w:val="nil"/>
              <w:left w:val="nil"/>
              <w:bottom w:val="nil"/>
              <w:right w:val="nil"/>
            </w:tcBorders>
            <w:shd w:val="clear" w:color="auto" w:fill="auto"/>
            <w:noWrap/>
            <w:vAlign w:val="bottom"/>
            <w:hideMark/>
          </w:tcPr>
          <w:p w14:paraId="7F0DC403" w14:textId="77777777" w:rsidR="00FD5987" w:rsidRPr="000939E3" w:rsidRDefault="00FD5987" w:rsidP="00FD5987">
            <w:pPr>
              <w:spacing w:after="0"/>
              <w:contextualSpacing/>
              <w:jc w:val="right"/>
              <w:rPr>
                <w:sz w:val="16"/>
                <w:szCs w:val="16"/>
              </w:rPr>
            </w:pPr>
            <w:r w:rsidRPr="000939E3">
              <w:rPr>
                <w:sz w:val="16"/>
                <w:szCs w:val="16"/>
              </w:rPr>
              <w:t>267,1</w:t>
            </w:r>
          </w:p>
        </w:tc>
        <w:tc>
          <w:tcPr>
            <w:tcW w:w="1216" w:type="dxa"/>
            <w:tcBorders>
              <w:top w:val="nil"/>
              <w:left w:val="nil"/>
              <w:bottom w:val="nil"/>
              <w:right w:val="single" w:sz="4" w:space="0" w:color="auto"/>
            </w:tcBorders>
            <w:shd w:val="clear" w:color="auto" w:fill="auto"/>
            <w:noWrap/>
            <w:vAlign w:val="bottom"/>
            <w:hideMark/>
          </w:tcPr>
          <w:p w14:paraId="4E259AB4" w14:textId="77777777" w:rsidR="00FD5987" w:rsidRPr="000939E3" w:rsidRDefault="00FD5987" w:rsidP="00FD5987">
            <w:pPr>
              <w:spacing w:after="0"/>
              <w:contextualSpacing/>
              <w:jc w:val="right"/>
              <w:rPr>
                <w:sz w:val="16"/>
                <w:szCs w:val="16"/>
              </w:rPr>
            </w:pPr>
            <w:r w:rsidRPr="000939E3">
              <w:rPr>
                <w:sz w:val="16"/>
                <w:szCs w:val="16"/>
              </w:rPr>
              <w:t>1 112</w:t>
            </w:r>
          </w:p>
        </w:tc>
        <w:tc>
          <w:tcPr>
            <w:tcW w:w="1148" w:type="dxa"/>
            <w:tcBorders>
              <w:top w:val="nil"/>
              <w:left w:val="single" w:sz="4" w:space="0" w:color="auto"/>
              <w:bottom w:val="nil"/>
              <w:right w:val="nil"/>
            </w:tcBorders>
            <w:shd w:val="clear" w:color="auto" w:fill="auto"/>
            <w:noWrap/>
            <w:vAlign w:val="bottom"/>
            <w:hideMark/>
          </w:tcPr>
          <w:p w14:paraId="13ACCFB9" w14:textId="77777777" w:rsidR="00FD5987" w:rsidRPr="000939E3" w:rsidRDefault="00FD5987" w:rsidP="00FD5987">
            <w:pPr>
              <w:spacing w:after="0"/>
              <w:contextualSpacing/>
              <w:jc w:val="right"/>
              <w:rPr>
                <w:color w:val="000000"/>
                <w:sz w:val="16"/>
                <w:szCs w:val="16"/>
              </w:rPr>
            </w:pPr>
            <w:r w:rsidRPr="000939E3">
              <w:rPr>
                <w:color w:val="000000"/>
                <w:sz w:val="16"/>
                <w:szCs w:val="16"/>
              </w:rPr>
              <w:t>531</w:t>
            </w:r>
          </w:p>
        </w:tc>
        <w:tc>
          <w:tcPr>
            <w:tcW w:w="1184" w:type="dxa"/>
            <w:tcBorders>
              <w:top w:val="nil"/>
              <w:left w:val="nil"/>
              <w:bottom w:val="nil"/>
              <w:right w:val="nil"/>
            </w:tcBorders>
            <w:shd w:val="clear" w:color="auto" w:fill="auto"/>
            <w:noWrap/>
            <w:vAlign w:val="bottom"/>
            <w:hideMark/>
          </w:tcPr>
          <w:p w14:paraId="67A9A7FF" w14:textId="77777777" w:rsidR="00FD5987" w:rsidRPr="000939E3" w:rsidRDefault="00FD5987" w:rsidP="00FD5987">
            <w:pPr>
              <w:spacing w:after="0"/>
              <w:contextualSpacing/>
              <w:jc w:val="right"/>
              <w:rPr>
                <w:sz w:val="16"/>
                <w:szCs w:val="16"/>
              </w:rPr>
            </w:pPr>
            <w:r w:rsidRPr="000939E3">
              <w:rPr>
                <w:sz w:val="16"/>
                <w:szCs w:val="16"/>
              </w:rPr>
              <w:t>9,2</w:t>
            </w:r>
          </w:p>
        </w:tc>
        <w:tc>
          <w:tcPr>
            <w:tcW w:w="1354" w:type="dxa"/>
            <w:tcBorders>
              <w:top w:val="nil"/>
              <w:left w:val="nil"/>
              <w:bottom w:val="nil"/>
              <w:right w:val="single" w:sz="4" w:space="0" w:color="auto"/>
            </w:tcBorders>
            <w:shd w:val="clear" w:color="auto" w:fill="auto"/>
            <w:noWrap/>
            <w:vAlign w:val="bottom"/>
            <w:hideMark/>
          </w:tcPr>
          <w:p w14:paraId="729EDFE3" w14:textId="77777777" w:rsidR="00FD5987" w:rsidRPr="000939E3" w:rsidRDefault="00FD5987" w:rsidP="00FD5987">
            <w:pPr>
              <w:spacing w:after="0"/>
              <w:contextualSpacing/>
              <w:jc w:val="right"/>
              <w:rPr>
                <w:color w:val="000000"/>
                <w:sz w:val="16"/>
                <w:szCs w:val="16"/>
              </w:rPr>
            </w:pPr>
            <w:r w:rsidRPr="000939E3">
              <w:rPr>
                <w:color w:val="000000"/>
                <w:sz w:val="16"/>
                <w:szCs w:val="16"/>
              </w:rPr>
              <w:t>1 397</w:t>
            </w:r>
          </w:p>
        </w:tc>
        <w:tc>
          <w:tcPr>
            <w:tcW w:w="1179" w:type="dxa"/>
            <w:tcBorders>
              <w:top w:val="nil"/>
              <w:left w:val="single" w:sz="4" w:space="0" w:color="auto"/>
              <w:bottom w:val="nil"/>
              <w:right w:val="nil"/>
            </w:tcBorders>
            <w:shd w:val="clear" w:color="auto" w:fill="auto"/>
            <w:noWrap/>
            <w:vAlign w:val="bottom"/>
            <w:hideMark/>
          </w:tcPr>
          <w:p w14:paraId="54000A24" w14:textId="77777777" w:rsidR="00FD5987" w:rsidRPr="000939E3" w:rsidRDefault="00FD5987" w:rsidP="00FD5987">
            <w:pPr>
              <w:spacing w:after="0"/>
              <w:contextualSpacing/>
              <w:jc w:val="right"/>
              <w:rPr>
                <w:color w:val="000000"/>
                <w:sz w:val="16"/>
                <w:szCs w:val="16"/>
              </w:rPr>
            </w:pPr>
            <w:r w:rsidRPr="000939E3">
              <w:rPr>
                <w:color w:val="000000"/>
                <w:sz w:val="16"/>
                <w:szCs w:val="16"/>
              </w:rPr>
              <w:t>19 505</w:t>
            </w:r>
          </w:p>
        </w:tc>
        <w:tc>
          <w:tcPr>
            <w:tcW w:w="947" w:type="dxa"/>
            <w:tcBorders>
              <w:top w:val="nil"/>
              <w:left w:val="nil"/>
              <w:bottom w:val="nil"/>
              <w:right w:val="nil"/>
            </w:tcBorders>
            <w:shd w:val="clear" w:color="auto" w:fill="auto"/>
            <w:noWrap/>
            <w:vAlign w:val="bottom"/>
            <w:hideMark/>
          </w:tcPr>
          <w:p w14:paraId="2091D887" w14:textId="77777777" w:rsidR="00FD5987" w:rsidRPr="000939E3" w:rsidRDefault="00FD5987" w:rsidP="00FD5987">
            <w:pPr>
              <w:spacing w:after="0"/>
              <w:contextualSpacing/>
              <w:jc w:val="right"/>
              <w:rPr>
                <w:sz w:val="16"/>
                <w:szCs w:val="16"/>
              </w:rPr>
            </w:pPr>
            <w:r w:rsidRPr="000939E3">
              <w:rPr>
                <w:sz w:val="16"/>
                <w:szCs w:val="16"/>
              </w:rPr>
              <w:t>257,9</w:t>
            </w:r>
          </w:p>
        </w:tc>
        <w:tc>
          <w:tcPr>
            <w:tcW w:w="1276" w:type="dxa"/>
            <w:tcBorders>
              <w:top w:val="nil"/>
              <w:left w:val="nil"/>
              <w:bottom w:val="nil"/>
              <w:right w:val="nil"/>
            </w:tcBorders>
            <w:shd w:val="clear" w:color="auto" w:fill="auto"/>
            <w:noWrap/>
            <w:vAlign w:val="bottom"/>
            <w:hideMark/>
          </w:tcPr>
          <w:p w14:paraId="162C7788" w14:textId="77777777" w:rsidR="00FD5987" w:rsidRPr="000939E3" w:rsidRDefault="00FD5987" w:rsidP="00FD5987">
            <w:pPr>
              <w:spacing w:after="0"/>
              <w:contextualSpacing/>
              <w:jc w:val="right"/>
              <w:rPr>
                <w:color w:val="000000"/>
                <w:sz w:val="16"/>
                <w:szCs w:val="16"/>
              </w:rPr>
            </w:pPr>
            <w:r w:rsidRPr="000939E3">
              <w:rPr>
                <w:color w:val="000000"/>
                <w:sz w:val="16"/>
                <w:szCs w:val="16"/>
              </w:rPr>
              <w:t>1 102</w:t>
            </w:r>
          </w:p>
        </w:tc>
      </w:tr>
      <w:tr w:rsidR="00FD5987" w:rsidRPr="000939E3" w14:paraId="41D45298" w14:textId="77777777" w:rsidTr="00FD5987">
        <w:trPr>
          <w:trHeight w:val="17"/>
        </w:trPr>
        <w:tc>
          <w:tcPr>
            <w:tcW w:w="3544" w:type="dxa"/>
            <w:tcBorders>
              <w:top w:val="nil"/>
              <w:left w:val="nil"/>
              <w:bottom w:val="nil"/>
              <w:right w:val="nil"/>
            </w:tcBorders>
            <w:shd w:val="clear" w:color="auto" w:fill="auto"/>
            <w:noWrap/>
            <w:vAlign w:val="bottom"/>
            <w:hideMark/>
          </w:tcPr>
          <w:p w14:paraId="650C217A" w14:textId="77777777" w:rsidR="00FD5987" w:rsidRPr="000939E3" w:rsidRDefault="00FD5987" w:rsidP="00FD5987">
            <w:pPr>
              <w:spacing w:after="0"/>
              <w:contextualSpacing/>
              <w:rPr>
                <w:color w:val="000000"/>
                <w:sz w:val="16"/>
                <w:szCs w:val="16"/>
              </w:rPr>
            </w:pPr>
            <w:r w:rsidRPr="000939E3">
              <w:rPr>
                <w:color w:val="000000"/>
                <w:sz w:val="16"/>
                <w:szCs w:val="16"/>
              </w:rPr>
              <w:t>Ministerstvo práce, sociálnych vecí a rodiny SR</w:t>
            </w:r>
          </w:p>
        </w:tc>
        <w:tc>
          <w:tcPr>
            <w:tcW w:w="1129" w:type="dxa"/>
            <w:tcBorders>
              <w:top w:val="nil"/>
              <w:left w:val="nil"/>
              <w:bottom w:val="nil"/>
              <w:right w:val="nil"/>
            </w:tcBorders>
            <w:shd w:val="clear" w:color="auto" w:fill="auto"/>
            <w:noWrap/>
            <w:vAlign w:val="bottom"/>
            <w:hideMark/>
          </w:tcPr>
          <w:p w14:paraId="1D6D423A" w14:textId="77777777" w:rsidR="00FD5987" w:rsidRPr="000939E3" w:rsidRDefault="00FD5987" w:rsidP="00FD5987">
            <w:pPr>
              <w:spacing w:after="0"/>
              <w:contextualSpacing/>
              <w:jc w:val="right"/>
              <w:rPr>
                <w:sz w:val="16"/>
                <w:szCs w:val="16"/>
              </w:rPr>
            </w:pPr>
            <w:r w:rsidRPr="000939E3">
              <w:rPr>
                <w:sz w:val="16"/>
                <w:szCs w:val="16"/>
              </w:rPr>
              <w:t>13 097</w:t>
            </w:r>
          </w:p>
        </w:tc>
        <w:tc>
          <w:tcPr>
            <w:tcW w:w="1057" w:type="dxa"/>
            <w:tcBorders>
              <w:top w:val="nil"/>
              <w:left w:val="nil"/>
              <w:bottom w:val="nil"/>
              <w:right w:val="nil"/>
            </w:tcBorders>
            <w:shd w:val="clear" w:color="auto" w:fill="auto"/>
            <w:noWrap/>
            <w:vAlign w:val="bottom"/>
            <w:hideMark/>
          </w:tcPr>
          <w:p w14:paraId="03927D0C" w14:textId="77777777" w:rsidR="00FD5987" w:rsidRPr="000939E3" w:rsidRDefault="00FD5987" w:rsidP="00FD5987">
            <w:pPr>
              <w:spacing w:after="0"/>
              <w:contextualSpacing/>
              <w:jc w:val="right"/>
              <w:rPr>
                <w:sz w:val="16"/>
                <w:szCs w:val="16"/>
              </w:rPr>
            </w:pPr>
            <w:r w:rsidRPr="000939E3">
              <w:rPr>
                <w:sz w:val="16"/>
                <w:szCs w:val="16"/>
              </w:rPr>
              <w:t>128,3</w:t>
            </w:r>
          </w:p>
        </w:tc>
        <w:tc>
          <w:tcPr>
            <w:tcW w:w="1216" w:type="dxa"/>
            <w:tcBorders>
              <w:top w:val="nil"/>
              <w:left w:val="nil"/>
              <w:bottom w:val="nil"/>
              <w:right w:val="single" w:sz="4" w:space="0" w:color="auto"/>
            </w:tcBorders>
            <w:shd w:val="clear" w:color="auto" w:fill="auto"/>
            <w:noWrap/>
            <w:vAlign w:val="bottom"/>
            <w:hideMark/>
          </w:tcPr>
          <w:p w14:paraId="25D3DDE6" w14:textId="77777777" w:rsidR="00FD5987" w:rsidRPr="000939E3" w:rsidRDefault="00FD5987" w:rsidP="00FD5987">
            <w:pPr>
              <w:spacing w:after="0"/>
              <w:contextualSpacing/>
              <w:jc w:val="right"/>
              <w:rPr>
                <w:sz w:val="16"/>
                <w:szCs w:val="16"/>
              </w:rPr>
            </w:pPr>
            <w:r w:rsidRPr="000939E3">
              <w:rPr>
                <w:sz w:val="16"/>
                <w:szCs w:val="16"/>
              </w:rPr>
              <w:t>811</w:t>
            </w:r>
          </w:p>
        </w:tc>
        <w:tc>
          <w:tcPr>
            <w:tcW w:w="1148" w:type="dxa"/>
            <w:tcBorders>
              <w:top w:val="nil"/>
              <w:left w:val="single" w:sz="4" w:space="0" w:color="auto"/>
              <w:bottom w:val="nil"/>
              <w:right w:val="nil"/>
            </w:tcBorders>
            <w:shd w:val="clear" w:color="auto" w:fill="auto"/>
            <w:noWrap/>
            <w:vAlign w:val="bottom"/>
            <w:hideMark/>
          </w:tcPr>
          <w:p w14:paraId="4BF47E4C" w14:textId="77777777" w:rsidR="00FD5987" w:rsidRPr="000939E3" w:rsidRDefault="00FD5987" w:rsidP="00FD5987">
            <w:pPr>
              <w:spacing w:after="0"/>
              <w:contextualSpacing/>
              <w:jc w:val="right"/>
              <w:rPr>
                <w:color w:val="000000"/>
                <w:sz w:val="16"/>
                <w:szCs w:val="16"/>
              </w:rPr>
            </w:pPr>
            <w:r w:rsidRPr="000939E3">
              <w:rPr>
                <w:color w:val="000000"/>
                <w:sz w:val="16"/>
                <w:szCs w:val="16"/>
              </w:rPr>
              <w:t>419</w:t>
            </w:r>
          </w:p>
        </w:tc>
        <w:tc>
          <w:tcPr>
            <w:tcW w:w="1184" w:type="dxa"/>
            <w:tcBorders>
              <w:top w:val="nil"/>
              <w:left w:val="nil"/>
              <w:bottom w:val="nil"/>
              <w:right w:val="nil"/>
            </w:tcBorders>
            <w:shd w:val="clear" w:color="auto" w:fill="auto"/>
            <w:noWrap/>
            <w:vAlign w:val="bottom"/>
            <w:hideMark/>
          </w:tcPr>
          <w:p w14:paraId="7D9DF6DB" w14:textId="77777777" w:rsidR="00FD5987" w:rsidRPr="000939E3" w:rsidRDefault="00FD5987" w:rsidP="00FD5987">
            <w:pPr>
              <w:spacing w:after="0"/>
              <w:contextualSpacing/>
              <w:jc w:val="right"/>
              <w:rPr>
                <w:sz w:val="16"/>
                <w:szCs w:val="16"/>
              </w:rPr>
            </w:pPr>
            <w:r w:rsidRPr="000939E3">
              <w:rPr>
                <w:sz w:val="16"/>
                <w:szCs w:val="16"/>
              </w:rPr>
              <w:t>7,8</w:t>
            </w:r>
          </w:p>
        </w:tc>
        <w:tc>
          <w:tcPr>
            <w:tcW w:w="1354" w:type="dxa"/>
            <w:tcBorders>
              <w:top w:val="nil"/>
              <w:left w:val="nil"/>
              <w:bottom w:val="nil"/>
              <w:right w:val="single" w:sz="4" w:space="0" w:color="auto"/>
            </w:tcBorders>
            <w:shd w:val="clear" w:color="auto" w:fill="auto"/>
            <w:noWrap/>
            <w:vAlign w:val="bottom"/>
            <w:hideMark/>
          </w:tcPr>
          <w:p w14:paraId="30143A2D" w14:textId="77777777" w:rsidR="00FD5987" w:rsidRPr="000939E3" w:rsidRDefault="00FD5987" w:rsidP="00FD5987">
            <w:pPr>
              <w:spacing w:after="0"/>
              <w:contextualSpacing/>
              <w:jc w:val="right"/>
              <w:rPr>
                <w:color w:val="000000"/>
                <w:sz w:val="16"/>
                <w:szCs w:val="16"/>
              </w:rPr>
            </w:pPr>
            <w:r w:rsidRPr="000939E3">
              <w:rPr>
                <w:color w:val="000000"/>
                <w:sz w:val="16"/>
                <w:szCs w:val="16"/>
              </w:rPr>
              <w:t>1 499</w:t>
            </w:r>
          </w:p>
        </w:tc>
        <w:tc>
          <w:tcPr>
            <w:tcW w:w="1179" w:type="dxa"/>
            <w:tcBorders>
              <w:top w:val="nil"/>
              <w:left w:val="single" w:sz="4" w:space="0" w:color="auto"/>
              <w:bottom w:val="nil"/>
              <w:right w:val="nil"/>
            </w:tcBorders>
            <w:shd w:val="clear" w:color="auto" w:fill="auto"/>
            <w:noWrap/>
            <w:vAlign w:val="bottom"/>
            <w:hideMark/>
          </w:tcPr>
          <w:p w14:paraId="1308ABB0" w14:textId="77777777" w:rsidR="00FD5987" w:rsidRPr="000939E3" w:rsidRDefault="00FD5987" w:rsidP="00FD5987">
            <w:pPr>
              <w:spacing w:after="0"/>
              <w:contextualSpacing/>
              <w:jc w:val="right"/>
              <w:rPr>
                <w:color w:val="000000"/>
                <w:sz w:val="16"/>
                <w:szCs w:val="16"/>
              </w:rPr>
            </w:pPr>
            <w:r w:rsidRPr="000939E3">
              <w:rPr>
                <w:color w:val="000000"/>
                <w:sz w:val="16"/>
                <w:szCs w:val="16"/>
              </w:rPr>
              <w:t>12 678</w:t>
            </w:r>
          </w:p>
        </w:tc>
        <w:tc>
          <w:tcPr>
            <w:tcW w:w="947" w:type="dxa"/>
            <w:tcBorders>
              <w:top w:val="nil"/>
              <w:left w:val="nil"/>
              <w:bottom w:val="nil"/>
              <w:right w:val="nil"/>
            </w:tcBorders>
            <w:shd w:val="clear" w:color="auto" w:fill="auto"/>
            <w:noWrap/>
            <w:vAlign w:val="bottom"/>
            <w:hideMark/>
          </w:tcPr>
          <w:p w14:paraId="4EAF4286" w14:textId="77777777" w:rsidR="00FD5987" w:rsidRPr="000939E3" w:rsidRDefault="00FD5987" w:rsidP="00FD5987">
            <w:pPr>
              <w:spacing w:after="0"/>
              <w:contextualSpacing/>
              <w:jc w:val="right"/>
              <w:rPr>
                <w:sz w:val="16"/>
                <w:szCs w:val="16"/>
              </w:rPr>
            </w:pPr>
            <w:r w:rsidRPr="000939E3">
              <w:rPr>
                <w:sz w:val="16"/>
                <w:szCs w:val="16"/>
              </w:rPr>
              <w:t>120,4</w:t>
            </w:r>
          </w:p>
        </w:tc>
        <w:tc>
          <w:tcPr>
            <w:tcW w:w="1276" w:type="dxa"/>
            <w:tcBorders>
              <w:top w:val="nil"/>
              <w:left w:val="nil"/>
              <w:bottom w:val="nil"/>
              <w:right w:val="nil"/>
            </w:tcBorders>
            <w:shd w:val="clear" w:color="auto" w:fill="auto"/>
            <w:noWrap/>
            <w:vAlign w:val="bottom"/>
            <w:hideMark/>
          </w:tcPr>
          <w:p w14:paraId="3497E260" w14:textId="77777777" w:rsidR="00FD5987" w:rsidRPr="000939E3" w:rsidRDefault="00FD5987" w:rsidP="00FD5987">
            <w:pPr>
              <w:spacing w:after="0"/>
              <w:contextualSpacing/>
              <w:jc w:val="right"/>
              <w:rPr>
                <w:color w:val="000000"/>
                <w:sz w:val="16"/>
                <w:szCs w:val="16"/>
              </w:rPr>
            </w:pPr>
            <w:r w:rsidRPr="000939E3">
              <w:rPr>
                <w:color w:val="000000"/>
                <w:sz w:val="16"/>
                <w:szCs w:val="16"/>
              </w:rPr>
              <w:t>792</w:t>
            </w:r>
          </w:p>
        </w:tc>
      </w:tr>
      <w:tr w:rsidR="00FD5987" w:rsidRPr="000939E3" w14:paraId="41D3485A" w14:textId="77777777" w:rsidTr="00FD5987">
        <w:trPr>
          <w:trHeight w:val="17"/>
        </w:trPr>
        <w:tc>
          <w:tcPr>
            <w:tcW w:w="3544" w:type="dxa"/>
            <w:tcBorders>
              <w:top w:val="nil"/>
              <w:left w:val="nil"/>
              <w:bottom w:val="nil"/>
              <w:right w:val="nil"/>
            </w:tcBorders>
            <w:shd w:val="clear" w:color="auto" w:fill="auto"/>
            <w:noWrap/>
            <w:vAlign w:val="bottom"/>
            <w:hideMark/>
          </w:tcPr>
          <w:p w14:paraId="09716345" w14:textId="77777777" w:rsidR="00FD5987" w:rsidRPr="000939E3" w:rsidRDefault="00FD5987" w:rsidP="00FD5987">
            <w:pPr>
              <w:spacing w:after="0"/>
              <w:contextualSpacing/>
              <w:rPr>
                <w:color w:val="000000"/>
                <w:sz w:val="16"/>
                <w:szCs w:val="16"/>
              </w:rPr>
            </w:pPr>
            <w:r w:rsidRPr="000939E3">
              <w:rPr>
                <w:color w:val="000000"/>
                <w:sz w:val="16"/>
                <w:szCs w:val="16"/>
              </w:rPr>
              <w:t xml:space="preserve">Ministerstvo spravodlivosti SR </w:t>
            </w:r>
          </w:p>
        </w:tc>
        <w:tc>
          <w:tcPr>
            <w:tcW w:w="1129" w:type="dxa"/>
            <w:tcBorders>
              <w:top w:val="nil"/>
              <w:left w:val="nil"/>
              <w:bottom w:val="nil"/>
              <w:right w:val="nil"/>
            </w:tcBorders>
            <w:shd w:val="clear" w:color="auto" w:fill="auto"/>
            <w:noWrap/>
            <w:vAlign w:val="bottom"/>
            <w:hideMark/>
          </w:tcPr>
          <w:p w14:paraId="5DF9FD92" w14:textId="77777777" w:rsidR="00FD5987" w:rsidRPr="000939E3" w:rsidRDefault="00FD5987" w:rsidP="00FD5987">
            <w:pPr>
              <w:spacing w:after="0"/>
              <w:contextualSpacing/>
              <w:jc w:val="right"/>
              <w:rPr>
                <w:sz w:val="16"/>
                <w:szCs w:val="16"/>
              </w:rPr>
            </w:pPr>
            <w:r w:rsidRPr="000939E3">
              <w:rPr>
                <w:sz w:val="16"/>
                <w:szCs w:val="16"/>
              </w:rPr>
              <w:t>11 287</w:t>
            </w:r>
          </w:p>
        </w:tc>
        <w:tc>
          <w:tcPr>
            <w:tcW w:w="1057" w:type="dxa"/>
            <w:tcBorders>
              <w:top w:val="nil"/>
              <w:left w:val="nil"/>
              <w:bottom w:val="nil"/>
              <w:right w:val="nil"/>
            </w:tcBorders>
            <w:shd w:val="clear" w:color="auto" w:fill="auto"/>
            <w:noWrap/>
            <w:vAlign w:val="bottom"/>
            <w:hideMark/>
          </w:tcPr>
          <w:p w14:paraId="5A81AA05" w14:textId="77777777" w:rsidR="00FD5987" w:rsidRPr="000939E3" w:rsidRDefault="00FD5987" w:rsidP="00FD5987">
            <w:pPr>
              <w:spacing w:after="0"/>
              <w:contextualSpacing/>
              <w:jc w:val="right"/>
              <w:rPr>
                <w:sz w:val="16"/>
                <w:szCs w:val="16"/>
              </w:rPr>
            </w:pPr>
            <w:r w:rsidRPr="000939E3">
              <w:rPr>
                <w:sz w:val="16"/>
                <w:szCs w:val="16"/>
              </w:rPr>
              <w:t>177,1</w:t>
            </w:r>
          </w:p>
        </w:tc>
        <w:tc>
          <w:tcPr>
            <w:tcW w:w="1216" w:type="dxa"/>
            <w:tcBorders>
              <w:top w:val="nil"/>
              <w:left w:val="nil"/>
              <w:bottom w:val="nil"/>
              <w:right w:val="single" w:sz="4" w:space="0" w:color="auto"/>
            </w:tcBorders>
            <w:shd w:val="clear" w:color="auto" w:fill="auto"/>
            <w:noWrap/>
            <w:vAlign w:val="bottom"/>
            <w:hideMark/>
          </w:tcPr>
          <w:p w14:paraId="3B6475CE" w14:textId="77777777" w:rsidR="00FD5987" w:rsidRPr="000939E3" w:rsidRDefault="00FD5987" w:rsidP="00FD5987">
            <w:pPr>
              <w:spacing w:after="0"/>
              <w:contextualSpacing/>
              <w:jc w:val="right"/>
              <w:rPr>
                <w:sz w:val="16"/>
                <w:szCs w:val="16"/>
              </w:rPr>
            </w:pPr>
            <w:r w:rsidRPr="000939E3">
              <w:rPr>
                <w:sz w:val="16"/>
                <w:szCs w:val="16"/>
              </w:rPr>
              <w:t>1 305</w:t>
            </w:r>
          </w:p>
        </w:tc>
        <w:tc>
          <w:tcPr>
            <w:tcW w:w="1148" w:type="dxa"/>
            <w:tcBorders>
              <w:top w:val="nil"/>
              <w:left w:val="single" w:sz="4" w:space="0" w:color="auto"/>
              <w:bottom w:val="nil"/>
              <w:right w:val="nil"/>
            </w:tcBorders>
            <w:shd w:val="clear" w:color="auto" w:fill="auto"/>
            <w:noWrap/>
            <w:vAlign w:val="bottom"/>
            <w:hideMark/>
          </w:tcPr>
          <w:p w14:paraId="18084092" w14:textId="77777777" w:rsidR="00FD5987" w:rsidRPr="000939E3" w:rsidRDefault="00FD5987" w:rsidP="00FD5987">
            <w:pPr>
              <w:spacing w:after="0"/>
              <w:contextualSpacing/>
              <w:jc w:val="right"/>
              <w:rPr>
                <w:color w:val="000000"/>
                <w:sz w:val="16"/>
                <w:szCs w:val="16"/>
              </w:rPr>
            </w:pPr>
            <w:r w:rsidRPr="000939E3">
              <w:rPr>
                <w:color w:val="000000"/>
                <w:sz w:val="16"/>
                <w:szCs w:val="16"/>
              </w:rPr>
              <w:t>308</w:t>
            </w:r>
          </w:p>
        </w:tc>
        <w:tc>
          <w:tcPr>
            <w:tcW w:w="1184" w:type="dxa"/>
            <w:tcBorders>
              <w:top w:val="nil"/>
              <w:left w:val="nil"/>
              <w:bottom w:val="nil"/>
              <w:right w:val="nil"/>
            </w:tcBorders>
            <w:shd w:val="clear" w:color="auto" w:fill="auto"/>
            <w:noWrap/>
            <w:vAlign w:val="bottom"/>
            <w:hideMark/>
          </w:tcPr>
          <w:p w14:paraId="0FA1E7A0" w14:textId="77777777" w:rsidR="00FD5987" w:rsidRPr="000939E3" w:rsidRDefault="00FD5987" w:rsidP="00FD5987">
            <w:pPr>
              <w:spacing w:after="0"/>
              <w:contextualSpacing/>
              <w:jc w:val="right"/>
              <w:rPr>
                <w:sz w:val="16"/>
                <w:szCs w:val="16"/>
              </w:rPr>
            </w:pPr>
            <w:r w:rsidRPr="000939E3">
              <w:rPr>
                <w:sz w:val="16"/>
                <w:szCs w:val="16"/>
              </w:rPr>
              <w:t>4,6</w:t>
            </w:r>
          </w:p>
        </w:tc>
        <w:tc>
          <w:tcPr>
            <w:tcW w:w="1354" w:type="dxa"/>
            <w:tcBorders>
              <w:top w:val="nil"/>
              <w:left w:val="nil"/>
              <w:bottom w:val="nil"/>
              <w:right w:val="single" w:sz="4" w:space="0" w:color="auto"/>
            </w:tcBorders>
            <w:shd w:val="clear" w:color="auto" w:fill="auto"/>
            <w:noWrap/>
            <w:vAlign w:val="bottom"/>
            <w:hideMark/>
          </w:tcPr>
          <w:p w14:paraId="513F9CA5" w14:textId="77777777" w:rsidR="00FD5987" w:rsidRPr="000939E3" w:rsidRDefault="00FD5987" w:rsidP="00FD5987">
            <w:pPr>
              <w:spacing w:after="0"/>
              <w:contextualSpacing/>
              <w:jc w:val="right"/>
              <w:rPr>
                <w:color w:val="000000"/>
                <w:sz w:val="16"/>
                <w:szCs w:val="16"/>
              </w:rPr>
            </w:pPr>
            <w:r w:rsidRPr="000939E3">
              <w:rPr>
                <w:color w:val="000000"/>
                <w:sz w:val="16"/>
                <w:szCs w:val="16"/>
              </w:rPr>
              <w:t>1 203</w:t>
            </w:r>
          </w:p>
        </w:tc>
        <w:tc>
          <w:tcPr>
            <w:tcW w:w="1179" w:type="dxa"/>
            <w:tcBorders>
              <w:top w:val="nil"/>
              <w:left w:val="single" w:sz="4" w:space="0" w:color="auto"/>
              <w:bottom w:val="nil"/>
              <w:right w:val="nil"/>
            </w:tcBorders>
            <w:shd w:val="clear" w:color="auto" w:fill="auto"/>
            <w:noWrap/>
            <w:vAlign w:val="bottom"/>
            <w:hideMark/>
          </w:tcPr>
          <w:p w14:paraId="106956A3" w14:textId="77777777" w:rsidR="00FD5987" w:rsidRPr="000939E3" w:rsidRDefault="00FD5987" w:rsidP="00FD5987">
            <w:pPr>
              <w:spacing w:after="0"/>
              <w:contextualSpacing/>
              <w:jc w:val="right"/>
              <w:rPr>
                <w:color w:val="000000"/>
                <w:sz w:val="16"/>
                <w:szCs w:val="16"/>
              </w:rPr>
            </w:pPr>
            <w:r w:rsidRPr="000939E3">
              <w:rPr>
                <w:color w:val="000000"/>
                <w:sz w:val="16"/>
                <w:szCs w:val="16"/>
              </w:rPr>
              <w:t>10 979</w:t>
            </w:r>
          </w:p>
        </w:tc>
        <w:tc>
          <w:tcPr>
            <w:tcW w:w="947" w:type="dxa"/>
            <w:tcBorders>
              <w:top w:val="nil"/>
              <w:left w:val="nil"/>
              <w:bottom w:val="nil"/>
              <w:right w:val="nil"/>
            </w:tcBorders>
            <w:shd w:val="clear" w:color="auto" w:fill="auto"/>
            <w:noWrap/>
            <w:vAlign w:val="bottom"/>
            <w:hideMark/>
          </w:tcPr>
          <w:p w14:paraId="342D65E2" w14:textId="77777777" w:rsidR="00FD5987" w:rsidRPr="000939E3" w:rsidRDefault="00FD5987" w:rsidP="00FD5987">
            <w:pPr>
              <w:spacing w:after="0"/>
              <w:contextualSpacing/>
              <w:jc w:val="right"/>
              <w:rPr>
                <w:sz w:val="16"/>
                <w:szCs w:val="16"/>
              </w:rPr>
            </w:pPr>
            <w:r w:rsidRPr="000939E3">
              <w:rPr>
                <w:sz w:val="16"/>
                <w:szCs w:val="16"/>
              </w:rPr>
              <w:t>172,4</w:t>
            </w:r>
          </w:p>
        </w:tc>
        <w:tc>
          <w:tcPr>
            <w:tcW w:w="1276" w:type="dxa"/>
            <w:tcBorders>
              <w:top w:val="nil"/>
              <w:left w:val="nil"/>
              <w:bottom w:val="nil"/>
              <w:right w:val="nil"/>
            </w:tcBorders>
            <w:shd w:val="clear" w:color="auto" w:fill="auto"/>
            <w:noWrap/>
            <w:vAlign w:val="bottom"/>
            <w:hideMark/>
          </w:tcPr>
          <w:p w14:paraId="4CAA718F" w14:textId="77777777" w:rsidR="00FD5987" w:rsidRPr="000939E3" w:rsidRDefault="00FD5987" w:rsidP="00FD5987">
            <w:pPr>
              <w:spacing w:after="0"/>
              <w:contextualSpacing/>
              <w:jc w:val="right"/>
              <w:rPr>
                <w:color w:val="000000"/>
                <w:sz w:val="16"/>
                <w:szCs w:val="16"/>
              </w:rPr>
            </w:pPr>
            <w:r w:rsidRPr="000939E3">
              <w:rPr>
                <w:color w:val="000000"/>
                <w:sz w:val="16"/>
                <w:szCs w:val="16"/>
              </w:rPr>
              <w:t>1 309</w:t>
            </w:r>
          </w:p>
        </w:tc>
      </w:tr>
      <w:tr w:rsidR="00FD5987" w:rsidRPr="000939E3" w14:paraId="0D6DCBD2" w14:textId="77777777" w:rsidTr="00FD5987">
        <w:trPr>
          <w:trHeight w:val="17"/>
        </w:trPr>
        <w:tc>
          <w:tcPr>
            <w:tcW w:w="3544" w:type="dxa"/>
            <w:tcBorders>
              <w:top w:val="nil"/>
              <w:left w:val="nil"/>
              <w:bottom w:val="nil"/>
              <w:right w:val="nil"/>
            </w:tcBorders>
            <w:shd w:val="clear" w:color="auto" w:fill="auto"/>
            <w:noWrap/>
            <w:vAlign w:val="bottom"/>
            <w:hideMark/>
          </w:tcPr>
          <w:p w14:paraId="618B7085" w14:textId="77777777" w:rsidR="00FD5987" w:rsidRPr="000939E3" w:rsidRDefault="00FD5987" w:rsidP="00FD5987">
            <w:pPr>
              <w:spacing w:after="0"/>
              <w:contextualSpacing/>
              <w:rPr>
                <w:color w:val="000000"/>
                <w:sz w:val="16"/>
                <w:szCs w:val="16"/>
              </w:rPr>
            </w:pPr>
            <w:r w:rsidRPr="000939E3">
              <w:rPr>
                <w:color w:val="000000"/>
                <w:sz w:val="16"/>
                <w:szCs w:val="16"/>
              </w:rPr>
              <w:t>Ministerstvo financií SR</w:t>
            </w:r>
          </w:p>
        </w:tc>
        <w:tc>
          <w:tcPr>
            <w:tcW w:w="1129" w:type="dxa"/>
            <w:tcBorders>
              <w:top w:val="nil"/>
              <w:left w:val="nil"/>
              <w:bottom w:val="nil"/>
              <w:right w:val="nil"/>
            </w:tcBorders>
            <w:shd w:val="clear" w:color="auto" w:fill="auto"/>
            <w:noWrap/>
            <w:vAlign w:val="bottom"/>
            <w:hideMark/>
          </w:tcPr>
          <w:p w14:paraId="3D6897A0" w14:textId="77777777" w:rsidR="00FD5987" w:rsidRPr="000939E3" w:rsidRDefault="00FD5987" w:rsidP="00FD5987">
            <w:pPr>
              <w:spacing w:after="0"/>
              <w:contextualSpacing/>
              <w:jc w:val="right"/>
              <w:rPr>
                <w:sz w:val="16"/>
                <w:szCs w:val="16"/>
              </w:rPr>
            </w:pPr>
            <w:r w:rsidRPr="000939E3">
              <w:rPr>
                <w:sz w:val="16"/>
                <w:szCs w:val="16"/>
              </w:rPr>
              <w:t>10 264</w:t>
            </w:r>
          </w:p>
        </w:tc>
        <w:tc>
          <w:tcPr>
            <w:tcW w:w="1057" w:type="dxa"/>
            <w:tcBorders>
              <w:top w:val="nil"/>
              <w:left w:val="nil"/>
              <w:bottom w:val="nil"/>
              <w:right w:val="nil"/>
            </w:tcBorders>
            <w:shd w:val="clear" w:color="auto" w:fill="auto"/>
            <w:noWrap/>
            <w:vAlign w:val="bottom"/>
            <w:hideMark/>
          </w:tcPr>
          <w:p w14:paraId="708DB1E2" w14:textId="77777777" w:rsidR="00FD5987" w:rsidRPr="000939E3" w:rsidRDefault="00FD5987" w:rsidP="00FD5987">
            <w:pPr>
              <w:spacing w:after="0"/>
              <w:contextualSpacing/>
              <w:jc w:val="right"/>
              <w:rPr>
                <w:sz w:val="16"/>
                <w:szCs w:val="16"/>
              </w:rPr>
            </w:pPr>
            <w:r w:rsidRPr="000939E3">
              <w:rPr>
                <w:sz w:val="16"/>
                <w:szCs w:val="16"/>
              </w:rPr>
              <w:t>141,9</w:t>
            </w:r>
          </w:p>
        </w:tc>
        <w:tc>
          <w:tcPr>
            <w:tcW w:w="1216" w:type="dxa"/>
            <w:tcBorders>
              <w:top w:val="nil"/>
              <w:left w:val="nil"/>
              <w:bottom w:val="nil"/>
              <w:right w:val="single" w:sz="4" w:space="0" w:color="auto"/>
            </w:tcBorders>
            <w:shd w:val="clear" w:color="auto" w:fill="auto"/>
            <w:noWrap/>
            <w:vAlign w:val="bottom"/>
            <w:hideMark/>
          </w:tcPr>
          <w:p w14:paraId="06EE265D" w14:textId="77777777" w:rsidR="00FD5987" w:rsidRPr="000939E3" w:rsidRDefault="00FD5987" w:rsidP="00FD5987">
            <w:pPr>
              <w:spacing w:after="0"/>
              <w:contextualSpacing/>
              <w:jc w:val="right"/>
              <w:rPr>
                <w:sz w:val="16"/>
                <w:szCs w:val="16"/>
              </w:rPr>
            </w:pPr>
            <w:r w:rsidRPr="000939E3">
              <w:rPr>
                <w:sz w:val="16"/>
                <w:szCs w:val="16"/>
              </w:rPr>
              <w:t>1 151</w:t>
            </w:r>
          </w:p>
        </w:tc>
        <w:tc>
          <w:tcPr>
            <w:tcW w:w="1148" w:type="dxa"/>
            <w:tcBorders>
              <w:top w:val="nil"/>
              <w:left w:val="single" w:sz="4" w:space="0" w:color="auto"/>
              <w:bottom w:val="nil"/>
              <w:right w:val="nil"/>
            </w:tcBorders>
            <w:shd w:val="clear" w:color="auto" w:fill="auto"/>
            <w:noWrap/>
            <w:vAlign w:val="bottom"/>
            <w:hideMark/>
          </w:tcPr>
          <w:p w14:paraId="7942699D" w14:textId="77777777" w:rsidR="00FD5987" w:rsidRPr="000939E3" w:rsidRDefault="00FD5987" w:rsidP="00FD5987">
            <w:pPr>
              <w:spacing w:after="0"/>
              <w:contextualSpacing/>
              <w:jc w:val="right"/>
              <w:rPr>
                <w:color w:val="000000"/>
                <w:sz w:val="16"/>
                <w:szCs w:val="16"/>
              </w:rPr>
            </w:pPr>
            <w:r w:rsidRPr="000939E3">
              <w:rPr>
                <w:color w:val="000000"/>
                <w:sz w:val="16"/>
                <w:szCs w:val="16"/>
              </w:rPr>
              <w:t>661</w:t>
            </w:r>
          </w:p>
        </w:tc>
        <w:tc>
          <w:tcPr>
            <w:tcW w:w="1184" w:type="dxa"/>
            <w:tcBorders>
              <w:top w:val="nil"/>
              <w:left w:val="nil"/>
              <w:bottom w:val="nil"/>
              <w:right w:val="nil"/>
            </w:tcBorders>
            <w:shd w:val="clear" w:color="auto" w:fill="auto"/>
            <w:noWrap/>
            <w:vAlign w:val="bottom"/>
            <w:hideMark/>
          </w:tcPr>
          <w:p w14:paraId="03DAB635" w14:textId="77777777" w:rsidR="00FD5987" w:rsidRPr="000939E3" w:rsidRDefault="00FD5987" w:rsidP="00FD5987">
            <w:pPr>
              <w:spacing w:after="0"/>
              <w:contextualSpacing/>
              <w:jc w:val="right"/>
              <w:rPr>
                <w:sz w:val="16"/>
                <w:szCs w:val="16"/>
              </w:rPr>
            </w:pPr>
            <w:r w:rsidRPr="000939E3">
              <w:rPr>
                <w:sz w:val="16"/>
                <w:szCs w:val="16"/>
              </w:rPr>
              <w:t>13,6</w:t>
            </w:r>
          </w:p>
        </w:tc>
        <w:tc>
          <w:tcPr>
            <w:tcW w:w="1354" w:type="dxa"/>
            <w:tcBorders>
              <w:top w:val="nil"/>
              <w:left w:val="nil"/>
              <w:bottom w:val="nil"/>
              <w:right w:val="single" w:sz="4" w:space="0" w:color="auto"/>
            </w:tcBorders>
            <w:shd w:val="clear" w:color="auto" w:fill="auto"/>
            <w:noWrap/>
            <w:vAlign w:val="bottom"/>
            <w:hideMark/>
          </w:tcPr>
          <w:p w14:paraId="788CC0A1" w14:textId="77777777" w:rsidR="00FD5987" w:rsidRPr="000939E3" w:rsidRDefault="00FD5987" w:rsidP="00FD5987">
            <w:pPr>
              <w:spacing w:after="0"/>
              <w:contextualSpacing/>
              <w:jc w:val="right"/>
              <w:rPr>
                <w:color w:val="000000"/>
                <w:sz w:val="16"/>
                <w:szCs w:val="16"/>
              </w:rPr>
            </w:pPr>
            <w:r w:rsidRPr="000939E3">
              <w:rPr>
                <w:color w:val="000000"/>
                <w:sz w:val="16"/>
                <w:szCs w:val="16"/>
              </w:rPr>
              <w:t>1 673</w:t>
            </w:r>
          </w:p>
        </w:tc>
        <w:tc>
          <w:tcPr>
            <w:tcW w:w="1179" w:type="dxa"/>
            <w:tcBorders>
              <w:top w:val="nil"/>
              <w:left w:val="single" w:sz="4" w:space="0" w:color="auto"/>
              <w:bottom w:val="nil"/>
              <w:right w:val="nil"/>
            </w:tcBorders>
            <w:shd w:val="clear" w:color="auto" w:fill="auto"/>
            <w:noWrap/>
            <w:vAlign w:val="bottom"/>
            <w:hideMark/>
          </w:tcPr>
          <w:p w14:paraId="4AC6D53A" w14:textId="77777777" w:rsidR="00FD5987" w:rsidRPr="000939E3" w:rsidRDefault="00FD5987" w:rsidP="00FD5987">
            <w:pPr>
              <w:spacing w:after="0"/>
              <w:contextualSpacing/>
              <w:jc w:val="right"/>
              <w:rPr>
                <w:color w:val="000000"/>
                <w:sz w:val="16"/>
                <w:szCs w:val="16"/>
              </w:rPr>
            </w:pPr>
            <w:r w:rsidRPr="000939E3">
              <w:rPr>
                <w:color w:val="000000"/>
                <w:sz w:val="16"/>
                <w:szCs w:val="16"/>
              </w:rPr>
              <w:t>9 603</w:t>
            </w:r>
          </w:p>
        </w:tc>
        <w:tc>
          <w:tcPr>
            <w:tcW w:w="947" w:type="dxa"/>
            <w:tcBorders>
              <w:top w:val="nil"/>
              <w:left w:val="nil"/>
              <w:bottom w:val="nil"/>
              <w:right w:val="nil"/>
            </w:tcBorders>
            <w:shd w:val="clear" w:color="auto" w:fill="auto"/>
            <w:noWrap/>
            <w:vAlign w:val="bottom"/>
            <w:hideMark/>
          </w:tcPr>
          <w:p w14:paraId="48EEEBE9" w14:textId="77777777" w:rsidR="00FD5987" w:rsidRPr="000939E3" w:rsidRDefault="00FD5987" w:rsidP="00FD5987">
            <w:pPr>
              <w:spacing w:after="0"/>
              <w:contextualSpacing/>
              <w:jc w:val="right"/>
              <w:rPr>
                <w:sz w:val="16"/>
                <w:szCs w:val="16"/>
              </w:rPr>
            </w:pPr>
            <w:r w:rsidRPr="000939E3">
              <w:rPr>
                <w:sz w:val="16"/>
                <w:szCs w:val="16"/>
              </w:rPr>
              <w:t>128,3</w:t>
            </w:r>
          </w:p>
        </w:tc>
        <w:tc>
          <w:tcPr>
            <w:tcW w:w="1276" w:type="dxa"/>
            <w:tcBorders>
              <w:top w:val="nil"/>
              <w:left w:val="nil"/>
              <w:bottom w:val="nil"/>
              <w:right w:val="nil"/>
            </w:tcBorders>
            <w:shd w:val="clear" w:color="auto" w:fill="auto"/>
            <w:noWrap/>
            <w:vAlign w:val="bottom"/>
            <w:hideMark/>
          </w:tcPr>
          <w:p w14:paraId="10DD1B52" w14:textId="77777777" w:rsidR="00FD5987" w:rsidRPr="000939E3" w:rsidRDefault="00FD5987" w:rsidP="00FD5987">
            <w:pPr>
              <w:spacing w:after="0"/>
              <w:contextualSpacing/>
              <w:jc w:val="right"/>
              <w:rPr>
                <w:color w:val="000000"/>
                <w:sz w:val="16"/>
                <w:szCs w:val="16"/>
              </w:rPr>
            </w:pPr>
            <w:r w:rsidRPr="000939E3">
              <w:rPr>
                <w:color w:val="000000"/>
                <w:sz w:val="16"/>
                <w:szCs w:val="16"/>
              </w:rPr>
              <w:t>1 113</w:t>
            </w:r>
          </w:p>
        </w:tc>
      </w:tr>
      <w:tr w:rsidR="00FD5987" w:rsidRPr="000939E3" w14:paraId="2BD4BD47" w14:textId="77777777" w:rsidTr="00FD5987">
        <w:trPr>
          <w:trHeight w:val="17"/>
        </w:trPr>
        <w:tc>
          <w:tcPr>
            <w:tcW w:w="3544" w:type="dxa"/>
            <w:tcBorders>
              <w:top w:val="nil"/>
              <w:left w:val="nil"/>
              <w:bottom w:val="nil"/>
              <w:right w:val="nil"/>
            </w:tcBorders>
            <w:shd w:val="clear" w:color="auto" w:fill="auto"/>
            <w:noWrap/>
            <w:vAlign w:val="bottom"/>
            <w:hideMark/>
          </w:tcPr>
          <w:p w14:paraId="4830DF27" w14:textId="77777777" w:rsidR="00FD5987" w:rsidRPr="000939E3" w:rsidRDefault="00FD5987" w:rsidP="00FD5987">
            <w:pPr>
              <w:spacing w:after="0"/>
              <w:contextualSpacing/>
              <w:rPr>
                <w:color w:val="000000"/>
                <w:sz w:val="16"/>
                <w:szCs w:val="16"/>
              </w:rPr>
            </w:pPr>
            <w:r w:rsidRPr="000939E3">
              <w:rPr>
                <w:color w:val="000000"/>
                <w:sz w:val="16"/>
                <w:szCs w:val="16"/>
              </w:rPr>
              <w:t>Ministerstvo školstva, vedy, výskumu a športu SR</w:t>
            </w:r>
          </w:p>
        </w:tc>
        <w:tc>
          <w:tcPr>
            <w:tcW w:w="1129" w:type="dxa"/>
            <w:tcBorders>
              <w:top w:val="nil"/>
              <w:left w:val="nil"/>
              <w:bottom w:val="nil"/>
              <w:right w:val="nil"/>
            </w:tcBorders>
            <w:shd w:val="clear" w:color="auto" w:fill="auto"/>
            <w:noWrap/>
            <w:vAlign w:val="bottom"/>
            <w:hideMark/>
          </w:tcPr>
          <w:p w14:paraId="15EDA6EC" w14:textId="77777777" w:rsidR="00FD5987" w:rsidRPr="000939E3" w:rsidRDefault="00FD5987" w:rsidP="00FD5987">
            <w:pPr>
              <w:spacing w:after="0"/>
              <w:contextualSpacing/>
              <w:jc w:val="right"/>
              <w:rPr>
                <w:sz w:val="16"/>
                <w:szCs w:val="16"/>
              </w:rPr>
            </w:pPr>
            <w:r w:rsidRPr="000939E3">
              <w:rPr>
                <w:sz w:val="16"/>
                <w:szCs w:val="16"/>
              </w:rPr>
              <w:t>4 265</w:t>
            </w:r>
          </w:p>
        </w:tc>
        <w:tc>
          <w:tcPr>
            <w:tcW w:w="1057" w:type="dxa"/>
            <w:tcBorders>
              <w:top w:val="nil"/>
              <w:left w:val="nil"/>
              <w:bottom w:val="nil"/>
              <w:right w:val="nil"/>
            </w:tcBorders>
            <w:shd w:val="clear" w:color="auto" w:fill="auto"/>
            <w:noWrap/>
            <w:vAlign w:val="bottom"/>
            <w:hideMark/>
          </w:tcPr>
          <w:p w14:paraId="592977B6" w14:textId="77777777" w:rsidR="00FD5987" w:rsidRPr="000939E3" w:rsidRDefault="00FD5987" w:rsidP="00FD5987">
            <w:pPr>
              <w:spacing w:after="0"/>
              <w:contextualSpacing/>
              <w:jc w:val="right"/>
              <w:rPr>
                <w:sz w:val="16"/>
                <w:szCs w:val="16"/>
              </w:rPr>
            </w:pPr>
            <w:r w:rsidRPr="000939E3">
              <w:rPr>
                <w:sz w:val="16"/>
                <w:szCs w:val="16"/>
              </w:rPr>
              <w:t>49,7</w:t>
            </w:r>
          </w:p>
        </w:tc>
        <w:tc>
          <w:tcPr>
            <w:tcW w:w="1216" w:type="dxa"/>
            <w:tcBorders>
              <w:top w:val="nil"/>
              <w:left w:val="nil"/>
              <w:bottom w:val="nil"/>
              <w:right w:val="single" w:sz="4" w:space="0" w:color="auto"/>
            </w:tcBorders>
            <w:shd w:val="clear" w:color="auto" w:fill="auto"/>
            <w:noWrap/>
            <w:vAlign w:val="bottom"/>
            <w:hideMark/>
          </w:tcPr>
          <w:p w14:paraId="26E26200" w14:textId="77777777" w:rsidR="00FD5987" w:rsidRPr="000939E3" w:rsidRDefault="00FD5987" w:rsidP="00FD5987">
            <w:pPr>
              <w:spacing w:after="0"/>
              <w:contextualSpacing/>
              <w:jc w:val="right"/>
              <w:rPr>
                <w:sz w:val="16"/>
                <w:szCs w:val="16"/>
              </w:rPr>
            </w:pPr>
            <w:r w:rsidRPr="000939E3">
              <w:rPr>
                <w:sz w:val="16"/>
                <w:szCs w:val="16"/>
              </w:rPr>
              <w:t>1 256</w:t>
            </w:r>
          </w:p>
        </w:tc>
        <w:tc>
          <w:tcPr>
            <w:tcW w:w="1148" w:type="dxa"/>
            <w:tcBorders>
              <w:top w:val="nil"/>
              <w:left w:val="single" w:sz="4" w:space="0" w:color="auto"/>
              <w:bottom w:val="nil"/>
              <w:right w:val="nil"/>
            </w:tcBorders>
            <w:shd w:val="clear" w:color="auto" w:fill="auto"/>
            <w:noWrap/>
            <w:vAlign w:val="bottom"/>
            <w:hideMark/>
          </w:tcPr>
          <w:p w14:paraId="55D66E85" w14:textId="77777777" w:rsidR="00FD5987" w:rsidRPr="000939E3" w:rsidRDefault="00FD5987" w:rsidP="00FD5987">
            <w:pPr>
              <w:spacing w:after="0"/>
              <w:contextualSpacing/>
              <w:jc w:val="right"/>
              <w:rPr>
                <w:color w:val="000000"/>
                <w:sz w:val="16"/>
                <w:szCs w:val="16"/>
              </w:rPr>
            </w:pPr>
            <w:r w:rsidRPr="000939E3">
              <w:rPr>
                <w:color w:val="000000"/>
                <w:sz w:val="16"/>
                <w:szCs w:val="16"/>
              </w:rPr>
              <w:t>499</w:t>
            </w:r>
          </w:p>
        </w:tc>
        <w:tc>
          <w:tcPr>
            <w:tcW w:w="1184" w:type="dxa"/>
            <w:tcBorders>
              <w:top w:val="nil"/>
              <w:left w:val="nil"/>
              <w:bottom w:val="nil"/>
              <w:right w:val="nil"/>
            </w:tcBorders>
            <w:shd w:val="clear" w:color="auto" w:fill="auto"/>
            <w:noWrap/>
            <w:vAlign w:val="bottom"/>
            <w:hideMark/>
          </w:tcPr>
          <w:p w14:paraId="1E5AB9F6" w14:textId="77777777" w:rsidR="00FD5987" w:rsidRPr="000939E3" w:rsidRDefault="00FD5987" w:rsidP="00FD5987">
            <w:pPr>
              <w:spacing w:after="0"/>
              <w:contextualSpacing/>
              <w:jc w:val="right"/>
              <w:rPr>
                <w:sz w:val="16"/>
                <w:szCs w:val="16"/>
              </w:rPr>
            </w:pPr>
            <w:r w:rsidRPr="000939E3">
              <w:rPr>
                <w:sz w:val="16"/>
                <w:szCs w:val="16"/>
              </w:rPr>
              <w:t>9,8</w:t>
            </w:r>
          </w:p>
        </w:tc>
        <w:tc>
          <w:tcPr>
            <w:tcW w:w="1354" w:type="dxa"/>
            <w:tcBorders>
              <w:top w:val="nil"/>
              <w:left w:val="nil"/>
              <w:bottom w:val="nil"/>
              <w:right w:val="single" w:sz="4" w:space="0" w:color="auto"/>
            </w:tcBorders>
            <w:shd w:val="clear" w:color="auto" w:fill="auto"/>
            <w:noWrap/>
            <w:vAlign w:val="bottom"/>
            <w:hideMark/>
          </w:tcPr>
          <w:p w14:paraId="199CDD73" w14:textId="77777777" w:rsidR="00FD5987" w:rsidRPr="000939E3" w:rsidRDefault="00FD5987" w:rsidP="00FD5987">
            <w:pPr>
              <w:spacing w:after="0"/>
              <w:contextualSpacing/>
              <w:jc w:val="right"/>
              <w:rPr>
                <w:color w:val="000000"/>
                <w:sz w:val="16"/>
                <w:szCs w:val="16"/>
              </w:rPr>
            </w:pPr>
            <w:r w:rsidRPr="000939E3">
              <w:rPr>
                <w:color w:val="000000"/>
                <w:sz w:val="16"/>
                <w:szCs w:val="16"/>
              </w:rPr>
              <w:t>1 578</w:t>
            </w:r>
          </w:p>
        </w:tc>
        <w:tc>
          <w:tcPr>
            <w:tcW w:w="1179" w:type="dxa"/>
            <w:tcBorders>
              <w:top w:val="nil"/>
              <w:left w:val="single" w:sz="4" w:space="0" w:color="auto"/>
              <w:bottom w:val="nil"/>
              <w:right w:val="nil"/>
            </w:tcBorders>
            <w:shd w:val="clear" w:color="auto" w:fill="auto"/>
            <w:noWrap/>
            <w:vAlign w:val="bottom"/>
            <w:hideMark/>
          </w:tcPr>
          <w:p w14:paraId="31E83867" w14:textId="77777777" w:rsidR="00FD5987" w:rsidRPr="000939E3" w:rsidRDefault="00FD5987" w:rsidP="00FD5987">
            <w:pPr>
              <w:spacing w:after="0"/>
              <w:contextualSpacing/>
              <w:jc w:val="right"/>
              <w:rPr>
                <w:color w:val="000000"/>
                <w:sz w:val="16"/>
                <w:szCs w:val="16"/>
              </w:rPr>
            </w:pPr>
            <w:r w:rsidRPr="000939E3">
              <w:rPr>
                <w:color w:val="000000"/>
                <w:sz w:val="16"/>
                <w:szCs w:val="16"/>
              </w:rPr>
              <w:t>3 765</w:t>
            </w:r>
          </w:p>
        </w:tc>
        <w:tc>
          <w:tcPr>
            <w:tcW w:w="947" w:type="dxa"/>
            <w:tcBorders>
              <w:top w:val="nil"/>
              <w:left w:val="nil"/>
              <w:bottom w:val="nil"/>
              <w:right w:val="nil"/>
            </w:tcBorders>
            <w:shd w:val="clear" w:color="auto" w:fill="auto"/>
            <w:noWrap/>
            <w:vAlign w:val="bottom"/>
            <w:hideMark/>
          </w:tcPr>
          <w:p w14:paraId="34C8A707" w14:textId="77777777" w:rsidR="00FD5987" w:rsidRPr="000939E3" w:rsidRDefault="00FD5987" w:rsidP="00FD5987">
            <w:pPr>
              <w:spacing w:after="0"/>
              <w:contextualSpacing/>
              <w:jc w:val="right"/>
              <w:rPr>
                <w:sz w:val="16"/>
                <w:szCs w:val="16"/>
              </w:rPr>
            </w:pPr>
            <w:r w:rsidRPr="000939E3">
              <w:rPr>
                <w:sz w:val="16"/>
                <w:szCs w:val="16"/>
              </w:rPr>
              <w:t>39,9</w:t>
            </w:r>
          </w:p>
        </w:tc>
        <w:tc>
          <w:tcPr>
            <w:tcW w:w="1276" w:type="dxa"/>
            <w:tcBorders>
              <w:top w:val="nil"/>
              <w:left w:val="nil"/>
              <w:bottom w:val="nil"/>
              <w:right w:val="nil"/>
            </w:tcBorders>
            <w:shd w:val="clear" w:color="auto" w:fill="auto"/>
            <w:noWrap/>
            <w:vAlign w:val="bottom"/>
            <w:hideMark/>
          </w:tcPr>
          <w:p w14:paraId="10BC88B2" w14:textId="77777777" w:rsidR="00FD5987" w:rsidRPr="000939E3" w:rsidRDefault="00FD5987" w:rsidP="00FD5987">
            <w:pPr>
              <w:spacing w:after="0"/>
              <w:contextualSpacing/>
              <w:jc w:val="right"/>
              <w:rPr>
                <w:color w:val="000000"/>
                <w:sz w:val="16"/>
                <w:szCs w:val="16"/>
              </w:rPr>
            </w:pPr>
            <w:r w:rsidRPr="000939E3">
              <w:rPr>
                <w:color w:val="000000"/>
                <w:sz w:val="16"/>
                <w:szCs w:val="16"/>
              </w:rPr>
              <w:t>882</w:t>
            </w:r>
          </w:p>
        </w:tc>
      </w:tr>
      <w:tr w:rsidR="00FD5987" w:rsidRPr="000939E3" w14:paraId="17A9B156" w14:textId="77777777" w:rsidTr="00FD5987">
        <w:trPr>
          <w:trHeight w:val="17"/>
        </w:trPr>
        <w:tc>
          <w:tcPr>
            <w:tcW w:w="3544" w:type="dxa"/>
            <w:tcBorders>
              <w:top w:val="nil"/>
              <w:left w:val="nil"/>
              <w:bottom w:val="nil"/>
              <w:right w:val="nil"/>
            </w:tcBorders>
            <w:shd w:val="clear" w:color="auto" w:fill="auto"/>
            <w:noWrap/>
            <w:vAlign w:val="bottom"/>
            <w:hideMark/>
          </w:tcPr>
          <w:p w14:paraId="1B6E1181" w14:textId="77777777" w:rsidR="00FD5987" w:rsidRPr="000939E3" w:rsidRDefault="00FD5987" w:rsidP="00FD5987">
            <w:pPr>
              <w:spacing w:after="0"/>
              <w:contextualSpacing/>
              <w:rPr>
                <w:color w:val="000000"/>
                <w:sz w:val="16"/>
                <w:szCs w:val="16"/>
              </w:rPr>
            </w:pPr>
            <w:r w:rsidRPr="000939E3">
              <w:rPr>
                <w:color w:val="000000"/>
                <w:sz w:val="16"/>
                <w:szCs w:val="16"/>
              </w:rPr>
              <w:t>Ministerstvo pôdohospodárstva a rozvoja vidieka SR</w:t>
            </w:r>
          </w:p>
        </w:tc>
        <w:tc>
          <w:tcPr>
            <w:tcW w:w="1129" w:type="dxa"/>
            <w:tcBorders>
              <w:top w:val="nil"/>
              <w:left w:val="nil"/>
              <w:bottom w:val="nil"/>
              <w:right w:val="nil"/>
            </w:tcBorders>
            <w:shd w:val="clear" w:color="auto" w:fill="auto"/>
            <w:noWrap/>
            <w:vAlign w:val="bottom"/>
            <w:hideMark/>
          </w:tcPr>
          <w:p w14:paraId="68A24AFE" w14:textId="77777777" w:rsidR="00FD5987" w:rsidRPr="000939E3" w:rsidRDefault="00FD5987" w:rsidP="00FD5987">
            <w:pPr>
              <w:spacing w:after="0"/>
              <w:contextualSpacing/>
              <w:jc w:val="right"/>
              <w:rPr>
                <w:sz w:val="16"/>
                <w:szCs w:val="16"/>
              </w:rPr>
            </w:pPr>
            <w:r w:rsidRPr="000939E3">
              <w:rPr>
                <w:sz w:val="16"/>
                <w:szCs w:val="16"/>
              </w:rPr>
              <w:t>2 961</w:t>
            </w:r>
          </w:p>
        </w:tc>
        <w:tc>
          <w:tcPr>
            <w:tcW w:w="1057" w:type="dxa"/>
            <w:tcBorders>
              <w:top w:val="nil"/>
              <w:left w:val="nil"/>
              <w:bottom w:val="nil"/>
              <w:right w:val="nil"/>
            </w:tcBorders>
            <w:shd w:val="clear" w:color="auto" w:fill="auto"/>
            <w:noWrap/>
            <w:vAlign w:val="bottom"/>
            <w:hideMark/>
          </w:tcPr>
          <w:p w14:paraId="3523D6E7" w14:textId="77777777" w:rsidR="00FD5987" w:rsidRPr="000939E3" w:rsidRDefault="00FD5987" w:rsidP="00FD5987">
            <w:pPr>
              <w:spacing w:after="0"/>
              <w:contextualSpacing/>
              <w:jc w:val="right"/>
              <w:rPr>
                <w:sz w:val="16"/>
                <w:szCs w:val="16"/>
              </w:rPr>
            </w:pPr>
            <w:r w:rsidRPr="000939E3">
              <w:rPr>
                <w:sz w:val="16"/>
                <w:szCs w:val="16"/>
              </w:rPr>
              <w:t>37,2</w:t>
            </w:r>
          </w:p>
        </w:tc>
        <w:tc>
          <w:tcPr>
            <w:tcW w:w="1216" w:type="dxa"/>
            <w:tcBorders>
              <w:top w:val="nil"/>
              <w:left w:val="nil"/>
              <w:bottom w:val="nil"/>
              <w:right w:val="single" w:sz="4" w:space="0" w:color="auto"/>
            </w:tcBorders>
            <w:shd w:val="clear" w:color="auto" w:fill="auto"/>
            <w:noWrap/>
            <w:vAlign w:val="bottom"/>
            <w:hideMark/>
          </w:tcPr>
          <w:p w14:paraId="3AF83396" w14:textId="77777777" w:rsidR="00FD5987" w:rsidRPr="000939E3" w:rsidRDefault="00FD5987" w:rsidP="00FD5987">
            <w:pPr>
              <w:spacing w:after="0"/>
              <w:contextualSpacing/>
              <w:jc w:val="right"/>
              <w:rPr>
                <w:sz w:val="16"/>
                <w:szCs w:val="16"/>
              </w:rPr>
            </w:pPr>
            <w:r w:rsidRPr="000939E3">
              <w:rPr>
                <w:sz w:val="16"/>
                <w:szCs w:val="16"/>
              </w:rPr>
              <w:t>1 060</w:t>
            </w:r>
          </w:p>
        </w:tc>
        <w:tc>
          <w:tcPr>
            <w:tcW w:w="1148" w:type="dxa"/>
            <w:tcBorders>
              <w:top w:val="nil"/>
              <w:left w:val="single" w:sz="4" w:space="0" w:color="auto"/>
              <w:bottom w:val="nil"/>
              <w:right w:val="nil"/>
            </w:tcBorders>
            <w:shd w:val="clear" w:color="auto" w:fill="auto"/>
            <w:noWrap/>
            <w:vAlign w:val="bottom"/>
            <w:hideMark/>
          </w:tcPr>
          <w:p w14:paraId="5EDFC8E6" w14:textId="77777777" w:rsidR="00FD5987" w:rsidRPr="000939E3" w:rsidRDefault="00FD5987" w:rsidP="00FD5987">
            <w:pPr>
              <w:spacing w:after="0"/>
              <w:contextualSpacing/>
              <w:jc w:val="right"/>
              <w:rPr>
                <w:color w:val="000000"/>
                <w:sz w:val="16"/>
                <w:szCs w:val="16"/>
              </w:rPr>
            </w:pPr>
            <w:r w:rsidRPr="000939E3">
              <w:rPr>
                <w:color w:val="000000"/>
                <w:sz w:val="16"/>
                <w:szCs w:val="16"/>
              </w:rPr>
              <w:t>561</w:t>
            </w:r>
          </w:p>
        </w:tc>
        <w:tc>
          <w:tcPr>
            <w:tcW w:w="1184" w:type="dxa"/>
            <w:tcBorders>
              <w:top w:val="nil"/>
              <w:left w:val="nil"/>
              <w:bottom w:val="nil"/>
              <w:right w:val="nil"/>
            </w:tcBorders>
            <w:shd w:val="clear" w:color="auto" w:fill="auto"/>
            <w:noWrap/>
            <w:vAlign w:val="bottom"/>
            <w:hideMark/>
          </w:tcPr>
          <w:p w14:paraId="4A2AFD5D" w14:textId="77777777" w:rsidR="00FD5987" w:rsidRPr="000939E3" w:rsidRDefault="00FD5987" w:rsidP="00FD5987">
            <w:pPr>
              <w:spacing w:after="0"/>
              <w:contextualSpacing/>
              <w:jc w:val="right"/>
              <w:rPr>
                <w:sz w:val="16"/>
                <w:szCs w:val="16"/>
              </w:rPr>
            </w:pPr>
            <w:r w:rsidRPr="000939E3">
              <w:rPr>
                <w:sz w:val="16"/>
                <w:szCs w:val="16"/>
              </w:rPr>
              <w:t>9,9</w:t>
            </w:r>
          </w:p>
        </w:tc>
        <w:tc>
          <w:tcPr>
            <w:tcW w:w="1354" w:type="dxa"/>
            <w:tcBorders>
              <w:top w:val="nil"/>
              <w:left w:val="nil"/>
              <w:bottom w:val="nil"/>
              <w:right w:val="single" w:sz="4" w:space="0" w:color="auto"/>
            </w:tcBorders>
            <w:shd w:val="clear" w:color="auto" w:fill="auto"/>
            <w:noWrap/>
            <w:vAlign w:val="bottom"/>
            <w:hideMark/>
          </w:tcPr>
          <w:p w14:paraId="6E46C282" w14:textId="77777777" w:rsidR="00FD5987" w:rsidRPr="000939E3" w:rsidRDefault="00FD5987" w:rsidP="00FD5987">
            <w:pPr>
              <w:spacing w:after="0"/>
              <w:contextualSpacing/>
              <w:jc w:val="right"/>
              <w:rPr>
                <w:color w:val="000000"/>
                <w:sz w:val="16"/>
                <w:szCs w:val="16"/>
              </w:rPr>
            </w:pPr>
            <w:r w:rsidRPr="000939E3">
              <w:rPr>
                <w:color w:val="000000"/>
                <w:sz w:val="16"/>
                <w:szCs w:val="16"/>
              </w:rPr>
              <w:t>1 435</w:t>
            </w:r>
          </w:p>
        </w:tc>
        <w:tc>
          <w:tcPr>
            <w:tcW w:w="1179" w:type="dxa"/>
            <w:tcBorders>
              <w:top w:val="nil"/>
              <w:left w:val="single" w:sz="4" w:space="0" w:color="auto"/>
              <w:bottom w:val="nil"/>
              <w:right w:val="nil"/>
            </w:tcBorders>
            <w:shd w:val="clear" w:color="auto" w:fill="auto"/>
            <w:noWrap/>
            <w:vAlign w:val="bottom"/>
            <w:hideMark/>
          </w:tcPr>
          <w:p w14:paraId="2BA0DA62" w14:textId="77777777" w:rsidR="00FD5987" w:rsidRPr="000939E3" w:rsidRDefault="00FD5987" w:rsidP="00FD5987">
            <w:pPr>
              <w:spacing w:after="0"/>
              <w:contextualSpacing/>
              <w:jc w:val="right"/>
              <w:rPr>
                <w:color w:val="000000"/>
                <w:sz w:val="16"/>
                <w:szCs w:val="16"/>
              </w:rPr>
            </w:pPr>
            <w:r w:rsidRPr="000939E3">
              <w:rPr>
                <w:color w:val="000000"/>
                <w:sz w:val="16"/>
                <w:szCs w:val="16"/>
              </w:rPr>
              <w:t>2 399</w:t>
            </w:r>
          </w:p>
        </w:tc>
        <w:tc>
          <w:tcPr>
            <w:tcW w:w="947" w:type="dxa"/>
            <w:tcBorders>
              <w:top w:val="nil"/>
              <w:left w:val="nil"/>
              <w:bottom w:val="nil"/>
              <w:right w:val="nil"/>
            </w:tcBorders>
            <w:shd w:val="clear" w:color="auto" w:fill="auto"/>
            <w:noWrap/>
            <w:vAlign w:val="bottom"/>
            <w:hideMark/>
          </w:tcPr>
          <w:p w14:paraId="54E69D78" w14:textId="77777777" w:rsidR="00FD5987" w:rsidRPr="000939E3" w:rsidRDefault="00FD5987" w:rsidP="00FD5987">
            <w:pPr>
              <w:spacing w:after="0"/>
              <w:contextualSpacing/>
              <w:jc w:val="right"/>
              <w:rPr>
                <w:sz w:val="16"/>
                <w:szCs w:val="16"/>
              </w:rPr>
            </w:pPr>
            <w:r w:rsidRPr="000939E3">
              <w:rPr>
                <w:sz w:val="16"/>
                <w:szCs w:val="16"/>
              </w:rPr>
              <w:t>27,3</w:t>
            </w:r>
          </w:p>
        </w:tc>
        <w:tc>
          <w:tcPr>
            <w:tcW w:w="1276" w:type="dxa"/>
            <w:tcBorders>
              <w:top w:val="nil"/>
              <w:left w:val="nil"/>
              <w:bottom w:val="nil"/>
              <w:right w:val="nil"/>
            </w:tcBorders>
            <w:shd w:val="clear" w:color="auto" w:fill="auto"/>
            <w:noWrap/>
            <w:vAlign w:val="bottom"/>
            <w:hideMark/>
          </w:tcPr>
          <w:p w14:paraId="2E33E374" w14:textId="77777777" w:rsidR="00FD5987" w:rsidRPr="000939E3" w:rsidRDefault="00FD5987" w:rsidP="00FD5987">
            <w:pPr>
              <w:spacing w:after="0"/>
              <w:contextualSpacing/>
              <w:jc w:val="right"/>
              <w:rPr>
                <w:color w:val="000000"/>
                <w:sz w:val="16"/>
                <w:szCs w:val="16"/>
              </w:rPr>
            </w:pPr>
            <w:r w:rsidRPr="000939E3">
              <w:rPr>
                <w:color w:val="000000"/>
                <w:sz w:val="16"/>
                <w:szCs w:val="16"/>
              </w:rPr>
              <w:t>948</w:t>
            </w:r>
          </w:p>
        </w:tc>
      </w:tr>
      <w:tr w:rsidR="00FD5987" w:rsidRPr="000939E3" w14:paraId="619625A5" w14:textId="77777777" w:rsidTr="00FD5987">
        <w:trPr>
          <w:trHeight w:val="17"/>
        </w:trPr>
        <w:tc>
          <w:tcPr>
            <w:tcW w:w="3544" w:type="dxa"/>
            <w:tcBorders>
              <w:top w:val="nil"/>
              <w:left w:val="nil"/>
              <w:bottom w:val="nil"/>
              <w:right w:val="nil"/>
            </w:tcBorders>
            <w:shd w:val="clear" w:color="auto" w:fill="auto"/>
            <w:noWrap/>
            <w:vAlign w:val="bottom"/>
            <w:hideMark/>
          </w:tcPr>
          <w:p w14:paraId="6404DBB3" w14:textId="77777777" w:rsidR="00FD5987" w:rsidRPr="000939E3" w:rsidRDefault="00FD5987" w:rsidP="00FD5987">
            <w:pPr>
              <w:spacing w:after="0"/>
              <w:contextualSpacing/>
              <w:rPr>
                <w:color w:val="000000"/>
                <w:sz w:val="16"/>
                <w:szCs w:val="16"/>
              </w:rPr>
            </w:pPr>
            <w:r w:rsidRPr="000939E3">
              <w:rPr>
                <w:color w:val="000000"/>
                <w:sz w:val="16"/>
                <w:szCs w:val="16"/>
              </w:rPr>
              <w:t>Ministerstvo zdravotníctva SR</w:t>
            </w:r>
          </w:p>
        </w:tc>
        <w:tc>
          <w:tcPr>
            <w:tcW w:w="1129" w:type="dxa"/>
            <w:tcBorders>
              <w:top w:val="nil"/>
              <w:left w:val="nil"/>
              <w:bottom w:val="nil"/>
              <w:right w:val="nil"/>
            </w:tcBorders>
            <w:shd w:val="clear" w:color="auto" w:fill="auto"/>
            <w:noWrap/>
            <w:vAlign w:val="bottom"/>
            <w:hideMark/>
          </w:tcPr>
          <w:p w14:paraId="296D495B" w14:textId="77777777" w:rsidR="00FD5987" w:rsidRPr="000939E3" w:rsidRDefault="00FD5987" w:rsidP="00FD5987">
            <w:pPr>
              <w:spacing w:after="0"/>
              <w:contextualSpacing/>
              <w:jc w:val="right"/>
              <w:rPr>
                <w:sz w:val="16"/>
                <w:szCs w:val="16"/>
              </w:rPr>
            </w:pPr>
            <w:r w:rsidRPr="000939E3">
              <w:rPr>
                <w:sz w:val="16"/>
                <w:szCs w:val="16"/>
              </w:rPr>
              <w:t>2 391</w:t>
            </w:r>
          </w:p>
        </w:tc>
        <w:tc>
          <w:tcPr>
            <w:tcW w:w="1057" w:type="dxa"/>
            <w:tcBorders>
              <w:top w:val="nil"/>
              <w:left w:val="nil"/>
              <w:bottom w:val="nil"/>
              <w:right w:val="nil"/>
            </w:tcBorders>
            <w:shd w:val="clear" w:color="auto" w:fill="auto"/>
            <w:noWrap/>
            <w:vAlign w:val="bottom"/>
            <w:hideMark/>
          </w:tcPr>
          <w:p w14:paraId="60A3EE0A" w14:textId="77777777" w:rsidR="00FD5987" w:rsidRPr="000939E3" w:rsidRDefault="00FD5987" w:rsidP="00FD5987">
            <w:pPr>
              <w:spacing w:after="0"/>
              <w:contextualSpacing/>
              <w:jc w:val="right"/>
              <w:rPr>
                <w:sz w:val="16"/>
                <w:szCs w:val="16"/>
              </w:rPr>
            </w:pPr>
            <w:r w:rsidRPr="000939E3">
              <w:rPr>
                <w:sz w:val="16"/>
                <w:szCs w:val="16"/>
              </w:rPr>
              <w:t>25,0</w:t>
            </w:r>
          </w:p>
        </w:tc>
        <w:tc>
          <w:tcPr>
            <w:tcW w:w="1216" w:type="dxa"/>
            <w:tcBorders>
              <w:top w:val="nil"/>
              <w:left w:val="nil"/>
              <w:bottom w:val="nil"/>
              <w:right w:val="single" w:sz="4" w:space="0" w:color="auto"/>
            </w:tcBorders>
            <w:shd w:val="clear" w:color="auto" w:fill="auto"/>
            <w:noWrap/>
            <w:vAlign w:val="bottom"/>
            <w:hideMark/>
          </w:tcPr>
          <w:p w14:paraId="0BEFE880" w14:textId="77777777" w:rsidR="00FD5987" w:rsidRPr="000939E3" w:rsidRDefault="00FD5987" w:rsidP="00FD5987">
            <w:pPr>
              <w:spacing w:after="0"/>
              <w:contextualSpacing/>
              <w:jc w:val="right"/>
              <w:rPr>
                <w:sz w:val="16"/>
                <w:szCs w:val="16"/>
              </w:rPr>
            </w:pPr>
            <w:r w:rsidRPr="000939E3">
              <w:rPr>
                <w:sz w:val="16"/>
                <w:szCs w:val="16"/>
              </w:rPr>
              <w:t>872</w:t>
            </w:r>
          </w:p>
        </w:tc>
        <w:tc>
          <w:tcPr>
            <w:tcW w:w="1148" w:type="dxa"/>
            <w:tcBorders>
              <w:top w:val="nil"/>
              <w:left w:val="single" w:sz="4" w:space="0" w:color="auto"/>
              <w:bottom w:val="nil"/>
              <w:right w:val="nil"/>
            </w:tcBorders>
            <w:shd w:val="clear" w:color="auto" w:fill="auto"/>
            <w:noWrap/>
            <w:vAlign w:val="bottom"/>
            <w:hideMark/>
          </w:tcPr>
          <w:p w14:paraId="0DB73B70" w14:textId="77777777" w:rsidR="00FD5987" w:rsidRPr="000939E3" w:rsidRDefault="00FD5987" w:rsidP="00FD5987">
            <w:pPr>
              <w:spacing w:after="0"/>
              <w:contextualSpacing/>
              <w:jc w:val="right"/>
              <w:rPr>
                <w:color w:val="000000"/>
                <w:sz w:val="16"/>
                <w:szCs w:val="16"/>
              </w:rPr>
            </w:pPr>
            <w:r w:rsidRPr="000939E3">
              <w:rPr>
                <w:color w:val="000000"/>
                <w:sz w:val="16"/>
                <w:szCs w:val="16"/>
              </w:rPr>
              <w:t>265</w:t>
            </w:r>
          </w:p>
        </w:tc>
        <w:tc>
          <w:tcPr>
            <w:tcW w:w="1184" w:type="dxa"/>
            <w:tcBorders>
              <w:top w:val="nil"/>
              <w:left w:val="nil"/>
              <w:bottom w:val="nil"/>
              <w:right w:val="nil"/>
            </w:tcBorders>
            <w:shd w:val="clear" w:color="auto" w:fill="auto"/>
            <w:noWrap/>
            <w:vAlign w:val="bottom"/>
            <w:hideMark/>
          </w:tcPr>
          <w:p w14:paraId="496FEF5C" w14:textId="77777777" w:rsidR="00FD5987" w:rsidRPr="000939E3" w:rsidRDefault="00FD5987" w:rsidP="00FD5987">
            <w:pPr>
              <w:spacing w:after="0"/>
              <w:contextualSpacing/>
              <w:jc w:val="right"/>
              <w:rPr>
                <w:sz w:val="16"/>
                <w:szCs w:val="16"/>
              </w:rPr>
            </w:pPr>
            <w:r w:rsidRPr="000939E3">
              <w:rPr>
                <w:sz w:val="16"/>
                <w:szCs w:val="16"/>
              </w:rPr>
              <w:t>4,6</w:t>
            </w:r>
          </w:p>
        </w:tc>
        <w:tc>
          <w:tcPr>
            <w:tcW w:w="1354" w:type="dxa"/>
            <w:tcBorders>
              <w:top w:val="nil"/>
              <w:left w:val="nil"/>
              <w:bottom w:val="nil"/>
              <w:right w:val="single" w:sz="4" w:space="0" w:color="auto"/>
            </w:tcBorders>
            <w:shd w:val="clear" w:color="auto" w:fill="auto"/>
            <w:noWrap/>
            <w:vAlign w:val="bottom"/>
            <w:hideMark/>
          </w:tcPr>
          <w:p w14:paraId="663E74AF" w14:textId="77777777" w:rsidR="00FD5987" w:rsidRPr="000939E3" w:rsidRDefault="00FD5987" w:rsidP="00FD5987">
            <w:pPr>
              <w:spacing w:after="0"/>
              <w:contextualSpacing/>
              <w:jc w:val="right"/>
              <w:rPr>
                <w:color w:val="000000"/>
                <w:sz w:val="16"/>
                <w:szCs w:val="16"/>
              </w:rPr>
            </w:pPr>
            <w:r w:rsidRPr="000939E3">
              <w:rPr>
                <w:color w:val="000000"/>
                <w:sz w:val="16"/>
                <w:szCs w:val="16"/>
              </w:rPr>
              <w:t>1 350</w:t>
            </w:r>
          </w:p>
        </w:tc>
        <w:tc>
          <w:tcPr>
            <w:tcW w:w="1179" w:type="dxa"/>
            <w:tcBorders>
              <w:top w:val="nil"/>
              <w:left w:val="single" w:sz="4" w:space="0" w:color="auto"/>
              <w:bottom w:val="nil"/>
              <w:right w:val="nil"/>
            </w:tcBorders>
            <w:shd w:val="clear" w:color="auto" w:fill="auto"/>
            <w:noWrap/>
            <w:vAlign w:val="bottom"/>
            <w:hideMark/>
          </w:tcPr>
          <w:p w14:paraId="050F5CBB" w14:textId="77777777" w:rsidR="00FD5987" w:rsidRPr="000939E3" w:rsidRDefault="00FD5987" w:rsidP="00FD5987">
            <w:pPr>
              <w:spacing w:after="0"/>
              <w:contextualSpacing/>
              <w:jc w:val="right"/>
              <w:rPr>
                <w:color w:val="000000"/>
                <w:sz w:val="16"/>
                <w:szCs w:val="16"/>
              </w:rPr>
            </w:pPr>
            <w:r w:rsidRPr="000939E3">
              <w:rPr>
                <w:color w:val="000000"/>
                <w:sz w:val="16"/>
                <w:szCs w:val="16"/>
              </w:rPr>
              <w:t>2 126</w:t>
            </w:r>
          </w:p>
        </w:tc>
        <w:tc>
          <w:tcPr>
            <w:tcW w:w="947" w:type="dxa"/>
            <w:tcBorders>
              <w:top w:val="nil"/>
              <w:left w:val="nil"/>
              <w:bottom w:val="nil"/>
              <w:right w:val="nil"/>
            </w:tcBorders>
            <w:shd w:val="clear" w:color="auto" w:fill="auto"/>
            <w:noWrap/>
            <w:vAlign w:val="bottom"/>
            <w:hideMark/>
          </w:tcPr>
          <w:p w14:paraId="39652EC7" w14:textId="77777777" w:rsidR="00FD5987" w:rsidRPr="000939E3" w:rsidRDefault="00FD5987" w:rsidP="00FD5987">
            <w:pPr>
              <w:spacing w:after="0"/>
              <w:contextualSpacing/>
              <w:jc w:val="right"/>
              <w:rPr>
                <w:sz w:val="16"/>
                <w:szCs w:val="16"/>
              </w:rPr>
            </w:pPr>
            <w:r w:rsidRPr="000939E3">
              <w:rPr>
                <w:sz w:val="16"/>
                <w:szCs w:val="16"/>
              </w:rPr>
              <w:t>20,4</w:t>
            </w:r>
          </w:p>
        </w:tc>
        <w:tc>
          <w:tcPr>
            <w:tcW w:w="1276" w:type="dxa"/>
            <w:tcBorders>
              <w:top w:val="nil"/>
              <w:left w:val="nil"/>
              <w:bottom w:val="nil"/>
              <w:right w:val="nil"/>
            </w:tcBorders>
            <w:shd w:val="clear" w:color="auto" w:fill="auto"/>
            <w:noWrap/>
            <w:vAlign w:val="bottom"/>
            <w:hideMark/>
          </w:tcPr>
          <w:p w14:paraId="79C04EA6" w14:textId="77777777" w:rsidR="00FD5987" w:rsidRPr="000939E3" w:rsidRDefault="00FD5987" w:rsidP="00FD5987">
            <w:pPr>
              <w:spacing w:after="0"/>
              <w:contextualSpacing/>
              <w:jc w:val="right"/>
              <w:rPr>
                <w:color w:val="000000"/>
                <w:sz w:val="16"/>
                <w:szCs w:val="16"/>
              </w:rPr>
            </w:pPr>
            <w:r w:rsidRPr="000939E3">
              <w:rPr>
                <w:color w:val="000000"/>
                <w:sz w:val="16"/>
                <w:szCs w:val="16"/>
              </w:rPr>
              <w:t>800</w:t>
            </w:r>
          </w:p>
        </w:tc>
      </w:tr>
      <w:tr w:rsidR="00FD5987" w:rsidRPr="000939E3" w14:paraId="4C23E281" w14:textId="77777777" w:rsidTr="00FD5987">
        <w:trPr>
          <w:trHeight w:val="17"/>
        </w:trPr>
        <w:tc>
          <w:tcPr>
            <w:tcW w:w="3544" w:type="dxa"/>
            <w:tcBorders>
              <w:top w:val="nil"/>
              <w:left w:val="nil"/>
              <w:bottom w:val="nil"/>
              <w:right w:val="nil"/>
            </w:tcBorders>
            <w:shd w:val="clear" w:color="auto" w:fill="auto"/>
            <w:noWrap/>
            <w:vAlign w:val="bottom"/>
            <w:hideMark/>
          </w:tcPr>
          <w:p w14:paraId="582F2825" w14:textId="77777777" w:rsidR="00FD5987" w:rsidRPr="000939E3" w:rsidRDefault="00FD5987" w:rsidP="00FD5987">
            <w:pPr>
              <w:spacing w:after="0"/>
              <w:contextualSpacing/>
              <w:rPr>
                <w:color w:val="000000"/>
                <w:sz w:val="16"/>
                <w:szCs w:val="16"/>
              </w:rPr>
            </w:pPr>
            <w:r w:rsidRPr="000939E3">
              <w:rPr>
                <w:color w:val="000000"/>
                <w:sz w:val="16"/>
                <w:szCs w:val="16"/>
              </w:rPr>
              <w:t>Generálna prokuratúra SR</w:t>
            </w:r>
          </w:p>
        </w:tc>
        <w:tc>
          <w:tcPr>
            <w:tcW w:w="1129" w:type="dxa"/>
            <w:tcBorders>
              <w:top w:val="nil"/>
              <w:left w:val="nil"/>
              <w:bottom w:val="nil"/>
              <w:right w:val="nil"/>
            </w:tcBorders>
            <w:shd w:val="clear" w:color="auto" w:fill="auto"/>
            <w:noWrap/>
            <w:vAlign w:val="bottom"/>
            <w:hideMark/>
          </w:tcPr>
          <w:p w14:paraId="2424014A" w14:textId="77777777" w:rsidR="00FD5987" w:rsidRPr="000939E3" w:rsidRDefault="00FD5987" w:rsidP="00FD5987">
            <w:pPr>
              <w:spacing w:after="0"/>
              <w:contextualSpacing/>
              <w:jc w:val="right"/>
              <w:rPr>
                <w:sz w:val="16"/>
                <w:szCs w:val="16"/>
              </w:rPr>
            </w:pPr>
            <w:r w:rsidRPr="000939E3">
              <w:rPr>
                <w:sz w:val="16"/>
                <w:szCs w:val="16"/>
              </w:rPr>
              <w:t>1 837</w:t>
            </w:r>
          </w:p>
        </w:tc>
        <w:tc>
          <w:tcPr>
            <w:tcW w:w="1057" w:type="dxa"/>
            <w:tcBorders>
              <w:top w:val="nil"/>
              <w:left w:val="nil"/>
              <w:bottom w:val="nil"/>
              <w:right w:val="nil"/>
            </w:tcBorders>
            <w:shd w:val="clear" w:color="auto" w:fill="auto"/>
            <w:noWrap/>
            <w:vAlign w:val="bottom"/>
            <w:hideMark/>
          </w:tcPr>
          <w:p w14:paraId="1452324D" w14:textId="77777777" w:rsidR="00FD5987" w:rsidRPr="000939E3" w:rsidRDefault="00FD5987" w:rsidP="00FD5987">
            <w:pPr>
              <w:spacing w:after="0"/>
              <w:contextualSpacing/>
              <w:jc w:val="right"/>
              <w:rPr>
                <w:sz w:val="16"/>
                <w:szCs w:val="16"/>
              </w:rPr>
            </w:pPr>
            <w:r w:rsidRPr="000939E3">
              <w:rPr>
                <w:sz w:val="16"/>
                <w:szCs w:val="16"/>
              </w:rPr>
              <w:t>49,5</w:t>
            </w:r>
          </w:p>
        </w:tc>
        <w:tc>
          <w:tcPr>
            <w:tcW w:w="1216" w:type="dxa"/>
            <w:tcBorders>
              <w:top w:val="nil"/>
              <w:left w:val="nil"/>
              <w:bottom w:val="nil"/>
              <w:right w:val="single" w:sz="4" w:space="0" w:color="auto"/>
            </w:tcBorders>
            <w:shd w:val="clear" w:color="auto" w:fill="auto"/>
            <w:noWrap/>
            <w:vAlign w:val="bottom"/>
            <w:hideMark/>
          </w:tcPr>
          <w:p w14:paraId="30607337" w14:textId="77777777" w:rsidR="00FD5987" w:rsidRPr="000939E3" w:rsidRDefault="00FD5987" w:rsidP="00FD5987">
            <w:pPr>
              <w:spacing w:after="0"/>
              <w:contextualSpacing/>
              <w:jc w:val="right"/>
              <w:rPr>
                <w:sz w:val="16"/>
                <w:szCs w:val="16"/>
              </w:rPr>
            </w:pPr>
            <w:r w:rsidRPr="000939E3">
              <w:rPr>
                <w:sz w:val="16"/>
                <w:szCs w:val="16"/>
              </w:rPr>
              <w:t>2 240</w:t>
            </w:r>
          </w:p>
        </w:tc>
        <w:tc>
          <w:tcPr>
            <w:tcW w:w="1148" w:type="dxa"/>
            <w:tcBorders>
              <w:top w:val="nil"/>
              <w:left w:val="single" w:sz="4" w:space="0" w:color="auto"/>
              <w:bottom w:val="nil"/>
              <w:right w:val="nil"/>
            </w:tcBorders>
            <w:shd w:val="clear" w:color="auto" w:fill="auto"/>
            <w:noWrap/>
            <w:vAlign w:val="bottom"/>
            <w:hideMark/>
          </w:tcPr>
          <w:p w14:paraId="7F30C424" w14:textId="77777777" w:rsidR="00FD5987" w:rsidRPr="000939E3" w:rsidRDefault="00FD5987" w:rsidP="00FD5987">
            <w:pPr>
              <w:spacing w:after="0"/>
              <w:contextualSpacing/>
              <w:jc w:val="right"/>
              <w:rPr>
                <w:color w:val="000000"/>
                <w:sz w:val="16"/>
                <w:szCs w:val="16"/>
              </w:rPr>
            </w:pPr>
            <w:r w:rsidRPr="000939E3">
              <w:rPr>
                <w:color w:val="000000"/>
                <w:sz w:val="16"/>
                <w:szCs w:val="16"/>
              </w:rPr>
              <w:t>282</w:t>
            </w:r>
          </w:p>
        </w:tc>
        <w:tc>
          <w:tcPr>
            <w:tcW w:w="1184" w:type="dxa"/>
            <w:tcBorders>
              <w:top w:val="nil"/>
              <w:left w:val="nil"/>
              <w:bottom w:val="nil"/>
              <w:right w:val="nil"/>
            </w:tcBorders>
            <w:shd w:val="clear" w:color="auto" w:fill="auto"/>
            <w:noWrap/>
            <w:vAlign w:val="bottom"/>
            <w:hideMark/>
          </w:tcPr>
          <w:p w14:paraId="0CE19E01" w14:textId="77777777" w:rsidR="00FD5987" w:rsidRPr="000939E3" w:rsidRDefault="00FD5987" w:rsidP="00FD5987">
            <w:pPr>
              <w:spacing w:after="0"/>
              <w:contextualSpacing/>
              <w:jc w:val="right"/>
              <w:rPr>
                <w:sz w:val="16"/>
                <w:szCs w:val="16"/>
              </w:rPr>
            </w:pPr>
            <w:r w:rsidRPr="000939E3">
              <w:rPr>
                <w:sz w:val="16"/>
                <w:szCs w:val="16"/>
              </w:rPr>
              <w:t>8,6</w:t>
            </w:r>
          </w:p>
        </w:tc>
        <w:tc>
          <w:tcPr>
            <w:tcW w:w="1354" w:type="dxa"/>
            <w:tcBorders>
              <w:top w:val="nil"/>
              <w:left w:val="nil"/>
              <w:bottom w:val="nil"/>
              <w:right w:val="single" w:sz="4" w:space="0" w:color="auto"/>
            </w:tcBorders>
            <w:shd w:val="clear" w:color="auto" w:fill="auto"/>
            <w:noWrap/>
            <w:vAlign w:val="bottom"/>
            <w:hideMark/>
          </w:tcPr>
          <w:p w14:paraId="467748D5" w14:textId="77777777" w:rsidR="00FD5987" w:rsidRPr="000939E3" w:rsidRDefault="00FD5987" w:rsidP="00FD5987">
            <w:pPr>
              <w:spacing w:after="0"/>
              <w:contextualSpacing/>
              <w:jc w:val="right"/>
              <w:rPr>
                <w:color w:val="000000"/>
                <w:sz w:val="16"/>
                <w:szCs w:val="16"/>
              </w:rPr>
            </w:pPr>
            <w:r w:rsidRPr="000939E3">
              <w:rPr>
                <w:color w:val="000000"/>
                <w:sz w:val="16"/>
                <w:szCs w:val="16"/>
              </w:rPr>
              <w:t>2 470</w:t>
            </w:r>
          </w:p>
        </w:tc>
        <w:tc>
          <w:tcPr>
            <w:tcW w:w="1179" w:type="dxa"/>
            <w:tcBorders>
              <w:top w:val="nil"/>
              <w:left w:val="single" w:sz="4" w:space="0" w:color="auto"/>
              <w:bottom w:val="nil"/>
              <w:right w:val="nil"/>
            </w:tcBorders>
            <w:shd w:val="clear" w:color="auto" w:fill="auto"/>
            <w:noWrap/>
            <w:vAlign w:val="bottom"/>
            <w:hideMark/>
          </w:tcPr>
          <w:p w14:paraId="6931DD42" w14:textId="77777777" w:rsidR="00FD5987" w:rsidRPr="000939E3" w:rsidRDefault="00FD5987" w:rsidP="00FD5987">
            <w:pPr>
              <w:spacing w:after="0"/>
              <w:contextualSpacing/>
              <w:jc w:val="right"/>
              <w:rPr>
                <w:color w:val="000000"/>
                <w:sz w:val="16"/>
                <w:szCs w:val="16"/>
              </w:rPr>
            </w:pPr>
            <w:r w:rsidRPr="000939E3">
              <w:rPr>
                <w:color w:val="000000"/>
                <w:sz w:val="16"/>
                <w:szCs w:val="16"/>
              </w:rPr>
              <w:t>1 555</w:t>
            </w:r>
          </w:p>
        </w:tc>
        <w:tc>
          <w:tcPr>
            <w:tcW w:w="947" w:type="dxa"/>
            <w:tcBorders>
              <w:top w:val="nil"/>
              <w:left w:val="nil"/>
              <w:bottom w:val="nil"/>
              <w:right w:val="nil"/>
            </w:tcBorders>
            <w:shd w:val="clear" w:color="auto" w:fill="auto"/>
            <w:noWrap/>
            <w:vAlign w:val="bottom"/>
            <w:hideMark/>
          </w:tcPr>
          <w:p w14:paraId="39020A90" w14:textId="77777777" w:rsidR="00FD5987" w:rsidRPr="000939E3" w:rsidRDefault="00FD5987" w:rsidP="00FD5987">
            <w:pPr>
              <w:spacing w:after="0"/>
              <w:contextualSpacing/>
              <w:jc w:val="right"/>
              <w:rPr>
                <w:sz w:val="16"/>
                <w:szCs w:val="16"/>
              </w:rPr>
            </w:pPr>
            <w:r w:rsidRPr="000939E3">
              <w:rPr>
                <w:sz w:val="16"/>
                <w:szCs w:val="16"/>
              </w:rPr>
              <w:t>40,9</w:t>
            </w:r>
          </w:p>
        </w:tc>
        <w:tc>
          <w:tcPr>
            <w:tcW w:w="1276" w:type="dxa"/>
            <w:tcBorders>
              <w:top w:val="nil"/>
              <w:left w:val="nil"/>
              <w:bottom w:val="nil"/>
              <w:right w:val="nil"/>
            </w:tcBorders>
            <w:shd w:val="clear" w:color="auto" w:fill="auto"/>
            <w:noWrap/>
            <w:vAlign w:val="bottom"/>
            <w:hideMark/>
          </w:tcPr>
          <w:p w14:paraId="1E5C0B22" w14:textId="77777777" w:rsidR="00FD5987" w:rsidRPr="000939E3" w:rsidRDefault="00FD5987" w:rsidP="00FD5987">
            <w:pPr>
              <w:spacing w:after="0"/>
              <w:contextualSpacing/>
              <w:jc w:val="right"/>
              <w:rPr>
                <w:color w:val="000000"/>
                <w:sz w:val="16"/>
                <w:szCs w:val="16"/>
              </w:rPr>
            </w:pPr>
            <w:r w:rsidRPr="000939E3">
              <w:rPr>
                <w:color w:val="000000"/>
                <w:sz w:val="16"/>
                <w:szCs w:val="16"/>
              </w:rPr>
              <w:t>2 189</w:t>
            </w:r>
          </w:p>
        </w:tc>
      </w:tr>
      <w:tr w:rsidR="00FD5987" w:rsidRPr="000939E3" w14:paraId="7AE606AE" w14:textId="77777777" w:rsidTr="00FD5987">
        <w:trPr>
          <w:trHeight w:val="17"/>
        </w:trPr>
        <w:tc>
          <w:tcPr>
            <w:tcW w:w="3544" w:type="dxa"/>
            <w:tcBorders>
              <w:top w:val="nil"/>
              <w:left w:val="nil"/>
              <w:bottom w:val="nil"/>
              <w:right w:val="nil"/>
            </w:tcBorders>
            <w:shd w:val="clear" w:color="auto" w:fill="auto"/>
            <w:noWrap/>
            <w:vAlign w:val="bottom"/>
            <w:hideMark/>
          </w:tcPr>
          <w:p w14:paraId="17B54FD3" w14:textId="77777777" w:rsidR="00FD5987" w:rsidRPr="000939E3" w:rsidRDefault="00FD5987" w:rsidP="00FD5987">
            <w:pPr>
              <w:spacing w:after="0"/>
              <w:contextualSpacing/>
              <w:rPr>
                <w:color w:val="000000"/>
                <w:sz w:val="16"/>
                <w:szCs w:val="16"/>
              </w:rPr>
            </w:pPr>
            <w:r w:rsidRPr="000939E3">
              <w:rPr>
                <w:color w:val="000000"/>
                <w:sz w:val="16"/>
                <w:szCs w:val="16"/>
              </w:rPr>
              <w:t>Slovenská akadémia vied</w:t>
            </w:r>
          </w:p>
        </w:tc>
        <w:tc>
          <w:tcPr>
            <w:tcW w:w="1129" w:type="dxa"/>
            <w:tcBorders>
              <w:top w:val="nil"/>
              <w:left w:val="nil"/>
              <w:bottom w:val="nil"/>
              <w:right w:val="nil"/>
            </w:tcBorders>
            <w:shd w:val="clear" w:color="auto" w:fill="auto"/>
            <w:noWrap/>
            <w:vAlign w:val="bottom"/>
            <w:hideMark/>
          </w:tcPr>
          <w:p w14:paraId="21C406C7" w14:textId="77777777" w:rsidR="00FD5987" w:rsidRPr="000939E3" w:rsidRDefault="00FD5987" w:rsidP="00FD5987">
            <w:pPr>
              <w:spacing w:after="0"/>
              <w:contextualSpacing/>
              <w:jc w:val="right"/>
              <w:rPr>
                <w:sz w:val="16"/>
                <w:szCs w:val="16"/>
              </w:rPr>
            </w:pPr>
            <w:r w:rsidRPr="000939E3">
              <w:rPr>
                <w:sz w:val="16"/>
                <w:szCs w:val="16"/>
              </w:rPr>
              <w:t>1 606</w:t>
            </w:r>
          </w:p>
        </w:tc>
        <w:tc>
          <w:tcPr>
            <w:tcW w:w="1057" w:type="dxa"/>
            <w:tcBorders>
              <w:top w:val="nil"/>
              <w:left w:val="nil"/>
              <w:bottom w:val="nil"/>
              <w:right w:val="nil"/>
            </w:tcBorders>
            <w:shd w:val="clear" w:color="auto" w:fill="auto"/>
            <w:noWrap/>
            <w:vAlign w:val="bottom"/>
            <w:hideMark/>
          </w:tcPr>
          <w:p w14:paraId="7844D1D0" w14:textId="77777777" w:rsidR="00FD5987" w:rsidRPr="000939E3" w:rsidRDefault="00FD5987" w:rsidP="00FD5987">
            <w:pPr>
              <w:spacing w:after="0"/>
              <w:contextualSpacing/>
              <w:jc w:val="right"/>
              <w:rPr>
                <w:sz w:val="16"/>
                <w:szCs w:val="16"/>
              </w:rPr>
            </w:pPr>
            <w:r w:rsidRPr="000939E3">
              <w:rPr>
                <w:sz w:val="16"/>
                <w:szCs w:val="16"/>
              </w:rPr>
              <w:t>18,9</w:t>
            </w:r>
          </w:p>
        </w:tc>
        <w:tc>
          <w:tcPr>
            <w:tcW w:w="1216" w:type="dxa"/>
            <w:tcBorders>
              <w:top w:val="nil"/>
              <w:left w:val="nil"/>
              <w:bottom w:val="nil"/>
              <w:right w:val="single" w:sz="4" w:space="0" w:color="auto"/>
            </w:tcBorders>
            <w:shd w:val="clear" w:color="auto" w:fill="auto"/>
            <w:noWrap/>
            <w:vAlign w:val="bottom"/>
            <w:hideMark/>
          </w:tcPr>
          <w:p w14:paraId="03320A62" w14:textId="77777777" w:rsidR="00FD5987" w:rsidRPr="000939E3" w:rsidRDefault="00FD5987" w:rsidP="00FD5987">
            <w:pPr>
              <w:spacing w:after="0"/>
              <w:contextualSpacing/>
              <w:jc w:val="right"/>
              <w:rPr>
                <w:sz w:val="16"/>
                <w:szCs w:val="16"/>
              </w:rPr>
            </w:pPr>
            <w:r w:rsidRPr="000939E3">
              <w:rPr>
                <w:sz w:val="16"/>
                <w:szCs w:val="16"/>
              </w:rPr>
              <w:t>1 022</w:t>
            </w:r>
          </w:p>
        </w:tc>
        <w:tc>
          <w:tcPr>
            <w:tcW w:w="1148" w:type="dxa"/>
            <w:tcBorders>
              <w:top w:val="nil"/>
              <w:left w:val="single" w:sz="4" w:space="0" w:color="auto"/>
              <w:bottom w:val="nil"/>
              <w:right w:val="nil"/>
            </w:tcBorders>
            <w:shd w:val="clear" w:color="auto" w:fill="auto"/>
            <w:noWrap/>
            <w:vAlign w:val="bottom"/>
            <w:hideMark/>
          </w:tcPr>
          <w:p w14:paraId="31C501C8" w14:textId="77777777" w:rsidR="00FD5987" w:rsidRPr="000939E3" w:rsidRDefault="00FD5987" w:rsidP="00FD5987">
            <w:pPr>
              <w:spacing w:after="0"/>
              <w:contextualSpacing/>
              <w:jc w:val="right"/>
              <w:rPr>
                <w:sz w:val="16"/>
                <w:szCs w:val="16"/>
              </w:rPr>
            </w:pPr>
          </w:p>
        </w:tc>
        <w:tc>
          <w:tcPr>
            <w:tcW w:w="1184" w:type="dxa"/>
            <w:tcBorders>
              <w:top w:val="nil"/>
              <w:left w:val="nil"/>
              <w:bottom w:val="nil"/>
              <w:right w:val="nil"/>
            </w:tcBorders>
            <w:shd w:val="clear" w:color="auto" w:fill="auto"/>
            <w:noWrap/>
            <w:vAlign w:val="bottom"/>
            <w:hideMark/>
          </w:tcPr>
          <w:p w14:paraId="6DE227A1" w14:textId="77777777" w:rsidR="00FD5987" w:rsidRPr="000939E3" w:rsidRDefault="00FD5987" w:rsidP="00FD5987">
            <w:pPr>
              <w:spacing w:after="0"/>
              <w:contextualSpacing/>
              <w:rPr>
                <w:sz w:val="16"/>
                <w:szCs w:val="16"/>
              </w:rPr>
            </w:pPr>
          </w:p>
        </w:tc>
        <w:tc>
          <w:tcPr>
            <w:tcW w:w="1354" w:type="dxa"/>
            <w:tcBorders>
              <w:top w:val="nil"/>
              <w:left w:val="nil"/>
              <w:bottom w:val="nil"/>
              <w:right w:val="single" w:sz="4" w:space="0" w:color="auto"/>
            </w:tcBorders>
            <w:shd w:val="clear" w:color="auto" w:fill="auto"/>
            <w:noWrap/>
            <w:vAlign w:val="bottom"/>
            <w:hideMark/>
          </w:tcPr>
          <w:p w14:paraId="18173165" w14:textId="77777777" w:rsidR="00FD5987" w:rsidRPr="000939E3" w:rsidRDefault="00FD5987" w:rsidP="00FD5987">
            <w:pPr>
              <w:spacing w:after="0"/>
              <w:contextualSpacing/>
              <w:jc w:val="right"/>
              <w:rPr>
                <w:sz w:val="16"/>
                <w:szCs w:val="16"/>
              </w:rPr>
            </w:pPr>
          </w:p>
        </w:tc>
        <w:tc>
          <w:tcPr>
            <w:tcW w:w="1179" w:type="dxa"/>
            <w:tcBorders>
              <w:top w:val="nil"/>
              <w:left w:val="single" w:sz="4" w:space="0" w:color="auto"/>
              <w:bottom w:val="nil"/>
              <w:right w:val="nil"/>
            </w:tcBorders>
            <w:shd w:val="clear" w:color="auto" w:fill="auto"/>
            <w:noWrap/>
            <w:vAlign w:val="bottom"/>
            <w:hideMark/>
          </w:tcPr>
          <w:p w14:paraId="4CCEA45E" w14:textId="77777777" w:rsidR="00FD5987" w:rsidRPr="000939E3" w:rsidRDefault="00FD5987" w:rsidP="00FD5987">
            <w:pPr>
              <w:spacing w:after="0"/>
              <w:contextualSpacing/>
              <w:jc w:val="right"/>
              <w:rPr>
                <w:color w:val="000000"/>
                <w:sz w:val="16"/>
                <w:szCs w:val="16"/>
              </w:rPr>
            </w:pPr>
            <w:r w:rsidRPr="000939E3">
              <w:rPr>
                <w:color w:val="000000"/>
                <w:sz w:val="16"/>
                <w:szCs w:val="16"/>
              </w:rPr>
              <w:t>1 606</w:t>
            </w:r>
          </w:p>
        </w:tc>
        <w:tc>
          <w:tcPr>
            <w:tcW w:w="947" w:type="dxa"/>
            <w:tcBorders>
              <w:top w:val="nil"/>
              <w:left w:val="nil"/>
              <w:bottom w:val="nil"/>
              <w:right w:val="nil"/>
            </w:tcBorders>
            <w:shd w:val="clear" w:color="auto" w:fill="auto"/>
            <w:noWrap/>
            <w:vAlign w:val="bottom"/>
            <w:hideMark/>
          </w:tcPr>
          <w:p w14:paraId="2E84783A" w14:textId="77777777" w:rsidR="00FD5987" w:rsidRPr="000939E3" w:rsidRDefault="00FD5987" w:rsidP="00FD5987">
            <w:pPr>
              <w:spacing w:after="0"/>
              <w:contextualSpacing/>
              <w:jc w:val="right"/>
              <w:rPr>
                <w:sz w:val="16"/>
                <w:szCs w:val="16"/>
              </w:rPr>
            </w:pPr>
            <w:r w:rsidRPr="000939E3">
              <w:rPr>
                <w:sz w:val="16"/>
                <w:szCs w:val="16"/>
              </w:rPr>
              <w:t>18,9</w:t>
            </w:r>
          </w:p>
        </w:tc>
        <w:tc>
          <w:tcPr>
            <w:tcW w:w="1276" w:type="dxa"/>
            <w:tcBorders>
              <w:top w:val="nil"/>
              <w:left w:val="nil"/>
              <w:bottom w:val="nil"/>
              <w:right w:val="nil"/>
            </w:tcBorders>
            <w:shd w:val="clear" w:color="auto" w:fill="auto"/>
            <w:noWrap/>
            <w:vAlign w:val="bottom"/>
            <w:hideMark/>
          </w:tcPr>
          <w:p w14:paraId="2B0506E3" w14:textId="77777777" w:rsidR="00FD5987" w:rsidRPr="000939E3" w:rsidRDefault="00FD5987" w:rsidP="00FD5987">
            <w:pPr>
              <w:spacing w:after="0"/>
              <w:contextualSpacing/>
              <w:jc w:val="right"/>
              <w:rPr>
                <w:color w:val="000000"/>
                <w:sz w:val="16"/>
                <w:szCs w:val="16"/>
              </w:rPr>
            </w:pPr>
            <w:r w:rsidRPr="000939E3">
              <w:rPr>
                <w:color w:val="000000"/>
                <w:sz w:val="16"/>
                <w:szCs w:val="16"/>
              </w:rPr>
              <w:t>982</w:t>
            </w:r>
          </w:p>
        </w:tc>
      </w:tr>
      <w:tr w:rsidR="00FD5987" w:rsidRPr="000939E3" w14:paraId="78F004BC" w14:textId="77777777" w:rsidTr="00FD5987">
        <w:trPr>
          <w:trHeight w:val="17"/>
        </w:trPr>
        <w:tc>
          <w:tcPr>
            <w:tcW w:w="3544" w:type="dxa"/>
            <w:tcBorders>
              <w:top w:val="nil"/>
              <w:left w:val="nil"/>
              <w:bottom w:val="nil"/>
              <w:right w:val="nil"/>
            </w:tcBorders>
            <w:shd w:val="clear" w:color="auto" w:fill="auto"/>
            <w:noWrap/>
            <w:vAlign w:val="bottom"/>
            <w:hideMark/>
          </w:tcPr>
          <w:p w14:paraId="659B47B5" w14:textId="26BAE0FE" w:rsidR="00FD5987" w:rsidRPr="000939E3" w:rsidRDefault="00FD5987" w:rsidP="00FD5987">
            <w:pPr>
              <w:spacing w:after="0"/>
              <w:contextualSpacing/>
              <w:rPr>
                <w:color w:val="000000"/>
                <w:sz w:val="16"/>
                <w:szCs w:val="16"/>
              </w:rPr>
            </w:pPr>
            <w:r w:rsidRPr="000939E3">
              <w:rPr>
                <w:color w:val="000000"/>
                <w:sz w:val="16"/>
                <w:szCs w:val="16"/>
              </w:rPr>
              <w:t>M</w:t>
            </w:r>
            <w:r w:rsidR="00A55961">
              <w:rPr>
                <w:color w:val="000000"/>
                <w:sz w:val="16"/>
                <w:szCs w:val="16"/>
              </w:rPr>
              <w:t xml:space="preserve">inisterstvo dopravy a výstavby </w:t>
            </w:r>
            <w:r w:rsidRPr="000939E3">
              <w:rPr>
                <w:color w:val="000000"/>
                <w:sz w:val="16"/>
                <w:szCs w:val="16"/>
              </w:rPr>
              <w:t xml:space="preserve">SR </w:t>
            </w:r>
          </w:p>
        </w:tc>
        <w:tc>
          <w:tcPr>
            <w:tcW w:w="1129" w:type="dxa"/>
            <w:tcBorders>
              <w:top w:val="nil"/>
              <w:left w:val="nil"/>
              <w:bottom w:val="nil"/>
              <w:right w:val="nil"/>
            </w:tcBorders>
            <w:shd w:val="clear" w:color="auto" w:fill="auto"/>
            <w:noWrap/>
            <w:vAlign w:val="bottom"/>
            <w:hideMark/>
          </w:tcPr>
          <w:p w14:paraId="111AC665" w14:textId="77777777" w:rsidR="00FD5987" w:rsidRPr="000939E3" w:rsidRDefault="00FD5987" w:rsidP="00FD5987">
            <w:pPr>
              <w:spacing w:after="0"/>
              <w:contextualSpacing/>
              <w:jc w:val="right"/>
              <w:rPr>
                <w:sz w:val="16"/>
                <w:szCs w:val="16"/>
              </w:rPr>
            </w:pPr>
            <w:r w:rsidRPr="000939E3">
              <w:rPr>
                <w:sz w:val="16"/>
                <w:szCs w:val="16"/>
              </w:rPr>
              <w:t>1 509</w:t>
            </w:r>
          </w:p>
        </w:tc>
        <w:tc>
          <w:tcPr>
            <w:tcW w:w="1057" w:type="dxa"/>
            <w:tcBorders>
              <w:top w:val="nil"/>
              <w:left w:val="nil"/>
              <w:bottom w:val="nil"/>
              <w:right w:val="nil"/>
            </w:tcBorders>
            <w:shd w:val="clear" w:color="auto" w:fill="auto"/>
            <w:noWrap/>
            <w:vAlign w:val="bottom"/>
            <w:hideMark/>
          </w:tcPr>
          <w:p w14:paraId="4B39C9C9" w14:textId="77777777" w:rsidR="00FD5987" w:rsidRPr="000939E3" w:rsidRDefault="00FD5987" w:rsidP="00FD5987">
            <w:pPr>
              <w:spacing w:after="0"/>
              <w:contextualSpacing/>
              <w:jc w:val="right"/>
              <w:rPr>
                <w:sz w:val="16"/>
                <w:szCs w:val="16"/>
              </w:rPr>
            </w:pPr>
            <w:r w:rsidRPr="000939E3">
              <w:rPr>
                <w:sz w:val="16"/>
                <w:szCs w:val="16"/>
              </w:rPr>
              <w:t>22,3</w:t>
            </w:r>
          </w:p>
        </w:tc>
        <w:tc>
          <w:tcPr>
            <w:tcW w:w="1216" w:type="dxa"/>
            <w:tcBorders>
              <w:top w:val="nil"/>
              <w:left w:val="nil"/>
              <w:bottom w:val="nil"/>
              <w:right w:val="single" w:sz="4" w:space="0" w:color="auto"/>
            </w:tcBorders>
            <w:shd w:val="clear" w:color="auto" w:fill="auto"/>
            <w:noWrap/>
            <w:vAlign w:val="bottom"/>
            <w:hideMark/>
          </w:tcPr>
          <w:p w14:paraId="02FF0D99" w14:textId="77777777" w:rsidR="00FD5987" w:rsidRPr="000939E3" w:rsidRDefault="00FD5987" w:rsidP="00FD5987">
            <w:pPr>
              <w:spacing w:after="0"/>
              <w:contextualSpacing/>
              <w:jc w:val="right"/>
              <w:rPr>
                <w:sz w:val="16"/>
                <w:szCs w:val="16"/>
              </w:rPr>
            </w:pPr>
            <w:r w:rsidRPr="000939E3">
              <w:rPr>
                <w:sz w:val="16"/>
                <w:szCs w:val="16"/>
              </w:rPr>
              <w:t>1 254</w:t>
            </w:r>
          </w:p>
        </w:tc>
        <w:tc>
          <w:tcPr>
            <w:tcW w:w="1148" w:type="dxa"/>
            <w:tcBorders>
              <w:top w:val="nil"/>
              <w:left w:val="single" w:sz="4" w:space="0" w:color="auto"/>
              <w:bottom w:val="nil"/>
              <w:right w:val="nil"/>
            </w:tcBorders>
            <w:shd w:val="clear" w:color="auto" w:fill="auto"/>
            <w:noWrap/>
            <w:vAlign w:val="bottom"/>
            <w:hideMark/>
          </w:tcPr>
          <w:p w14:paraId="0DB95770" w14:textId="77777777" w:rsidR="00FD5987" w:rsidRPr="000939E3" w:rsidRDefault="00FD5987" w:rsidP="00FD5987">
            <w:pPr>
              <w:spacing w:after="0"/>
              <w:contextualSpacing/>
              <w:jc w:val="right"/>
              <w:rPr>
                <w:sz w:val="16"/>
                <w:szCs w:val="16"/>
              </w:rPr>
            </w:pPr>
          </w:p>
        </w:tc>
        <w:tc>
          <w:tcPr>
            <w:tcW w:w="1184" w:type="dxa"/>
            <w:tcBorders>
              <w:top w:val="nil"/>
              <w:left w:val="nil"/>
              <w:bottom w:val="nil"/>
              <w:right w:val="nil"/>
            </w:tcBorders>
            <w:shd w:val="clear" w:color="auto" w:fill="auto"/>
            <w:noWrap/>
            <w:vAlign w:val="bottom"/>
            <w:hideMark/>
          </w:tcPr>
          <w:p w14:paraId="1A5C27A7" w14:textId="77777777" w:rsidR="00FD5987" w:rsidRPr="000939E3" w:rsidRDefault="00FD5987" w:rsidP="00FD5987">
            <w:pPr>
              <w:spacing w:after="0"/>
              <w:contextualSpacing/>
              <w:rPr>
                <w:sz w:val="16"/>
                <w:szCs w:val="16"/>
              </w:rPr>
            </w:pPr>
          </w:p>
        </w:tc>
        <w:tc>
          <w:tcPr>
            <w:tcW w:w="1354" w:type="dxa"/>
            <w:tcBorders>
              <w:top w:val="nil"/>
              <w:left w:val="nil"/>
              <w:bottom w:val="nil"/>
              <w:right w:val="single" w:sz="4" w:space="0" w:color="auto"/>
            </w:tcBorders>
            <w:shd w:val="clear" w:color="auto" w:fill="auto"/>
            <w:noWrap/>
            <w:vAlign w:val="bottom"/>
            <w:hideMark/>
          </w:tcPr>
          <w:p w14:paraId="5C69F27B" w14:textId="77777777" w:rsidR="00FD5987" w:rsidRPr="000939E3" w:rsidRDefault="00FD5987" w:rsidP="00FD5987">
            <w:pPr>
              <w:spacing w:after="0"/>
              <w:contextualSpacing/>
              <w:jc w:val="right"/>
              <w:rPr>
                <w:sz w:val="16"/>
                <w:szCs w:val="16"/>
              </w:rPr>
            </w:pPr>
          </w:p>
        </w:tc>
        <w:tc>
          <w:tcPr>
            <w:tcW w:w="1179" w:type="dxa"/>
            <w:tcBorders>
              <w:top w:val="nil"/>
              <w:left w:val="single" w:sz="4" w:space="0" w:color="auto"/>
              <w:bottom w:val="nil"/>
              <w:right w:val="nil"/>
            </w:tcBorders>
            <w:shd w:val="clear" w:color="auto" w:fill="auto"/>
            <w:noWrap/>
            <w:vAlign w:val="bottom"/>
            <w:hideMark/>
          </w:tcPr>
          <w:p w14:paraId="67883717" w14:textId="77777777" w:rsidR="00FD5987" w:rsidRPr="000939E3" w:rsidRDefault="00FD5987" w:rsidP="00FD5987">
            <w:pPr>
              <w:spacing w:after="0"/>
              <w:contextualSpacing/>
              <w:jc w:val="right"/>
              <w:rPr>
                <w:color w:val="000000"/>
                <w:sz w:val="16"/>
                <w:szCs w:val="16"/>
              </w:rPr>
            </w:pPr>
            <w:r w:rsidRPr="000939E3">
              <w:rPr>
                <w:color w:val="000000"/>
                <w:sz w:val="16"/>
                <w:szCs w:val="16"/>
              </w:rPr>
              <w:t>1 509</w:t>
            </w:r>
          </w:p>
        </w:tc>
        <w:tc>
          <w:tcPr>
            <w:tcW w:w="947" w:type="dxa"/>
            <w:tcBorders>
              <w:top w:val="nil"/>
              <w:left w:val="nil"/>
              <w:bottom w:val="nil"/>
              <w:right w:val="nil"/>
            </w:tcBorders>
            <w:shd w:val="clear" w:color="auto" w:fill="auto"/>
            <w:noWrap/>
            <w:vAlign w:val="bottom"/>
            <w:hideMark/>
          </w:tcPr>
          <w:p w14:paraId="6FB66876" w14:textId="77777777" w:rsidR="00FD5987" w:rsidRPr="000939E3" w:rsidRDefault="00FD5987" w:rsidP="00FD5987">
            <w:pPr>
              <w:spacing w:after="0"/>
              <w:contextualSpacing/>
              <w:jc w:val="right"/>
              <w:rPr>
                <w:sz w:val="16"/>
                <w:szCs w:val="16"/>
              </w:rPr>
            </w:pPr>
            <w:r w:rsidRPr="000939E3">
              <w:rPr>
                <w:sz w:val="16"/>
                <w:szCs w:val="16"/>
              </w:rPr>
              <w:t>22,3</w:t>
            </w:r>
          </w:p>
        </w:tc>
        <w:tc>
          <w:tcPr>
            <w:tcW w:w="1276" w:type="dxa"/>
            <w:tcBorders>
              <w:top w:val="nil"/>
              <w:left w:val="nil"/>
              <w:bottom w:val="nil"/>
              <w:right w:val="nil"/>
            </w:tcBorders>
            <w:shd w:val="clear" w:color="auto" w:fill="auto"/>
            <w:noWrap/>
            <w:vAlign w:val="bottom"/>
            <w:hideMark/>
          </w:tcPr>
          <w:p w14:paraId="43D2616A" w14:textId="77777777" w:rsidR="00FD5987" w:rsidRPr="000939E3" w:rsidRDefault="00FD5987" w:rsidP="00FD5987">
            <w:pPr>
              <w:spacing w:after="0"/>
              <w:contextualSpacing/>
              <w:jc w:val="right"/>
              <w:rPr>
                <w:color w:val="000000"/>
                <w:sz w:val="16"/>
                <w:szCs w:val="16"/>
              </w:rPr>
            </w:pPr>
            <w:r w:rsidRPr="000939E3">
              <w:rPr>
                <w:color w:val="000000"/>
                <w:sz w:val="16"/>
                <w:szCs w:val="16"/>
              </w:rPr>
              <w:t>1 233</w:t>
            </w:r>
          </w:p>
        </w:tc>
      </w:tr>
      <w:tr w:rsidR="00FD5987" w:rsidRPr="000939E3" w14:paraId="0B3DC965" w14:textId="77777777" w:rsidTr="00FD5987">
        <w:trPr>
          <w:trHeight w:val="17"/>
        </w:trPr>
        <w:tc>
          <w:tcPr>
            <w:tcW w:w="3544" w:type="dxa"/>
            <w:tcBorders>
              <w:top w:val="nil"/>
              <w:left w:val="nil"/>
              <w:bottom w:val="nil"/>
              <w:right w:val="nil"/>
            </w:tcBorders>
            <w:shd w:val="clear" w:color="auto" w:fill="auto"/>
            <w:noWrap/>
            <w:vAlign w:val="bottom"/>
            <w:hideMark/>
          </w:tcPr>
          <w:p w14:paraId="2AF28959" w14:textId="77777777" w:rsidR="00FD5987" w:rsidRPr="000939E3" w:rsidRDefault="00FD5987" w:rsidP="00FD5987">
            <w:pPr>
              <w:spacing w:after="0"/>
              <w:contextualSpacing/>
              <w:rPr>
                <w:color w:val="000000"/>
                <w:sz w:val="16"/>
                <w:szCs w:val="16"/>
              </w:rPr>
            </w:pPr>
            <w:r w:rsidRPr="000939E3">
              <w:rPr>
                <w:color w:val="000000"/>
                <w:sz w:val="16"/>
                <w:szCs w:val="16"/>
              </w:rPr>
              <w:t xml:space="preserve">Ministerstvo zahraničných vecí a európskych záležitostí SR </w:t>
            </w:r>
          </w:p>
        </w:tc>
        <w:tc>
          <w:tcPr>
            <w:tcW w:w="1129" w:type="dxa"/>
            <w:tcBorders>
              <w:top w:val="nil"/>
              <w:left w:val="nil"/>
              <w:bottom w:val="nil"/>
              <w:right w:val="nil"/>
            </w:tcBorders>
            <w:shd w:val="clear" w:color="auto" w:fill="auto"/>
            <w:noWrap/>
            <w:vAlign w:val="bottom"/>
            <w:hideMark/>
          </w:tcPr>
          <w:p w14:paraId="358BE849" w14:textId="77777777" w:rsidR="00FD5987" w:rsidRPr="000939E3" w:rsidRDefault="00FD5987" w:rsidP="00FD5987">
            <w:pPr>
              <w:spacing w:after="0"/>
              <w:contextualSpacing/>
              <w:jc w:val="right"/>
              <w:rPr>
                <w:sz w:val="16"/>
                <w:szCs w:val="16"/>
              </w:rPr>
            </w:pPr>
            <w:r w:rsidRPr="000939E3">
              <w:rPr>
                <w:sz w:val="16"/>
                <w:szCs w:val="16"/>
              </w:rPr>
              <w:t>1 199</w:t>
            </w:r>
          </w:p>
        </w:tc>
        <w:tc>
          <w:tcPr>
            <w:tcW w:w="1057" w:type="dxa"/>
            <w:tcBorders>
              <w:top w:val="nil"/>
              <w:left w:val="nil"/>
              <w:bottom w:val="nil"/>
              <w:right w:val="nil"/>
            </w:tcBorders>
            <w:shd w:val="clear" w:color="auto" w:fill="auto"/>
            <w:noWrap/>
            <w:vAlign w:val="bottom"/>
            <w:hideMark/>
          </w:tcPr>
          <w:p w14:paraId="535B00E6" w14:textId="77777777" w:rsidR="00FD5987" w:rsidRPr="000939E3" w:rsidRDefault="00FD5987" w:rsidP="00FD5987">
            <w:pPr>
              <w:spacing w:after="0"/>
              <w:contextualSpacing/>
              <w:jc w:val="right"/>
              <w:rPr>
                <w:sz w:val="16"/>
                <w:szCs w:val="16"/>
              </w:rPr>
            </w:pPr>
            <w:r w:rsidRPr="000939E3">
              <w:rPr>
                <w:sz w:val="16"/>
                <w:szCs w:val="16"/>
              </w:rPr>
              <w:t>50,4</w:t>
            </w:r>
          </w:p>
        </w:tc>
        <w:tc>
          <w:tcPr>
            <w:tcW w:w="1216" w:type="dxa"/>
            <w:tcBorders>
              <w:top w:val="nil"/>
              <w:left w:val="nil"/>
              <w:bottom w:val="nil"/>
              <w:right w:val="single" w:sz="4" w:space="0" w:color="auto"/>
            </w:tcBorders>
            <w:shd w:val="clear" w:color="auto" w:fill="auto"/>
            <w:noWrap/>
            <w:vAlign w:val="bottom"/>
            <w:hideMark/>
          </w:tcPr>
          <w:p w14:paraId="653E633A" w14:textId="77777777" w:rsidR="00FD5987" w:rsidRPr="000939E3" w:rsidRDefault="00FD5987" w:rsidP="00FD5987">
            <w:pPr>
              <w:spacing w:after="0"/>
              <w:contextualSpacing/>
              <w:jc w:val="right"/>
              <w:rPr>
                <w:sz w:val="16"/>
                <w:szCs w:val="16"/>
              </w:rPr>
            </w:pPr>
            <w:r w:rsidRPr="000939E3">
              <w:rPr>
                <w:sz w:val="16"/>
                <w:szCs w:val="16"/>
              </w:rPr>
              <w:t>3 503</w:t>
            </w:r>
          </w:p>
        </w:tc>
        <w:tc>
          <w:tcPr>
            <w:tcW w:w="1148" w:type="dxa"/>
            <w:tcBorders>
              <w:top w:val="nil"/>
              <w:left w:val="single" w:sz="4" w:space="0" w:color="auto"/>
              <w:bottom w:val="nil"/>
              <w:right w:val="nil"/>
            </w:tcBorders>
            <w:shd w:val="clear" w:color="auto" w:fill="auto"/>
            <w:noWrap/>
            <w:vAlign w:val="bottom"/>
            <w:hideMark/>
          </w:tcPr>
          <w:p w14:paraId="25718296" w14:textId="77777777" w:rsidR="00FD5987" w:rsidRPr="000939E3" w:rsidRDefault="00FD5987" w:rsidP="00FD5987">
            <w:pPr>
              <w:spacing w:after="0"/>
              <w:contextualSpacing/>
              <w:jc w:val="right"/>
              <w:rPr>
                <w:sz w:val="16"/>
                <w:szCs w:val="16"/>
              </w:rPr>
            </w:pPr>
          </w:p>
        </w:tc>
        <w:tc>
          <w:tcPr>
            <w:tcW w:w="1184" w:type="dxa"/>
            <w:tcBorders>
              <w:top w:val="nil"/>
              <w:left w:val="nil"/>
              <w:bottom w:val="nil"/>
              <w:right w:val="nil"/>
            </w:tcBorders>
            <w:shd w:val="clear" w:color="auto" w:fill="auto"/>
            <w:noWrap/>
            <w:vAlign w:val="bottom"/>
            <w:hideMark/>
          </w:tcPr>
          <w:p w14:paraId="0EAB7828" w14:textId="77777777" w:rsidR="00FD5987" w:rsidRPr="000939E3" w:rsidRDefault="00FD5987" w:rsidP="00FD5987">
            <w:pPr>
              <w:spacing w:after="0"/>
              <w:contextualSpacing/>
              <w:rPr>
                <w:sz w:val="16"/>
                <w:szCs w:val="16"/>
              </w:rPr>
            </w:pPr>
          </w:p>
        </w:tc>
        <w:tc>
          <w:tcPr>
            <w:tcW w:w="1354" w:type="dxa"/>
            <w:tcBorders>
              <w:top w:val="nil"/>
              <w:left w:val="nil"/>
              <w:bottom w:val="nil"/>
              <w:right w:val="single" w:sz="4" w:space="0" w:color="auto"/>
            </w:tcBorders>
            <w:shd w:val="clear" w:color="auto" w:fill="auto"/>
            <w:noWrap/>
            <w:vAlign w:val="bottom"/>
            <w:hideMark/>
          </w:tcPr>
          <w:p w14:paraId="632D4AD4" w14:textId="77777777" w:rsidR="00FD5987" w:rsidRPr="000939E3" w:rsidRDefault="00FD5987" w:rsidP="00FD5987">
            <w:pPr>
              <w:spacing w:after="0"/>
              <w:contextualSpacing/>
              <w:jc w:val="right"/>
              <w:rPr>
                <w:sz w:val="16"/>
                <w:szCs w:val="16"/>
              </w:rPr>
            </w:pPr>
          </w:p>
        </w:tc>
        <w:tc>
          <w:tcPr>
            <w:tcW w:w="1179" w:type="dxa"/>
            <w:tcBorders>
              <w:top w:val="nil"/>
              <w:left w:val="single" w:sz="4" w:space="0" w:color="auto"/>
              <w:bottom w:val="nil"/>
              <w:right w:val="nil"/>
            </w:tcBorders>
            <w:shd w:val="clear" w:color="auto" w:fill="auto"/>
            <w:noWrap/>
            <w:vAlign w:val="bottom"/>
            <w:hideMark/>
          </w:tcPr>
          <w:p w14:paraId="5B9C9EF9" w14:textId="77777777" w:rsidR="00FD5987" w:rsidRPr="000939E3" w:rsidRDefault="00FD5987" w:rsidP="00FD5987">
            <w:pPr>
              <w:spacing w:after="0"/>
              <w:contextualSpacing/>
              <w:jc w:val="right"/>
              <w:rPr>
                <w:color w:val="000000"/>
                <w:sz w:val="16"/>
                <w:szCs w:val="16"/>
              </w:rPr>
            </w:pPr>
            <w:r w:rsidRPr="000939E3">
              <w:rPr>
                <w:color w:val="000000"/>
                <w:sz w:val="16"/>
                <w:szCs w:val="16"/>
              </w:rPr>
              <w:t>1 199</w:t>
            </w:r>
          </w:p>
        </w:tc>
        <w:tc>
          <w:tcPr>
            <w:tcW w:w="947" w:type="dxa"/>
            <w:tcBorders>
              <w:top w:val="nil"/>
              <w:left w:val="nil"/>
              <w:bottom w:val="nil"/>
              <w:right w:val="nil"/>
            </w:tcBorders>
            <w:shd w:val="clear" w:color="auto" w:fill="auto"/>
            <w:noWrap/>
            <w:vAlign w:val="bottom"/>
            <w:hideMark/>
          </w:tcPr>
          <w:p w14:paraId="228BAF3E" w14:textId="77777777" w:rsidR="00FD5987" w:rsidRPr="000939E3" w:rsidRDefault="00FD5987" w:rsidP="00FD5987">
            <w:pPr>
              <w:spacing w:after="0"/>
              <w:contextualSpacing/>
              <w:jc w:val="right"/>
              <w:rPr>
                <w:sz w:val="16"/>
                <w:szCs w:val="16"/>
              </w:rPr>
            </w:pPr>
            <w:r w:rsidRPr="000939E3">
              <w:rPr>
                <w:sz w:val="16"/>
                <w:szCs w:val="16"/>
              </w:rPr>
              <w:t>50,4</w:t>
            </w:r>
          </w:p>
        </w:tc>
        <w:tc>
          <w:tcPr>
            <w:tcW w:w="1276" w:type="dxa"/>
            <w:tcBorders>
              <w:top w:val="nil"/>
              <w:left w:val="nil"/>
              <w:bottom w:val="nil"/>
              <w:right w:val="nil"/>
            </w:tcBorders>
            <w:shd w:val="clear" w:color="auto" w:fill="auto"/>
            <w:noWrap/>
            <w:vAlign w:val="bottom"/>
            <w:hideMark/>
          </w:tcPr>
          <w:p w14:paraId="63CEAFDE" w14:textId="77777777" w:rsidR="00FD5987" w:rsidRPr="000939E3" w:rsidRDefault="00FD5987" w:rsidP="00FD5987">
            <w:pPr>
              <w:spacing w:after="0"/>
              <w:contextualSpacing/>
              <w:jc w:val="right"/>
              <w:rPr>
                <w:color w:val="000000"/>
                <w:sz w:val="16"/>
                <w:szCs w:val="16"/>
              </w:rPr>
            </w:pPr>
            <w:r w:rsidRPr="000939E3">
              <w:rPr>
                <w:color w:val="000000"/>
                <w:sz w:val="16"/>
                <w:szCs w:val="16"/>
              </w:rPr>
              <w:t>3 500</w:t>
            </w:r>
          </w:p>
        </w:tc>
      </w:tr>
      <w:tr w:rsidR="00FD5987" w:rsidRPr="000939E3" w14:paraId="1CF6B152" w14:textId="77777777" w:rsidTr="00FD5987">
        <w:trPr>
          <w:trHeight w:val="17"/>
        </w:trPr>
        <w:tc>
          <w:tcPr>
            <w:tcW w:w="3544" w:type="dxa"/>
            <w:tcBorders>
              <w:top w:val="nil"/>
              <w:left w:val="nil"/>
              <w:bottom w:val="nil"/>
              <w:right w:val="nil"/>
            </w:tcBorders>
            <w:shd w:val="clear" w:color="auto" w:fill="auto"/>
            <w:noWrap/>
            <w:vAlign w:val="bottom"/>
            <w:hideMark/>
          </w:tcPr>
          <w:p w14:paraId="5C63D0D3" w14:textId="77777777" w:rsidR="00FD5987" w:rsidRPr="000939E3" w:rsidRDefault="00FD5987" w:rsidP="00FD5987">
            <w:pPr>
              <w:spacing w:after="0"/>
              <w:contextualSpacing/>
              <w:rPr>
                <w:color w:val="000000"/>
                <w:sz w:val="16"/>
                <w:szCs w:val="16"/>
              </w:rPr>
            </w:pPr>
            <w:r w:rsidRPr="000939E3">
              <w:rPr>
                <w:color w:val="000000"/>
                <w:sz w:val="16"/>
                <w:szCs w:val="16"/>
              </w:rPr>
              <w:t>Ministerstvo kultúry SR</w:t>
            </w:r>
          </w:p>
        </w:tc>
        <w:tc>
          <w:tcPr>
            <w:tcW w:w="1129" w:type="dxa"/>
            <w:tcBorders>
              <w:top w:val="nil"/>
              <w:left w:val="nil"/>
              <w:bottom w:val="nil"/>
              <w:right w:val="nil"/>
            </w:tcBorders>
            <w:shd w:val="clear" w:color="auto" w:fill="auto"/>
            <w:noWrap/>
            <w:vAlign w:val="bottom"/>
            <w:hideMark/>
          </w:tcPr>
          <w:p w14:paraId="7C4F2423" w14:textId="77777777" w:rsidR="00FD5987" w:rsidRPr="000939E3" w:rsidRDefault="00FD5987" w:rsidP="00FD5987">
            <w:pPr>
              <w:spacing w:after="0"/>
              <w:contextualSpacing/>
              <w:jc w:val="right"/>
              <w:rPr>
                <w:sz w:val="16"/>
                <w:szCs w:val="16"/>
              </w:rPr>
            </w:pPr>
            <w:r w:rsidRPr="000939E3">
              <w:rPr>
                <w:sz w:val="16"/>
                <w:szCs w:val="16"/>
              </w:rPr>
              <w:t>1 171</w:t>
            </w:r>
          </w:p>
        </w:tc>
        <w:tc>
          <w:tcPr>
            <w:tcW w:w="1057" w:type="dxa"/>
            <w:tcBorders>
              <w:top w:val="nil"/>
              <w:left w:val="nil"/>
              <w:bottom w:val="nil"/>
              <w:right w:val="nil"/>
            </w:tcBorders>
            <w:shd w:val="clear" w:color="auto" w:fill="auto"/>
            <w:noWrap/>
            <w:vAlign w:val="bottom"/>
            <w:hideMark/>
          </w:tcPr>
          <w:p w14:paraId="032A4BBA" w14:textId="77777777" w:rsidR="00FD5987" w:rsidRPr="000939E3" w:rsidRDefault="00FD5987" w:rsidP="00FD5987">
            <w:pPr>
              <w:spacing w:after="0"/>
              <w:contextualSpacing/>
              <w:jc w:val="right"/>
              <w:rPr>
                <w:sz w:val="16"/>
                <w:szCs w:val="16"/>
              </w:rPr>
            </w:pPr>
            <w:r w:rsidRPr="000939E3">
              <w:rPr>
                <w:sz w:val="16"/>
                <w:szCs w:val="16"/>
              </w:rPr>
              <w:t>12,4</w:t>
            </w:r>
          </w:p>
        </w:tc>
        <w:tc>
          <w:tcPr>
            <w:tcW w:w="1216" w:type="dxa"/>
            <w:tcBorders>
              <w:top w:val="nil"/>
              <w:left w:val="nil"/>
              <w:bottom w:val="nil"/>
              <w:right w:val="single" w:sz="4" w:space="0" w:color="auto"/>
            </w:tcBorders>
            <w:shd w:val="clear" w:color="auto" w:fill="auto"/>
            <w:noWrap/>
            <w:vAlign w:val="bottom"/>
            <w:hideMark/>
          </w:tcPr>
          <w:p w14:paraId="08A7DF89" w14:textId="77777777" w:rsidR="00FD5987" w:rsidRPr="000939E3" w:rsidRDefault="00FD5987" w:rsidP="00FD5987">
            <w:pPr>
              <w:spacing w:after="0"/>
              <w:contextualSpacing/>
              <w:jc w:val="right"/>
              <w:rPr>
                <w:sz w:val="16"/>
                <w:szCs w:val="16"/>
              </w:rPr>
            </w:pPr>
            <w:r w:rsidRPr="000939E3">
              <w:rPr>
                <w:sz w:val="16"/>
                <w:szCs w:val="16"/>
              </w:rPr>
              <w:t>878</w:t>
            </w:r>
          </w:p>
        </w:tc>
        <w:tc>
          <w:tcPr>
            <w:tcW w:w="1148" w:type="dxa"/>
            <w:tcBorders>
              <w:top w:val="nil"/>
              <w:left w:val="single" w:sz="4" w:space="0" w:color="auto"/>
              <w:bottom w:val="nil"/>
              <w:right w:val="nil"/>
            </w:tcBorders>
            <w:shd w:val="clear" w:color="auto" w:fill="auto"/>
            <w:noWrap/>
            <w:vAlign w:val="bottom"/>
            <w:hideMark/>
          </w:tcPr>
          <w:p w14:paraId="2B3750C2" w14:textId="77777777" w:rsidR="00FD5987" w:rsidRPr="000939E3" w:rsidRDefault="00FD5987" w:rsidP="00FD5987">
            <w:pPr>
              <w:spacing w:after="0"/>
              <w:contextualSpacing/>
              <w:jc w:val="right"/>
              <w:rPr>
                <w:color w:val="000000"/>
                <w:sz w:val="16"/>
                <w:szCs w:val="16"/>
              </w:rPr>
            </w:pPr>
            <w:r w:rsidRPr="000939E3">
              <w:rPr>
                <w:color w:val="000000"/>
                <w:sz w:val="16"/>
                <w:szCs w:val="16"/>
              </w:rPr>
              <w:t>186</w:t>
            </w:r>
          </w:p>
        </w:tc>
        <w:tc>
          <w:tcPr>
            <w:tcW w:w="1184" w:type="dxa"/>
            <w:tcBorders>
              <w:top w:val="nil"/>
              <w:left w:val="nil"/>
              <w:bottom w:val="nil"/>
              <w:right w:val="nil"/>
            </w:tcBorders>
            <w:shd w:val="clear" w:color="auto" w:fill="auto"/>
            <w:noWrap/>
            <w:vAlign w:val="bottom"/>
            <w:hideMark/>
          </w:tcPr>
          <w:p w14:paraId="0421DF9D" w14:textId="77777777" w:rsidR="00FD5987" w:rsidRPr="000939E3" w:rsidRDefault="00FD5987" w:rsidP="00FD5987">
            <w:pPr>
              <w:spacing w:after="0"/>
              <w:contextualSpacing/>
              <w:jc w:val="right"/>
              <w:rPr>
                <w:sz w:val="16"/>
                <w:szCs w:val="16"/>
              </w:rPr>
            </w:pPr>
            <w:r w:rsidRPr="000939E3">
              <w:rPr>
                <w:sz w:val="16"/>
                <w:szCs w:val="16"/>
              </w:rPr>
              <w:t>3,2</w:t>
            </w:r>
          </w:p>
        </w:tc>
        <w:tc>
          <w:tcPr>
            <w:tcW w:w="1354" w:type="dxa"/>
            <w:tcBorders>
              <w:top w:val="nil"/>
              <w:left w:val="nil"/>
              <w:bottom w:val="nil"/>
              <w:right w:val="single" w:sz="4" w:space="0" w:color="auto"/>
            </w:tcBorders>
            <w:shd w:val="clear" w:color="auto" w:fill="auto"/>
            <w:noWrap/>
            <w:vAlign w:val="bottom"/>
            <w:hideMark/>
          </w:tcPr>
          <w:p w14:paraId="228C36A8" w14:textId="77777777" w:rsidR="00FD5987" w:rsidRPr="000939E3" w:rsidRDefault="00FD5987" w:rsidP="00FD5987">
            <w:pPr>
              <w:spacing w:after="0"/>
              <w:contextualSpacing/>
              <w:jc w:val="right"/>
              <w:rPr>
                <w:color w:val="000000"/>
                <w:sz w:val="16"/>
                <w:szCs w:val="16"/>
              </w:rPr>
            </w:pPr>
            <w:r w:rsidRPr="000939E3">
              <w:rPr>
                <w:color w:val="000000"/>
                <w:sz w:val="16"/>
                <w:szCs w:val="16"/>
              </w:rPr>
              <w:t>1 382</w:t>
            </w:r>
          </w:p>
        </w:tc>
        <w:tc>
          <w:tcPr>
            <w:tcW w:w="1179" w:type="dxa"/>
            <w:tcBorders>
              <w:top w:val="nil"/>
              <w:left w:val="single" w:sz="4" w:space="0" w:color="auto"/>
              <w:bottom w:val="nil"/>
              <w:right w:val="nil"/>
            </w:tcBorders>
            <w:shd w:val="clear" w:color="auto" w:fill="auto"/>
            <w:noWrap/>
            <w:vAlign w:val="bottom"/>
            <w:hideMark/>
          </w:tcPr>
          <w:p w14:paraId="78199818" w14:textId="77777777" w:rsidR="00FD5987" w:rsidRPr="000939E3" w:rsidRDefault="00FD5987" w:rsidP="00FD5987">
            <w:pPr>
              <w:spacing w:after="0"/>
              <w:contextualSpacing/>
              <w:jc w:val="right"/>
              <w:rPr>
                <w:color w:val="000000"/>
                <w:sz w:val="16"/>
                <w:szCs w:val="16"/>
              </w:rPr>
            </w:pPr>
            <w:r w:rsidRPr="000939E3">
              <w:rPr>
                <w:color w:val="000000"/>
                <w:sz w:val="16"/>
                <w:szCs w:val="16"/>
              </w:rPr>
              <w:t>985</w:t>
            </w:r>
          </w:p>
        </w:tc>
        <w:tc>
          <w:tcPr>
            <w:tcW w:w="947" w:type="dxa"/>
            <w:tcBorders>
              <w:top w:val="nil"/>
              <w:left w:val="nil"/>
              <w:bottom w:val="nil"/>
              <w:right w:val="nil"/>
            </w:tcBorders>
            <w:shd w:val="clear" w:color="auto" w:fill="auto"/>
            <w:noWrap/>
            <w:vAlign w:val="bottom"/>
            <w:hideMark/>
          </w:tcPr>
          <w:p w14:paraId="08ECB6BD" w14:textId="77777777" w:rsidR="00FD5987" w:rsidRPr="000939E3" w:rsidRDefault="00FD5987" w:rsidP="00FD5987">
            <w:pPr>
              <w:spacing w:after="0"/>
              <w:contextualSpacing/>
              <w:jc w:val="right"/>
              <w:rPr>
                <w:sz w:val="16"/>
                <w:szCs w:val="16"/>
              </w:rPr>
            </w:pPr>
            <w:r w:rsidRPr="000939E3">
              <w:rPr>
                <w:sz w:val="16"/>
                <w:szCs w:val="16"/>
              </w:rPr>
              <w:t>9,2</w:t>
            </w:r>
          </w:p>
        </w:tc>
        <w:tc>
          <w:tcPr>
            <w:tcW w:w="1276" w:type="dxa"/>
            <w:tcBorders>
              <w:top w:val="nil"/>
              <w:left w:val="nil"/>
              <w:bottom w:val="nil"/>
              <w:right w:val="nil"/>
            </w:tcBorders>
            <w:shd w:val="clear" w:color="auto" w:fill="auto"/>
            <w:noWrap/>
            <w:vAlign w:val="bottom"/>
            <w:hideMark/>
          </w:tcPr>
          <w:p w14:paraId="7C2B1CA4" w14:textId="77777777" w:rsidR="00FD5987" w:rsidRPr="000939E3" w:rsidRDefault="00FD5987" w:rsidP="00FD5987">
            <w:pPr>
              <w:spacing w:after="0"/>
              <w:contextualSpacing/>
              <w:jc w:val="right"/>
              <w:rPr>
                <w:color w:val="000000"/>
                <w:sz w:val="16"/>
                <w:szCs w:val="16"/>
              </w:rPr>
            </w:pPr>
            <w:r w:rsidRPr="000939E3">
              <w:rPr>
                <w:color w:val="000000"/>
                <w:sz w:val="16"/>
                <w:szCs w:val="16"/>
              </w:rPr>
              <w:t>775</w:t>
            </w:r>
          </w:p>
        </w:tc>
      </w:tr>
      <w:tr w:rsidR="00FD5987" w:rsidRPr="000939E3" w14:paraId="751495B8" w14:textId="77777777" w:rsidTr="00FD5987">
        <w:trPr>
          <w:trHeight w:val="17"/>
        </w:trPr>
        <w:tc>
          <w:tcPr>
            <w:tcW w:w="3544" w:type="dxa"/>
            <w:tcBorders>
              <w:top w:val="nil"/>
              <w:left w:val="nil"/>
              <w:bottom w:val="nil"/>
              <w:right w:val="nil"/>
            </w:tcBorders>
            <w:shd w:val="clear" w:color="auto" w:fill="auto"/>
            <w:noWrap/>
            <w:vAlign w:val="bottom"/>
            <w:hideMark/>
          </w:tcPr>
          <w:p w14:paraId="3EFD6670" w14:textId="77777777" w:rsidR="00FD5987" w:rsidRPr="000939E3" w:rsidRDefault="00FD5987" w:rsidP="00FD5987">
            <w:pPr>
              <w:spacing w:after="0"/>
              <w:contextualSpacing/>
              <w:rPr>
                <w:color w:val="000000"/>
                <w:sz w:val="16"/>
                <w:szCs w:val="16"/>
              </w:rPr>
            </w:pPr>
            <w:r w:rsidRPr="000939E3">
              <w:rPr>
                <w:color w:val="000000"/>
                <w:sz w:val="16"/>
                <w:szCs w:val="16"/>
              </w:rPr>
              <w:t>Úrad geodézie, kartografie a katastra SR</w:t>
            </w:r>
          </w:p>
        </w:tc>
        <w:tc>
          <w:tcPr>
            <w:tcW w:w="1129" w:type="dxa"/>
            <w:tcBorders>
              <w:top w:val="nil"/>
              <w:left w:val="nil"/>
              <w:bottom w:val="nil"/>
              <w:right w:val="nil"/>
            </w:tcBorders>
            <w:shd w:val="clear" w:color="auto" w:fill="auto"/>
            <w:noWrap/>
            <w:vAlign w:val="bottom"/>
            <w:hideMark/>
          </w:tcPr>
          <w:p w14:paraId="1A4FB3C0" w14:textId="77777777" w:rsidR="00FD5987" w:rsidRPr="000939E3" w:rsidRDefault="00FD5987" w:rsidP="00FD5987">
            <w:pPr>
              <w:spacing w:after="0"/>
              <w:contextualSpacing/>
              <w:jc w:val="right"/>
              <w:rPr>
                <w:sz w:val="16"/>
                <w:szCs w:val="16"/>
              </w:rPr>
            </w:pPr>
            <w:r w:rsidRPr="000939E3">
              <w:rPr>
                <w:sz w:val="16"/>
                <w:szCs w:val="16"/>
              </w:rPr>
              <w:t>928</w:t>
            </w:r>
          </w:p>
        </w:tc>
        <w:tc>
          <w:tcPr>
            <w:tcW w:w="1057" w:type="dxa"/>
            <w:tcBorders>
              <w:top w:val="nil"/>
              <w:left w:val="nil"/>
              <w:bottom w:val="nil"/>
              <w:right w:val="nil"/>
            </w:tcBorders>
            <w:shd w:val="clear" w:color="auto" w:fill="auto"/>
            <w:noWrap/>
            <w:vAlign w:val="bottom"/>
            <w:hideMark/>
          </w:tcPr>
          <w:p w14:paraId="7EAF9726" w14:textId="77777777" w:rsidR="00FD5987" w:rsidRPr="000939E3" w:rsidRDefault="00FD5987" w:rsidP="00FD5987">
            <w:pPr>
              <w:spacing w:after="0"/>
              <w:contextualSpacing/>
              <w:jc w:val="right"/>
              <w:rPr>
                <w:sz w:val="16"/>
                <w:szCs w:val="16"/>
              </w:rPr>
            </w:pPr>
            <w:r w:rsidRPr="000939E3">
              <w:rPr>
                <w:sz w:val="16"/>
                <w:szCs w:val="16"/>
              </w:rPr>
              <w:t>8,6</w:t>
            </w:r>
          </w:p>
        </w:tc>
        <w:tc>
          <w:tcPr>
            <w:tcW w:w="1216" w:type="dxa"/>
            <w:tcBorders>
              <w:top w:val="nil"/>
              <w:left w:val="nil"/>
              <w:bottom w:val="nil"/>
              <w:right w:val="single" w:sz="4" w:space="0" w:color="auto"/>
            </w:tcBorders>
            <w:shd w:val="clear" w:color="auto" w:fill="auto"/>
            <w:noWrap/>
            <w:vAlign w:val="bottom"/>
            <w:hideMark/>
          </w:tcPr>
          <w:p w14:paraId="31469B2B" w14:textId="77777777" w:rsidR="00FD5987" w:rsidRPr="000939E3" w:rsidRDefault="00FD5987" w:rsidP="00FD5987">
            <w:pPr>
              <w:spacing w:after="0"/>
              <w:contextualSpacing/>
              <w:jc w:val="right"/>
              <w:rPr>
                <w:sz w:val="16"/>
                <w:szCs w:val="16"/>
              </w:rPr>
            </w:pPr>
            <w:r w:rsidRPr="000939E3">
              <w:rPr>
                <w:sz w:val="16"/>
                <w:szCs w:val="16"/>
              </w:rPr>
              <w:t>957</w:t>
            </w:r>
          </w:p>
        </w:tc>
        <w:tc>
          <w:tcPr>
            <w:tcW w:w="1148" w:type="dxa"/>
            <w:tcBorders>
              <w:top w:val="nil"/>
              <w:left w:val="single" w:sz="4" w:space="0" w:color="auto"/>
              <w:bottom w:val="nil"/>
              <w:right w:val="nil"/>
            </w:tcBorders>
            <w:shd w:val="clear" w:color="auto" w:fill="auto"/>
            <w:noWrap/>
            <w:vAlign w:val="bottom"/>
            <w:hideMark/>
          </w:tcPr>
          <w:p w14:paraId="7CBB9EF4" w14:textId="77777777" w:rsidR="00FD5987" w:rsidRPr="000939E3" w:rsidRDefault="00FD5987" w:rsidP="00FD5987">
            <w:pPr>
              <w:spacing w:after="0"/>
              <w:contextualSpacing/>
              <w:jc w:val="right"/>
              <w:rPr>
                <w:color w:val="000000"/>
                <w:sz w:val="16"/>
                <w:szCs w:val="16"/>
              </w:rPr>
            </w:pPr>
            <w:r w:rsidRPr="000939E3">
              <w:rPr>
                <w:color w:val="000000"/>
                <w:sz w:val="16"/>
                <w:szCs w:val="16"/>
              </w:rPr>
              <w:t>65</w:t>
            </w:r>
          </w:p>
        </w:tc>
        <w:tc>
          <w:tcPr>
            <w:tcW w:w="1184" w:type="dxa"/>
            <w:tcBorders>
              <w:top w:val="nil"/>
              <w:left w:val="nil"/>
              <w:bottom w:val="nil"/>
              <w:right w:val="nil"/>
            </w:tcBorders>
            <w:shd w:val="clear" w:color="auto" w:fill="auto"/>
            <w:noWrap/>
            <w:vAlign w:val="bottom"/>
            <w:hideMark/>
          </w:tcPr>
          <w:p w14:paraId="44CDEAC8" w14:textId="77777777" w:rsidR="00FD5987" w:rsidRPr="000939E3" w:rsidRDefault="00FD5987" w:rsidP="00FD5987">
            <w:pPr>
              <w:spacing w:after="0"/>
              <w:contextualSpacing/>
              <w:jc w:val="right"/>
              <w:rPr>
                <w:sz w:val="16"/>
                <w:szCs w:val="16"/>
              </w:rPr>
            </w:pPr>
            <w:r w:rsidRPr="000939E3">
              <w:rPr>
                <w:sz w:val="16"/>
                <w:szCs w:val="16"/>
              </w:rPr>
              <w:t>1,3</w:t>
            </w:r>
          </w:p>
        </w:tc>
        <w:tc>
          <w:tcPr>
            <w:tcW w:w="1354" w:type="dxa"/>
            <w:tcBorders>
              <w:top w:val="nil"/>
              <w:left w:val="nil"/>
              <w:bottom w:val="nil"/>
              <w:right w:val="single" w:sz="4" w:space="0" w:color="auto"/>
            </w:tcBorders>
            <w:shd w:val="clear" w:color="auto" w:fill="auto"/>
            <w:noWrap/>
            <w:vAlign w:val="bottom"/>
            <w:hideMark/>
          </w:tcPr>
          <w:p w14:paraId="2AB4C31D" w14:textId="77777777" w:rsidR="00FD5987" w:rsidRPr="000939E3" w:rsidRDefault="00FD5987" w:rsidP="00FD5987">
            <w:pPr>
              <w:spacing w:after="0"/>
              <w:contextualSpacing/>
              <w:jc w:val="right"/>
              <w:rPr>
                <w:color w:val="000000"/>
                <w:sz w:val="16"/>
                <w:szCs w:val="16"/>
              </w:rPr>
            </w:pPr>
            <w:r w:rsidRPr="000939E3">
              <w:rPr>
                <w:color w:val="000000"/>
                <w:sz w:val="16"/>
                <w:szCs w:val="16"/>
              </w:rPr>
              <w:t>1 627</w:t>
            </w:r>
          </w:p>
        </w:tc>
        <w:tc>
          <w:tcPr>
            <w:tcW w:w="1179" w:type="dxa"/>
            <w:tcBorders>
              <w:top w:val="nil"/>
              <w:left w:val="single" w:sz="4" w:space="0" w:color="auto"/>
              <w:bottom w:val="nil"/>
              <w:right w:val="nil"/>
            </w:tcBorders>
            <w:shd w:val="clear" w:color="auto" w:fill="auto"/>
            <w:noWrap/>
            <w:vAlign w:val="bottom"/>
            <w:hideMark/>
          </w:tcPr>
          <w:p w14:paraId="73ADFBCF" w14:textId="77777777" w:rsidR="00FD5987" w:rsidRPr="000939E3" w:rsidRDefault="00FD5987" w:rsidP="00FD5987">
            <w:pPr>
              <w:spacing w:after="0"/>
              <w:contextualSpacing/>
              <w:jc w:val="right"/>
              <w:rPr>
                <w:color w:val="000000"/>
                <w:sz w:val="16"/>
                <w:szCs w:val="16"/>
              </w:rPr>
            </w:pPr>
            <w:r w:rsidRPr="000939E3">
              <w:rPr>
                <w:color w:val="000000"/>
                <w:sz w:val="16"/>
                <w:szCs w:val="16"/>
              </w:rPr>
              <w:t>863</w:t>
            </w:r>
          </w:p>
        </w:tc>
        <w:tc>
          <w:tcPr>
            <w:tcW w:w="947" w:type="dxa"/>
            <w:tcBorders>
              <w:top w:val="nil"/>
              <w:left w:val="nil"/>
              <w:bottom w:val="nil"/>
              <w:right w:val="nil"/>
            </w:tcBorders>
            <w:shd w:val="clear" w:color="auto" w:fill="auto"/>
            <w:noWrap/>
            <w:vAlign w:val="bottom"/>
            <w:hideMark/>
          </w:tcPr>
          <w:p w14:paraId="74A230F4" w14:textId="77777777" w:rsidR="00FD5987" w:rsidRPr="000939E3" w:rsidRDefault="00FD5987" w:rsidP="00FD5987">
            <w:pPr>
              <w:spacing w:after="0"/>
              <w:contextualSpacing/>
              <w:jc w:val="right"/>
              <w:rPr>
                <w:sz w:val="16"/>
                <w:szCs w:val="16"/>
              </w:rPr>
            </w:pPr>
            <w:r w:rsidRPr="000939E3">
              <w:rPr>
                <w:sz w:val="16"/>
                <w:szCs w:val="16"/>
              </w:rPr>
              <w:t>7,3</w:t>
            </w:r>
          </w:p>
        </w:tc>
        <w:tc>
          <w:tcPr>
            <w:tcW w:w="1276" w:type="dxa"/>
            <w:tcBorders>
              <w:top w:val="nil"/>
              <w:left w:val="nil"/>
              <w:bottom w:val="nil"/>
              <w:right w:val="nil"/>
            </w:tcBorders>
            <w:shd w:val="clear" w:color="auto" w:fill="auto"/>
            <w:noWrap/>
            <w:vAlign w:val="bottom"/>
            <w:hideMark/>
          </w:tcPr>
          <w:p w14:paraId="0D3CEB1E" w14:textId="77777777" w:rsidR="00FD5987" w:rsidRPr="000939E3" w:rsidRDefault="00FD5987" w:rsidP="00FD5987">
            <w:pPr>
              <w:spacing w:after="0"/>
              <w:contextualSpacing/>
              <w:jc w:val="right"/>
              <w:rPr>
                <w:color w:val="000000"/>
                <w:sz w:val="16"/>
                <w:szCs w:val="16"/>
              </w:rPr>
            </w:pPr>
            <w:r w:rsidRPr="000939E3">
              <w:rPr>
                <w:color w:val="000000"/>
                <w:sz w:val="16"/>
                <w:szCs w:val="16"/>
              </w:rPr>
              <w:t>705</w:t>
            </w:r>
          </w:p>
        </w:tc>
      </w:tr>
      <w:tr w:rsidR="00FD5987" w:rsidRPr="000939E3" w14:paraId="0EBBBA00" w14:textId="77777777" w:rsidTr="00FD5987">
        <w:trPr>
          <w:trHeight w:val="17"/>
        </w:trPr>
        <w:tc>
          <w:tcPr>
            <w:tcW w:w="3544" w:type="dxa"/>
            <w:tcBorders>
              <w:top w:val="nil"/>
              <w:left w:val="nil"/>
              <w:bottom w:val="nil"/>
              <w:right w:val="nil"/>
            </w:tcBorders>
            <w:shd w:val="clear" w:color="auto" w:fill="auto"/>
            <w:noWrap/>
            <w:vAlign w:val="bottom"/>
            <w:hideMark/>
          </w:tcPr>
          <w:p w14:paraId="31C09A0C" w14:textId="77777777" w:rsidR="00FD5987" w:rsidRPr="000939E3" w:rsidRDefault="00FD5987" w:rsidP="00FD5987">
            <w:pPr>
              <w:spacing w:after="0"/>
              <w:contextualSpacing/>
              <w:rPr>
                <w:color w:val="000000"/>
                <w:sz w:val="16"/>
                <w:szCs w:val="16"/>
              </w:rPr>
            </w:pPr>
            <w:r w:rsidRPr="000939E3">
              <w:rPr>
                <w:color w:val="000000"/>
                <w:sz w:val="16"/>
                <w:szCs w:val="16"/>
              </w:rPr>
              <w:t>Ministerstvo životného prostredia SR</w:t>
            </w:r>
          </w:p>
        </w:tc>
        <w:tc>
          <w:tcPr>
            <w:tcW w:w="1129" w:type="dxa"/>
            <w:tcBorders>
              <w:top w:val="nil"/>
              <w:left w:val="nil"/>
              <w:bottom w:val="nil"/>
              <w:right w:val="nil"/>
            </w:tcBorders>
            <w:shd w:val="clear" w:color="auto" w:fill="auto"/>
            <w:noWrap/>
            <w:vAlign w:val="bottom"/>
            <w:hideMark/>
          </w:tcPr>
          <w:p w14:paraId="44E28EE8" w14:textId="77777777" w:rsidR="00FD5987" w:rsidRPr="000939E3" w:rsidRDefault="00FD5987" w:rsidP="00FD5987">
            <w:pPr>
              <w:spacing w:after="0"/>
              <w:contextualSpacing/>
              <w:jc w:val="right"/>
              <w:rPr>
                <w:sz w:val="16"/>
                <w:szCs w:val="16"/>
              </w:rPr>
            </w:pPr>
            <w:r w:rsidRPr="000939E3">
              <w:rPr>
                <w:sz w:val="16"/>
                <w:szCs w:val="16"/>
              </w:rPr>
              <w:t>951</w:t>
            </w:r>
          </w:p>
        </w:tc>
        <w:tc>
          <w:tcPr>
            <w:tcW w:w="1057" w:type="dxa"/>
            <w:tcBorders>
              <w:top w:val="nil"/>
              <w:left w:val="nil"/>
              <w:bottom w:val="nil"/>
              <w:right w:val="nil"/>
            </w:tcBorders>
            <w:shd w:val="clear" w:color="auto" w:fill="auto"/>
            <w:noWrap/>
            <w:vAlign w:val="bottom"/>
            <w:hideMark/>
          </w:tcPr>
          <w:p w14:paraId="42913E3C" w14:textId="77777777" w:rsidR="00FD5987" w:rsidRPr="000939E3" w:rsidRDefault="00FD5987" w:rsidP="00FD5987">
            <w:pPr>
              <w:spacing w:after="0"/>
              <w:contextualSpacing/>
              <w:jc w:val="right"/>
              <w:rPr>
                <w:sz w:val="16"/>
                <w:szCs w:val="16"/>
              </w:rPr>
            </w:pPr>
            <w:r w:rsidRPr="000939E3">
              <w:rPr>
                <w:sz w:val="16"/>
                <w:szCs w:val="16"/>
              </w:rPr>
              <w:t>12,9</w:t>
            </w:r>
          </w:p>
        </w:tc>
        <w:tc>
          <w:tcPr>
            <w:tcW w:w="1216" w:type="dxa"/>
            <w:tcBorders>
              <w:top w:val="nil"/>
              <w:left w:val="nil"/>
              <w:bottom w:val="nil"/>
              <w:right w:val="single" w:sz="4" w:space="0" w:color="auto"/>
            </w:tcBorders>
            <w:shd w:val="clear" w:color="auto" w:fill="auto"/>
            <w:noWrap/>
            <w:vAlign w:val="bottom"/>
            <w:hideMark/>
          </w:tcPr>
          <w:p w14:paraId="590D6979" w14:textId="77777777" w:rsidR="00FD5987" w:rsidRPr="000939E3" w:rsidRDefault="00FD5987" w:rsidP="00FD5987">
            <w:pPr>
              <w:spacing w:after="0"/>
              <w:contextualSpacing/>
              <w:jc w:val="right"/>
              <w:rPr>
                <w:sz w:val="16"/>
                <w:szCs w:val="16"/>
              </w:rPr>
            </w:pPr>
            <w:r w:rsidRPr="000939E3">
              <w:rPr>
                <w:sz w:val="16"/>
                <w:szCs w:val="16"/>
              </w:rPr>
              <w:t>1 195</w:t>
            </w:r>
          </w:p>
        </w:tc>
        <w:tc>
          <w:tcPr>
            <w:tcW w:w="1148" w:type="dxa"/>
            <w:tcBorders>
              <w:top w:val="nil"/>
              <w:left w:val="single" w:sz="4" w:space="0" w:color="auto"/>
              <w:bottom w:val="nil"/>
              <w:right w:val="nil"/>
            </w:tcBorders>
            <w:shd w:val="clear" w:color="auto" w:fill="auto"/>
            <w:noWrap/>
            <w:vAlign w:val="bottom"/>
            <w:hideMark/>
          </w:tcPr>
          <w:p w14:paraId="72943373" w14:textId="77777777" w:rsidR="00FD5987" w:rsidRPr="000939E3" w:rsidRDefault="00FD5987" w:rsidP="00FD5987">
            <w:pPr>
              <w:spacing w:after="0"/>
              <w:contextualSpacing/>
              <w:jc w:val="right"/>
              <w:rPr>
                <w:color w:val="000000"/>
                <w:sz w:val="16"/>
                <w:szCs w:val="16"/>
              </w:rPr>
            </w:pPr>
            <w:r w:rsidRPr="000939E3">
              <w:rPr>
                <w:color w:val="000000"/>
                <w:sz w:val="16"/>
                <w:szCs w:val="16"/>
              </w:rPr>
              <w:t>457</w:t>
            </w:r>
          </w:p>
        </w:tc>
        <w:tc>
          <w:tcPr>
            <w:tcW w:w="1184" w:type="dxa"/>
            <w:tcBorders>
              <w:top w:val="nil"/>
              <w:left w:val="nil"/>
              <w:bottom w:val="nil"/>
              <w:right w:val="nil"/>
            </w:tcBorders>
            <w:shd w:val="clear" w:color="auto" w:fill="auto"/>
            <w:noWrap/>
            <w:vAlign w:val="bottom"/>
            <w:hideMark/>
          </w:tcPr>
          <w:p w14:paraId="3A86C394" w14:textId="77777777" w:rsidR="00FD5987" w:rsidRPr="000939E3" w:rsidRDefault="00FD5987" w:rsidP="00FD5987">
            <w:pPr>
              <w:spacing w:after="0"/>
              <w:contextualSpacing/>
              <w:jc w:val="right"/>
              <w:rPr>
                <w:sz w:val="16"/>
                <w:szCs w:val="16"/>
              </w:rPr>
            </w:pPr>
            <w:r w:rsidRPr="000939E3">
              <w:rPr>
                <w:sz w:val="16"/>
                <w:szCs w:val="16"/>
              </w:rPr>
              <w:t>7,8</w:t>
            </w:r>
          </w:p>
        </w:tc>
        <w:tc>
          <w:tcPr>
            <w:tcW w:w="1354" w:type="dxa"/>
            <w:tcBorders>
              <w:top w:val="nil"/>
              <w:left w:val="nil"/>
              <w:bottom w:val="nil"/>
              <w:right w:val="single" w:sz="4" w:space="0" w:color="auto"/>
            </w:tcBorders>
            <w:shd w:val="clear" w:color="auto" w:fill="auto"/>
            <w:noWrap/>
            <w:vAlign w:val="bottom"/>
            <w:hideMark/>
          </w:tcPr>
          <w:p w14:paraId="5F09E7E5" w14:textId="77777777" w:rsidR="00FD5987" w:rsidRPr="000939E3" w:rsidRDefault="00FD5987" w:rsidP="00FD5987">
            <w:pPr>
              <w:spacing w:after="0"/>
              <w:contextualSpacing/>
              <w:jc w:val="right"/>
              <w:rPr>
                <w:color w:val="000000"/>
                <w:sz w:val="16"/>
                <w:szCs w:val="16"/>
              </w:rPr>
            </w:pPr>
            <w:r w:rsidRPr="000939E3">
              <w:rPr>
                <w:color w:val="000000"/>
                <w:sz w:val="16"/>
                <w:szCs w:val="16"/>
              </w:rPr>
              <w:t>1 380</w:t>
            </w:r>
          </w:p>
        </w:tc>
        <w:tc>
          <w:tcPr>
            <w:tcW w:w="1179" w:type="dxa"/>
            <w:tcBorders>
              <w:top w:val="nil"/>
              <w:left w:val="single" w:sz="4" w:space="0" w:color="auto"/>
              <w:bottom w:val="nil"/>
              <w:right w:val="nil"/>
            </w:tcBorders>
            <w:shd w:val="clear" w:color="auto" w:fill="auto"/>
            <w:noWrap/>
            <w:vAlign w:val="bottom"/>
            <w:hideMark/>
          </w:tcPr>
          <w:p w14:paraId="1A1221F2" w14:textId="77777777" w:rsidR="00FD5987" w:rsidRPr="000939E3" w:rsidRDefault="00FD5987" w:rsidP="00FD5987">
            <w:pPr>
              <w:spacing w:after="0"/>
              <w:contextualSpacing/>
              <w:jc w:val="right"/>
              <w:rPr>
                <w:color w:val="000000"/>
                <w:sz w:val="16"/>
                <w:szCs w:val="16"/>
              </w:rPr>
            </w:pPr>
            <w:r w:rsidRPr="000939E3">
              <w:rPr>
                <w:color w:val="000000"/>
                <w:sz w:val="16"/>
                <w:szCs w:val="16"/>
              </w:rPr>
              <w:t>494</w:t>
            </w:r>
          </w:p>
        </w:tc>
        <w:tc>
          <w:tcPr>
            <w:tcW w:w="947" w:type="dxa"/>
            <w:tcBorders>
              <w:top w:val="nil"/>
              <w:left w:val="nil"/>
              <w:bottom w:val="nil"/>
              <w:right w:val="nil"/>
            </w:tcBorders>
            <w:shd w:val="clear" w:color="auto" w:fill="auto"/>
            <w:noWrap/>
            <w:vAlign w:val="bottom"/>
            <w:hideMark/>
          </w:tcPr>
          <w:p w14:paraId="44AD0E04" w14:textId="77777777" w:rsidR="00FD5987" w:rsidRPr="000939E3" w:rsidRDefault="00FD5987" w:rsidP="00FD5987">
            <w:pPr>
              <w:spacing w:after="0"/>
              <w:contextualSpacing/>
              <w:jc w:val="right"/>
              <w:rPr>
                <w:sz w:val="16"/>
                <w:szCs w:val="16"/>
              </w:rPr>
            </w:pPr>
            <w:r w:rsidRPr="000939E3">
              <w:rPr>
                <w:sz w:val="16"/>
                <w:szCs w:val="16"/>
              </w:rPr>
              <w:t>5,2</w:t>
            </w:r>
          </w:p>
        </w:tc>
        <w:tc>
          <w:tcPr>
            <w:tcW w:w="1276" w:type="dxa"/>
            <w:tcBorders>
              <w:top w:val="nil"/>
              <w:left w:val="nil"/>
              <w:bottom w:val="nil"/>
              <w:right w:val="nil"/>
            </w:tcBorders>
            <w:shd w:val="clear" w:color="auto" w:fill="auto"/>
            <w:noWrap/>
            <w:vAlign w:val="bottom"/>
            <w:hideMark/>
          </w:tcPr>
          <w:p w14:paraId="3DFF85C5" w14:textId="77777777" w:rsidR="00FD5987" w:rsidRPr="000939E3" w:rsidRDefault="00FD5987" w:rsidP="00FD5987">
            <w:pPr>
              <w:spacing w:after="0"/>
              <w:contextualSpacing/>
              <w:jc w:val="right"/>
              <w:rPr>
                <w:color w:val="000000"/>
                <w:sz w:val="16"/>
                <w:szCs w:val="16"/>
              </w:rPr>
            </w:pPr>
            <w:r w:rsidRPr="000939E3">
              <w:rPr>
                <w:color w:val="000000"/>
                <w:sz w:val="16"/>
                <w:szCs w:val="16"/>
              </w:rPr>
              <w:t>871</w:t>
            </w:r>
          </w:p>
        </w:tc>
      </w:tr>
      <w:tr w:rsidR="00FD5987" w:rsidRPr="000939E3" w14:paraId="6B91B8CE" w14:textId="77777777" w:rsidTr="00FD5987">
        <w:trPr>
          <w:trHeight w:val="17"/>
        </w:trPr>
        <w:tc>
          <w:tcPr>
            <w:tcW w:w="3544" w:type="dxa"/>
            <w:tcBorders>
              <w:top w:val="nil"/>
              <w:left w:val="nil"/>
              <w:bottom w:val="nil"/>
              <w:right w:val="nil"/>
            </w:tcBorders>
            <w:shd w:val="clear" w:color="auto" w:fill="auto"/>
            <w:noWrap/>
            <w:vAlign w:val="bottom"/>
            <w:hideMark/>
          </w:tcPr>
          <w:p w14:paraId="52DB46E6" w14:textId="77777777" w:rsidR="00FD5987" w:rsidRPr="000939E3" w:rsidRDefault="00FD5987" w:rsidP="00FD5987">
            <w:pPr>
              <w:spacing w:after="0"/>
              <w:contextualSpacing/>
              <w:rPr>
                <w:color w:val="000000"/>
                <w:sz w:val="16"/>
                <w:szCs w:val="16"/>
              </w:rPr>
            </w:pPr>
            <w:r w:rsidRPr="000939E3">
              <w:rPr>
                <w:color w:val="000000"/>
                <w:sz w:val="16"/>
                <w:szCs w:val="16"/>
              </w:rPr>
              <w:t>Štatistický úrad SR</w:t>
            </w:r>
          </w:p>
        </w:tc>
        <w:tc>
          <w:tcPr>
            <w:tcW w:w="1129" w:type="dxa"/>
            <w:tcBorders>
              <w:top w:val="nil"/>
              <w:left w:val="nil"/>
              <w:bottom w:val="nil"/>
              <w:right w:val="nil"/>
            </w:tcBorders>
            <w:shd w:val="clear" w:color="auto" w:fill="auto"/>
            <w:noWrap/>
            <w:vAlign w:val="bottom"/>
            <w:hideMark/>
          </w:tcPr>
          <w:p w14:paraId="413BC889" w14:textId="77777777" w:rsidR="00FD5987" w:rsidRPr="000939E3" w:rsidRDefault="00FD5987" w:rsidP="00FD5987">
            <w:pPr>
              <w:spacing w:after="0"/>
              <w:contextualSpacing/>
              <w:jc w:val="right"/>
              <w:rPr>
                <w:sz w:val="16"/>
                <w:szCs w:val="16"/>
              </w:rPr>
            </w:pPr>
            <w:r w:rsidRPr="000939E3">
              <w:rPr>
                <w:sz w:val="16"/>
                <w:szCs w:val="16"/>
              </w:rPr>
              <w:t>866</w:t>
            </w:r>
          </w:p>
        </w:tc>
        <w:tc>
          <w:tcPr>
            <w:tcW w:w="1057" w:type="dxa"/>
            <w:tcBorders>
              <w:top w:val="nil"/>
              <w:left w:val="nil"/>
              <w:bottom w:val="nil"/>
              <w:right w:val="nil"/>
            </w:tcBorders>
            <w:shd w:val="clear" w:color="auto" w:fill="auto"/>
            <w:noWrap/>
            <w:vAlign w:val="bottom"/>
            <w:hideMark/>
          </w:tcPr>
          <w:p w14:paraId="2D890796" w14:textId="77777777" w:rsidR="00FD5987" w:rsidRPr="000939E3" w:rsidRDefault="00FD5987" w:rsidP="00FD5987">
            <w:pPr>
              <w:spacing w:after="0"/>
              <w:contextualSpacing/>
              <w:jc w:val="right"/>
              <w:rPr>
                <w:sz w:val="16"/>
                <w:szCs w:val="16"/>
              </w:rPr>
            </w:pPr>
            <w:r w:rsidRPr="000939E3">
              <w:rPr>
                <w:sz w:val="16"/>
                <w:szCs w:val="16"/>
              </w:rPr>
              <w:t>10,0</w:t>
            </w:r>
          </w:p>
        </w:tc>
        <w:tc>
          <w:tcPr>
            <w:tcW w:w="1216" w:type="dxa"/>
            <w:tcBorders>
              <w:top w:val="nil"/>
              <w:left w:val="nil"/>
              <w:bottom w:val="nil"/>
              <w:right w:val="single" w:sz="4" w:space="0" w:color="auto"/>
            </w:tcBorders>
            <w:shd w:val="clear" w:color="auto" w:fill="auto"/>
            <w:noWrap/>
            <w:vAlign w:val="bottom"/>
            <w:hideMark/>
          </w:tcPr>
          <w:p w14:paraId="7CF4DAD5" w14:textId="77777777" w:rsidR="00FD5987" w:rsidRPr="000939E3" w:rsidRDefault="00FD5987" w:rsidP="00FD5987">
            <w:pPr>
              <w:spacing w:after="0"/>
              <w:contextualSpacing/>
              <w:jc w:val="right"/>
              <w:rPr>
                <w:sz w:val="16"/>
                <w:szCs w:val="16"/>
              </w:rPr>
            </w:pPr>
            <w:r w:rsidRPr="000939E3">
              <w:rPr>
                <w:sz w:val="16"/>
                <w:szCs w:val="16"/>
              </w:rPr>
              <w:t>975</w:t>
            </w:r>
          </w:p>
        </w:tc>
        <w:tc>
          <w:tcPr>
            <w:tcW w:w="1148" w:type="dxa"/>
            <w:tcBorders>
              <w:top w:val="nil"/>
              <w:left w:val="single" w:sz="4" w:space="0" w:color="auto"/>
              <w:bottom w:val="nil"/>
              <w:right w:val="nil"/>
            </w:tcBorders>
            <w:shd w:val="clear" w:color="auto" w:fill="auto"/>
            <w:noWrap/>
            <w:vAlign w:val="bottom"/>
            <w:hideMark/>
          </w:tcPr>
          <w:p w14:paraId="587C194F" w14:textId="77777777" w:rsidR="00FD5987" w:rsidRPr="000939E3" w:rsidRDefault="00FD5987" w:rsidP="00FD5987">
            <w:pPr>
              <w:spacing w:after="0"/>
              <w:contextualSpacing/>
              <w:jc w:val="right"/>
              <w:rPr>
                <w:color w:val="000000"/>
                <w:sz w:val="16"/>
                <w:szCs w:val="16"/>
              </w:rPr>
            </w:pPr>
            <w:r w:rsidRPr="000939E3">
              <w:rPr>
                <w:color w:val="000000"/>
                <w:sz w:val="16"/>
                <w:szCs w:val="16"/>
              </w:rPr>
              <w:t>866</w:t>
            </w:r>
          </w:p>
        </w:tc>
        <w:tc>
          <w:tcPr>
            <w:tcW w:w="1184" w:type="dxa"/>
            <w:tcBorders>
              <w:top w:val="nil"/>
              <w:left w:val="nil"/>
              <w:bottom w:val="nil"/>
              <w:right w:val="nil"/>
            </w:tcBorders>
            <w:shd w:val="clear" w:color="auto" w:fill="auto"/>
            <w:noWrap/>
            <w:vAlign w:val="bottom"/>
            <w:hideMark/>
          </w:tcPr>
          <w:p w14:paraId="2BE3D653" w14:textId="77777777" w:rsidR="00FD5987" w:rsidRPr="000939E3" w:rsidRDefault="00FD5987" w:rsidP="00FD5987">
            <w:pPr>
              <w:spacing w:after="0"/>
              <w:contextualSpacing/>
              <w:jc w:val="right"/>
              <w:rPr>
                <w:sz w:val="16"/>
                <w:szCs w:val="16"/>
              </w:rPr>
            </w:pPr>
            <w:r w:rsidRPr="000939E3">
              <w:rPr>
                <w:sz w:val="16"/>
                <w:szCs w:val="16"/>
              </w:rPr>
              <w:t>10,0</w:t>
            </w:r>
          </w:p>
        </w:tc>
        <w:tc>
          <w:tcPr>
            <w:tcW w:w="1354" w:type="dxa"/>
            <w:tcBorders>
              <w:top w:val="nil"/>
              <w:left w:val="nil"/>
              <w:bottom w:val="nil"/>
              <w:right w:val="single" w:sz="4" w:space="0" w:color="auto"/>
            </w:tcBorders>
            <w:shd w:val="clear" w:color="auto" w:fill="auto"/>
            <w:noWrap/>
            <w:vAlign w:val="bottom"/>
            <w:hideMark/>
          </w:tcPr>
          <w:p w14:paraId="5EA1F3D6" w14:textId="77777777" w:rsidR="00FD5987" w:rsidRPr="000939E3" w:rsidRDefault="00FD5987" w:rsidP="00FD5987">
            <w:pPr>
              <w:spacing w:after="0"/>
              <w:contextualSpacing/>
              <w:jc w:val="right"/>
              <w:rPr>
                <w:color w:val="000000"/>
                <w:sz w:val="16"/>
                <w:szCs w:val="16"/>
              </w:rPr>
            </w:pPr>
            <w:r w:rsidRPr="000939E3">
              <w:rPr>
                <w:color w:val="000000"/>
                <w:sz w:val="16"/>
                <w:szCs w:val="16"/>
              </w:rPr>
              <w:t>946</w:t>
            </w:r>
          </w:p>
        </w:tc>
        <w:tc>
          <w:tcPr>
            <w:tcW w:w="1179" w:type="dxa"/>
            <w:tcBorders>
              <w:top w:val="nil"/>
              <w:left w:val="single" w:sz="4" w:space="0" w:color="auto"/>
              <w:bottom w:val="nil"/>
              <w:right w:val="nil"/>
            </w:tcBorders>
            <w:shd w:val="clear" w:color="auto" w:fill="auto"/>
            <w:noWrap/>
            <w:vAlign w:val="bottom"/>
            <w:hideMark/>
          </w:tcPr>
          <w:p w14:paraId="06142FBD" w14:textId="77777777" w:rsidR="00FD5987" w:rsidRPr="000939E3" w:rsidRDefault="00FD5987" w:rsidP="00FD5987">
            <w:pPr>
              <w:spacing w:after="0"/>
              <w:contextualSpacing/>
              <w:jc w:val="right"/>
              <w:rPr>
                <w:color w:val="000000"/>
                <w:sz w:val="16"/>
                <w:szCs w:val="16"/>
              </w:rPr>
            </w:pPr>
          </w:p>
        </w:tc>
        <w:tc>
          <w:tcPr>
            <w:tcW w:w="947" w:type="dxa"/>
            <w:tcBorders>
              <w:top w:val="nil"/>
              <w:left w:val="nil"/>
              <w:bottom w:val="nil"/>
              <w:right w:val="nil"/>
            </w:tcBorders>
            <w:shd w:val="clear" w:color="auto" w:fill="auto"/>
            <w:noWrap/>
            <w:vAlign w:val="bottom"/>
            <w:hideMark/>
          </w:tcPr>
          <w:p w14:paraId="4F7814B7" w14:textId="77777777" w:rsidR="00FD5987" w:rsidRPr="000939E3" w:rsidRDefault="00FD5987" w:rsidP="00FD5987">
            <w:pPr>
              <w:spacing w:after="0"/>
              <w:contextualSpacing/>
              <w:rPr>
                <w:sz w:val="16"/>
                <w:szCs w:val="16"/>
              </w:rPr>
            </w:pPr>
          </w:p>
        </w:tc>
        <w:tc>
          <w:tcPr>
            <w:tcW w:w="1276" w:type="dxa"/>
            <w:tcBorders>
              <w:top w:val="nil"/>
              <w:left w:val="nil"/>
              <w:bottom w:val="nil"/>
              <w:right w:val="nil"/>
            </w:tcBorders>
            <w:shd w:val="clear" w:color="auto" w:fill="auto"/>
            <w:noWrap/>
            <w:vAlign w:val="bottom"/>
            <w:hideMark/>
          </w:tcPr>
          <w:p w14:paraId="4CBF8D04" w14:textId="77777777" w:rsidR="00FD5987" w:rsidRPr="000939E3" w:rsidRDefault="00FD5987" w:rsidP="00FD5987">
            <w:pPr>
              <w:spacing w:after="0"/>
              <w:contextualSpacing/>
              <w:jc w:val="right"/>
              <w:rPr>
                <w:sz w:val="16"/>
                <w:szCs w:val="16"/>
              </w:rPr>
            </w:pPr>
          </w:p>
        </w:tc>
      </w:tr>
      <w:tr w:rsidR="00FD5987" w:rsidRPr="000939E3" w14:paraId="222DF3CE" w14:textId="77777777" w:rsidTr="00FD5987">
        <w:trPr>
          <w:trHeight w:val="17"/>
        </w:trPr>
        <w:tc>
          <w:tcPr>
            <w:tcW w:w="3544" w:type="dxa"/>
            <w:tcBorders>
              <w:top w:val="nil"/>
              <w:left w:val="nil"/>
              <w:bottom w:val="nil"/>
              <w:right w:val="nil"/>
            </w:tcBorders>
            <w:shd w:val="clear" w:color="auto" w:fill="auto"/>
            <w:noWrap/>
            <w:vAlign w:val="bottom"/>
            <w:hideMark/>
          </w:tcPr>
          <w:p w14:paraId="506B9552" w14:textId="77777777" w:rsidR="00FD5987" w:rsidRPr="000939E3" w:rsidRDefault="00FD5987" w:rsidP="00FD5987">
            <w:pPr>
              <w:spacing w:after="0"/>
              <w:contextualSpacing/>
              <w:rPr>
                <w:color w:val="000000"/>
                <w:sz w:val="16"/>
                <w:szCs w:val="16"/>
              </w:rPr>
            </w:pPr>
            <w:r w:rsidRPr="000939E3">
              <w:rPr>
                <w:color w:val="000000"/>
                <w:sz w:val="16"/>
                <w:szCs w:val="16"/>
              </w:rPr>
              <w:t>Ministerstvo hospodárstva SR</w:t>
            </w:r>
          </w:p>
        </w:tc>
        <w:tc>
          <w:tcPr>
            <w:tcW w:w="1129" w:type="dxa"/>
            <w:tcBorders>
              <w:top w:val="nil"/>
              <w:left w:val="nil"/>
              <w:bottom w:val="nil"/>
              <w:right w:val="nil"/>
            </w:tcBorders>
            <w:shd w:val="clear" w:color="auto" w:fill="auto"/>
            <w:noWrap/>
            <w:vAlign w:val="bottom"/>
            <w:hideMark/>
          </w:tcPr>
          <w:p w14:paraId="4A4C4693" w14:textId="77777777" w:rsidR="00FD5987" w:rsidRPr="000939E3" w:rsidRDefault="00FD5987" w:rsidP="00FD5987">
            <w:pPr>
              <w:spacing w:after="0"/>
              <w:contextualSpacing/>
              <w:jc w:val="right"/>
              <w:rPr>
                <w:sz w:val="16"/>
                <w:szCs w:val="16"/>
              </w:rPr>
            </w:pPr>
            <w:r w:rsidRPr="000939E3">
              <w:rPr>
                <w:sz w:val="16"/>
                <w:szCs w:val="16"/>
              </w:rPr>
              <w:t>804</w:t>
            </w:r>
          </w:p>
        </w:tc>
        <w:tc>
          <w:tcPr>
            <w:tcW w:w="1057" w:type="dxa"/>
            <w:tcBorders>
              <w:top w:val="nil"/>
              <w:left w:val="nil"/>
              <w:bottom w:val="nil"/>
              <w:right w:val="nil"/>
            </w:tcBorders>
            <w:shd w:val="clear" w:color="auto" w:fill="auto"/>
            <w:noWrap/>
            <w:vAlign w:val="bottom"/>
            <w:hideMark/>
          </w:tcPr>
          <w:p w14:paraId="6B3C62CC" w14:textId="77777777" w:rsidR="00FD5987" w:rsidRPr="000939E3" w:rsidRDefault="00FD5987" w:rsidP="00FD5987">
            <w:pPr>
              <w:spacing w:after="0"/>
              <w:contextualSpacing/>
              <w:jc w:val="right"/>
              <w:rPr>
                <w:sz w:val="16"/>
                <w:szCs w:val="16"/>
              </w:rPr>
            </w:pPr>
            <w:r w:rsidRPr="000939E3">
              <w:rPr>
                <w:sz w:val="16"/>
                <w:szCs w:val="16"/>
              </w:rPr>
              <w:t>12,2</w:t>
            </w:r>
          </w:p>
        </w:tc>
        <w:tc>
          <w:tcPr>
            <w:tcW w:w="1216" w:type="dxa"/>
            <w:tcBorders>
              <w:top w:val="nil"/>
              <w:left w:val="nil"/>
              <w:bottom w:val="nil"/>
              <w:right w:val="single" w:sz="4" w:space="0" w:color="auto"/>
            </w:tcBorders>
            <w:shd w:val="clear" w:color="auto" w:fill="auto"/>
            <w:noWrap/>
            <w:vAlign w:val="bottom"/>
            <w:hideMark/>
          </w:tcPr>
          <w:p w14:paraId="06A70D72" w14:textId="77777777" w:rsidR="00FD5987" w:rsidRPr="000939E3" w:rsidRDefault="00FD5987" w:rsidP="00FD5987">
            <w:pPr>
              <w:spacing w:after="0"/>
              <w:contextualSpacing/>
              <w:jc w:val="right"/>
              <w:rPr>
                <w:sz w:val="16"/>
                <w:szCs w:val="16"/>
              </w:rPr>
            </w:pPr>
            <w:r w:rsidRPr="000939E3">
              <w:rPr>
                <w:sz w:val="16"/>
                <w:szCs w:val="16"/>
              </w:rPr>
              <w:t>1 262</w:t>
            </w:r>
          </w:p>
        </w:tc>
        <w:tc>
          <w:tcPr>
            <w:tcW w:w="1148" w:type="dxa"/>
            <w:tcBorders>
              <w:top w:val="nil"/>
              <w:left w:val="single" w:sz="4" w:space="0" w:color="auto"/>
              <w:bottom w:val="nil"/>
              <w:right w:val="nil"/>
            </w:tcBorders>
            <w:shd w:val="clear" w:color="auto" w:fill="auto"/>
            <w:noWrap/>
            <w:vAlign w:val="bottom"/>
            <w:hideMark/>
          </w:tcPr>
          <w:p w14:paraId="51BB8017" w14:textId="77777777" w:rsidR="00FD5987" w:rsidRPr="000939E3" w:rsidRDefault="00FD5987" w:rsidP="00FD5987">
            <w:pPr>
              <w:spacing w:after="0"/>
              <w:contextualSpacing/>
              <w:jc w:val="right"/>
              <w:rPr>
                <w:color w:val="000000"/>
                <w:sz w:val="16"/>
                <w:szCs w:val="16"/>
              </w:rPr>
            </w:pPr>
            <w:r w:rsidRPr="000939E3">
              <w:rPr>
                <w:color w:val="000000"/>
                <w:sz w:val="16"/>
                <w:szCs w:val="16"/>
              </w:rPr>
              <w:t>405</w:t>
            </w:r>
          </w:p>
        </w:tc>
        <w:tc>
          <w:tcPr>
            <w:tcW w:w="1184" w:type="dxa"/>
            <w:tcBorders>
              <w:top w:val="nil"/>
              <w:left w:val="nil"/>
              <w:bottom w:val="nil"/>
              <w:right w:val="nil"/>
            </w:tcBorders>
            <w:shd w:val="clear" w:color="auto" w:fill="auto"/>
            <w:noWrap/>
            <w:vAlign w:val="bottom"/>
            <w:hideMark/>
          </w:tcPr>
          <w:p w14:paraId="212DDC9B" w14:textId="77777777" w:rsidR="00FD5987" w:rsidRPr="000939E3" w:rsidRDefault="00FD5987" w:rsidP="00FD5987">
            <w:pPr>
              <w:spacing w:after="0"/>
              <w:contextualSpacing/>
              <w:jc w:val="right"/>
              <w:rPr>
                <w:sz w:val="16"/>
                <w:szCs w:val="16"/>
              </w:rPr>
            </w:pPr>
            <w:r w:rsidRPr="000939E3">
              <w:rPr>
                <w:sz w:val="16"/>
                <w:szCs w:val="16"/>
              </w:rPr>
              <w:t>7,6</w:t>
            </w:r>
          </w:p>
        </w:tc>
        <w:tc>
          <w:tcPr>
            <w:tcW w:w="1354" w:type="dxa"/>
            <w:tcBorders>
              <w:top w:val="nil"/>
              <w:left w:val="nil"/>
              <w:bottom w:val="nil"/>
              <w:right w:val="single" w:sz="4" w:space="0" w:color="auto"/>
            </w:tcBorders>
            <w:shd w:val="clear" w:color="auto" w:fill="auto"/>
            <w:noWrap/>
            <w:vAlign w:val="bottom"/>
            <w:hideMark/>
          </w:tcPr>
          <w:p w14:paraId="7774EF83" w14:textId="77777777" w:rsidR="00FD5987" w:rsidRPr="000939E3" w:rsidRDefault="00FD5987" w:rsidP="00FD5987">
            <w:pPr>
              <w:spacing w:after="0"/>
              <w:contextualSpacing/>
              <w:jc w:val="right"/>
              <w:rPr>
                <w:color w:val="000000"/>
                <w:sz w:val="16"/>
                <w:szCs w:val="16"/>
              </w:rPr>
            </w:pPr>
            <w:r w:rsidRPr="000939E3">
              <w:rPr>
                <w:color w:val="000000"/>
                <w:sz w:val="16"/>
                <w:szCs w:val="16"/>
              </w:rPr>
              <w:t>1 518</w:t>
            </w:r>
          </w:p>
        </w:tc>
        <w:tc>
          <w:tcPr>
            <w:tcW w:w="1179" w:type="dxa"/>
            <w:tcBorders>
              <w:top w:val="nil"/>
              <w:left w:val="single" w:sz="4" w:space="0" w:color="auto"/>
              <w:bottom w:val="nil"/>
              <w:right w:val="nil"/>
            </w:tcBorders>
            <w:shd w:val="clear" w:color="auto" w:fill="auto"/>
            <w:noWrap/>
            <w:vAlign w:val="bottom"/>
            <w:hideMark/>
          </w:tcPr>
          <w:p w14:paraId="5C15602F" w14:textId="77777777" w:rsidR="00FD5987" w:rsidRPr="000939E3" w:rsidRDefault="00FD5987" w:rsidP="00FD5987">
            <w:pPr>
              <w:spacing w:after="0"/>
              <w:contextualSpacing/>
              <w:jc w:val="right"/>
              <w:rPr>
                <w:color w:val="000000"/>
                <w:sz w:val="16"/>
                <w:szCs w:val="16"/>
              </w:rPr>
            </w:pPr>
            <w:r w:rsidRPr="000939E3">
              <w:rPr>
                <w:color w:val="000000"/>
                <w:sz w:val="16"/>
                <w:szCs w:val="16"/>
              </w:rPr>
              <w:t>399</w:t>
            </w:r>
          </w:p>
        </w:tc>
        <w:tc>
          <w:tcPr>
            <w:tcW w:w="947" w:type="dxa"/>
            <w:tcBorders>
              <w:top w:val="nil"/>
              <w:left w:val="nil"/>
              <w:bottom w:val="nil"/>
              <w:right w:val="nil"/>
            </w:tcBorders>
            <w:shd w:val="clear" w:color="auto" w:fill="auto"/>
            <w:noWrap/>
            <w:vAlign w:val="bottom"/>
            <w:hideMark/>
          </w:tcPr>
          <w:p w14:paraId="3B17E4FC" w14:textId="77777777" w:rsidR="00FD5987" w:rsidRPr="000939E3" w:rsidRDefault="00FD5987" w:rsidP="00FD5987">
            <w:pPr>
              <w:spacing w:after="0"/>
              <w:contextualSpacing/>
              <w:jc w:val="right"/>
              <w:rPr>
                <w:sz w:val="16"/>
                <w:szCs w:val="16"/>
              </w:rPr>
            </w:pPr>
            <w:r w:rsidRPr="000939E3">
              <w:rPr>
                <w:sz w:val="16"/>
                <w:szCs w:val="16"/>
              </w:rPr>
              <w:t>4,6</w:t>
            </w:r>
          </w:p>
        </w:tc>
        <w:tc>
          <w:tcPr>
            <w:tcW w:w="1276" w:type="dxa"/>
            <w:tcBorders>
              <w:top w:val="nil"/>
              <w:left w:val="nil"/>
              <w:bottom w:val="nil"/>
              <w:right w:val="nil"/>
            </w:tcBorders>
            <w:shd w:val="clear" w:color="auto" w:fill="auto"/>
            <w:noWrap/>
            <w:vAlign w:val="bottom"/>
            <w:hideMark/>
          </w:tcPr>
          <w:p w14:paraId="1EB85F55" w14:textId="77777777" w:rsidR="00FD5987" w:rsidRPr="000939E3" w:rsidRDefault="00FD5987" w:rsidP="00FD5987">
            <w:pPr>
              <w:spacing w:after="0"/>
              <w:contextualSpacing/>
              <w:jc w:val="right"/>
              <w:rPr>
                <w:color w:val="000000"/>
                <w:sz w:val="16"/>
                <w:szCs w:val="16"/>
              </w:rPr>
            </w:pPr>
            <w:r w:rsidRPr="000939E3">
              <w:rPr>
                <w:color w:val="000000"/>
                <w:sz w:val="16"/>
                <w:szCs w:val="16"/>
              </w:rPr>
              <w:t>967</w:t>
            </w:r>
          </w:p>
        </w:tc>
      </w:tr>
      <w:tr w:rsidR="00FD5987" w:rsidRPr="000939E3" w14:paraId="25114FC7" w14:textId="77777777" w:rsidTr="00FD5987">
        <w:trPr>
          <w:trHeight w:val="17"/>
        </w:trPr>
        <w:tc>
          <w:tcPr>
            <w:tcW w:w="3544" w:type="dxa"/>
            <w:tcBorders>
              <w:top w:val="nil"/>
              <w:left w:val="nil"/>
              <w:bottom w:val="nil"/>
              <w:right w:val="nil"/>
            </w:tcBorders>
            <w:shd w:val="clear" w:color="auto" w:fill="auto"/>
            <w:noWrap/>
            <w:vAlign w:val="bottom"/>
            <w:hideMark/>
          </w:tcPr>
          <w:p w14:paraId="57EEFAF4" w14:textId="77777777" w:rsidR="00FD5987" w:rsidRPr="000939E3" w:rsidRDefault="00FD5987" w:rsidP="00FD5987">
            <w:pPr>
              <w:spacing w:after="0"/>
              <w:contextualSpacing/>
              <w:rPr>
                <w:color w:val="000000"/>
                <w:sz w:val="16"/>
                <w:szCs w:val="16"/>
              </w:rPr>
            </w:pPr>
            <w:r w:rsidRPr="000939E3">
              <w:rPr>
                <w:color w:val="000000"/>
                <w:sz w:val="16"/>
                <w:szCs w:val="16"/>
              </w:rPr>
              <w:t>Úrad vlády SR</w:t>
            </w:r>
          </w:p>
        </w:tc>
        <w:tc>
          <w:tcPr>
            <w:tcW w:w="1129" w:type="dxa"/>
            <w:tcBorders>
              <w:top w:val="nil"/>
              <w:left w:val="nil"/>
              <w:bottom w:val="nil"/>
              <w:right w:val="nil"/>
            </w:tcBorders>
            <w:shd w:val="clear" w:color="auto" w:fill="auto"/>
            <w:noWrap/>
            <w:vAlign w:val="bottom"/>
            <w:hideMark/>
          </w:tcPr>
          <w:p w14:paraId="061E49AC" w14:textId="77777777" w:rsidR="00FD5987" w:rsidRPr="000939E3" w:rsidRDefault="00FD5987" w:rsidP="00FD5987">
            <w:pPr>
              <w:spacing w:after="0"/>
              <w:contextualSpacing/>
              <w:jc w:val="right"/>
              <w:rPr>
                <w:sz w:val="16"/>
                <w:szCs w:val="16"/>
              </w:rPr>
            </w:pPr>
            <w:r w:rsidRPr="000939E3">
              <w:rPr>
                <w:sz w:val="16"/>
                <w:szCs w:val="16"/>
              </w:rPr>
              <w:t>507</w:t>
            </w:r>
          </w:p>
        </w:tc>
        <w:tc>
          <w:tcPr>
            <w:tcW w:w="1057" w:type="dxa"/>
            <w:tcBorders>
              <w:top w:val="nil"/>
              <w:left w:val="nil"/>
              <w:bottom w:val="nil"/>
              <w:right w:val="nil"/>
            </w:tcBorders>
            <w:shd w:val="clear" w:color="auto" w:fill="auto"/>
            <w:noWrap/>
            <w:vAlign w:val="bottom"/>
            <w:hideMark/>
          </w:tcPr>
          <w:p w14:paraId="52FCF598" w14:textId="77777777" w:rsidR="00FD5987" w:rsidRPr="000939E3" w:rsidRDefault="00FD5987" w:rsidP="00FD5987">
            <w:pPr>
              <w:spacing w:after="0"/>
              <w:contextualSpacing/>
              <w:jc w:val="right"/>
              <w:rPr>
                <w:sz w:val="16"/>
                <w:szCs w:val="16"/>
              </w:rPr>
            </w:pPr>
            <w:r w:rsidRPr="000939E3">
              <w:rPr>
                <w:sz w:val="16"/>
                <w:szCs w:val="16"/>
              </w:rPr>
              <w:t>8,9</w:t>
            </w:r>
          </w:p>
        </w:tc>
        <w:tc>
          <w:tcPr>
            <w:tcW w:w="1216" w:type="dxa"/>
            <w:tcBorders>
              <w:top w:val="nil"/>
              <w:left w:val="nil"/>
              <w:bottom w:val="nil"/>
              <w:right w:val="single" w:sz="4" w:space="0" w:color="auto"/>
            </w:tcBorders>
            <w:shd w:val="clear" w:color="auto" w:fill="auto"/>
            <w:noWrap/>
            <w:vAlign w:val="bottom"/>
            <w:hideMark/>
          </w:tcPr>
          <w:p w14:paraId="4D66A534" w14:textId="77777777" w:rsidR="00FD5987" w:rsidRPr="000939E3" w:rsidRDefault="00FD5987" w:rsidP="00FD5987">
            <w:pPr>
              <w:spacing w:after="0"/>
              <w:contextualSpacing/>
              <w:jc w:val="right"/>
              <w:rPr>
                <w:sz w:val="16"/>
                <w:szCs w:val="16"/>
              </w:rPr>
            </w:pPr>
            <w:r w:rsidRPr="000939E3">
              <w:rPr>
                <w:sz w:val="16"/>
                <w:szCs w:val="16"/>
              </w:rPr>
              <w:t>1 455</w:t>
            </w:r>
          </w:p>
        </w:tc>
        <w:tc>
          <w:tcPr>
            <w:tcW w:w="1148" w:type="dxa"/>
            <w:tcBorders>
              <w:top w:val="nil"/>
              <w:left w:val="single" w:sz="4" w:space="0" w:color="auto"/>
              <w:bottom w:val="nil"/>
              <w:right w:val="nil"/>
            </w:tcBorders>
            <w:shd w:val="clear" w:color="auto" w:fill="auto"/>
            <w:noWrap/>
            <w:vAlign w:val="bottom"/>
            <w:hideMark/>
          </w:tcPr>
          <w:p w14:paraId="75DCA5B0" w14:textId="77777777" w:rsidR="00FD5987" w:rsidRPr="000939E3" w:rsidRDefault="00FD5987" w:rsidP="00FD5987">
            <w:pPr>
              <w:spacing w:after="0"/>
              <w:contextualSpacing/>
              <w:jc w:val="right"/>
              <w:rPr>
                <w:color w:val="000000"/>
                <w:sz w:val="16"/>
                <w:szCs w:val="16"/>
              </w:rPr>
            </w:pPr>
            <w:r w:rsidRPr="000939E3">
              <w:rPr>
                <w:color w:val="000000"/>
                <w:sz w:val="16"/>
                <w:szCs w:val="16"/>
              </w:rPr>
              <w:t>493</w:t>
            </w:r>
          </w:p>
        </w:tc>
        <w:tc>
          <w:tcPr>
            <w:tcW w:w="1184" w:type="dxa"/>
            <w:tcBorders>
              <w:top w:val="nil"/>
              <w:left w:val="nil"/>
              <w:bottom w:val="nil"/>
              <w:right w:val="nil"/>
            </w:tcBorders>
            <w:shd w:val="clear" w:color="auto" w:fill="auto"/>
            <w:noWrap/>
            <w:vAlign w:val="bottom"/>
            <w:hideMark/>
          </w:tcPr>
          <w:p w14:paraId="2CCD3D0F" w14:textId="77777777" w:rsidR="00FD5987" w:rsidRPr="000939E3" w:rsidRDefault="00FD5987" w:rsidP="00FD5987">
            <w:pPr>
              <w:spacing w:after="0"/>
              <w:contextualSpacing/>
              <w:jc w:val="right"/>
              <w:rPr>
                <w:sz w:val="16"/>
                <w:szCs w:val="16"/>
              </w:rPr>
            </w:pPr>
            <w:r w:rsidRPr="000939E3">
              <w:rPr>
                <w:sz w:val="16"/>
                <w:szCs w:val="16"/>
              </w:rPr>
              <w:t>8,7</w:t>
            </w:r>
          </w:p>
        </w:tc>
        <w:tc>
          <w:tcPr>
            <w:tcW w:w="1354" w:type="dxa"/>
            <w:tcBorders>
              <w:top w:val="nil"/>
              <w:left w:val="nil"/>
              <w:bottom w:val="nil"/>
              <w:right w:val="single" w:sz="4" w:space="0" w:color="auto"/>
            </w:tcBorders>
            <w:shd w:val="clear" w:color="auto" w:fill="auto"/>
            <w:noWrap/>
            <w:vAlign w:val="bottom"/>
            <w:hideMark/>
          </w:tcPr>
          <w:p w14:paraId="58AC467C" w14:textId="77777777" w:rsidR="00FD5987" w:rsidRPr="000939E3" w:rsidRDefault="00FD5987" w:rsidP="00FD5987">
            <w:pPr>
              <w:spacing w:after="0"/>
              <w:contextualSpacing/>
              <w:jc w:val="right"/>
              <w:rPr>
                <w:color w:val="000000"/>
                <w:sz w:val="16"/>
                <w:szCs w:val="16"/>
              </w:rPr>
            </w:pPr>
            <w:r w:rsidRPr="000939E3">
              <w:rPr>
                <w:color w:val="000000"/>
                <w:sz w:val="16"/>
                <w:szCs w:val="16"/>
              </w:rPr>
              <w:t>1 426</w:t>
            </w:r>
          </w:p>
        </w:tc>
        <w:tc>
          <w:tcPr>
            <w:tcW w:w="1179" w:type="dxa"/>
            <w:tcBorders>
              <w:top w:val="nil"/>
              <w:left w:val="single" w:sz="4" w:space="0" w:color="auto"/>
              <w:bottom w:val="nil"/>
              <w:right w:val="nil"/>
            </w:tcBorders>
            <w:shd w:val="clear" w:color="auto" w:fill="auto"/>
            <w:noWrap/>
            <w:vAlign w:val="bottom"/>
            <w:hideMark/>
          </w:tcPr>
          <w:p w14:paraId="6418DB4F" w14:textId="77777777" w:rsidR="00FD5987" w:rsidRPr="000939E3" w:rsidRDefault="00FD5987" w:rsidP="00FD5987">
            <w:pPr>
              <w:spacing w:after="0"/>
              <w:contextualSpacing/>
              <w:jc w:val="right"/>
              <w:rPr>
                <w:color w:val="000000"/>
                <w:sz w:val="16"/>
                <w:szCs w:val="16"/>
              </w:rPr>
            </w:pPr>
            <w:r w:rsidRPr="000939E3">
              <w:rPr>
                <w:color w:val="000000"/>
                <w:sz w:val="16"/>
                <w:szCs w:val="16"/>
              </w:rPr>
              <w:t>14</w:t>
            </w:r>
          </w:p>
        </w:tc>
        <w:tc>
          <w:tcPr>
            <w:tcW w:w="947" w:type="dxa"/>
            <w:tcBorders>
              <w:top w:val="nil"/>
              <w:left w:val="nil"/>
              <w:bottom w:val="nil"/>
              <w:right w:val="nil"/>
            </w:tcBorders>
            <w:shd w:val="clear" w:color="auto" w:fill="auto"/>
            <w:noWrap/>
            <w:vAlign w:val="bottom"/>
            <w:hideMark/>
          </w:tcPr>
          <w:p w14:paraId="28A264DB" w14:textId="77777777" w:rsidR="00FD5987" w:rsidRPr="000939E3" w:rsidRDefault="00FD5987" w:rsidP="00FD5987">
            <w:pPr>
              <w:spacing w:after="0"/>
              <w:contextualSpacing/>
              <w:jc w:val="right"/>
              <w:rPr>
                <w:sz w:val="16"/>
                <w:szCs w:val="16"/>
              </w:rPr>
            </w:pPr>
            <w:r w:rsidRPr="000939E3">
              <w:rPr>
                <w:sz w:val="16"/>
                <w:szCs w:val="16"/>
              </w:rPr>
              <w:t>0,1</w:t>
            </w:r>
          </w:p>
        </w:tc>
        <w:tc>
          <w:tcPr>
            <w:tcW w:w="1276" w:type="dxa"/>
            <w:tcBorders>
              <w:top w:val="nil"/>
              <w:left w:val="nil"/>
              <w:bottom w:val="nil"/>
              <w:right w:val="nil"/>
            </w:tcBorders>
            <w:shd w:val="clear" w:color="auto" w:fill="auto"/>
            <w:noWrap/>
            <w:vAlign w:val="bottom"/>
            <w:hideMark/>
          </w:tcPr>
          <w:p w14:paraId="7903E266" w14:textId="77777777" w:rsidR="00FD5987" w:rsidRPr="000939E3" w:rsidRDefault="00FD5987" w:rsidP="00FD5987">
            <w:pPr>
              <w:spacing w:after="0"/>
              <w:contextualSpacing/>
              <w:jc w:val="right"/>
              <w:rPr>
                <w:color w:val="000000"/>
                <w:sz w:val="16"/>
                <w:szCs w:val="16"/>
              </w:rPr>
            </w:pPr>
            <w:r w:rsidRPr="000939E3">
              <w:rPr>
                <w:color w:val="000000"/>
                <w:sz w:val="16"/>
                <w:szCs w:val="16"/>
              </w:rPr>
              <w:t>836</w:t>
            </w:r>
          </w:p>
        </w:tc>
      </w:tr>
      <w:tr w:rsidR="00FD5987" w:rsidRPr="000939E3" w14:paraId="353A9447" w14:textId="77777777" w:rsidTr="00FD5987">
        <w:trPr>
          <w:trHeight w:val="17"/>
        </w:trPr>
        <w:tc>
          <w:tcPr>
            <w:tcW w:w="3544" w:type="dxa"/>
            <w:tcBorders>
              <w:top w:val="nil"/>
              <w:left w:val="nil"/>
              <w:bottom w:val="nil"/>
              <w:right w:val="nil"/>
            </w:tcBorders>
            <w:shd w:val="clear" w:color="auto" w:fill="auto"/>
            <w:noWrap/>
            <w:vAlign w:val="bottom"/>
            <w:hideMark/>
          </w:tcPr>
          <w:p w14:paraId="242E4E5A" w14:textId="77777777" w:rsidR="00FD5987" w:rsidRPr="000939E3" w:rsidRDefault="00FD5987" w:rsidP="00FD5987">
            <w:pPr>
              <w:spacing w:after="0"/>
              <w:contextualSpacing/>
              <w:rPr>
                <w:color w:val="000000"/>
                <w:sz w:val="16"/>
                <w:szCs w:val="16"/>
              </w:rPr>
            </w:pPr>
            <w:r w:rsidRPr="000939E3">
              <w:rPr>
                <w:color w:val="000000"/>
                <w:sz w:val="16"/>
                <w:szCs w:val="16"/>
              </w:rPr>
              <w:t>Kancelária Národnej rady SR</w:t>
            </w:r>
          </w:p>
        </w:tc>
        <w:tc>
          <w:tcPr>
            <w:tcW w:w="1129" w:type="dxa"/>
            <w:tcBorders>
              <w:top w:val="nil"/>
              <w:left w:val="nil"/>
              <w:bottom w:val="nil"/>
              <w:right w:val="nil"/>
            </w:tcBorders>
            <w:shd w:val="clear" w:color="auto" w:fill="auto"/>
            <w:noWrap/>
            <w:vAlign w:val="bottom"/>
            <w:hideMark/>
          </w:tcPr>
          <w:p w14:paraId="1F8089FF" w14:textId="77777777" w:rsidR="00FD5987" w:rsidRPr="000939E3" w:rsidRDefault="00FD5987" w:rsidP="00FD5987">
            <w:pPr>
              <w:spacing w:after="0"/>
              <w:contextualSpacing/>
              <w:jc w:val="right"/>
              <w:rPr>
                <w:sz w:val="16"/>
                <w:szCs w:val="16"/>
              </w:rPr>
            </w:pPr>
            <w:r w:rsidRPr="000939E3">
              <w:rPr>
                <w:sz w:val="16"/>
                <w:szCs w:val="16"/>
              </w:rPr>
              <w:t>504</w:t>
            </w:r>
          </w:p>
        </w:tc>
        <w:tc>
          <w:tcPr>
            <w:tcW w:w="1057" w:type="dxa"/>
            <w:tcBorders>
              <w:top w:val="nil"/>
              <w:left w:val="nil"/>
              <w:bottom w:val="nil"/>
              <w:right w:val="nil"/>
            </w:tcBorders>
            <w:shd w:val="clear" w:color="auto" w:fill="auto"/>
            <w:noWrap/>
            <w:vAlign w:val="bottom"/>
            <w:hideMark/>
          </w:tcPr>
          <w:p w14:paraId="213AB110" w14:textId="77777777" w:rsidR="00FD5987" w:rsidRPr="000939E3" w:rsidRDefault="00FD5987" w:rsidP="00FD5987">
            <w:pPr>
              <w:spacing w:after="0"/>
              <w:contextualSpacing/>
              <w:jc w:val="right"/>
              <w:rPr>
                <w:sz w:val="16"/>
                <w:szCs w:val="16"/>
              </w:rPr>
            </w:pPr>
            <w:r w:rsidRPr="000939E3">
              <w:rPr>
                <w:sz w:val="16"/>
                <w:szCs w:val="16"/>
              </w:rPr>
              <w:t>12,3</w:t>
            </w:r>
          </w:p>
        </w:tc>
        <w:tc>
          <w:tcPr>
            <w:tcW w:w="1216" w:type="dxa"/>
            <w:tcBorders>
              <w:top w:val="nil"/>
              <w:left w:val="nil"/>
              <w:bottom w:val="nil"/>
              <w:right w:val="single" w:sz="4" w:space="0" w:color="auto"/>
            </w:tcBorders>
            <w:shd w:val="clear" w:color="auto" w:fill="auto"/>
            <w:noWrap/>
            <w:vAlign w:val="bottom"/>
            <w:hideMark/>
          </w:tcPr>
          <w:p w14:paraId="63A779D8" w14:textId="77777777" w:rsidR="00FD5987" w:rsidRPr="000939E3" w:rsidRDefault="00FD5987" w:rsidP="00FD5987">
            <w:pPr>
              <w:spacing w:after="0"/>
              <w:contextualSpacing/>
              <w:jc w:val="right"/>
              <w:rPr>
                <w:sz w:val="16"/>
                <w:szCs w:val="16"/>
              </w:rPr>
            </w:pPr>
            <w:r w:rsidRPr="000939E3">
              <w:rPr>
                <w:sz w:val="16"/>
                <w:szCs w:val="16"/>
              </w:rPr>
              <w:t>2 033</w:t>
            </w:r>
          </w:p>
        </w:tc>
        <w:tc>
          <w:tcPr>
            <w:tcW w:w="1148" w:type="dxa"/>
            <w:tcBorders>
              <w:top w:val="nil"/>
              <w:left w:val="single" w:sz="4" w:space="0" w:color="auto"/>
              <w:bottom w:val="nil"/>
              <w:right w:val="nil"/>
            </w:tcBorders>
            <w:shd w:val="clear" w:color="auto" w:fill="auto"/>
            <w:noWrap/>
            <w:vAlign w:val="bottom"/>
            <w:hideMark/>
          </w:tcPr>
          <w:p w14:paraId="2AFA34CD" w14:textId="77777777" w:rsidR="00FD5987" w:rsidRPr="000939E3" w:rsidRDefault="00FD5987" w:rsidP="00FD5987">
            <w:pPr>
              <w:spacing w:after="0"/>
              <w:contextualSpacing/>
              <w:jc w:val="right"/>
              <w:rPr>
                <w:color w:val="000000"/>
                <w:sz w:val="16"/>
                <w:szCs w:val="16"/>
              </w:rPr>
            </w:pPr>
            <w:r w:rsidRPr="000939E3">
              <w:rPr>
                <w:color w:val="000000"/>
                <w:sz w:val="16"/>
                <w:szCs w:val="16"/>
              </w:rPr>
              <w:t>504</w:t>
            </w:r>
          </w:p>
        </w:tc>
        <w:tc>
          <w:tcPr>
            <w:tcW w:w="1184" w:type="dxa"/>
            <w:tcBorders>
              <w:top w:val="nil"/>
              <w:left w:val="nil"/>
              <w:bottom w:val="nil"/>
              <w:right w:val="nil"/>
            </w:tcBorders>
            <w:shd w:val="clear" w:color="auto" w:fill="auto"/>
            <w:noWrap/>
            <w:vAlign w:val="bottom"/>
            <w:hideMark/>
          </w:tcPr>
          <w:p w14:paraId="5BC87470" w14:textId="77777777" w:rsidR="00FD5987" w:rsidRPr="000939E3" w:rsidRDefault="00FD5987" w:rsidP="00FD5987">
            <w:pPr>
              <w:spacing w:after="0"/>
              <w:contextualSpacing/>
              <w:jc w:val="right"/>
              <w:rPr>
                <w:sz w:val="16"/>
                <w:szCs w:val="16"/>
              </w:rPr>
            </w:pPr>
            <w:r w:rsidRPr="000939E3">
              <w:rPr>
                <w:sz w:val="16"/>
                <w:szCs w:val="16"/>
              </w:rPr>
              <w:t>12,3</w:t>
            </w:r>
          </w:p>
        </w:tc>
        <w:tc>
          <w:tcPr>
            <w:tcW w:w="1354" w:type="dxa"/>
            <w:tcBorders>
              <w:top w:val="nil"/>
              <w:left w:val="nil"/>
              <w:bottom w:val="nil"/>
              <w:right w:val="single" w:sz="4" w:space="0" w:color="auto"/>
            </w:tcBorders>
            <w:shd w:val="clear" w:color="auto" w:fill="auto"/>
            <w:noWrap/>
            <w:vAlign w:val="bottom"/>
            <w:hideMark/>
          </w:tcPr>
          <w:p w14:paraId="3427CFF8" w14:textId="77777777" w:rsidR="00FD5987" w:rsidRPr="000939E3" w:rsidRDefault="00FD5987" w:rsidP="00FD5987">
            <w:pPr>
              <w:spacing w:after="0"/>
              <w:contextualSpacing/>
              <w:jc w:val="right"/>
              <w:rPr>
                <w:color w:val="000000"/>
                <w:sz w:val="16"/>
                <w:szCs w:val="16"/>
              </w:rPr>
            </w:pPr>
            <w:r w:rsidRPr="000939E3">
              <w:rPr>
                <w:color w:val="000000"/>
                <w:sz w:val="16"/>
                <w:szCs w:val="16"/>
              </w:rPr>
              <w:t>2 033</w:t>
            </w:r>
          </w:p>
        </w:tc>
        <w:tc>
          <w:tcPr>
            <w:tcW w:w="1179" w:type="dxa"/>
            <w:tcBorders>
              <w:top w:val="nil"/>
              <w:left w:val="single" w:sz="4" w:space="0" w:color="auto"/>
              <w:bottom w:val="nil"/>
              <w:right w:val="nil"/>
            </w:tcBorders>
            <w:shd w:val="clear" w:color="auto" w:fill="auto"/>
            <w:noWrap/>
            <w:vAlign w:val="bottom"/>
            <w:hideMark/>
          </w:tcPr>
          <w:p w14:paraId="76622A6B" w14:textId="77777777" w:rsidR="00FD5987" w:rsidRPr="000939E3" w:rsidRDefault="00FD5987" w:rsidP="00FD5987">
            <w:pPr>
              <w:spacing w:after="0"/>
              <w:contextualSpacing/>
              <w:jc w:val="right"/>
              <w:rPr>
                <w:color w:val="000000"/>
                <w:sz w:val="16"/>
                <w:szCs w:val="16"/>
              </w:rPr>
            </w:pPr>
          </w:p>
        </w:tc>
        <w:tc>
          <w:tcPr>
            <w:tcW w:w="947" w:type="dxa"/>
            <w:tcBorders>
              <w:top w:val="nil"/>
              <w:left w:val="nil"/>
              <w:bottom w:val="nil"/>
              <w:right w:val="nil"/>
            </w:tcBorders>
            <w:shd w:val="clear" w:color="auto" w:fill="auto"/>
            <w:noWrap/>
            <w:vAlign w:val="bottom"/>
            <w:hideMark/>
          </w:tcPr>
          <w:p w14:paraId="2F023618" w14:textId="77777777" w:rsidR="00FD5987" w:rsidRPr="000939E3" w:rsidRDefault="00FD5987" w:rsidP="00FD5987">
            <w:pPr>
              <w:spacing w:after="0"/>
              <w:contextualSpacing/>
              <w:rPr>
                <w:sz w:val="16"/>
                <w:szCs w:val="16"/>
              </w:rPr>
            </w:pPr>
          </w:p>
        </w:tc>
        <w:tc>
          <w:tcPr>
            <w:tcW w:w="1276" w:type="dxa"/>
            <w:tcBorders>
              <w:top w:val="nil"/>
              <w:left w:val="nil"/>
              <w:bottom w:val="nil"/>
              <w:right w:val="nil"/>
            </w:tcBorders>
            <w:shd w:val="clear" w:color="auto" w:fill="auto"/>
            <w:noWrap/>
            <w:vAlign w:val="bottom"/>
            <w:hideMark/>
          </w:tcPr>
          <w:p w14:paraId="02E20DDD" w14:textId="77777777" w:rsidR="00FD5987" w:rsidRPr="000939E3" w:rsidRDefault="00FD5987" w:rsidP="00FD5987">
            <w:pPr>
              <w:spacing w:after="0"/>
              <w:contextualSpacing/>
              <w:jc w:val="right"/>
              <w:rPr>
                <w:sz w:val="16"/>
                <w:szCs w:val="16"/>
              </w:rPr>
            </w:pPr>
          </w:p>
        </w:tc>
      </w:tr>
      <w:tr w:rsidR="00FD5987" w:rsidRPr="000939E3" w14:paraId="15878214" w14:textId="77777777" w:rsidTr="00FD5987">
        <w:trPr>
          <w:trHeight w:val="17"/>
        </w:trPr>
        <w:tc>
          <w:tcPr>
            <w:tcW w:w="3544" w:type="dxa"/>
            <w:tcBorders>
              <w:top w:val="nil"/>
              <w:left w:val="nil"/>
              <w:bottom w:val="nil"/>
              <w:right w:val="nil"/>
            </w:tcBorders>
            <w:shd w:val="clear" w:color="auto" w:fill="auto"/>
            <w:noWrap/>
            <w:vAlign w:val="bottom"/>
            <w:hideMark/>
          </w:tcPr>
          <w:p w14:paraId="23573C17" w14:textId="77777777" w:rsidR="00FD5987" w:rsidRPr="000939E3" w:rsidRDefault="00FD5987" w:rsidP="00FD5987">
            <w:pPr>
              <w:spacing w:after="0"/>
              <w:contextualSpacing/>
              <w:rPr>
                <w:color w:val="000000"/>
                <w:sz w:val="16"/>
                <w:szCs w:val="16"/>
              </w:rPr>
            </w:pPr>
            <w:r w:rsidRPr="000939E3">
              <w:rPr>
                <w:color w:val="000000"/>
                <w:sz w:val="16"/>
                <w:szCs w:val="16"/>
              </w:rPr>
              <w:t>Najvyšší kontrolný úrad SR</w:t>
            </w:r>
          </w:p>
        </w:tc>
        <w:tc>
          <w:tcPr>
            <w:tcW w:w="1129" w:type="dxa"/>
            <w:tcBorders>
              <w:top w:val="nil"/>
              <w:left w:val="nil"/>
              <w:bottom w:val="nil"/>
              <w:right w:val="nil"/>
            </w:tcBorders>
            <w:shd w:val="clear" w:color="auto" w:fill="auto"/>
            <w:noWrap/>
            <w:vAlign w:val="bottom"/>
            <w:hideMark/>
          </w:tcPr>
          <w:p w14:paraId="64A91618" w14:textId="77777777" w:rsidR="00FD5987" w:rsidRPr="000939E3" w:rsidRDefault="00FD5987" w:rsidP="00FD5987">
            <w:pPr>
              <w:spacing w:after="0"/>
              <w:contextualSpacing/>
              <w:jc w:val="right"/>
              <w:rPr>
                <w:sz w:val="16"/>
                <w:szCs w:val="16"/>
              </w:rPr>
            </w:pPr>
            <w:r w:rsidRPr="000939E3">
              <w:rPr>
                <w:sz w:val="16"/>
                <w:szCs w:val="16"/>
              </w:rPr>
              <w:t>292</w:t>
            </w:r>
          </w:p>
        </w:tc>
        <w:tc>
          <w:tcPr>
            <w:tcW w:w="1057" w:type="dxa"/>
            <w:tcBorders>
              <w:top w:val="nil"/>
              <w:left w:val="nil"/>
              <w:bottom w:val="nil"/>
              <w:right w:val="nil"/>
            </w:tcBorders>
            <w:shd w:val="clear" w:color="auto" w:fill="auto"/>
            <w:noWrap/>
            <w:vAlign w:val="bottom"/>
            <w:hideMark/>
          </w:tcPr>
          <w:p w14:paraId="45C18B75" w14:textId="77777777" w:rsidR="00FD5987" w:rsidRPr="000939E3" w:rsidRDefault="00FD5987" w:rsidP="00FD5987">
            <w:pPr>
              <w:spacing w:after="0"/>
              <w:contextualSpacing/>
              <w:jc w:val="right"/>
              <w:rPr>
                <w:sz w:val="16"/>
                <w:szCs w:val="16"/>
              </w:rPr>
            </w:pPr>
            <w:r w:rsidRPr="000939E3">
              <w:rPr>
                <w:sz w:val="16"/>
                <w:szCs w:val="16"/>
              </w:rPr>
              <w:t>5,0</w:t>
            </w:r>
          </w:p>
        </w:tc>
        <w:tc>
          <w:tcPr>
            <w:tcW w:w="1216" w:type="dxa"/>
            <w:tcBorders>
              <w:top w:val="nil"/>
              <w:left w:val="nil"/>
              <w:bottom w:val="nil"/>
              <w:right w:val="single" w:sz="4" w:space="0" w:color="auto"/>
            </w:tcBorders>
            <w:shd w:val="clear" w:color="auto" w:fill="auto"/>
            <w:noWrap/>
            <w:vAlign w:val="bottom"/>
            <w:hideMark/>
          </w:tcPr>
          <w:p w14:paraId="2D0FE132" w14:textId="77777777" w:rsidR="00FD5987" w:rsidRPr="000939E3" w:rsidRDefault="00FD5987" w:rsidP="00FD5987">
            <w:pPr>
              <w:spacing w:after="0"/>
              <w:contextualSpacing/>
              <w:jc w:val="right"/>
              <w:rPr>
                <w:sz w:val="16"/>
                <w:szCs w:val="16"/>
              </w:rPr>
            </w:pPr>
            <w:r w:rsidRPr="000939E3">
              <w:rPr>
                <w:sz w:val="16"/>
                <w:szCs w:val="16"/>
              </w:rPr>
              <w:t>1 429</w:t>
            </w:r>
          </w:p>
        </w:tc>
        <w:tc>
          <w:tcPr>
            <w:tcW w:w="1148" w:type="dxa"/>
            <w:tcBorders>
              <w:top w:val="nil"/>
              <w:left w:val="single" w:sz="4" w:space="0" w:color="auto"/>
              <w:bottom w:val="nil"/>
              <w:right w:val="nil"/>
            </w:tcBorders>
            <w:shd w:val="clear" w:color="auto" w:fill="auto"/>
            <w:noWrap/>
            <w:vAlign w:val="bottom"/>
            <w:hideMark/>
          </w:tcPr>
          <w:p w14:paraId="553EFEE6" w14:textId="77777777" w:rsidR="00FD5987" w:rsidRPr="000939E3" w:rsidRDefault="00FD5987" w:rsidP="00FD5987">
            <w:pPr>
              <w:spacing w:after="0"/>
              <w:contextualSpacing/>
              <w:jc w:val="right"/>
              <w:rPr>
                <w:color w:val="000000"/>
                <w:sz w:val="16"/>
                <w:szCs w:val="16"/>
              </w:rPr>
            </w:pPr>
            <w:r w:rsidRPr="000939E3">
              <w:rPr>
                <w:color w:val="000000"/>
                <w:sz w:val="16"/>
                <w:szCs w:val="16"/>
              </w:rPr>
              <w:t>292</w:t>
            </w:r>
          </w:p>
        </w:tc>
        <w:tc>
          <w:tcPr>
            <w:tcW w:w="1184" w:type="dxa"/>
            <w:tcBorders>
              <w:top w:val="nil"/>
              <w:left w:val="nil"/>
              <w:bottom w:val="nil"/>
              <w:right w:val="nil"/>
            </w:tcBorders>
            <w:shd w:val="clear" w:color="auto" w:fill="auto"/>
            <w:noWrap/>
            <w:vAlign w:val="bottom"/>
            <w:hideMark/>
          </w:tcPr>
          <w:p w14:paraId="6CC59F2F" w14:textId="77777777" w:rsidR="00FD5987" w:rsidRPr="000939E3" w:rsidRDefault="00FD5987" w:rsidP="00FD5987">
            <w:pPr>
              <w:spacing w:after="0"/>
              <w:contextualSpacing/>
              <w:jc w:val="right"/>
              <w:rPr>
                <w:sz w:val="16"/>
                <w:szCs w:val="16"/>
              </w:rPr>
            </w:pPr>
            <w:r w:rsidRPr="000939E3">
              <w:rPr>
                <w:sz w:val="16"/>
                <w:szCs w:val="16"/>
              </w:rPr>
              <w:t>5,0</w:t>
            </w:r>
          </w:p>
        </w:tc>
        <w:tc>
          <w:tcPr>
            <w:tcW w:w="1354" w:type="dxa"/>
            <w:tcBorders>
              <w:top w:val="nil"/>
              <w:left w:val="nil"/>
              <w:bottom w:val="nil"/>
              <w:right w:val="single" w:sz="4" w:space="0" w:color="auto"/>
            </w:tcBorders>
            <w:shd w:val="clear" w:color="auto" w:fill="auto"/>
            <w:noWrap/>
            <w:vAlign w:val="bottom"/>
            <w:hideMark/>
          </w:tcPr>
          <w:p w14:paraId="7478C1E9" w14:textId="77777777" w:rsidR="00FD5987" w:rsidRPr="000939E3" w:rsidRDefault="00FD5987" w:rsidP="00FD5987">
            <w:pPr>
              <w:spacing w:after="0"/>
              <w:contextualSpacing/>
              <w:jc w:val="right"/>
              <w:rPr>
                <w:color w:val="000000"/>
                <w:sz w:val="16"/>
                <w:szCs w:val="16"/>
              </w:rPr>
            </w:pPr>
            <w:r w:rsidRPr="000939E3">
              <w:rPr>
                <w:color w:val="000000"/>
                <w:sz w:val="16"/>
                <w:szCs w:val="16"/>
              </w:rPr>
              <w:t>1 374</w:t>
            </w:r>
          </w:p>
        </w:tc>
        <w:tc>
          <w:tcPr>
            <w:tcW w:w="1179" w:type="dxa"/>
            <w:tcBorders>
              <w:top w:val="nil"/>
              <w:left w:val="single" w:sz="4" w:space="0" w:color="auto"/>
              <w:bottom w:val="nil"/>
              <w:right w:val="nil"/>
            </w:tcBorders>
            <w:shd w:val="clear" w:color="auto" w:fill="auto"/>
            <w:noWrap/>
            <w:vAlign w:val="bottom"/>
            <w:hideMark/>
          </w:tcPr>
          <w:p w14:paraId="57B400F4" w14:textId="77777777" w:rsidR="00FD5987" w:rsidRPr="000939E3" w:rsidRDefault="00FD5987" w:rsidP="00FD5987">
            <w:pPr>
              <w:spacing w:after="0"/>
              <w:contextualSpacing/>
              <w:jc w:val="right"/>
              <w:rPr>
                <w:color w:val="000000"/>
                <w:sz w:val="16"/>
                <w:szCs w:val="16"/>
              </w:rPr>
            </w:pPr>
          </w:p>
        </w:tc>
        <w:tc>
          <w:tcPr>
            <w:tcW w:w="947" w:type="dxa"/>
            <w:tcBorders>
              <w:top w:val="nil"/>
              <w:left w:val="nil"/>
              <w:bottom w:val="nil"/>
              <w:right w:val="nil"/>
            </w:tcBorders>
            <w:shd w:val="clear" w:color="auto" w:fill="auto"/>
            <w:noWrap/>
            <w:vAlign w:val="bottom"/>
            <w:hideMark/>
          </w:tcPr>
          <w:p w14:paraId="2F956D7A" w14:textId="77777777" w:rsidR="00FD5987" w:rsidRPr="000939E3" w:rsidRDefault="00FD5987" w:rsidP="00FD5987">
            <w:pPr>
              <w:spacing w:after="0"/>
              <w:contextualSpacing/>
              <w:rPr>
                <w:sz w:val="16"/>
                <w:szCs w:val="16"/>
              </w:rPr>
            </w:pPr>
          </w:p>
        </w:tc>
        <w:tc>
          <w:tcPr>
            <w:tcW w:w="1276" w:type="dxa"/>
            <w:tcBorders>
              <w:top w:val="nil"/>
              <w:left w:val="nil"/>
              <w:bottom w:val="nil"/>
              <w:right w:val="nil"/>
            </w:tcBorders>
            <w:shd w:val="clear" w:color="auto" w:fill="auto"/>
            <w:noWrap/>
            <w:vAlign w:val="bottom"/>
            <w:hideMark/>
          </w:tcPr>
          <w:p w14:paraId="1295BD2F" w14:textId="77777777" w:rsidR="00FD5987" w:rsidRPr="000939E3" w:rsidRDefault="00FD5987" w:rsidP="00FD5987">
            <w:pPr>
              <w:spacing w:after="0"/>
              <w:contextualSpacing/>
              <w:jc w:val="right"/>
              <w:rPr>
                <w:sz w:val="16"/>
                <w:szCs w:val="16"/>
              </w:rPr>
            </w:pPr>
          </w:p>
        </w:tc>
      </w:tr>
      <w:tr w:rsidR="00FD5987" w:rsidRPr="000939E3" w14:paraId="4AB0640B" w14:textId="77777777" w:rsidTr="00FD5987">
        <w:trPr>
          <w:trHeight w:val="17"/>
        </w:trPr>
        <w:tc>
          <w:tcPr>
            <w:tcW w:w="3544" w:type="dxa"/>
            <w:tcBorders>
              <w:top w:val="nil"/>
              <w:left w:val="nil"/>
              <w:bottom w:val="nil"/>
              <w:right w:val="nil"/>
            </w:tcBorders>
            <w:shd w:val="clear" w:color="auto" w:fill="auto"/>
            <w:noWrap/>
            <w:vAlign w:val="bottom"/>
            <w:hideMark/>
          </w:tcPr>
          <w:p w14:paraId="0A95F01E" w14:textId="77777777" w:rsidR="00FD5987" w:rsidRPr="000939E3" w:rsidRDefault="00FD5987" w:rsidP="00FD5987">
            <w:pPr>
              <w:spacing w:after="0"/>
              <w:contextualSpacing/>
              <w:rPr>
                <w:color w:val="000000"/>
                <w:sz w:val="16"/>
                <w:szCs w:val="16"/>
              </w:rPr>
            </w:pPr>
            <w:r w:rsidRPr="000939E3">
              <w:rPr>
                <w:color w:val="000000"/>
                <w:sz w:val="16"/>
                <w:szCs w:val="16"/>
              </w:rPr>
              <w:t>Národný bezpečnostný úrad</w:t>
            </w:r>
          </w:p>
        </w:tc>
        <w:tc>
          <w:tcPr>
            <w:tcW w:w="1129" w:type="dxa"/>
            <w:tcBorders>
              <w:top w:val="nil"/>
              <w:left w:val="nil"/>
              <w:bottom w:val="nil"/>
              <w:right w:val="nil"/>
            </w:tcBorders>
            <w:shd w:val="clear" w:color="auto" w:fill="auto"/>
            <w:noWrap/>
            <w:vAlign w:val="bottom"/>
            <w:hideMark/>
          </w:tcPr>
          <w:p w14:paraId="352960E0" w14:textId="77777777" w:rsidR="00FD5987" w:rsidRPr="000939E3" w:rsidRDefault="00FD5987" w:rsidP="00FD5987">
            <w:pPr>
              <w:spacing w:after="0"/>
              <w:contextualSpacing/>
              <w:jc w:val="right"/>
              <w:rPr>
                <w:sz w:val="16"/>
                <w:szCs w:val="16"/>
              </w:rPr>
            </w:pPr>
            <w:r w:rsidRPr="000939E3">
              <w:rPr>
                <w:sz w:val="16"/>
                <w:szCs w:val="16"/>
              </w:rPr>
              <w:t>216</w:t>
            </w:r>
          </w:p>
        </w:tc>
        <w:tc>
          <w:tcPr>
            <w:tcW w:w="1057" w:type="dxa"/>
            <w:tcBorders>
              <w:top w:val="nil"/>
              <w:left w:val="nil"/>
              <w:bottom w:val="nil"/>
              <w:right w:val="nil"/>
            </w:tcBorders>
            <w:shd w:val="clear" w:color="auto" w:fill="auto"/>
            <w:noWrap/>
            <w:vAlign w:val="bottom"/>
            <w:hideMark/>
          </w:tcPr>
          <w:p w14:paraId="0F765123" w14:textId="77777777" w:rsidR="00FD5987" w:rsidRPr="000939E3" w:rsidRDefault="00FD5987" w:rsidP="00FD5987">
            <w:pPr>
              <w:spacing w:after="0"/>
              <w:contextualSpacing/>
              <w:jc w:val="right"/>
              <w:rPr>
                <w:sz w:val="16"/>
                <w:szCs w:val="16"/>
              </w:rPr>
            </w:pPr>
            <w:r w:rsidRPr="000939E3">
              <w:rPr>
                <w:sz w:val="16"/>
                <w:szCs w:val="16"/>
              </w:rPr>
              <w:t>4,5</w:t>
            </w:r>
          </w:p>
        </w:tc>
        <w:tc>
          <w:tcPr>
            <w:tcW w:w="1216" w:type="dxa"/>
            <w:tcBorders>
              <w:top w:val="nil"/>
              <w:left w:val="nil"/>
              <w:bottom w:val="nil"/>
              <w:right w:val="single" w:sz="4" w:space="0" w:color="auto"/>
            </w:tcBorders>
            <w:shd w:val="clear" w:color="auto" w:fill="auto"/>
            <w:noWrap/>
            <w:vAlign w:val="bottom"/>
            <w:hideMark/>
          </w:tcPr>
          <w:p w14:paraId="4913646F" w14:textId="77777777" w:rsidR="00FD5987" w:rsidRPr="000939E3" w:rsidRDefault="00FD5987" w:rsidP="00FD5987">
            <w:pPr>
              <w:spacing w:after="0"/>
              <w:contextualSpacing/>
              <w:jc w:val="right"/>
              <w:rPr>
                <w:sz w:val="16"/>
                <w:szCs w:val="16"/>
              </w:rPr>
            </w:pPr>
            <w:r w:rsidRPr="000939E3">
              <w:rPr>
                <w:sz w:val="16"/>
                <w:szCs w:val="16"/>
              </w:rPr>
              <w:t>1 748</w:t>
            </w:r>
          </w:p>
        </w:tc>
        <w:tc>
          <w:tcPr>
            <w:tcW w:w="1148" w:type="dxa"/>
            <w:tcBorders>
              <w:top w:val="nil"/>
              <w:left w:val="single" w:sz="4" w:space="0" w:color="auto"/>
              <w:bottom w:val="nil"/>
              <w:right w:val="nil"/>
            </w:tcBorders>
            <w:shd w:val="clear" w:color="auto" w:fill="auto"/>
            <w:noWrap/>
            <w:vAlign w:val="bottom"/>
            <w:hideMark/>
          </w:tcPr>
          <w:p w14:paraId="0800E36C" w14:textId="77777777" w:rsidR="00FD5987" w:rsidRPr="000939E3" w:rsidRDefault="00FD5987" w:rsidP="00FD5987">
            <w:pPr>
              <w:spacing w:after="0"/>
              <w:contextualSpacing/>
              <w:jc w:val="right"/>
              <w:rPr>
                <w:color w:val="000000"/>
                <w:sz w:val="16"/>
                <w:szCs w:val="16"/>
              </w:rPr>
            </w:pPr>
            <w:r w:rsidRPr="000939E3">
              <w:rPr>
                <w:color w:val="000000"/>
                <w:sz w:val="16"/>
                <w:szCs w:val="16"/>
              </w:rPr>
              <w:t>216</w:t>
            </w:r>
          </w:p>
        </w:tc>
        <w:tc>
          <w:tcPr>
            <w:tcW w:w="1184" w:type="dxa"/>
            <w:tcBorders>
              <w:top w:val="nil"/>
              <w:left w:val="nil"/>
              <w:bottom w:val="nil"/>
              <w:right w:val="nil"/>
            </w:tcBorders>
            <w:shd w:val="clear" w:color="auto" w:fill="auto"/>
            <w:noWrap/>
            <w:vAlign w:val="bottom"/>
            <w:hideMark/>
          </w:tcPr>
          <w:p w14:paraId="25216BB2" w14:textId="77777777" w:rsidR="00FD5987" w:rsidRPr="000939E3" w:rsidRDefault="00FD5987" w:rsidP="00FD5987">
            <w:pPr>
              <w:spacing w:after="0"/>
              <w:contextualSpacing/>
              <w:jc w:val="right"/>
              <w:rPr>
                <w:sz w:val="16"/>
                <w:szCs w:val="16"/>
              </w:rPr>
            </w:pPr>
            <w:r w:rsidRPr="000939E3">
              <w:rPr>
                <w:sz w:val="16"/>
                <w:szCs w:val="16"/>
              </w:rPr>
              <w:t>4,5</w:t>
            </w:r>
          </w:p>
        </w:tc>
        <w:tc>
          <w:tcPr>
            <w:tcW w:w="1354" w:type="dxa"/>
            <w:tcBorders>
              <w:top w:val="nil"/>
              <w:left w:val="nil"/>
              <w:bottom w:val="nil"/>
              <w:right w:val="single" w:sz="4" w:space="0" w:color="auto"/>
            </w:tcBorders>
            <w:shd w:val="clear" w:color="auto" w:fill="auto"/>
            <w:noWrap/>
            <w:vAlign w:val="bottom"/>
            <w:hideMark/>
          </w:tcPr>
          <w:p w14:paraId="0E2D4DC1" w14:textId="77777777" w:rsidR="00FD5987" w:rsidRPr="000939E3" w:rsidRDefault="00FD5987" w:rsidP="00FD5987">
            <w:pPr>
              <w:spacing w:after="0"/>
              <w:contextualSpacing/>
              <w:jc w:val="right"/>
              <w:rPr>
                <w:color w:val="000000"/>
                <w:sz w:val="16"/>
                <w:szCs w:val="16"/>
              </w:rPr>
            </w:pPr>
            <w:r w:rsidRPr="000939E3">
              <w:rPr>
                <w:color w:val="000000"/>
                <w:sz w:val="16"/>
                <w:szCs w:val="16"/>
              </w:rPr>
              <w:t>1 713</w:t>
            </w:r>
          </w:p>
        </w:tc>
        <w:tc>
          <w:tcPr>
            <w:tcW w:w="1179" w:type="dxa"/>
            <w:tcBorders>
              <w:top w:val="nil"/>
              <w:left w:val="single" w:sz="4" w:space="0" w:color="auto"/>
              <w:bottom w:val="nil"/>
              <w:right w:val="nil"/>
            </w:tcBorders>
            <w:shd w:val="clear" w:color="auto" w:fill="auto"/>
            <w:noWrap/>
            <w:vAlign w:val="bottom"/>
            <w:hideMark/>
          </w:tcPr>
          <w:p w14:paraId="7B0CA087" w14:textId="77777777" w:rsidR="00FD5987" w:rsidRPr="000939E3" w:rsidRDefault="00FD5987" w:rsidP="00FD5987">
            <w:pPr>
              <w:spacing w:after="0"/>
              <w:contextualSpacing/>
              <w:jc w:val="right"/>
              <w:rPr>
                <w:color w:val="000000"/>
                <w:sz w:val="16"/>
                <w:szCs w:val="16"/>
              </w:rPr>
            </w:pPr>
          </w:p>
        </w:tc>
        <w:tc>
          <w:tcPr>
            <w:tcW w:w="947" w:type="dxa"/>
            <w:tcBorders>
              <w:top w:val="nil"/>
              <w:left w:val="nil"/>
              <w:bottom w:val="nil"/>
              <w:right w:val="nil"/>
            </w:tcBorders>
            <w:shd w:val="clear" w:color="auto" w:fill="auto"/>
            <w:noWrap/>
            <w:vAlign w:val="bottom"/>
            <w:hideMark/>
          </w:tcPr>
          <w:p w14:paraId="2E775CD2" w14:textId="77777777" w:rsidR="00FD5987" w:rsidRPr="000939E3" w:rsidRDefault="00FD5987" w:rsidP="00FD5987">
            <w:pPr>
              <w:spacing w:after="0"/>
              <w:contextualSpacing/>
              <w:rPr>
                <w:sz w:val="16"/>
                <w:szCs w:val="16"/>
              </w:rPr>
            </w:pPr>
          </w:p>
        </w:tc>
        <w:tc>
          <w:tcPr>
            <w:tcW w:w="1276" w:type="dxa"/>
            <w:tcBorders>
              <w:top w:val="nil"/>
              <w:left w:val="nil"/>
              <w:bottom w:val="nil"/>
              <w:right w:val="nil"/>
            </w:tcBorders>
            <w:shd w:val="clear" w:color="auto" w:fill="auto"/>
            <w:noWrap/>
            <w:vAlign w:val="bottom"/>
            <w:hideMark/>
          </w:tcPr>
          <w:p w14:paraId="3430AED8" w14:textId="77777777" w:rsidR="00FD5987" w:rsidRPr="000939E3" w:rsidRDefault="00FD5987" w:rsidP="00FD5987">
            <w:pPr>
              <w:spacing w:after="0"/>
              <w:contextualSpacing/>
              <w:jc w:val="right"/>
              <w:rPr>
                <w:sz w:val="16"/>
                <w:szCs w:val="16"/>
              </w:rPr>
            </w:pPr>
          </w:p>
        </w:tc>
      </w:tr>
      <w:tr w:rsidR="00FD5987" w:rsidRPr="000939E3" w14:paraId="4CCA6D9D" w14:textId="77777777" w:rsidTr="00FD5987">
        <w:trPr>
          <w:trHeight w:val="17"/>
        </w:trPr>
        <w:tc>
          <w:tcPr>
            <w:tcW w:w="3544" w:type="dxa"/>
            <w:tcBorders>
              <w:top w:val="nil"/>
              <w:left w:val="nil"/>
              <w:bottom w:val="nil"/>
              <w:right w:val="nil"/>
            </w:tcBorders>
            <w:shd w:val="clear" w:color="auto" w:fill="auto"/>
            <w:noWrap/>
            <w:vAlign w:val="bottom"/>
            <w:hideMark/>
          </w:tcPr>
          <w:p w14:paraId="6BFAD016" w14:textId="77777777" w:rsidR="00FD5987" w:rsidRPr="000939E3" w:rsidRDefault="00FD5987" w:rsidP="00FD5987">
            <w:pPr>
              <w:spacing w:after="0"/>
              <w:contextualSpacing/>
              <w:rPr>
                <w:color w:val="000000"/>
                <w:sz w:val="16"/>
                <w:szCs w:val="16"/>
              </w:rPr>
            </w:pPr>
            <w:r w:rsidRPr="000939E3">
              <w:rPr>
                <w:color w:val="000000"/>
                <w:sz w:val="16"/>
                <w:szCs w:val="16"/>
              </w:rPr>
              <w:t>Najvyšší súd SR</w:t>
            </w:r>
          </w:p>
        </w:tc>
        <w:tc>
          <w:tcPr>
            <w:tcW w:w="1129" w:type="dxa"/>
            <w:tcBorders>
              <w:top w:val="nil"/>
              <w:left w:val="nil"/>
              <w:bottom w:val="nil"/>
              <w:right w:val="nil"/>
            </w:tcBorders>
            <w:shd w:val="clear" w:color="auto" w:fill="auto"/>
            <w:noWrap/>
            <w:vAlign w:val="bottom"/>
            <w:hideMark/>
          </w:tcPr>
          <w:p w14:paraId="100DD0E2" w14:textId="77777777" w:rsidR="00FD5987" w:rsidRPr="000939E3" w:rsidRDefault="00FD5987" w:rsidP="00FD5987">
            <w:pPr>
              <w:spacing w:after="0"/>
              <w:contextualSpacing/>
              <w:jc w:val="right"/>
              <w:rPr>
                <w:sz w:val="16"/>
                <w:szCs w:val="16"/>
              </w:rPr>
            </w:pPr>
            <w:r w:rsidRPr="000939E3">
              <w:rPr>
                <w:sz w:val="16"/>
                <w:szCs w:val="16"/>
              </w:rPr>
              <w:t>216</w:t>
            </w:r>
          </w:p>
        </w:tc>
        <w:tc>
          <w:tcPr>
            <w:tcW w:w="1057" w:type="dxa"/>
            <w:tcBorders>
              <w:top w:val="nil"/>
              <w:left w:val="nil"/>
              <w:bottom w:val="nil"/>
              <w:right w:val="nil"/>
            </w:tcBorders>
            <w:shd w:val="clear" w:color="auto" w:fill="auto"/>
            <w:noWrap/>
            <w:vAlign w:val="bottom"/>
            <w:hideMark/>
          </w:tcPr>
          <w:p w14:paraId="7D132F5C" w14:textId="77777777" w:rsidR="00FD5987" w:rsidRPr="000939E3" w:rsidRDefault="00FD5987" w:rsidP="00FD5987">
            <w:pPr>
              <w:spacing w:after="0"/>
              <w:contextualSpacing/>
              <w:jc w:val="right"/>
              <w:rPr>
                <w:sz w:val="16"/>
                <w:szCs w:val="16"/>
              </w:rPr>
            </w:pPr>
            <w:r w:rsidRPr="000939E3">
              <w:rPr>
                <w:sz w:val="16"/>
                <w:szCs w:val="16"/>
              </w:rPr>
              <w:t>6,7</w:t>
            </w:r>
          </w:p>
        </w:tc>
        <w:tc>
          <w:tcPr>
            <w:tcW w:w="1216" w:type="dxa"/>
            <w:tcBorders>
              <w:top w:val="nil"/>
              <w:left w:val="nil"/>
              <w:bottom w:val="nil"/>
              <w:right w:val="single" w:sz="4" w:space="0" w:color="auto"/>
            </w:tcBorders>
            <w:shd w:val="clear" w:color="auto" w:fill="auto"/>
            <w:noWrap/>
            <w:vAlign w:val="bottom"/>
            <w:hideMark/>
          </w:tcPr>
          <w:p w14:paraId="640CE4A4" w14:textId="77777777" w:rsidR="00FD5987" w:rsidRPr="000939E3" w:rsidRDefault="00FD5987" w:rsidP="00FD5987">
            <w:pPr>
              <w:spacing w:after="0"/>
              <w:contextualSpacing/>
              <w:jc w:val="right"/>
              <w:rPr>
                <w:sz w:val="16"/>
                <w:szCs w:val="16"/>
              </w:rPr>
            </w:pPr>
            <w:r w:rsidRPr="000939E3">
              <w:rPr>
                <w:sz w:val="16"/>
                <w:szCs w:val="16"/>
              </w:rPr>
              <w:t>2 553</w:t>
            </w:r>
          </w:p>
        </w:tc>
        <w:tc>
          <w:tcPr>
            <w:tcW w:w="1148" w:type="dxa"/>
            <w:tcBorders>
              <w:top w:val="nil"/>
              <w:left w:val="single" w:sz="4" w:space="0" w:color="auto"/>
              <w:bottom w:val="nil"/>
              <w:right w:val="nil"/>
            </w:tcBorders>
            <w:shd w:val="clear" w:color="auto" w:fill="auto"/>
            <w:noWrap/>
            <w:vAlign w:val="bottom"/>
            <w:hideMark/>
          </w:tcPr>
          <w:p w14:paraId="5DAC4A1B" w14:textId="77777777" w:rsidR="00FD5987" w:rsidRPr="000939E3" w:rsidRDefault="00FD5987" w:rsidP="00FD5987">
            <w:pPr>
              <w:spacing w:after="0"/>
              <w:contextualSpacing/>
              <w:jc w:val="right"/>
              <w:rPr>
                <w:sz w:val="16"/>
                <w:szCs w:val="16"/>
              </w:rPr>
            </w:pPr>
          </w:p>
        </w:tc>
        <w:tc>
          <w:tcPr>
            <w:tcW w:w="1184" w:type="dxa"/>
            <w:tcBorders>
              <w:top w:val="nil"/>
              <w:left w:val="nil"/>
              <w:bottom w:val="nil"/>
              <w:right w:val="nil"/>
            </w:tcBorders>
            <w:shd w:val="clear" w:color="auto" w:fill="auto"/>
            <w:noWrap/>
            <w:vAlign w:val="bottom"/>
            <w:hideMark/>
          </w:tcPr>
          <w:p w14:paraId="35A3E88B" w14:textId="77777777" w:rsidR="00FD5987" w:rsidRPr="000939E3" w:rsidRDefault="00FD5987" w:rsidP="00FD5987">
            <w:pPr>
              <w:spacing w:after="0"/>
              <w:contextualSpacing/>
              <w:rPr>
                <w:sz w:val="16"/>
                <w:szCs w:val="16"/>
              </w:rPr>
            </w:pPr>
          </w:p>
        </w:tc>
        <w:tc>
          <w:tcPr>
            <w:tcW w:w="1354" w:type="dxa"/>
            <w:tcBorders>
              <w:top w:val="nil"/>
              <w:left w:val="nil"/>
              <w:bottom w:val="nil"/>
              <w:right w:val="single" w:sz="4" w:space="0" w:color="auto"/>
            </w:tcBorders>
            <w:shd w:val="clear" w:color="auto" w:fill="auto"/>
            <w:noWrap/>
            <w:vAlign w:val="bottom"/>
            <w:hideMark/>
          </w:tcPr>
          <w:p w14:paraId="6C1CE433" w14:textId="77777777" w:rsidR="00FD5987" w:rsidRPr="000939E3" w:rsidRDefault="00FD5987" w:rsidP="00FD5987">
            <w:pPr>
              <w:spacing w:after="0"/>
              <w:contextualSpacing/>
              <w:jc w:val="right"/>
              <w:rPr>
                <w:sz w:val="16"/>
                <w:szCs w:val="16"/>
              </w:rPr>
            </w:pPr>
          </w:p>
        </w:tc>
        <w:tc>
          <w:tcPr>
            <w:tcW w:w="1179" w:type="dxa"/>
            <w:tcBorders>
              <w:top w:val="nil"/>
              <w:left w:val="single" w:sz="4" w:space="0" w:color="auto"/>
              <w:bottom w:val="nil"/>
              <w:right w:val="nil"/>
            </w:tcBorders>
            <w:shd w:val="clear" w:color="auto" w:fill="auto"/>
            <w:noWrap/>
            <w:vAlign w:val="bottom"/>
            <w:hideMark/>
          </w:tcPr>
          <w:p w14:paraId="2B6B7236" w14:textId="77777777" w:rsidR="00FD5987" w:rsidRPr="000939E3" w:rsidRDefault="00FD5987" w:rsidP="00FD5987">
            <w:pPr>
              <w:spacing w:after="0"/>
              <w:contextualSpacing/>
              <w:jc w:val="right"/>
              <w:rPr>
                <w:color w:val="000000"/>
                <w:sz w:val="16"/>
                <w:szCs w:val="16"/>
              </w:rPr>
            </w:pPr>
            <w:r w:rsidRPr="000939E3">
              <w:rPr>
                <w:color w:val="000000"/>
                <w:sz w:val="16"/>
                <w:szCs w:val="16"/>
              </w:rPr>
              <w:t>216</w:t>
            </w:r>
          </w:p>
        </w:tc>
        <w:tc>
          <w:tcPr>
            <w:tcW w:w="947" w:type="dxa"/>
            <w:tcBorders>
              <w:top w:val="nil"/>
              <w:left w:val="nil"/>
              <w:bottom w:val="nil"/>
              <w:right w:val="nil"/>
            </w:tcBorders>
            <w:shd w:val="clear" w:color="auto" w:fill="auto"/>
            <w:noWrap/>
            <w:vAlign w:val="bottom"/>
            <w:hideMark/>
          </w:tcPr>
          <w:p w14:paraId="54095ADB" w14:textId="77777777" w:rsidR="00FD5987" w:rsidRPr="000939E3" w:rsidRDefault="00FD5987" w:rsidP="00FD5987">
            <w:pPr>
              <w:spacing w:after="0"/>
              <w:contextualSpacing/>
              <w:jc w:val="right"/>
              <w:rPr>
                <w:sz w:val="16"/>
                <w:szCs w:val="16"/>
              </w:rPr>
            </w:pPr>
            <w:r w:rsidRPr="000939E3">
              <w:rPr>
                <w:sz w:val="16"/>
                <w:szCs w:val="16"/>
              </w:rPr>
              <w:t>6,7</w:t>
            </w:r>
          </w:p>
        </w:tc>
        <w:tc>
          <w:tcPr>
            <w:tcW w:w="1276" w:type="dxa"/>
            <w:tcBorders>
              <w:top w:val="nil"/>
              <w:left w:val="nil"/>
              <w:bottom w:val="nil"/>
              <w:right w:val="nil"/>
            </w:tcBorders>
            <w:shd w:val="clear" w:color="auto" w:fill="auto"/>
            <w:noWrap/>
            <w:vAlign w:val="bottom"/>
            <w:hideMark/>
          </w:tcPr>
          <w:p w14:paraId="05EF6A37" w14:textId="77777777" w:rsidR="00FD5987" w:rsidRPr="000939E3" w:rsidRDefault="00FD5987" w:rsidP="00FD5987">
            <w:pPr>
              <w:spacing w:after="0"/>
              <w:contextualSpacing/>
              <w:jc w:val="right"/>
              <w:rPr>
                <w:color w:val="000000"/>
                <w:sz w:val="16"/>
                <w:szCs w:val="16"/>
              </w:rPr>
            </w:pPr>
            <w:r w:rsidRPr="000939E3">
              <w:rPr>
                <w:color w:val="000000"/>
                <w:sz w:val="16"/>
                <w:szCs w:val="16"/>
              </w:rPr>
              <w:t>2 566</w:t>
            </w:r>
          </w:p>
        </w:tc>
      </w:tr>
      <w:tr w:rsidR="00FD5987" w:rsidRPr="000939E3" w14:paraId="2814B51A" w14:textId="77777777" w:rsidTr="00FD5987">
        <w:trPr>
          <w:trHeight w:val="17"/>
        </w:trPr>
        <w:tc>
          <w:tcPr>
            <w:tcW w:w="3544" w:type="dxa"/>
            <w:tcBorders>
              <w:top w:val="nil"/>
              <w:left w:val="nil"/>
              <w:bottom w:val="nil"/>
              <w:right w:val="nil"/>
            </w:tcBorders>
            <w:shd w:val="clear" w:color="auto" w:fill="auto"/>
            <w:noWrap/>
            <w:vAlign w:val="bottom"/>
            <w:hideMark/>
          </w:tcPr>
          <w:p w14:paraId="0CDBEB44" w14:textId="0977A274" w:rsidR="00FD5987" w:rsidRPr="000939E3" w:rsidRDefault="00A55961" w:rsidP="00FD5987">
            <w:pPr>
              <w:spacing w:after="0"/>
              <w:contextualSpacing/>
              <w:rPr>
                <w:color w:val="000000"/>
                <w:sz w:val="16"/>
                <w:szCs w:val="16"/>
              </w:rPr>
            </w:pPr>
            <w:r>
              <w:rPr>
                <w:color w:val="000000"/>
                <w:sz w:val="16"/>
                <w:szCs w:val="16"/>
              </w:rPr>
              <w:t xml:space="preserve">Úrad pre </w:t>
            </w:r>
            <w:r w:rsidR="00FD5987" w:rsidRPr="000939E3">
              <w:rPr>
                <w:color w:val="000000"/>
                <w:sz w:val="16"/>
                <w:szCs w:val="16"/>
              </w:rPr>
              <w:t>verejné obstarávanie</w:t>
            </w:r>
          </w:p>
        </w:tc>
        <w:tc>
          <w:tcPr>
            <w:tcW w:w="1129" w:type="dxa"/>
            <w:tcBorders>
              <w:top w:val="nil"/>
              <w:left w:val="nil"/>
              <w:bottom w:val="nil"/>
              <w:right w:val="nil"/>
            </w:tcBorders>
            <w:shd w:val="clear" w:color="auto" w:fill="auto"/>
            <w:noWrap/>
            <w:vAlign w:val="bottom"/>
            <w:hideMark/>
          </w:tcPr>
          <w:p w14:paraId="6BDD5143" w14:textId="77777777" w:rsidR="00FD5987" w:rsidRPr="000939E3" w:rsidRDefault="00FD5987" w:rsidP="00FD5987">
            <w:pPr>
              <w:spacing w:after="0"/>
              <w:contextualSpacing/>
              <w:jc w:val="right"/>
              <w:rPr>
                <w:sz w:val="16"/>
                <w:szCs w:val="16"/>
              </w:rPr>
            </w:pPr>
            <w:r w:rsidRPr="000939E3">
              <w:rPr>
                <w:sz w:val="16"/>
                <w:szCs w:val="16"/>
              </w:rPr>
              <w:t>157</w:t>
            </w:r>
          </w:p>
        </w:tc>
        <w:tc>
          <w:tcPr>
            <w:tcW w:w="1057" w:type="dxa"/>
            <w:tcBorders>
              <w:top w:val="nil"/>
              <w:left w:val="nil"/>
              <w:bottom w:val="nil"/>
              <w:right w:val="nil"/>
            </w:tcBorders>
            <w:shd w:val="clear" w:color="auto" w:fill="auto"/>
            <w:noWrap/>
            <w:vAlign w:val="bottom"/>
            <w:hideMark/>
          </w:tcPr>
          <w:p w14:paraId="24837512" w14:textId="77777777" w:rsidR="00FD5987" w:rsidRPr="000939E3" w:rsidRDefault="00FD5987" w:rsidP="00FD5987">
            <w:pPr>
              <w:spacing w:after="0"/>
              <w:contextualSpacing/>
              <w:jc w:val="right"/>
              <w:rPr>
                <w:sz w:val="16"/>
                <w:szCs w:val="16"/>
              </w:rPr>
            </w:pPr>
            <w:r w:rsidRPr="000939E3">
              <w:rPr>
                <w:sz w:val="16"/>
                <w:szCs w:val="16"/>
              </w:rPr>
              <w:t>2,9</w:t>
            </w:r>
          </w:p>
        </w:tc>
        <w:tc>
          <w:tcPr>
            <w:tcW w:w="1216" w:type="dxa"/>
            <w:tcBorders>
              <w:top w:val="nil"/>
              <w:left w:val="nil"/>
              <w:bottom w:val="nil"/>
              <w:right w:val="single" w:sz="4" w:space="0" w:color="auto"/>
            </w:tcBorders>
            <w:shd w:val="clear" w:color="auto" w:fill="auto"/>
            <w:noWrap/>
            <w:vAlign w:val="bottom"/>
            <w:hideMark/>
          </w:tcPr>
          <w:p w14:paraId="622F0595" w14:textId="77777777" w:rsidR="00FD5987" w:rsidRPr="000939E3" w:rsidRDefault="00FD5987" w:rsidP="00FD5987">
            <w:pPr>
              <w:spacing w:after="0"/>
              <w:contextualSpacing/>
              <w:jc w:val="right"/>
              <w:rPr>
                <w:sz w:val="16"/>
                <w:szCs w:val="16"/>
              </w:rPr>
            </w:pPr>
            <w:r w:rsidRPr="000939E3">
              <w:rPr>
                <w:sz w:val="16"/>
                <w:szCs w:val="16"/>
              </w:rPr>
              <w:t>1 498</w:t>
            </w:r>
          </w:p>
        </w:tc>
        <w:tc>
          <w:tcPr>
            <w:tcW w:w="1148" w:type="dxa"/>
            <w:tcBorders>
              <w:top w:val="nil"/>
              <w:left w:val="single" w:sz="4" w:space="0" w:color="auto"/>
              <w:bottom w:val="nil"/>
              <w:right w:val="nil"/>
            </w:tcBorders>
            <w:shd w:val="clear" w:color="auto" w:fill="auto"/>
            <w:noWrap/>
            <w:vAlign w:val="bottom"/>
            <w:hideMark/>
          </w:tcPr>
          <w:p w14:paraId="40F6215C" w14:textId="77777777" w:rsidR="00FD5987" w:rsidRPr="000939E3" w:rsidRDefault="00FD5987" w:rsidP="00FD5987">
            <w:pPr>
              <w:spacing w:after="0"/>
              <w:contextualSpacing/>
              <w:jc w:val="right"/>
              <w:rPr>
                <w:color w:val="000000"/>
                <w:sz w:val="16"/>
                <w:szCs w:val="16"/>
              </w:rPr>
            </w:pPr>
            <w:r w:rsidRPr="000939E3">
              <w:rPr>
                <w:color w:val="000000"/>
                <w:sz w:val="16"/>
                <w:szCs w:val="16"/>
              </w:rPr>
              <w:t>157</w:t>
            </w:r>
          </w:p>
        </w:tc>
        <w:tc>
          <w:tcPr>
            <w:tcW w:w="1184" w:type="dxa"/>
            <w:tcBorders>
              <w:top w:val="nil"/>
              <w:left w:val="nil"/>
              <w:bottom w:val="nil"/>
              <w:right w:val="nil"/>
            </w:tcBorders>
            <w:shd w:val="clear" w:color="auto" w:fill="auto"/>
            <w:noWrap/>
            <w:vAlign w:val="bottom"/>
            <w:hideMark/>
          </w:tcPr>
          <w:p w14:paraId="3D6AA668" w14:textId="77777777" w:rsidR="00FD5987" w:rsidRPr="000939E3" w:rsidRDefault="00FD5987" w:rsidP="00FD5987">
            <w:pPr>
              <w:spacing w:after="0"/>
              <w:contextualSpacing/>
              <w:jc w:val="right"/>
              <w:rPr>
                <w:sz w:val="16"/>
                <w:szCs w:val="16"/>
              </w:rPr>
            </w:pPr>
            <w:r w:rsidRPr="000939E3">
              <w:rPr>
                <w:sz w:val="16"/>
                <w:szCs w:val="16"/>
              </w:rPr>
              <w:t>2,9</w:t>
            </w:r>
          </w:p>
        </w:tc>
        <w:tc>
          <w:tcPr>
            <w:tcW w:w="1354" w:type="dxa"/>
            <w:tcBorders>
              <w:top w:val="nil"/>
              <w:left w:val="nil"/>
              <w:bottom w:val="nil"/>
              <w:right w:val="single" w:sz="4" w:space="0" w:color="auto"/>
            </w:tcBorders>
            <w:shd w:val="clear" w:color="auto" w:fill="auto"/>
            <w:noWrap/>
            <w:vAlign w:val="bottom"/>
            <w:hideMark/>
          </w:tcPr>
          <w:p w14:paraId="3F7EB168" w14:textId="77777777" w:rsidR="00FD5987" w:rsidRPr="000939E3" w:rsidRDefault="00FD5987" w:rsidP="00FD5987">
            <w:pPr>
              <w:spacing w:after="0"/>
              <w:contextualSpacing/>
              <w:jc w:val="right"/>
              <w:rPr>
                <w:color w:val="000000"/>
                <w:sz w:val="16"/>
                <w:szCs w:val="16"/>
              </w:rPr>
            </w:pPr>
            <w:r w:rsidRPr="000939E3">
              <w:rPr>
                <w:color w:val="000000"/>
                <w:sz w:val="16"/>
                <w:szCs w:val="16"/>
              </w:rPr>
              <w:t>1 429</w:t>
            </w:r>
          </w:p>
        </w:tc>
        <w:tc>
          <w:tcPr>
            <w:tcW w:w="1179" w:type="dxa"/>
            <w:tcBorders>
              <w:top w:val="nil"/>
              <w:left w:val="single" w:sz="4" w:space="0" w:color="auto"/>
              <w:bottom w:val="nil"/>
              <w:right w:val="nil"/>
            </w:tcBorders>
            <w:shd w:val="clear" w:color="auto" w:fill="auto"/>
            <w:noWrap/>
            <w:vAlign w:val="bottom"/>
            <w:hideMark/>
          </w:tcPr>
          <w:p w14:paraId="7A68C383" w14:textId="77777777" w:rsidR="00FD5987" w:rsidRPr="000939E3" w:rsidRDefault="00FD5987" w:rsidP="00FD5987">
            <w:pPr>
              <w:spacing w:after="0"/>
              <w:contextualSpacing/>
              <w:jc w:val="right"/>
              <w:rPr>
                <w:color w:val="000000"/>
                <w:sz w:val="16"/>
                <w:szCs w:val="16"/>
              </w:rPr>
            </w:pPr>
          </w:p>
        </w:tc>
        <w:tc>
          <w:tcPr>
            <w:tcW w:w="947" w:type="dxa"/>
            <w:tcBorders>
              <w:top w:val="nil"/>
              <w:left w:val="nil"/>
              <w:bottom w:val="nil"/>
              <w:right w:val="nil"/>
            </w:tcBorders>
            <w:shd w:val="clear" w:color="auto" w:fill="auto"/>
            <w:noWrap/>
            <w:vAlign w:val="bottom"/>
            <w:hideMark/>
          </w:tcPr>
          <w:p w14:paraId="2021658A" w14:textId="77777777" w:rsidR="00FD5987" w:rsidRPr="000939E3" w:rsidRDefault="00FD5987" w:rsidP="00FD5987">
            <w:pPr>
              <w:spacing w:after="0"/>
              <w:contextualSpacing/>
              <w:rPr>
                <w:sz w:val="16"/>
                <w:szCs w:val="16"/>
              </w:rPr>
            </w:pPr>
          </w:p>
        </w:tc>
        <w:tc>
          <w:tcPr>
            <w:tcW w:w="1276" w:type="dxa"/>
            <w:tcBorders>
              <w:top w:val="nil"/>
              <w:left w:val="nil"/>
              <w:bottom w:val="nil"/>
              <w:right w:val="nil"/>
            </w:tcBorders>
            <w:shd w:val="clear" w:color="auto" w:fill="auto"/>
            <w:noWrap/>
            <w:vAlign w:val="bottom"/>
            <w:hideMark/>
          </w:tcPr>
          <w:p w14:paraId="3C4116CE" w14:textId="77777777" w:rsidR="00FD5987" w:rsidRPr="000939E3" w:rsidRDefault="00FD5987" w:rsidP="00FD5987">
            <w:pPr>
              <w:spacing w:after="0"/>
              <w:contextualSpacing/>
              <w:jc w:val="right"/>
              <w:rPr>
                <w:sz w:val="16"/>
                <w:szCs w:val="16"/>
              </w:rPr>
            </w:pPr>
          </w:p>
        </w:tc>
      </w:tr>
      <w:tr w:rsidR="00FD5987" w:rsidRPr="000939E3" w14:paraId="394729A0" w14:textId="77777777" w:rsidTr="00FD5987">
        <w:trPr>
          <w:trHeight w:val="17"/>
        </w:trPr>
        <w:tc>
          <w:tcPr>
            <w:tcW w:w="3544" w:type="dxa"/>
            <w:tcBorders>
              <w:top w:val="nil"/>
              <w:left w:val="nil"/>
              <w:bottom w:val="nil"/>
              <w:right w:val="nil"/>
            </w:tcBorders>
            <w:shd w:val="clear" w:color="auto" w:fill="auto"/>
            <w:noWrap/>
            <w:vAlign w:val="bottom"/>
            <w:hideMark/>
          </w:tcPr>
          <w:p w14:paraId="3D747F3C" w14:textId="77777777" w:rsidR="00FD5987" w:rsidRPr="000939E3" w:rsidRDefault="00FD5987" w:rsidP="00FD5987">
            <w:pPr>
              <w:spacing w:after="0"/>
              <w:contextualSpacing/>
              <w:rPr>
                <w:color w:val="000000"/>
                <w:sz w:val="16"/>
                <w:szCs w:val="16"/>
              </w:rPr>
            </w:pPr>
            <w:r w:rsidRPr="000939E3">
              <w:rPr>
                <w:color w:val="000000"/>
                <w:sz w:val="16"/>
                <w:szCs w:val="16"/>
              </w:rPr>
              <w:t>Úrad priemyselného vlastníctva SR</w:t>
            </w:r>
          </w:p>
        </w:tc>
        <w:tc>
          <w:tcPr>
            <w:tcW w:w="1129" w:type="dxa"/>
            <w:tcBorders>
              <w:top w:val="nil"/>
              <w:left w:val="nil"/>
              <w:bottom w:val="nil"/>
              <w:right w:val="nil"/>
            </w:tcBorders>
            <w:shd w:val="clear" w:color="auto" w:fill="auto"/>
            <w:noWrap/>
            <w:vAlign w:val="bottom"/>
            <w:hideMark/>
          </w:tcPr>
          <w:p w14:paraId="39420401" w14:textId="77777777" w:rsidR="00FD5987" w:rsidRPr="000939E3" w:rsidRDefault="00FD5987" w:rsidP="00FD5987">
            <w:pPr>
              <w:spacing w:after="0"/>
              <w:contextualSpacing/>
              <w:jc w:val="right"/>
              <w:rPr>
                <w:sz w:val="16"/>
                <w:szCs w:val="16"/>
              </w:rPr>
            </w:pPr>
            <w:r w:rsidRPr="000939E3">
              <w:rPr>
                <w:sz w:val="16"/>
                <w:szCs w:val="16"/>
              </w:rPr>
              <w:t>134</w:t>
            </w:r>
          </w:p>
        </w:tc>
        <w:tc>
          <w:tcPr>
            <w:tcW w:w="1057" w:type="dxa"/>
            <w:tcBorders>
              <w:top w:val="nil"/>
              <w:left w:val="nil"/>
              <w:bottom w:val="nil"/>
              <w:right w:val="nil"/>
            </w:tcBorders>
            <w:shd w:val="clear" w:color="auto" w:fill="auto"/>
            <w:noWrap/>
            <w:vAlign w:val="bottom"/>
            <w:hideMark/>
          </w:tcPr>
          <w:p w14:paraId="34A060B9" w14:textId="77777777" w:rsidR="00FD5987" w:rsidRPr="000939E3" w:rsidRDefault="00FD5987" w:rsidP="00FD5987">
            <w:pPr>
              <w:spacing w:after="0"/>
              <w:contextualSpacing/>
              <w:jc w:val="right"/>
              <w:rPr>
                <w:sz w:val="16"/>
                <w:szCs w:val="16"/>
              </w:rPr>
            </w:pPr>
            <w:r w:rsidRPr="000939E3">
              <w:rPr>
                <w:sz w:val="16"/>
                <w:szCs w:val="16"/>
              </w:rPr>
              <w:t>1,6</w:t>
            </w:r>
          </w:p>
        </w:tc>
        <w:tc>
          <w:tcPr>
            <w:tcW w:w="1216" w:type="dxa"/>
            <w:tcBorders>
              <w:top w:val="nil"/>
              <w:left w:val="nil"/>
              <w:bottom w:val="nil"/>
              <w:right w:val="single" w:sz="4" w:space="0" w:color="auto"/>
            </w:tcBorders>
            <w:shd w:val="clear" w:color="auto" w:fill="auto"/>
            <w:noWrap/>
            <w:vAlign w:val="bottom"/>
            <w:hideMark/>
          </w:tcPr>
          <w:p w14:paraId="07AB6231" w14:textId="77777777" w:rsidR="00FD5987" w:rsidRPr="000939E3" w:rsidRDefault="00FD5987" w:rsidP="00FD5987">
            <w:pPr>
              <w:spacing w:after="0"/>
              <w:contextualSpacing/>
              <w:jc w:val="right"/>
              <w:rPr>
                <w:sz w:val="16"/>
                <w:szCs w:val="16"/>
              </w:rPr>
            </w:pPr>
            <w:r w:rsidRPr="000939E3">
              <w:rPr>
                <w:sz w:val="16"/>
                <w:szCs w:val="16"/>
              </w:rPr>
              <w:t>981</w:t>
            </w:r>
          </w:p>
        </w:tc>
        <w:tc>
          <w:tcPr>
            <w:tcW w:w="1148" w:type="dxa"/>
            <w:tcBorders>
              <w:top w:val="nil"/>
              <w:left w:val="single" w:sz="4" w:space="0" w:color="auto"/>
              <w:bottom w:val="nil"/>
              <w:right w:val="nil"/>
            </w:tcBorders>
            <w:shd w:val="clear" w:color="auto" w:fill="auto"/>
            <w:noWrap/>
            <w:vAlign w:val="bottom"/>
            <w:hideMark/>
          </w:tcPr>
          <w:p w14:paraId="54E2A221" w14:textId="77777777" w:rsidR="00FD5987" w:rsidRPr="000939E3" w:rsidRDefault="00FD5987" w:rsidP="00FD5987">
            <w:pPr>
              <w:spacing w:after="0"/>
              <w:contextualSpacing/>
              <w:jc w:val="right"/>
              <w:rPr>
                <w:color w:val="000000"/>
                <w:sz w:val="16"/>
                <w:szCs w:val="16"/>
              </w:rPr>
            </w:pPr>
            <w:r w:rsidRPr="000939E3">
              <w:rPr>
                <w:color w:val="000000"/>
                <w:sz w:val="16"/>
                <w:szCs w:val="16"/>
              </w:rPr>
              <w:t>134</w:t>
            </w:r>
          </w:p>
        </w:tc>
        <w:tc>
          <w:tcPr>
            <w:tcW w:w="1184" w:type="dxa"/>
            <w:tcBorders>
              <w:top w:val="nil"/>
              <w:left w:val="nil"/>
              <w:bottom w:val="nil"/>
              <w:right w:val="nil"/>
            </w:tcBorders>
            <w:shd w:val="clear" w:color="auto" w:fill="auto"/>
            <w:noWrap/>
            <w:vAlign w:val="bottom"/>
            <w:hideMark/>
          </w:tcPr>
          <w:p w14:paraId="1572ABE6" w14:textId="77777777" w:rsidR="00FD5987" w:rsidRPr="000939E3" w:rsidRDefault="00FD5987" w:rsidP="00FD5987">
            <w:pPr>
              <w:spacing w:after="0"/>
              <w:contextualSpacing/>
              <w:jc w:val="right"/>
              <w:rPr>
                <w:sz w:val="16"/>
                <w:szCs w:val="16"/>
              </w:rPr>
            </w:pPr>
            <w:r w:rsidRPr="000939E3">
              <w:rPr>
                <w:sz w:val="16"/>
                <w:szCs w:val="16"/>
              </w:rPr>
              <w:t>1,6</w:t>
            </w:r>
          </w:p>
        </w:tc>
        <w:tc>
          <w:tcPr>
            <w:tcW w:w="1354" w:type="dxa"/>
            <w:tcBorders>
              <w:top w:val="nil"/>
              <w:left w:val="nil"/>
              <w:bottom w:val="nil"/>
              <w:right w:val="single" w:sz="4" w:space="0" w:color="auto"/>
            </w:tcBorders>
            <w:shd w:val="clear" w:color="auto" w:fill="auto"/>
            <w:noWrap/>
            <w:vAlign w:val="bottom"/>
            <w:hideMark/>
          </w:tcPr>
          <w:p w14:paraId="6B395D36" w14:textId="77777777" w:rsidR="00FD5987" w:rsidRPr="000939E3" w:rsidRDefault="00FD5987" w:rsidP="00FD5987">
            <w:pPr>
              <w:spacing w:after="0"/>
              <w:contextualSpacing/>
              <w:jc w:val="right"/>
              <w:rPr>
                <w:color w:val="000000"/>
                <w:sz w:val="16"/>
                <w:szCs w:val="16"/>
              </w:rPr>
            </w:pPr>
            <w:r w:rsidRPr="000939E3">
              <w:rPr>
                <w:color w:val="000000"/>
                <w:sz w:val="16"/>
                <w:szCs w:val="16"/>
              </w:rPr>
              <w:t>951</w:t>
            </w:r>
          </w:p>
        </w:tc>
        <w:tc>
          <w:tcPr>
            <w:tcW w:w="1179" w:type="dxa"/>
            <w:tcBorders>
              <w:top w:val="nil"/>
              <w:left w:val="single" w:sz="4" w:space="0" w:color="auto"/>
              <w:bottom w:val="nil"/>
              <w:right w:val="nil"/>
            </w:tcBorders>
            <w:shd w:val="clear" w:color="auto" w:fill="auto"/>
            <w:noWrap/>
            <w:vAlign w:val="bottom"/>
            <w:hideMark/>
          </w:tcPr>
          <w:p w14:paraId="12B9C579" w14:textId="77777777" w:rsidR="00FD5987" w:rsidRPr="000939E3" w:rsidRDefault="00FD5987" w:rsidP="00FD5987">
            <w:pPr>
              <w:spacing w:after="0"/>
              <w:contextualSpacing/>
              <w:jc w:val="right"/>
              <w:rPr>
                <w:color w:val="000000"/>
                <w:sz w:val="16"/>
                <w:szCs w:val="16"/>
              </w:rPr>
            </w:pPr>
          </w:p>
        </w:tc>
        <w:tc>
          <w:tcPr>
            <w:tcW w:w="947" w:type="dxa"/>
            <w:tcBorders>
              <w:top w:val="nil"/>
              <w:left w:val="nil"/>
              <w:bottom w:val="nil"/>
              <w:right w:val="nil"/>
            </w:tcBorders>
            <w:shd w:val="clear" w:color="auto" w:fill="auto"/>
            <w:noWrap/>
            <w:vAlign w:val="bottom"/>
            <w:hideMark/>
          </w:tcPr>
          <w:p w14:paraId="7BD97950" w14:textId="77777777" w:rsidR="00FD5987" w:rsidRPr="000939E3" w:rsidRDefault="00FD5987" w:rsidP="00FD5987">
            <w:pPr>
              <w:spacing w:after="0"/>
              <w:contextualSpacing/>
              <w:rPr>
                <w:sz w:val="16"/>
                <w:szCs w:val="16"/>
              </w:rPr>
            </w:pPr>
          </w:p>
        </w:tc>
        <w:tc>
          <w:tcPr>
            <w:tcW w:w="1276" w:type="dxa"/>
            <w:tcBorders>
              <w:top w:val="nil"/>
              <w:left w:val="nil"/>
              <w:bottom w:val="nil"/>
              <w:right w:val="nil"/>
            </w:tcBorders>
            <w:shd w:val="clear" w:color="auto" w:fill="auto"/>
            <w:noWrap/>
            <w:vAlign w:val="bottom"/>
            <w:hideMark/>
          </w:tcPr>
          <w:p w14:paraId="610FE167" w14:textId="77777777" w:rsidR="00FD5987" w:rsidRPr="000939E3" w:rsidRDefault="00FD5987" w:rsidP="00FD5987">
            <w:pPr>
              <w:spacing w:after="0"/>
              <w:contextualSpacing/>
              <w:jc w:val="right"/>
              <w:rPr>
                <w:sz w:val="16"/>
                <w:szCs w:val="16"/>
              </w:rPr>
            </w:pPr>
          </w:p>
        </w:tc>
      </w:tr>
      <w:tr w:rsidR="00FD5987" w:rsidRPr="000939E3" w14:paraId="1FD8032E" w14:textId="77777777" w:rsidTr="00FD5987">
        <w:trPr>
          <w:trHeight w:val="17"/>
        </w:trPr>
        <w:tc>
          <w:tcPr>
            <w:tcW w:w="3544" w:type="dxa"/>
            <w:tcBorders>
              <w:top w:val="nil"/>
              <w:left w:val="nil"/>
              <w:bottom w:val="nil"/>
              <w:right w:val="nil"/>
            </w:tcBorders>
            <w:shd w:val="clear" w:color="auto" w:fill="auto"/>
            <w:noWrap/>
            <w:vAlign w:val="bottom"/>
            <w:hideMark/>
          </w:tcPr>
          <w:p w14:paraId="7A14A69A" w14:textId="77777777" w:rsidR="00FD5987" w:rsidRPr="000939E3" w:rsidRDefault="00FD5987" w:rsidP="00FD5987">
            <w:pPr>
              <w:spacing w:after="0"/>
              <w:contextualSpacing/>
              <w:rPr>
                <w:color w:val="000000"/>
                <w:sz w:val="16"/>
                <w:szCs w:val="16"/>
              </w:rPr>
            </w:pPr>
            <w:r w:rsidRPr="000939E3">
              <w:rPr>
                <w:color w:val="000000"/>
                <w:sz w:val="16"/>
                <w:szCs w:val="16"/>
              </w:rPr>
              <w:t>Správa štátnych hmotných rezerv SR</w:t>
            </w:r>
          </w:p>
        </w:tc>
        <w:tc>
          <w:tcPr>
            <w:tcW w:w="1129" w:type="dxa"/>
            <w:tcBorders>
              <w:top w:val="nil"/>
              <w:left w:val="nil"/>
              <w:bottom w:val="nil"/>
              <w:right w:val="nil"/>
            </w:tcBorders>
            <w:shd w:val="clear" w:color="auto" w:fill="auto"/>
            <w:noWrap/>
            <w:vAlign w:val="bottom"/>
            <w:hideMark/>
          </w:tcPr>
          <w:p w14:paraId="05486D17" w14:textId="77777777" w:rsidR="00FD5987" w:rsidRPr="000939E3" w:rsidRDefault="00FD5987" w:rsidP="00FD5987">
            <w:pPr>
              <w:spacing w:after="0"/>
              <w:contextualSpacing/>
              <w:jc w:val="right"/>
              <w:rPr>
                <w:sz w:val="16"/>
                <w:szCs w:val="16"/>
              </w:rPr>
            </w:pPr>
            <w:r w:rsidRPr="000939E3">
              <w:rPr>
                <w:sz w:val="16"/>
                <w:szCs w:val="16"/>
              </w:rPr>
              <w:t>106</w:t>
            </w:r>
          </w:p>
        </w:tc>
        <w:tc>
          <w:tcPr>
            <w:tcW w:w="1057" w:type="dxa"/>
            <w:tcBorders>
              <w:top w:val="nil"/>
              <w:left w:val="nil"/>
              <w:bottom w:val="nil"/>
              <w:right w:val="nil"/>
            </w:tcBorders>
            <w:shd w:val="clear" w:color="auto" w:fill="auto"/>
            <w:noWrap/>
            <w:vAlign w:val="bottom"/>
            <w:hideMark/>
          </w:tcPr>
          <w:p w14:paraId="468DCAAB" w14:textId="77777777" w:rsidR="00FD5987" w:rsidRPr="000939E3" w:rsidRDefault="00FD5987" w:rsidP="00FD5987">
            <w:pPr>
              <w:spacing w:after="0"/>
              <w:contextualSpacing/>
              <w:jc w:val="right"/>
              <w:rPr>
                <w:sz w:val="16"/>
                <w:szCs w:val="16"/>
              </w:rPr>
            </w:pPr>
            <w:r w:rsidRPr="000939E3">
              <w:rPr>
                <w:sz w:val="16"/>
                <w:szCs w:val="16"/>
              </w:rPr>
              <w:t>1,5</w:t>
            </w:r>
          </w:p>
        </w:tc>
        <w:tc>
          <w:tcPr>
            <w:tcW w:w="1216" w:type="dxa"/>
            <w:tcBorders>
              <w:top w:val="nil"/>
              <w:left w:val="nil"/>
              <w:bottom w:val="nil"/>
              <w:right w:val="single" w:sz="4" w:space="0" w:color="auto"/>
            </w:tcBorders>
            <w:shd w:val="clear" w:color="auto" w:fill="auto"/>
            <w:noWrap/>
            <w:vAlign w:val="bottom"/>
            <w:hideMark/>
          </w:tcPr>
          <w:p w14:paraId="48A4EE9E" w14:textId="77777777" w:rsidR="00FD5987" w:rsidRPr="000939E3" w:rsidRDefault="00FD5987" w:rsidP="00FD5987">
            <w:pPr>
              <w:spacing w:after="0"/>
              <w:contextualSpacing/>
              <w:jc w:val="right"/>
              <w:rPr>
                <w:sz w:val="16"/>
                <w:szCs w:val="16"/>
              </w:rPr>
            </w:pPr>
            <w:r w:rsidRPr="000939E3">
              <w:rPr>
                <w:sz w:val="16"/>
                <w:szCs w:val="16"/>
              </w:rPr>
              <w:t>1 169</w:t>
            </w:r>
          </w:p>
        </w:tc>
        <w:tc>
          <w:tcPr>
            <w:tcW w:w="1148" w:type="dxa"/>
            <w:tcBorders>
              <w:top w:val="nil"/>
              <w:left w:val="single" w:sz="4" w:space="0" w:color="auto"/>
              <w:bottom w:val="nil"/>
              <w:right w:val="nil"/>
            </w:tcBorders>
            <w:shd w:val="clear" w:color="auto" w:fill="auto"/>
            <w:noWrap/>
            <w:vAlign w:val="bottom"/>
            <w:hideMark/>
          </w:tcPr>
          <w:p w14:paraId="7A62FDD5" w14:textId="77777777" w:rsidR="00FD5987" w:rsidRPr="000939E3" w:rsidRDefault="00FD5987" w:rsidP="00FD5987">
            <w:pPr>
              <w:spacing w:after="0"/>
              <w:contextualSpacing/>
              <w:jc w:val="right"/>
              <w:rPr>
                <w:color w:val="000000"/>
                <w:sz w:val="16"/>
                <w:szCs w:val="16"/>
              </w:rPr>
            </w:pPr>
            <w:r w:rsidRPr="000939E3">
              <w:rPr>
                <w:color w:val="000000"/>
                <w:sz w:val="16"/>
                <w:szCs w:val="16"/>
              </w:rPr>
              <w:t>106</w:t>
            </w:r>
          </w:p>
        </w:tc>
        <w:tc>
          <w:tcPr>
            <w:tcW w:w="1184" w:type="dxa"/>
            <w:tcBorders>
              <w:top w:val="nil"/>
              <w:left w:val="nil"/>
              <w:bottom w:val="nil"/>
              <w:right w:val="nil"/>
            </w:tcBorders>
            <w:shd w:val="clear" w:color="auto" w:fill="auto"/>
            <w:noWrap/>
            <w:vAlign w:val="bottom"/>
            <w:hideMark/>
          </w:tcPr>
          <w:p w14:paraId="42B0DDCC" w14:textId="77777777" w:rsidR="00FD5987" w:rsidRPr="000939E3" w:rsidRDefault="00FD5987" w:rsidP="00FD5987">
            <w:pPr>
              <w:spacing w:after="0"/>
              <w:contextualSpacing/>
              <w:jc w:val="right"/>
              <w:rPr>
                <w:sz w:val="16"/>
                <w:szCs w:val="16"/>
              </w:rPr>
            </w:pPr>
            <w:r w:rsidRPr="000939E3">
              <w:rPr>
                <w:sz w:val="16"/>
                <w:szCs w:val="16"/>
              </w:rPr>
              <w:t>1,5</w:t>
            </w:r>
          </w:p>
        </w:tc>
        <w:tc>
          <w:tcPr>
            <w:tcW w:w="1354" w:type="dxa"/>
            <w:tcBorders>
              <w:top w:val="nil"/>
              <w:left w:val="nil"/>
              <w:bottom w:val="nil"/>
              <w:right w:val="single" w:sz="4" w:space="0" w:color="auto"/>
            </w:tcBorders>
            <w:shd w:val="clear" w:color="auto" w:fill="auto"/>
            <w:noWrap/>
            <w:vAlign w:val="bottom"/>
            <w:hideMark/>
          </w:tcPr>
          <w:p w14:paraId="1639BA0C" w14:textId="77777777" w:rsidR="00FD5987" w:rsidRPr="000939E3" w:rsidRDefault="00FD5987" w:rsidP="00FD5987">
            <w:pPr>
              <w:spacing w:after="0"/>
              <w:contextualSpacing/>
              <w:jc w:val="right"/>
              <w:rPr>
                <w:color w:val="000000"/>
                <w:sz w:val="16"/>
                <w:szCs w:val="16"/>
              </w:rPr>
            </w:pPr>
            <w:r w:rsidRPr="000939E3">
              <w:rPr>
                <w:color w:val="000000"/>
                <w:sz w:val="16"/>
                <w:szCs w:val="16"/>
              </w:rPr>
              <w:t>1 142</w:t>
            </w:r>
          </w:p>
        </w:tc>
        <w:tc>
          <w:tcPr>
            <w:tcW w:w="1179" w:type="dxa"/>
            <w:tcBorders>
              <w:top w:val="nil"/>
              <w:left w:val="single" w:sz="4" w:space="0" w:color="auto"/>
              <w:bottom w:val="nil"/>
              <w:right w:val="nil"/>
            </w:tcBorders>
            <w:shd w:val="clear" w:color="auto" w:fill="auto"/>
            <w:noWrap/>
            <w:vAlign w:val="bottom"/>
            <w:hideMark/>
          </w:tcPr>
          <w:p w14:paraId="3FA31728" w14:textId="77777777" w:rsidR="00FD5987" w:rsidRPr="000939E3" w:rsidRDefault="00FD5987" w:rsidP="00FD5987">
            <w:pPr>
              <w:spacing w:after="0"/>
              <w:contextualSpacing/>
              <w:jc w:val="right"/>
              <w:rPr>
                <w:color w:val="000000"/>
                <w:sz w:val="16"/>
                <w:szCs w:val="16"/>
              </w:rPr>
            </w:pPr>
          </w:p>
        </w:tc>
        <w:tc>
          <w:tcPr>
            <w:tcW w:w="947" w:type="dxa"/>
            <w:tcBorders>
              <w:top w:val="nil"/>
              <w:left w:val="nil"/>
              <w:bottom w:val="nil"/>
              <w:right w:val="nil"/>
            </w:tcBorders>
            <w:shd w:val="clear" w:color="auto" w:fill="auto"/>
            <w:noWrap/>
            <w:vAlign w:val="bottom"/>
            <w:hideMark/>
          </w:tcPr>
          <w:p w14:paraId="6EBC273B" w14:textId="77777777" w:rsidR="00FD5987" w:rsidRPr="000939E3" w:rsidRDefault="00FD5987" w:rsidP="00FD5987">
            <w:pPr>
              <w:spacing w:after="0"/>
              <w:contextualSpacing/>
              <w:rPr>
                <w:sz w:val="16"/>
                <w:szCs w:val="16"/>
              </w:rPr>
            </w:pPr>
          </w:p>
        </w:tc>
        <w:tc>
          <w:tcPr>
            <w:tcW w:w="1276" w:type="dxa"/>
            <w:tcBorders>
              <w:top w:val="nil"/>
              <w:left w:val="nil"/>
              <w:bottom w:val="nil"/>
              <w:right w:val="nil"/>
            </w:tcBorders>
            <w:shd w:val="clear" w:color="auto" w:fill="auto"/>
            <w:noWrap/>
            <w:vAlign w:val="bottom"/>
            <w:hideMark/>
          </w:tcPr>
          <w:p w14:paraId="4339EA22" w14:textId="77777777" w:rsidR="00FD5987" w:rsidRPr="000939E3" w:rsidRDefault="00FD5987" w:rsidP="00FD5987">
            <w:pPr>
              <w:spacing w:after="0"/>
              <w:contextualSpacing/>
              <w:jc w:val="right"/>
              <w:rPr>
                <w:sz w:val="16"/>
                <w:szCs w:val="16"/>
              </w:rPr>
            </w:pPr>
          </w:p>
        </w:tc>
      </w:tr>
      <w:tr w:rsidR="00FD5987" w:rsidRPr="000939E3" w14:paraId="7EB938E3" w14:textId="77777777" w:rsidTr="00FD5987">
        <w:trPr>
          <w:trHeight w:val="17"/>
        </w:trPr>
        <w:tc>
          <w:tcPr>
            <w:tcW w:w="3544" w:type="dxa"/>
            <w:tcBorders>
              <w:top w:val="nil"/>
              <w:left w:val="nil"/>
              <w:bottom w:val="nil"/>
              <w:right w:val="nil"/>
            </w:tcBorders>
            <w:shd w:val="clear" w:color="auto" w:fill="auto"/>
            <w:noWrap/>
            <w:vAlign w:val="bottom"/>
            <w:hideMark/>
          </w:tcPr>
          <w:p w14:paraId="3CFEB39C" w14:textId="77777777" w:rsidR="00FD5987" w:rsidRPr="000939E3" w:rsidRDefault="00FD5987" w:rsidP="00FD5987">
            <w:pPr>
              <w:spacing w:after="0"/>
              <w:contextualSpacing/>
              <w:rPr>
                <w:color w:val="000000"/>
                <w:sz w:val="16"/>
                <w:szCs w:val="16"/>
              </w:rPr>
            </w:pPr>
            <w:r w:rsidRPr="000939E3">
              <w:rPr>
                <w:color w:val="000000"/>
                <w:sz w:val="16"/>
                <w:szCs w:val="16"/>
              </w:rPr>
              <w:t>Úrad jadrového dozoru SR</w:t>
            </w:r>
          </w:p>
        </w:tc>
        <w:tc>
          <w:tcPr>
            <w:tcW w:w="1129" w:type="dxa"/>
            <w:tcBorders>
              <w:top w:val="nil"/>
              <w:left w:val="nil"/>
              <w:bottom w:val="nil"/>
              <w:right w:val="nil"/>
            </w:tcBorders>
            <w:shd w:val="clear" w:color="auto" w:fill="auto"/>
            <w:noWrap/>
            <w:vAlign w:val="bottom"/>
            <w:hideMark/>
          </w:tcPr>
          <w:p w14:paraId="123D2E7B" w14:textId="77777777" w:rsidR="00FD5987" w:rsidRPr="000939E3" w:rsidRDefault="00FD5987" w:rsidP="00FD5987">
            <w:pPr>
              <w:spacing w:after="0"/>
              <w:contextualSpacing/>
              <w:jc w:val="right"/>
              <w:rPr>
                <w:sz w:val="16"/>
                <w:szCs w:val="16"/>
              </w:rPr>
            </w:pPr>
            <w:r w:rsidRPr="000939E3">
              <w:rPr>
                <w:sz w:val="16"/>
                <w:szCs w:val="16"/>
              </w:rPr>
              <w:t>104</w:t>
            </w:r>
          </w:p>
        </w:tc>
        <w:tc>
          <w:tcPr>
            <w:tcW w:w="1057" w:type="dxa"/>
            <w:tcBorders>
              <w:top w:val="nil"/>
              <w:left w:val="nil"/>
              <w:bottom w:val="nil"/>
              <w:right w:val="nil"/>
            </w:tcBorders>
            <w:shd w:val="clear" w:color="auto" w:fill="auto"/>
            <w:noWrap/>
            <w:vAlign w:val="bottom"/>
            <w:hideMark/>
          </w:tcPr>
          <w:p w14:paraId="502CF11C" w14:textId="77777777" w:rsidR="00FD5987" w:rsidRPr="000939E3" w:rsidRDefault="00FD5987" w:rsidP="00FD5987">
            <w:pPr>
              <w:spacing w:after="0"/>
              <w:contextualSpacing/>
              <w:jc w:val="right"/>
              <w:rPr>
                <w:sz w:val="16"/>
                <w:szCs w:val="16"/>
              </w:rPr>
            </w:pPr>
            <w:r w:rsidRPr="000939E3">
              <w:rPr>
                <w:sz w:val="16"/>
                <w:szCs w:val="16"/>
              </w:rPr>
              <w:t>2,6</w:t>
            </w:r>
          </w:p>
        </w:tc>
        <w:tc>
          <w:tcPr>
            <w:tcW w:w="1216" w:type="dxa"/>
            <w:tcBorders>
              <w:top w:val="nil"/>
              <w:left w:val="nil"/>
              <w:bottom w:val="nil"/>
              <w:right w:val="single" w:sz="4" w:space="0" w:color="auto"/>
            </w:tcBorders>
            <w:shd w:val="clear" w:color="auto" w:fill="auto"/>
            <w:noWrap/>
            <w:vAlign w:val="bottom"/>
            <w:hideMark/>
          </w:tcPr>
          <w:p w14:paraId="672AA380" w14:textId="77777777" w:rsidR="00FD5987" w:rsidRPr="000939E3" w:rsidRDefault="00FD5987" w:rsidP="00FD5987">
            <w:pPr>
              <w:spacing w:after="0"/>
              <w:contextualSpacing/>
              <w:jc w:val="right"/>
              <w:rPr>
                <w:sz w:val="16"/>
                <w:szCs w:val="16"/>
              </w:rPr>
            </w:pPr>
            <w:r w:rsidRPr="000939E3">
              <w:rPr>
                <w:sz w:val="16"/>
                <w:szCs w:val="16"/>
              </w:rPr>
              <w:t>2 006</w:t>
            </w:r>
          </w:p>
        </w:tc>
        <w:tc>
          <w:tcPr>
            <w:tcW w:w="1148" w:type="dxa"/>
            <w:tcBorders>
              <w:top w:val="nil"/>
              <w:left w:val="single" w:sz="4" w:space="0" w:color="auto"/>
              <w:bottom w:val="nil"/>
              <w:right w:val="nil"/>
            </w:tcBorders>
            <w:shd w:val="clear" w:color="auto" w:fill="auto"/>
            <w:noWrap/>
            <w:vAlign w:val="bottom"/>
            <w:hideMark/>
          </w:tcPr>
          <w:p w14:paraId="69CF47A7" w14:textId="77777777" w:rsidR="00FD5987" w:rsidRPr="000939E3" w:rsidRDefault="00FD5987" w:rsidP="00FD5987">
            <w:pPr>
              <w:spacing w:after="0"/>
              <w:contextualSpacing/>
              <w:jc w:val="right"/>
              <w:rPr>
                <w:color w:val="000000"/>
                <w:sz w:val="16"/>
                <w:szCs w:val="16"/>
              </w:rPr>
            </w:pPr>
            <w:r w:rsidRPr="000939E3">
              <w:rPr>
                <w:color w:val="000000"/>
                <w:sz w:val="16"/>
                <w:szCs w:val="16"/>
              </w:rPr>
              <w:t>104</w:t>
            </w:r>
          </w:p>
        </w:tc>
        <w:tc>
          <w:tcPr>
            <w:tcW w:w="1184" w:type="dxa"/>
            <w:tcBorders>
              <w:top w:val="nil"/>
              <w:left w:val="nil"/>
              <w:bottom w:val="nil"/>
              <w:right w:val="nil"/>
            </w:tcBorders>
            <w:shd w:val="clear" w:color="auto" w:fill="auto"/>
            <w:noWrap/>
            <w:vAlign w:val="bottom"/>
            <w:hideMark/>
          </w:tcPr>
          <w:p w14:paraId="4FFCCFEC" w14:textId="77777777" w:rsidR="00FD5987" w:rsidRPr="000939E3" w:rsidRDefault="00FD5987" w:rsidP="00FD5987">
            <w:pPr>
              <w:spacing w:after="0"/>
              <w:contextualSpacing/>
              <w:jc w:val="right"/>
              <w:rPr>
                <w:sz w:val="16"/>
                <w:szCs w:val="16"/>
              </w:rPr>
            </w:pPr>
            <w:r w:rsidRPr="000939E3">
              <w:rPr>
                <w:sz w:val="16"/>
                <w:szCs w:val="16"/>
              </w:rPr>
              <w:t>2,6</w:t>
            </w:r>
          </w:p>
        </w:tc>
        <w:tc>
          <w:tcPr>
            <w:tcW w:w="1354" w:type="dxa"/>
            <w:tcBorders>
              <w:top w:val="nil"/>
              <w:left w:val="nil"/>
              <w:bottom w:val="nil"/>
              <w:right w:val="single" w:sz="4" w:space="0" w:color="auto"/>
            </w:tcBorders>
            <w:shd w:val="clear" w:color="auto" w:fill="auto"/>
            <w:noWrap/>
            <w:vAlign w:val="bottom"/>
            <w:hideMark/>
          </w:tcPr>
          <w:p w14:paraId="30C16D0C" w14:textId="77777777" w:rsidR="00FD5987" w:rsidRPr="000939E3" w:rsidRDefault="00FD5987" w:rsidP="00FD5987">
            <w:pPr>
              <w:spacing w:after="0"/>
              <w:contextualSpacing/>
              <w:jc w:val="right"/>
              <w:rPr>
                <w:color w:val="000000"/>
                <w:sz w:val="16"/>
                <w:szCs w:val="16"/>
              </w:rPr>
            </w:pPr>
            <w:r w:rsidRPr="000939E3">
              <w:rPr>
                <w:color w:val="000000"/>
                <w:sz w:val="16"/>
                <w:szCs w:val="16"/>
              </w:rPr>
              <w:t>1 937</w:t>
            </w:r>
          </w:p>
        </w:tc>
        <w:tc>
          <w:tcPr>
            <w:tcW w:w="1179" w:type="dxa"/>
            <w:tcBorders>
              <w:top w:val="nil"/>
              <w:left w:val="single" w:sz="4" w:space="0" w:color="auto"/>
              <w:bottom w:val="nil"/>
              <w:right w:val="nil"/>
            </w:tcBorders>
            <w:shd w:val="clear" w:color="auto" w:fill="auto"/>
            <w:noWrap/>
            <w:vAlign w:val="bottom"/>
            <w:hideMark/>
          </w:tcPr>
          <w:p w14:paraId="078136CF" w14:textId="77777777" w:rsidR="00FD5987" w:rsidRPr="000939E3" w:rsidRDefault="00FD5987" w:rsidP="00FD5987">
            <w:pPr>
              <w:spacing w:after="0"/>
              <w:contextualSpacing/>
              <w:jc w:val="right"/>
              <w:rPr>
                <w:color w:val="000000"/>
                <w:sz w:val="16"/>
                <w:szCs w:val="16"/>
              </w:rPr>
            </w:pPr>
          </w:p>
        </w:tc>
        <w:tc>
          <w:tcPr>
            <w:tcW w:w="947" w:type="dxa"/>
            <w:tcBorders>
              <w:top w:val="nil"/>
              <w:left w:val="nil"/>
              <w:bottom w:val="nil"/>
              <w:right w:val="nil"/>
            </w:tcBorders>
            <w:shd w:val="clear" w:color="auto" w:fill="auto"/>
            <w:noWrap/>
            <w:vAlign w:val="bottom"/>
            <w:hideMark/>
          </w:tcPr>
          <w:p w14:paraId="032067B0" w14:textId="77777777" w:rsidR="00FD5987" w:rsidRPr="000939E3" w:rsidRDefault="00FD5987" w:rsidP="00FD5987">
            <w:pPr>
              <w:spacing w:after="0"/>
              <w:contextualSpacing/>
              <w:rPr>
                <w:sz w:val="16"/>
                <w:szCs w:val="16"/>
              </w:rPr>
            </w:pPr>
          </w:p>
        </w:tc>
        <w:tc>
          <w:tcPr>
            <w:tcW w:w="1276" w:type="dxa"/>
            <w:tcBorders>
              <w:top w:val="nil"/>
              <w:left w:val="nil"/>
              <w:bottom w:val="nil"/>
              <w:right w:val="nil"/>
            </w:tcBorders>
            <w:shd w:val="clear" w:color="auto" w:fill="auto"/>
            <w:noWrap/>
            <w:vAlign w:val="bottom"/>
            <w:hideMark/>
          </w:tcPr>
          <w:p w14:paraId="0D367F2A" w14:textId="77777777" w:rsidR="00FD5987" w:rsidRPr="000939E3" w:rsidRDefault="00FD5987" w:rsidP="00FD5987">
            <w:pPr>
              <w:spacing w:after="0"/>
              <w:contextualSpacing/>
              <w:jc w:val="right"/>
              <w:rPr>
                <w:sz w:val="16"/>
                <w:szCs w:val="16"/>
              </w:rPr>
            </w:pPr>
          </w:p>
        </w:tc>
      </w:tr>
      <w:tr w:rsidR="00FD5987" w:rsidRPr="000939E3" w14:paraId="4DDC2670" w14:textId="77777777" w:rsidTr="00FD5987">
        <w:trPr>
          <w:trHeight w:val="17"/>
        </w:trPr>
        <w:tc>
          <w:tcPr>
            <w:tcW w:w="3544" w:type="dxa"/>
            <w:tcBorders>
              <w:top w:val="nil"/>
              <w:left w:val="nil"/>
              <w:bottom w:val="nil"/>
              <w:right w:val="nil"/>
            </w:tcBorders>
            <w:shd w:val="clear" w:color="auto" w:fill="auto"/>
            <w:noWrap/>
            <w:vAlign w:val="bottom"/>
            <w:hideMark/>
          </w:tcPr>
          <w:p w14:paraId="22C84A01" w14:textId="77777777" w:rsidR="00FD5987" w:rsidRPr="000939E3" w:rsidRDefault="00FD5987" w:rsidP="00FD5987">
            <w:pPr>
              <w:spacing w:after="0"/>
              <w:contextualSpacing/>
              <w:rPr>
                <w:color w:val="000000"/>
                <w:sz w:val="16"/>
                <w:szCs w:val="16"/>
              </w:rPr>
            </w:pPr>
            <w:r w:rsidRPr="000939E3">
              <w:rPr>
                <w:color w:val="000000"/>
                <w:sz w:val="16"/>
                <w:szCs w:val="16"/>
              </w:rPr>
              <w:t>Kancelária Ústavného súdu SR</w:t>
            </w:r>
          </w:p>
        </w:tc>
        <w:tc>
          <w:tcPr>
            <w:tcW w:w="1129" w:type="dxa"/>
            <w:tcBorders>
              <w:top w:val="nil"/>
              <w:left w:val="nil"/>
              <w:bottom w:val="nil"/>
              <w:right w:val="nil"/>
            </w:tcBorders>
            <w:shd w:val="clear" w:color="auto" w:fill="auto"/>
            <w:noWrap/>
            <w:vAlign w:val="bottom"/>
            <w:hideMark/>
          </w:tcPr>
          <w:p w14:paraId="78CBC221" w14:textId="77777777" w:rsidR="00FD5987" w:rsidRPr="000939E3" w:rsidRDefault="00FD5987" w:rsidP="00FD5987">
            <w:pPr>
              <w:spacing w:after="0"/>
              <w:contextualSpacing/>
              <w:jc w:val="right"/>
              <w:rPr>
                <w:sz w:val="16"/>
                <w:szCs w:val="16"/>
              </w:rPr>
            </w:pPr>
            <w:r w:rsidRPr="000939E3">
              <w:rPr>
                <w:sz w:val="16"/>
                <w:szCs w:val="16"/>
              </w:rPr>
              <w:t>96</w:t>
            </w:r>
          </w:p>
        </w:tc>
        <w:tc>
          <w:tcPr>
            <w:tcW w:w="1057" w:type="dxa"/>
            <w:tcBorders>
              <w:top w:val="nil"/>
              <w:left w:val="nil"/>
              <w:bottom w:val="nil"/>
              <w:right w:val="nil"/>
            </w:tcBorders>
            <w:shd w:val="clear" w:color="auto" w:fill="auto"/>
            <w:noWrap/>
            <w:vAlign w:val="bottom"/>
            <w:hideMark/>
          </w:tcPr>
          <w:p w14:paraId="3BE36DEA" w14:textId="77777777" w:rsidR="00FD5987" w:rsidRPr="000939E3" w:rsidRDefault="00FD5987" w:rsidP="00FD5987">
            <w:pPr>
              <w:spacing w:after="0"/>
              <w:contextualSpacing/>
              <w:jc w:val="right"/>
              <w:rPr>
                <w:sz w:val="16"/>
                <w:szCs w:val="16"/>
              </w:rPr>
            </w:pPr>
            <w:r w:rsidRPr="000939E3">
              <w:rPr>
                <w:sz w:val="16"/>
                <w:szCs w:val="16"/>
              </w:rPr>
              <w:t>2,3</w:t>
            </w:r>
          </w:p>
        </w:tc>
        <w:tc>
          <w:tcPr>
            <w:tcW w:w="1216" w:type="dxa"/>
            <w:tcBorders>
              <w:top w:val="nil"/>
              <w:left w:val="nil"/>
              <w:bottom w:val="nil"/>
              <w:right w:val="single" w:sz="4" w:space="0" w:color="auto"/>
            </w:tcBorders>
            <w:shd w:val="clear" w:color="auto" w:fill="auto"/>
            <w:noWrap/>
            <w:vAlign w:val="bottom"/>
            <w:hideMark/>
          </w:tcPr>
          <w:p w14:paraId="1EFC82A6" w14:textId="77777777" w:rsidR="00FD5987" w:rsidRPr="000939E3" w:rsidRDefault="00FD5987" w:rsidP="00FD5987">
            <w:pPr>
              <w:spacing w:after="0"/>
              <w:contextualSpacing/>
              <w:jc w:val="right"/>
              <w:rPr>
                <w:sz w:val="16"/>
                <w:szCs w:val="16"/>
              </w:rPr>
            </w:pPr>
            <w:r w:rsidRPr="000939E3">
              <w:rPr>
                <w:sz w:val="16"/>
                <w:szCs w:val="16"/>
              </w:rPr>
              <w:t>1 978</w:t>
            </w:r>
          </w:p>
        </w:tc>
        <w:tc>
          <w:tcPr>
            <w:tcW w:w="1148" w:type="dxa"/>
            <w:tcBorders>
              <w:top w:val="nil"/>
              <w:left w:val="single" w:sz="4" w:space="0" w:color="auto"/>
              <w:bottom w:val="nil"/>
              <w:right w:val="nil"/>
            </w:tcBorders>
            <w:shd w:val="clear" w:color="auto" w:fill="auto"/>
            <w:noWrap/>
            <w:vAlign w:val="bottom"/>
            <w:hideMark/>
          </w:tcPr>
          <w:p w14:paraId="582CEF92" w14:textId="77777777" w:rsidR="00FD5987" w:rsidRPr="000939E3" w:rsidRDefault="00FD5987" w:rsidP="00FD5987">
            <w:pPr>
              <w:spacing w:after="0"/>
              <w:contextualSpacing/>
              <w:jc w:val="right"/>
              <w:rPr>
                <w:color w:val="000000"/>
                <w:sz w:val="16"/>
                <w:szCs w:val="16"/>
              </w:rPr>
            </w:pPr>
            <w:r w:rsidRPr="000939E3">
              <w:rPr>
                <w:color w:val="000000"/>
                <w:sz w:val="16"/>
                <w:szCs w:val="16"/>
              </w:rPr>
              <w:t>96</w:t>
            </w:r>
          </w:p>
        </w:tc>
        <w:tc>
          <w:tcPr>
            <w:tcW w:w="1184" w:type="dxa"/>
            <w:tcBorders>
              <w:top w:val="nil"/>
              <w:left w:val="nil"/>
              <w:bottom w:val="nil"/>
              <w:right w:val="nil"/>
            </w:tcBorders>
            <w:shd w:val="clear" w:color="auto" w:fill="auto"/>
            <w:noWrap/>
            <w:vAlign w:val="bottom"/>
            <w:hideMark/>
          </w:tcPr>
          <w:p w14:paraId="4EEFA900" w14:textId="77777777" w:rsidR="00FD5987" w:rsidRPr="000939E3" w:rsidRDefault="00FD5987" w:rsidP="00FD5987">
            <w:pPr>
              <w:spacing w:after="0"/>
              <w:contextualSpacing/>
              <w:jc w:val="right"/>
              <w:rPr>
                <w:sz w:val="16"/>
                <w:szCs w:val="16"/>
              </w:rPr>
            </w:pPr>
            <w:r w:rsidRPr="000939E3">
              <w:rPr>
                <w:sz w:val="16"/>
                <w:szCs w:val="16"/>
              </w:rPr>
              <w:t>2,3</w:t>
            </w:r>
          </w:p>
        </w:tc>
        <w:tc>
          <w:tcPr>
            <w:tcW w:w="1354" w:type="dxa"/>
            <w:tcBorders>
              <w:top w:val="nil"/>
              <w:left w:val="nil"/>
              <w:bottom w:val="nil"/>
              <w:right w:val="single" w:sz="4" w:space="0" w:color="auto"/>
            </w:tcBorders>
            <w:shd w:val="clear" w:color="auto" w:fill="auto"/>
            <w:noWrap/>
            <w:vAlign w:val="bottom"/>
            <w:hideMark/>
          </w:tcPr>
          <w:p w14:paraId="5B335398" w14:textId="77777777" w:rsidR="00FD5987" w:rsidRPr="000939E3" w:rsidRDefault="00FD5987" w:rsidP="00FD5987">
            <w:pPr>
              <w:spacing w:after="0"/>
              <w:contextualSpacing/>
              <w:jc w:val="right"/>
              <w:rPr>
                <w:color w:val="000000"/>
                <w:sz w:val="16"/>
                <w:szCs w:val="16"/>
              </w:rPr>
            </w:pPr>
            <w:r w:rsidRPr="000939E3">
              <w:rPr>
                <w:color w:val="000000"/>
                <w:sz w:val="16"/>
                <w:szCs w:val="16"/>
              </w:rPr>
              <w:t>1 957</w:t>
            </w:r>
          </w:p>
        </w:tc>
        <w:tc>
          <w:tcPr>
            <w:tcW w:w="1179" w:type="dxa"/>
            <w:tcBorders>
              <w:top w:val="nil"/>
              <w:left w:val="single" w:sz="4" w:space="0" w:color="auto"/>
              <w:bottom w:val="nil"/>
              <w:right w:val="nil"/>
            </w:tcBorders>
            <w:shd w:val="clear" w:color="auto" w:fill="auto"/>
            <w:noWrap/>
            <w:vAlign w:val="bottom"/>
            <w:hideMark/>
          </w:tcPr>
          <w:p w14:paraId="5B1ACBF4" w14:textId="77777777" w:rsidR="00FD5987" w:rsidRPr="000939E3" w:rsidRDefault="00FD5987" w:rsidP="00FD5987">
            <w:pPr>
              <w:spacing w:after="0"/>
              <w:contextualSpacing/>
              <w:jc w:val="right"/>
              <w:rPr>
                <w:color w:val="000000"/>
                <w:sz w:val="16"/>
                <w:szCs w:val="16"/>
              </w:rPr>
            </w:pPr>
          </w:p>
        </w:tc>
        <w:tc>
          <w:tcPr>
            <w:tcW w:w="947" w:type="dxa"/>
            <w:tcBorders>
              <w:top w:val="nil"/>
              <w:left w:val="nil"/>
              <w:bottom w:val="nil"/>
              <w:right w:val="nil"/>
            </w:tcBorders>
            <w:shd w:val="clear" w:color="auto" w:fill="auto"/>
            <w:noWrap/>
            <w:vAlign w:val="bottom"/>
            <w:hideMark/>
          </w:tcPr>
          <w:p w14:paraId="2E0F3266" w14:textId="77777777" w:rsidR="00FD5987" w:rsidRPr="000939E3" w:rsidRDefault="00FD5987" w:rsidP="00FD5987">
            <w:pPr>
              <w:spacing w:after="0"/>
              <w:contextualSpacing/>
              <w:rPr>
                <w:sz w:val="16"/>
                <w:szCs w:val="16"/>
              </w:rPr>
            </w:pPr>
          </w:p>
        </w:tc>
        <w:tc>
          <w:tcPr>
            <w:tcW w:w="1276" w:type="dxa"/>
            <w:tcBorders>
              <w:top w:val="nil"/>
              <w:left w:val="nil"/>
              <w:bottom w:val="nil"/>
              <w:right w:val="nil"/>
            </w:tcBorders>
            <w:shd w:val="clear" w:color="auto" w:fill="auto"/>
            <w:noWrap/>
            <w:vAlign w:val="bottom"/>
            <w:hideMark/>
          </w:tcPr>
          <w:p w14:paraId="180D35F8" w14:textId="77777777" w:rsidR="00FD5987" w:rsidRPr="000939E3" w:rsidRDefault="00FD5987" w:rsidP="00FD5987">
            <w:pPr>
              <w:spacing w:after="0"/>
              <w:contextualSpacing/>
              <w:jc w:val="right"/>
              <w:rPr>
                <w:sz w:val="16"/>
                <w:szCs w:val="16"/>
              </w:rPr>
            </w:pPr>
          </w:p>
        </w:tc>
      </w:tr>
      <w:tr w:rsidR="00FD5987" w:rsidRPr="000939E3" w14:paraId="590E6EA3" w14:textId="77777777" w:rsidTr="00FD5987">
        <w:trPr>
          <w:trHeight w:val="17"/>
        </w:trPr>
        <w:tc>
          <w:tcPr>
            <w:tcW w:w="3544" w:type="dxa"/>
            <w:tcBorders>
              <w:top w:val="nil"/>
              <w:left w:val="nil"/>
              <w:bottom w:val="nil"/>
              <w:right w:val="nil"/>
            </w:tcBorders>
            <w:shd w:val="clear" w:color="auto" w:fill="auto"/>
            <w:noWrap/>
            <w:vAlign w:val="bottom"/>
            <w:hideMark/>
          </w:tcPr>
          <w:p w14:paraId="11BB6B23" w14:textId="0E64734B" w:rsidR="00FD5987" w:rsidRPr="000939E3" w:rsidRDefault="00FD5987" w:rsidP="00391FB0">
            <w:pPr>
              <w:spacing w:after="0"/>
              <w:contextualSpacing/>
              <w:rPr>
                <w:color w:val="000000"/>
                <w:sz w:val="16"/>
                <w:szCs w:val="16"/>
              </w:rPr>
            </w:pPr>
            <w:r w:rsidRPr="000939E3">
              <w:rPr>
                <w:color w:val="000000"/>
                <w:sz w:val="16"/>
                <w:szCs w:val="16"/>
              </w:rPr>
              <w:t>Úrad pre normaliz</w:t>
            </w:r>
            <w:r w:rsidR="00391FB0" w:rsidRPr="000939E3">
              <w:rPr>
                <w:color w:val="000000"/>
                <w:sz w:val="16"/>
                <w:szCs w:val="16"/>
              </w:rPr>
              <w:t>áciu</w:t>
            </w:r>
            <w:r w:rsidR="00A55961">
              <w:rPr>
                <w:color w:val="000000"/>
                <w:sz w:val="16"/>
                <w:szCs w:val="16"/>
              </w:rPr>
              <w:t xml:space="preserve">, metrológiu </w:t>
            </w:r>
            <w:r w:rsidRPr="000939E3">
              <w:rPr>
                <w:color w:val="000000"/>
                <w:sz w:val="16"/>
                <w:szCs w:val="16"/>
              </w:rPr>
              <w:t>a skúšob</w:t>
            </w:r>
            <w:r w:rsidR="00391FB0" w:rsidRPr="000939E3">
              <w:rPr>
                <w:color w:val="000000"/>
                <w:sz w:val="16"/>
                <w:szCs w:val="16"/>
              </w:rPr>
              <w:t>níctvo</w:t>
            </w:r>
            <w:r w:rsidRPr="000939E3">
              <w:rPr>
                <w:color w:val="000000"/>
                <w:sz w:val="16"/>
                <w:szCs w:val="16"/>
              </w:rPr>
              <w:t xml:space="preserve"> SR</w:t>
            </w:r>
          </w:p>
        </w:tc>
        <w:tc>
          <w:tcPr>
            <w:tcW w:w="1129" w:type="dxa"/>
            <w:tcBorders>
              <w:top w:val="nil"/>
              <w:left w:val="nil"/>
              <w:bottom w:val="nil"/>
              <w:right w:val="nil"/>
            </w:tcBorders>
            <w:shd w:val="clear" w:color="auto" w:fill="auto"/>
            <w:noWrap/>
            <w:vAlign w:val="bottom"/>
            <w:hideMark/>
          </w:tcPr>
          <w:p w14:paraId="5E09C606" w14:textId="77777777" w:rsidR="00FD5987" w:rsidRPr="000939E3" w:rsidRDefault="00FD5987" w:rsidP="00FD5987">
            <w:pPr>
              <w:spacing w:after="0"/>
              <w:contextualSpacing/>
              <w:jc w:val="right"/>
              <w:rPr>
                <w:sz w:val="16"/>
                <w:szCs w:val="16"/>
              </w:rPr>
            </w:pPr>
            <w:r w:rsidRPr="000939E3">
              <w:rPr>
                <w:sz w:val="16"/>
                <w:szCs w:val="16"/>
              </w:rPr>
              <w:t>90</w:t>
            </w:r>
          </w:p>
        </w:tc>
        <w:tc>
          <w:tcPr>
            <w:tcW w:w="1057" w:type="dxa"/>
            <w:tcBorders>
              <w:top w:val="nil"/>
              <w:left w:val="nil"/>
              <w:bottom w:val="nil"/>
              <w:right w:val="nil"/>
            </w:tcBorders>
            <w:shd w:val="clear" w:color="auto" w:fill="auto"/>
            <w:noWrap/>
            <w:vAlign w:val="bottom"/>
            <w:hideMark/>
          </w:tcPr>
          <w:p w14:paraId="37FEC9BE" w14:textId="77777777" w:rsidR="00FD5987" w:rsidRPr="000939E3" w:rsidRDefault="00FD5987" w:rsidP="00FD5987">
            <w:pPr>
              <w:spacing w:after="0"/>
              <w:contextualSpacing/>
              <w:jc w:val="right"/>
              <w:rPr>
                <w:sz w:val="16"/>
                <w:szCs w:val="16"/>
              </w:rPr>
            </w:pPr>
            <w:r w:rsidRPr="000939E3">
              <w:rPr>
                <w:sz w:val="16"/>
                <w:szCs w:val="16"/>
              </w:rPr>
              <w:t>1,4</w:t>
            </w:r>
          </w:p>
        </w:tc>
        <w:tc>
          <w:tcPr>
            <w:tcW w:w="1216" w:type="dxa"/>
            <w:tcBorders>
              <w:top w:val="nil"/>
              <w:left w:val="nil"/>
              <w:bottom w:val="nil"/>
              <w:right w:val="single" w:sz="4" w:space="0" w:color="auto"/>
            </w:tcBorders>
            <w:shd w:val="clear" w:color="auto" w:fill="auto"/>
            <w:noWrap/>
            <w:vAlign w:val="bottom"/>
            <w:hideMark/>
          </w:tcPr>
          <w:p w14:paraId="448E57A3" w14:textId="77777777" w:rsidR="00FD5987" w:rsidRPr="000939E3" w:rsidRDefault="00FD5987" w:rsidP="00FD5987">
            <w:pPr>
              <w:spacing w:after="0"/>
              <w:contextualSpacing/>
              <w:jc w:val="right"/>
              <w:rPr>
                <w:sz w:val="16"/>
                <w:szCs w:val="16"/>
              </w:rPr>
            </w:pPr>
            <w:r w:rsidRPr="000939E3">
              <w:rPr>
                <w:sz w:val="16"/>
                <w:szCs w:val="16"/>
              </w:rPr>
              <w:t>1 320</w:t>
            </w:r>
          </w:p>
        </w:tc>
        <w:tc>
          <w:tcPr>
            <w:tcW w:w="1148" w:type="dxa"/>
            <w:tcBorders>
              <w:top w:val="nil"/>
              <w:left w:val="single" w:sz="4" w:space="0" w:color="auto"/>
              <w:bottom w:val="nil"/>
              <w:right w:val="nil"/>
            </w:tcBorders>
            <w:shd w:val="clear" w:color="auto" w:fill="auto"/>
            <w:noWrap/>
            <w:vAlign w:val="bottom"/>
            <w:hideMark/>
          </w:tcPr>
          <w:p w14:paraId="23C4EB59" w14:textId="77777777" w:rsidR="00FD5987" w:rsidRPr="000939E3" w:rsidRDefault="00FD5987" w:rsidP="00FD5987">
            <w:pPr>
              <w:spacing w:after="0"/>
              <w:contextualSpacing/>
              <w:jc w:val="right"/>
              <w:rPr>
                <w:color w:val="000000"/>
                <w:sz w:val="16"/>
                <w:szCs w:val="16"/>
              </w:rPr>
            </w:pPr>
            <w:r w:rsidRPr="000939E3">
              <w:rPr>
                <w:color w:val="000000"/>
                <w:sz w:val="16"/>
                <w:szCs w:val="16"/>
              </w:rPr>
              <w:t>73</w:t>
            </w:r>
          </w:p>
        </w:tc>
        <w:tc>
          <w:tcPr>
            <w:tcW w:w="1184" w:type="dxa"/>
            <w:tcBorders>
              <w:top w:val="nil"/>
              <w:left w:val="nil"/>
              <w:bottom w:val="nil"/>
              <w:right w:val="nil"/>
            </w:tcBorders>
            <w:shd w:val="clear" w:color="auto" w:fill="auto"/>
            <w:noWrap/>
            <w:vAlign w:val="bottom"/>
            <w:hideMark/>
          </w:tcPr>
          <w:p w14:paraId="548574B8" w14:textId="77777777" w:rsidR="00FD5987" w:rsidRPr="000939E3" w:rsidRDefault="00FD5987" w:rsidP="00FD5987">
            <w:pPr>
              <w:spacing w:after="0"/>
              <w:contextualSpacing/>
              <w:jc w:val="right"/>
              <w:rPr>
                <w:sz w:val="16"/>
                <w:szCs w:val="16"/>
              </w:rPr>
            </w:pPr>
            <w:r w:rsidRPr="000939E3">
              <w:rPr>
                <w:sz w:val="16"/>
                <w:szCs w:val="16"/>
              </w:rPr>
              <w:t>1,2</w:t>
            </w:r>
          </w:p>
        </w:tc>
        <w:tc>
          <w:tcPr>
            <w:tcW w:w="1354" w:type="dxa"/>
            <w:tcBorders>
              <w:top w:val="nil"/>
              <w:left w:val="nil"/>
              <w:bottom w:val="nil"/>
              <w:right w:val="single" w:sz="4" w:space="0" w:color="auto"/>
            </w:tcBorders>
            <w:shd w:val="clear" w:color="auto" w:fill="auto"/>
            <w:noWrap/>
            <w:vAlign w:val="bottom"/>
            <w:hideMark/>
          </w:tcPr>
          <w:p w14:paraId="1EDBAA50" w14:textId="77777777" w:rsidR="00FD5987" w:rsidRPr="000939E3" w:rsidRDefault="00FD5987" w:rsidP="00FD5987">
            <w:pPr>
              <w:spacing w:after="0"/>
              <w:contextualSpacing/>
              <w:jc w:val="right"/>
              <w:rPr>
                <w:color w:val="000000"/>
                <w:sz w:val="16"/>
                <w:szCs w:val="16"/>
              </w:rPr>
            </w:pPr>
            <w:r w:rsidRPr="000939E3">
              <w:rPr>
                <w:color w:val="000000"/>
                <w:sz w:val="16"/>
                <w:szCs w:val="16"/>
              </w:rPr>
              <w:t>1 383</w:t>
            </w:r>
          </w:p>
        </w:tc>
        <w:tc>
          <w:tcPr>
            <w:tcW w:w="1179" w:type="dxa"/>
            <w:tcBorders>
              <w:top w:val="nil"/>
              <w:left w:val="single" w:sz="4" w:space="0" w:color="auto"/>
              <w:bottom w:val="nil"/>
              <w:right w:val="nil"/>
            </w:tcBorders>
            <w:shd w:val="clear" w:color="auto" w:fill="auto"/>
            <w:noWrap/>
            <w:vAlign w:val="bottom"/>
            <w:hideMark/>
          </w:tcPr>
          <w:p w14:paraId="6C216F04" w14:textId="77777777" w:rsidR="00FD5987" w:rsidRPr="000939E3" w:rsidRDefault="00FD5987" w:rsidP="00FD5987">
            <w:pPr>
              <w:spacing w:after="0"/>
              <w:contextualSpacing/>
              <w:jc w:val="right"/>
              <w:rPr>
                <w:color w:val="000000"/>
                <w:sz w:val="16"/>
                <w:szCs w:val="16"/>
              </w:rPr>
            </w:pPr>
            <w:r w:rsidRPr="000939E3">
              <w:rPr>
                <w:color w:val="000000"/>
                <w:sz w:val="16"/>
                <w:szCs w:val="16"/>
              </w:rPr>
              <w:t>16</w:t>
            </w:r>
          </w:p>
        </w:tc>
        <w:tc>
          <w:tcPr>
            <w:tcW w:w="947" w:type="dxa"/>
            <w:tcBorders>
              <w:top w:val="nil"/>
              <w:left w:val="nil"/>
              <w:bottom w:val="nil"/>
              <w:right w:val="nil"/>
            </w:tcBorders>
            <w:shd w:val="clear" w:color="auto" w:fill="auto"/>
            <w:noWrap/>
            <w:vAlign w:val="bottom"/>
            <w:hideMark/>
          </w:tcPr>
          <w:p w14:paraId="59ACCFE2" w14:textId="77777777" w:rsidR="00FD5987" w:rsidRPr="000939E3" w:rsidRDefault="00FD5987" w:rsidP="00FD5987">
            <w:pPr>
              <w:spacing w:after="0"/>
              <w:contextualSpacing/>
              <w:jc w:val="right"/>
              <w:rPr>
                <w:sz w:val="16"/>
                <w:szCs w:val="16"/>
              </w:rPr>
            </w:pPr>
            <w:r w:rsidRPr="000939E3">
              <w:rPr>
                <w:sz w:val="16"/>
                <w:szCs w:val="16"/>
              </w:rPr>
              <w:t>0,2</w:t>
            </w:r>
          </w:p>
        </w:tc>
        <w:tc>
          <w:tcPr>
            <w:tcW w:w="1276" w:type="dxa"/>
            <w:tcBorders>
              <w:top w:val="nil"/>
              <w:left w:val="nil"/>
              <w:bottom w:val="nil"/>
              <w:right w:val="nil"/>
            </w:tcBorders>
            <w:shd w:val="clear" w:color="auto" w:fill="auto"/>
            <w:noWrap/>
            <w:vAlign w:val="bottom"/>
            <w:hideMark/>
          </w:tcPr>
          <w:p w14:paraId="55AFEC70" w14:textId="77777777" w:rsidR="00FD5987" w:rsidRPr="000939E3" w:rsidRDefault="00FD5987" w:rsidP="00FD5987">
            <w:pPr>
              <w:spacing w:after="0"/>
              <w:contextualSpacing/>
              <w:jc w:val="right"/>
              <w:rPr>
                <w:color w:val="000000"/>
                <w:sz w:val="16"/>
                <w:szCs w:val="16"/>
              </w:rPr>
            </w:pPr>
            <w:r w:rsidRPr="000939E3">
              <w:rPr>
                <w:color w:val="000000"/>
                <w:sz w:val="16"/>
                <w:szCs w:val="16"/>
              </w:rPr>
              <w:t>1 064</w:t>
            </w:r>
          </w:p>
        </w:tc>
      </w:tr>
      <w:tr w:rsidR="00FD5987" w:rsidRPr="000939E3" w14:paraId="0B9D1D14" w14:textId="77777777" w:rsidTr="00FD5987">
        <w:trPr>
          <w:trHeight w:val="17"/>
        </w:trPr>
        <w:tc>
          <w:tcPr>
            <w:tcW w:w="3544" w:type="dxa"/>
            <w:tcBorders>
              <w:top w:val="nil"/>
              <w:left w:val="nil"/>
              <w:bottom w:val="nil"/>
              <w:right w:val="nil"/>
            </w:tcBorders>
            <w:shd w:val="clear" w:color="auto" w:fill="auto"/>
            <w:noWrap/>
            <w:vAlign w:val="bottom"/>
            <w:hideMark/>
          </w:tcPr>
          <w:p w14:paraId="19B736EA" w14:textId="77777777" w:rsidR="00FD5987" w:rsidRPr="000939E3" w:rsidRDefault="00FD5987" w:rsidP="00FD5987">
            <w:pPr>
              <w:spacing w:after="0"/>
              <w:contextualSpacing/>
              <w:rPr>
                <w:color w:val="000000"/>
                <w:sz w:val="16"/>
                <w:szCs w:val="16"/>
              </w:rPr>
            </w:pPr>
            <w:r w:rsidRPr="000939E3">
              <w:rPr>
                <w:color w:val="000000"/>
                <w:sz w:val="16"/>
                <w:szCs w:val="16"/>
              </w:rPr>
              <w:t>Úrad pre reguláciu sieťových odvetví</w:t>
            </w:r>
          </w:p>
        </w:tc>
        <w:tc>
          <w:tcPr>
            <w:tcW w:w="1129" w:type="dxa"/>
            <w:tcBorders>
              <w:top w:val="nil"/>
              <w:left w:val="nil"/>
              <w:bottom w:val="nil"/>
              <w:right w:val="nil"/>
            </w:tcBorders>
            <w:shd w:val="clear" w:color="auto" w:fill="auto"/>
            <w:noWrap/>
            <w:vAlign w:val="bottom"/>
            <w:hideMark/>
          </w:tcPr>
          <w:p w14:paraId="24C25E5D" w14:textId="77777777" w:rsidR="00FD5987" w:rsidRPr="000939E3" w:rsidRDefault="00FD5987" w:rsidP="00FD5987">
            <w:pPr>
              <w:spacing w:after="0"/>
              <w:contextualSpacing/>
              <w:jc w:val="right"/>
              <w:rPr>
                <w:sz w:val="16"/>
                <w:szCs w:val="16"/>
              </w:rPr>
            </w:pPr>
            <w:r w:rsidRPr="000939E3">
              <w:rPr>
                <w:sz w:val="16"/>
                <w:szCs w:val="16"/>
              </w:rPr>
              <w:t>88</w:t>
            </w:r>
          </w:p>
        </w:tc>
        <w:tc>
          <w:tcPr>
            <w:tcW w:w="1057" w:type="dxa"/>
            <w:tcBorders>
              <w:top w:val="nil"/>
              <w:left w:val="nil"/>
              <w:bottom w:val="nil"/>
              <w:right w:val="nil"/>
            </w:tcBorders>
            <w:shd w:val="clear" w:color="auto" w:fill="auto"/>
            <w:noWrap/>
            <w:vAlign w:val="bottom"/>
            <w:hideMark/>
          </w:tcPr>
          <w:p w14:paraId="4FAAE7D5" w14:textId="77777777" w:rsidR="00FD5987" w:rsidRPr="000939E3" w:rsidRDefault="00FD5987" w:rsidP="00FD5987">
            <w:pPr>
              <w:spacing w:after="0"/>
              <w:contextualSpacing/>
              <w:jc w:val="right"/>
              <w:rPr>
                <w:sz w:val="16"/>
                <w:szCs w:val="16"/>
              </w:rPr>
            </w:pPr>
            <w:r w:rsidRPr="000939E3">
              <w:rPr>
                <w:sz w:val="16"/>
                <w:szCs w:val="16"/>
              </w:rPr>
              <w:t>1,6</w:t>
            </w:r>
          </w:p>
        </w:tc>
        <w:tc>
          <w:tcPr>
            <w:tcW w:w="1216" w:type="dxa"/>
            <w:tcBorders>
              <w:top w:val="nil"/>
              <w:left w:val="nil"/>
              <w:bottom w:val="nil"/>
              <w:right w:val="single" w:sz="4" w:space="0" w:color="auto"/>
            </w:tcBorders>
            <w:shd w:val="clear" w:color="auto" w:fill="auto"/>
            <w:noWrap/>
            <w:vAlign w:val="bottom"/>
            <w:hideMark/>
          </w:tcPr>
          <w:p w14:paraId="6A8CAC3F" w14:textId="77777777" w:rsidR="00FD5987" w:rsidRPr="000939E3" w:rsidRDefault="00FD5987" w:rsidP="00FD5987">
            <w:pPr>
              <w:spacing w:after="0"/>
              <w:contextualSpacing/>
              <w:jc w:val="right"/>
              <w:rPr>
                <w:sz w:val="16"/>
                <w:szCs w:val="16"/>
              </w:rPr>
            </w:pPr>
            <w:r w:rsidRPr="000939E3">
              <w:rPr>
                <w:sz w:val="16"/>
                <w:szCs w:val="16"/>
              </w:rPr>
              <w:t>1 469</w:t>
            </w:r>
          </w:p>
        </w:tc>
        <w:tc>
          <w:tcPr>
            <w:tcW w:w="1148" w:type="dxa"/>
            <w:tcBorders>
              <w:top w:val="nil"/>
              <w:left w:val="single" w:sz="4" w:space="0" w:color="auto"/>
              <w:bottom w:val="nil"/>
              <w:right w:val="nil"/>
            </w:tcBorders>
            <w:shd w:val="clear" w:color="auto" w:fill="auto"/>
            <w:noWrap/>
            <w:vAlign w:val="bottom"/>
            <w:hideMark/>
          </w:tcPr>
          <w:p w14:paraId="31B8CCDF" w14:textId="77777777" w:rsidR="00FD5987" w:rsidRPr="000939E3" w:rsidRDefault="00FD5987" w:rsidP="00FD5987">
            <w:pPr>
              <w:spacing w:after="0"/>
              <w:contextualSpacing/>
              <w:jc w:val="right"/>
              <w:rPr>
                <w:sz w:val="16"/>
                <w:szCs w:val="16"/>
              </w:rPr>
            </w:pPr>
          </w:p>
        </w:tc>
        <w:tc>
          <w:tcPr>
            <w:tcW w:w="1184" w:type="dxa"/>
            <w:tcBorders>
              <w:top w:val="nil"/>
              <w:left w:val="nil"/>
              <w:bottom w:val="nil"/>
              <w:right w:val="nil"/>
            </w:tcBorders>
            <w:shd w:val="clear" w:color="auto" w:fill="auto"/>
            <w:noWrap/>
            <w:vAlign w:val="bottom"/>
            <w:hideMark/>
          </w:tcPr>
          <w:p w14:paraId="199854A4" w14:textId="77777777" w:rsidR="00FD5987" w:rsidRPr="000939E3" w:rsidRDefault="00FD5987" w:rsidP="00FD5987">
            <w:pPr>
              <w:spacing w:after="0"/>
              <w:contextualSpacing/>
              <w:rPr>
                <w:sz w:val="16"/>
                <w:szCs w:val="16"/>
              </w:rPr>
            </w:pPr>
          </w:p>
        </w:tc>
        <w:tc>
          <w:tcPr>
            <w:tcW w:w="1354" w:type="dxa"/>
            <w:tcBorders>
              <w:top w:val="nil"/>
              <w:left w:val="nil"/>
              <w:bottom w:val="nil"/>
              <w:right w:val="single" w:sz="4" w:space="0" w:color="auto"/>
            </w:tcBorders>
            <w:shd w:val="clear" w:color="auto" w:fill="auto"/>
            <w:noWrap/>
            <w:vAlign w:val="bottom"/>
            <w:hideMark/>
          </w:tcPr>
          <w:p w14:paraId="03F3D1F4" w14:textId="77777777" w:rsidR="00FD5987" w:rsidRPr="000939E3" w:rsidRDefault="00FD5987" w:rsidP="00FD5987">
            <w:pPr>
              <w:spacing w:after="0"/>
              <w:contextualSpacing/>
              <w:jc w:val="right"/>
              <w:rPr>
                <w:sz w:val="16"/>
                <w:szCs w:val="16"/>
              </w:rPr>
            </w:pPr>
          </w:p>
        </w:tc>
        <w:tc>
          <w:tcPr>
            <w:tcW w:w="1179" w:type="dxa"/>
            <w:tcBorders>
              <w:top w:val="nil"/>
              <w:left w:val="single" w:sz="4" w:space="0" w:color="auto"/>
              <w:bottom w:val="nil"/>
              <w:right w:val="nil"/>
            </w:tcBorders>
            <w:shd w:val="clear" w:color="auto" w:fill="auto"/>
            <w:noWrap/>
            <w:vAlign w:val="bottom"/>
            <w:hideMark/>
          </w:tcPr>
          <w:p w14:paraId="3BCA1DDC" w14:textId="77777777" w:rsidR="00FD5987" w:rsidRPr="000939E3" w:rsidRDefault="00FD5987" w:rsidP="00FD5987">
            <w:pPr>
              <w:spacing w:after="0"/>
              <w:contextualSpacing/>
              <w:jc w:val="right"/>
              <w:rPr>
                <w:color w:val="000000"/>
                <w:sz w:val="16"/>
                <w:szCs w:val="16"/>
              </w:rPr>
            </w:pPr>
            <w:r w:rsidRPr="000939E3">
              <w:rPr>
                <w:color w:val="000000"/>
                <w:sz w:val="16"/>
                <w:szCs w:val="16"/>
              </w:rPr>
              <w:t>88</w:t>
            </w:r>
          </w:p>
        </w:tc>
        <w:tc>
          <w:tcPr>
            <w:tcW w:w="947" w:type="dxa"/>
            <w:tcBorders>
              <w:top w:val="nil"/>
              <w:left w:val="nil"/>
              <w:bottom w:val="nil"/>
              <w:right w:val="nil"/>
            </w:tcBorders>
            <w:shd w:val="clear" w:color="auto" w:fill="auto"/>
            <w:noWrap/>
            <w:vAlign w:val="bottom"/>
            <w:hideMark/>
          </w:tcPr>
          <w:p w14:paraId="53E85ECE" w14:textId="77777777" w:rsidR="00FD5987" w:rsidRPr="000939E3" w:rsidRDefault="00FD5987" w:rsidP="00FD5987">
            <w:pPr>
              <w:spacing w:after="0"/>
              <w:contextualSpacing/>
              <w:jc w:val="right"/>
              <w:rPr>
                <w:sz w:val="16"/>
                <w:szCs w:val="16"/>
              </w:rPr>
            </w:pPr>
            <w:r w:rsidRPr="000939E3">
              <w:rPr>
                <w:sz w:val="16"/>
                <w:szCs w:val="16"/>
              </w:rPr>
              <w:t>1,6</w:t>
            </w:r>
          </w:p>
        </w:tc>
        <w:tc>
          <w:tcPr>
            <w:tcW w:w="1276" w:type="dxa"/>
            <w:tcBorders>
              <w:top w:val="nil"/>
              <w:left w:val="nil"/>
              <w:bottom w:val="nil"/>
              <w:right w:val="nil"/>
            </w:tcBorders>
            <w:shd w:val="clear" w:color="auto" w:fill="auto"/>
            <w:noWrap/>
            <w:vAlign w:val="bottom"/>
            <w:hideMark/>
          </w:tcPr>
          <w:p w14:paraId="1489F588" w14:textId="77777777" w:rsidR="00FD5987" w:rsidRPr="000939E3" w:rsidRDefault="00FD5987" w:rsidP="00FD5987">
            <w:pPr>
              <w:spacing w:after="0"/>
              <w:contextualSpacing/>
              <w:jc w:val="right"/>
              <w:rPr>
                <w:color w:val="000000"/>
                <w:sz w:val="16"/>
                <w:szCs w:val="16"/>
              </w:rPr>
            </w:pPr>
            <w:r w:rsidRPr="000939E3">
              <w:rPr>
                <w:color w:val="000000"/>
                <w:sz w:val="16"/>
                <w:szCs w:val="16"/>
              </w:rPr>
              <w:t>1 482</w:t>
            </w:r>
          </w:p>
        </w:tc>
      </w:tr>
      <w:tr w:rsidR="00FD5987" w:rsidRPr="000939E3" w14:paraId="1AAB217A" w14:textId="77777777" w:rsidTr="00FD5987">
        <w:trPr>
          <w:trHeight w:val="17"/>
        </w:trPr>
        <w:tc>
          <w:tcPr>
            <w:tcW w:w="3544" w:type="dxa"/>
            <w:tcBorders>
              <w:top w:val="nil"/>
              <w:left w:val="nil"/>
              <w:bottom w:val="nil"/>
              <w:right w:val="nil"/>
            </w:tcBorders>
            <w:shd w:val="clear" w:color="auto" w:fill="auto"/>
            <w:noWrap/>
            <w:vAlign w:val="bottom"/>
            <w:hideMark/>
          </w:tcPr>
          <w:p w14:paraId="2571445C" w14:textId="77777777" w:rsidR="00FD5987" w:rsidRPr="000939E3" w:rsidRDefault="00FD5987" w:rsidP="00FD5987">
            <w:pPr>
              <w:spacing w:after="0"/>
              <w:contextualSpacing/>
              <w:rPr>
                <w:color w:val="000000"/>
                <w:sz w:val="16"/>
                <w:szCs w:val="16"/>
              </w:rPr>
            </w:pPr>
            <w:r w:rsidRPr="000939E3">
              <w:rPr>
                <w:color w:val="000000"/>
                <w:sz w:val="16"/>
                <w:szCs w:val="16"/>
              </w:rPr>
              <w:t>Kancelária prezidenta SR</w:t>
            </w:r>
          </w:p>
        </w:tc>
        <w:tc>
          <w:tcPr>
            <w:tcW w:w="1129" w:type="dxa"/>
            <w:tcBorders>
              <w:top w:val="nil"/>
              <w:left w:val="nil"/>
              <w:bottom w:val="nil"/>
              <w:right w:val="nil"/>
            </w:tcBorders>
            <w:shd w:val="clear" w:color="auto" w:fill="auto"/>
            <w:noWrap/>
            <w:vAlign w:val="bottom"/>
            <w:hideMark/>
          </w:tcPr>
          <w:p w14:paraId="05584AD4" w14:textId="77777777" w:rsidR="00FD5987" w:rsidRPr="000939E3" w:rsidRDefault="00FD5987" w:rsidP="00FD5987">
            <w:pPr>
              <w:spacing w:after="0"/>
              <w:contextualSpacing/>
              <w:jc w:val="right"/>
              <w:rPr>
                <w:sz w:val="16"/>
                <w:szCs w:val="16"/>
              </w:rPr>
            </w:pPr>
            <w:r w:rsidRPr="000939E3">
              <w:rPr>
                <w:sz w:val="16"/>
                <w:szCs w:val="16"/>
              </w:rPr>
              <w:t>80</w:t>
            </w:r>
          </w:p>
        </w:tc>
        <w:tc>
          <w:tcPr>
            <w:tcW w:w="1057" w:type="dxa"/>
            <w:tcBorders>
              <w:top w:val="nil"/>
              <w:left w:val="nil"/>
              <w:bottom w:val="nil"/>
              <w:right w:val="nil"/>
            </w:tcBorders>
            <w:shd w:val="clear" w:color="auto" w:fill="auto"/>
            <w:noWrap/>
            <w:vAlign w:val="bottom"/>
            <w:hideMark/>
          </w:tcPr>
          <w:p w14:paraId="273B4C7B" w14:textId="77777777" w:rsidR="00FD5987" w:rsidRPr="000939E3" w:rsidRDefault="00FD5987" w:rsidP="00FD5987">
            <w:pPr>
              <w:spacing w:after="0"/>
              <w:contextualSpacing/>
              <w:jc w:val="right"/>
              <w:rPr>
                <w:sz w:val="16"/>
                <w:szCs w:val="16"/>
              </w:rPr>
            </w:pPr>
            <w:r w:rsidRPr="000939E3">
              <w:rPr>
                <w:sz w:val="16"/>
                <w:szCs w:val="16"/>
              </w:rPr>
              <w:t>1,7</w:t>
            </w:r>
          </w:p>
        </w:tc>
        <w:tc>
          <w:tcPr>
            <w:tcW w:w="1216" w:type="dxa"/>
            <w:tcBorders>
              <w:top w:val="nil"/>
              <w:left w:val="nil"/>
              <w:bottom w:val="nil"/>
              <w:right w:val="single" w:sz="4" w:space="0" w:color="auto"/>
            </w:tcBorders>
            <w:shd w:val="clear" w:color="auto" w:fill="auto"/>
            <w:noWrap/>
            <w:vAlign w:val="bottom"/>
            <w:hideMark/>
          </w:tcPr>
          <w:p w14:paraId="28F1DDA2" w14:textId="77777777" w:rsidR="00FD5987" w:rsidRPr="000939E3" w:rsidRDefault="00FD5987" w:rsidP="00FD5987">
            <w:pPr>
              <w:spacing w:after="0"/>
              <w:contextualSpacing/>
              <w:jc w:val="right"/>
              <w:rPr>
                <w:sz w:val="16"/>
                <w:szCs w:val="16"/>
              </w:rPr>
            </w:pPr>
            <w:r w:rsidRPr="000939E3">
              <w:rPr>
                <w:sz w:val="16"/>
                <w:szCs w:val="16"/>
              </w:rPr>
              <w:t>1 827</w:t>
            </w:r>
          </w:p>
        </w:tc>
        <w:tc>
          <w:tcPr>
            <w:tcW w:w="1148" w:type="dxa"/>
            <w:tcBorders>
              <w:top w:val="nil"/>
              <w:left w:val="single" w:sz="4" w:space="0" w:color="auto"/>
              <w:bottom w:val="nil"/>
              <w:right w:val="nil"/>
            </w:tcBorders>
            <w:shd w:val="clear" w:color="auto" w:fill="auto"/>
            <w:noWrap/>
            <w:vAlign w:val="bottom"/>
            <w:hideMark/>
          </w:tcPr>
          <w:p w14:paraId="61D0463F" w14:textId="77777777" w:rsidR="00FD5987" w:rsidRPr="000939E3" w:rsidRDefault="00FD5987" w:rsidP="00FD5987">
            <w:pPr>
              <w:spacing w:after="0"/>
              <w:contextualSpacing/>
              <w:jc w:val="right"/>
              <w:rPr>
                <w:color w:val="000000"/>
                <w:sz w:val="16"/>
                <w:szCs w:val="16"/>
              </w:rPr>
            </w:pPr>
            <w:r w:rsidRPr="000939E3">
              <w:rPr>
                <w:color w:val="000000"/>
                <w:sz w:val="16"/>
                <w:szCs w:val="16"/>
              </w:rPr>
              <w:t>80</w:t>
            </w:r>
          </w:p>
        </w:tc>
        <w:tc>
          <w:tcPr>
            <w:tcW w:w="1184" w:type="dxa"/>
            <w:tcBorders>
              <w:top w:val="nil"/>
              <w:left w:val="nil"/>
              <w:bottom w:val="nil"/>
              <w:right w:val="nil"/>
            </w:tcBorders>
            <w:shd w:val="clear" w:color="auto" w:fill="auto"/>
            <w:noWrap/>
            <w:vAlign w:val="bottom"/>
            <w:hideMark/>
          </w:tcPr>
          <w:p w14:paraId="0E23DA26" w14:textId="77777777" w:rsidR="00FD5987" w:rsidRPr="000939E3" w:rsidRDefault="00FD5987" w:rsidP="00FD5987">
            <w:pPr>
              <w:spacing w:after="0"/>
              <w:contextualSpacing/>
              <w:jc w:val="right"/>
              <w:rPr>
                <w:sz w:val="16"/>
                <w:szCs w:val="16"/>
              </w:rPr>
            </w:pPr>
            <w:r w:rsidRPr="000939E3">
              <w:rPr>
                <w:sz w:val="16"/>
                <w:szCs w:val="16"/>
              </w:rPr>
              <w:t>1,7</w:t>
            </w:r>
          </w:p>
        </w:tc>
        <w:tc>
          <w:tcPr>
            <w:tcW w:w="1354" w:type="dxa"/>
            <w:tcBorders>
              <w:top w:val="nil"/>
              <w:left w:val="nil"/>
              <w:bottom w:val="nil"/>
              <w:right w:val="single" w:sz="4" w:space="0" w:color="auto"/>
            </w:tcBorders>
            <w:shd w:val="clear" w:color="auto" w:fill="auto"/>
            <w:noWrap/>
            <w:vAlign w:val="bottom"/>
            <w:hideMark/>
          </w:tcPr>
          <w:p w14:paraId="10748F91" w14:textId="77777777" w:rsidR="00FD5987" w:rsidRPr="000939E3" w:rsidRDefault="00FD5987" w:rsidP="00FD5987">
            <w:pPr>
              <w:spacing w:after="0"/>
              <w:contextualSpacing/>
              <w:jc w:val="right"/>
              <w:rPr>
                <w:color w:val="000000"/>
                <w:sz w:val="16"/>
                <w:szCs w:val="16"/>
              </w:rPr>
            </w:pPr>
            <w:r w:rsidRPr="000939E3">
              <w:rPr>
                <w:color w:val="000000"/>
                <w:sz w:val="16"/>
                <w:szCs w:val="16"/>
              </w:rPr>
              <w:t>1 755</w:t>
            </w:r>
          </w:p>
        </w:tc>
        <w:tc>
          <w:tcPr>
            <w:tcW w:w="1179" w:type="dxa"/>
            <w:tcBorders>
              <w:top w:val="nil"/>
              <w:left w:val="single" w:sz="4" w:space="0" w:color="auto"/>
              <w:bottom w:val="nil"/>
              <w:right w:val="nil"/>
            </w:tcBorders>
            <w:shd w:val="clear" w:color="auto" w:fill="auto"/>
            <w:noWrap/>
            <w:vAlign w:val="bottom"/>
            <w:hideMark/>
          </w:tcPr>
          <w:p w14:paraId="62B46426" w14:textId="77777777" w:rsidR="00FD5987" w:rsidRPr="000939E3" w:rsidRDefault="00FD5987" w:rsidP="00FD5987">
            <w:pPr>
              <w:spacing w:after="0"/>
              <w:contextualSpacing/>
              <w:jc w:val="right"/>
              <w:rPr>
                <w:color w:val="000000"/>
                <w:sz w:val="16"/>
                <w:szCs w:val="16"/>
              </w:rPr>
            </w:pPr>
          </w:p>
        </w:tc>
        <w:tc>
          <w:tcPr>
            <w:tcW w:w="947" w:type="dxa"/>
            <w:tcBorders>
              <w:top w:val="nil"/>
              <w:left w:val="nil"/>
              <w:bottom w:val="nil"/>
              <w:right w:val="nil"/>
            </w:tcBorders>
            <w:shd w:val="clear" w:color="auto" w:fill="auto"/>
            <w:noWrap/>
            <w:vAlign w:val="bottom"/>
            <w:hideMark/>
          </w:tcPr>
          <w:p w14:paraId="3D72E1AB" w14:textId="77777777" w:rsidR="00FD5987" w:rsidRPr="000939E3" w:rsidRDefault="00FD5987" w:rsidP="00FD5987">
            <w:pPr>
              <w:spacing w:after="0"/>
              <w:contextualSpacing/>
              <w:rPr>
                <w:sz w:val="16"/>
                <w:szCs w:val="16"/>
              </w:rPr>
            </w:pPr>
          </w:p>
        </w:tc>
        <w:tc>
          <w:tcPr>
            <w:tcW w:w="1276" w:type="dxa"/>
            <w:tcBorders>
              <w:top w:val="nil"/>
              <w:left w:val="nil"/>
              <w:bottom w:val="nil"/>
              <w:right w:val="nil"/>
            </w:tcBorders>
            <w:shd w:val="clear" w:color="auto" w:fill="auto"/>
            <w:noWrap/>
            <w:vAlign w:val="bottom"/>
            <w:hideMark/>
          </w:tcPr>
          <w:p w14:paraId="7B482B1E" w14:textId="77777777" w:rsidR="00FD5987" w:rsidRPr="000939E3" w:rsidRDefault="00FD5987" w:rsidP="00FD5987">
            <w:pPr>
              <w:spacing w:after="0"/>
              <w:contextualSpacing/>
              <w:jc w:val="right"/>
              <w:rPr>
                <w:sz w:val="16"/>
                <w:szCs w:val="16"/>
              </w:rPr>
            </w:pPr>
          </w:p>
        </w:tc>
      </w:tr>
      <w:tr w:rsidR="00FD5987" w:rsidRPr="000939E3" w14:paraId="3C42ADD6" w14:textId="77777777" w:rsidTr="00FD5987">
        <w:trPr>
          <w:trHeight w:val="17"/>
        </w:trPr>
        <w:tc>
          <w:tcPr>
            <w:tcW w:w="3544" w:type="dxa"/>
            <w:tcBorders>
              <w:top w:val="nil"/>
              <w:left w:val="nil"/>
              <w:bottom w:val="nil"/>
              <w:right w:val="nil"/>
            </w:tcBorders>
            <w:shd w:val="clear" w:color="auto" w:fill="auto"/>
            <w:noWrap/>
            <w:vAlign w:val="bottom"/>
            <w:hideMark/>
          </w:tcPr>
          <w:p w14:paraId="322FF74C" w14:textId="77777777" w:rsidR="00FD5987" w:rsidRPr="000939E3" w:rsidRDefault="00FD5987" w:rsidP="00FD5987">
            <w:pPr>
              <w:spacing w:after="0"/>
              <w:contextualSpacing/>
              <w:rPr>
                <w:color w:val="000000"/>
                <w:sz w:val="16"/>
                <w:szCs w:val="16"/>
              </w:rPr>
            </w:pPr>
            <w:r w:rsidRPr="000939E3">
              <w:rPr>
                <w:color w:val="000000"/>
                <w:sz w:val="16"/>
                <w:szCs w:val="16"/>
              </w:rPr>
              <w:t>Protimonopolný úrad SR</w:t>
            </w:r>
          </w:p>
        </w:tc>
        <w:tc>
          <w:tcPr>
            <w:tcW w:w="1129" w:type="dxa"/>
            <w:tcBorders>
              <w:top w:val="nil"/>
              <w:left w:val="nil"/>
              <w:bottom w:val="nil"/>
              <w:right w:val="nil"/>
            </w:tcBorders>
            <w:shd w:val="clear" w:color="auto" w:fill="auto"/>
            <w:noWrap/>
            <w:vAlign w:val="bottom"/>
            <w:hideMark/>
          </w:tcPr>
          <w:p w14:paraId="752EFE5D" w14:textId="77777777" w:rsidR="00FD5987" w:rsidRPr="000939E3" w:rsidRDefault="00FD5987" w:rsidP="00FD5987">
            <w:pPr>
              <w:spacing w:after="0"/>
              <w:contextualSpacing/>
              <w:jc w:val="right"/>
              <w:rPr>
                <w:sz w:val="16"/>
                <w:szCs w:val="16"/>
              </w:rPr>
            </w:pPr>
            <w:r w:rsidRPr="000939E3">
              <w:rPr>
                <w:sz w:val="16"/>
                <w:szCs w:val="16"/>
              </w:rPr>
              <w:t>64</w:t>
            </w:r>
          </w:p>
        </w:tc>
        <w:tc>
          <w:tcPr>
            <w:tcW w:w="1057" w:type="dxa"/>
            <w:tcBorders>
              <w:top w:val="nil"/>
              <w:left w:val="nil"/>
              <w:bottom w:val="nil"/>
              <w:right w:val="nil"/>
            </w:tcBorders>
            <w:shd w:val="clear" w:color="auto" w:fill="auto"/>
            <w:noWrap/>
            <w:vAlign w:val="bottom"/>
            <w:hideMark/>
          </w:tcPr>
          <w:p w14:paraId="26E13B3C" w14:textId="77777777" w:rsidR="00FD5987" w:rsidRPr="000939E3" w:rsidRDefault="00FD5987" w:rsidP="00FD5987">
            <w:pPr>
              <w:spacing w:after="0"/>
              <w:contextualSpacing/>
              <w:jc w:val="right"/>
              <w:rPr>
                <w:sz w:val="16"/>
                <w:szCs w:val="16"/>
              </w:rPr>
            </w:pPr>
            <w:r w:rsidRPr="000939E3">
              <w:rPr>
                <w:sz w:val="16"/>
                <w:szCs w:val="16"/>
              </w:rPr>
              <w:t>1,3</w:t>
            </w:r>
          </w:p>
        </w:tc>
        <w:tc>
          <w:tcPr>
            <w:tcW w:w="1216" w:type="dxa"/>
            <w:tcBorders>
              <w:top w:val="nil"/>
              <w:left w:val="nil"/>
              <w:bottom w:val="nil"/>
              <w:right w:val="single" w:sz="4" w:space="0" w:color="auto"/>
            </w:tcBorders>
            <w:shd w:val="clear" w:color="auto" w:fill="auto"/>
            <w:noWrap/>
            <w:vAlign w:val="bottom"/>
            <w:hideMark/>
          </w:tcPr>
          <w:p w14:paraId="29AA339B" w14:textId="77777777" w:rsidR="00FD5987" w:rsidRPr="000939E3" w:rsidRDefault="00FD5987" w:rsidP="00FD5987">
            <w:pPr>
              <w:spacing w:after="0"/>
              <w:contextualSpacing/>
              <w:jc w:val="right"/>
              <w:rPr>
                <w:sz w:val="16"/>
                <w:szCs w:val="16"/>
              </w:rPr>
            </w:pPr>
            <w:r w:rsidRPr="000939E3">
              <w:rPr>
                <w:sz w:val="16"/>
                <w:szCs w:val="16"/>
              </w:rPr>
              <w:t>1 655</w:t>
            </w:r>
          </w:p>
        </w:tc>
        <w:tc>
          <w:tcPr>
            <w:tcW w:w="1148" w:type="dxa"/>
            <w:tcBorders>
              <w:top w:val="nil"/>
              <w:left w:val="single" w:sz="4" w:space="0" w:color="auto"/>
              <w:bottom w:val="nil"/>
              <w:right w:val="nil"/>
            </w:tcBorders>
            <w:shd w:val="clear" w:color="auto" w:fill="auto"/>
            <w:noWrap/>
            <w:vAlign w:val="bottom"/>
            <w:hideMark/>
          </w:tcPr>
          <w:p w14:paraId="018A8DBD" w14:textId="77777777" w:rsidR="00FD5987" w:rsidRPr="000939E3" w:rsidRDefault="00FD5987" w:rsidP="00FD5987">
            <w:pPr>
              <w:spacing w:after="0"/>
              <w:contextualSpacing/>
              <w:jc w:val="right"/>
              <w:rPr>
                <w:color w:val="000000"/>
                <w:sz w:val="16"/>
                <w:szCs w:val="16"/>
              </w:rPr>
            </w:pPr>
            <w:r w:rsidRPr="000939E3">
              <w:rPr>
                <w:color w:val="000000"/>
                <w:sz w:val="16"/>
                <w:szCs w:val="16"/>
              </w:rPr>
              <w:t>64</w:t>
            </w:r>
          </w:p>
        </w:tc>
        <w:tc>
          <w:tcPr>
            <w:tcW w:w="1184" w:type="dxa"/>
            <w:tcBorders>
              <w:top w:val="nil"/>
              <w:left w:val="nil"/>
              <w:bottom w:val="nil"/>
              <w:right w:val="nil"/>
            </w:tcBorders>
            <w:shd w:val="clear" w:color="auto" w:fill="auto"/>
            <w:noWrap/>
            <w:vAlign w:val="bottom"/>
            <w:hideMark/>
          </w:tcPr>
          <w:p w14:paraId="3B6C49A0" w14:textId="77777777" w:rsidR="00FD5987" w:rsidRPr="000939E3" w:rsidRDefault="00FD5987" w:rsidP="00FD5987">
            <w:pPr>
              <w:spacing w:after="0"/>
              <w:contextualSpacing/>
              <w:jc w:val="right"/>
              <w:rPr>
                <w:sz w:val="16"/>
                <w:szCs w:val="16"/>
              </w:rPr>
            </w:pPr>
            <w:r w:rsidRPr="000939E3">
              <w:rPr>
                <w:sz w:val="16"/>
                <w:szCs w:val="16"/>
              </w:rPr>
              <w:t>1,3</w:t>
            </w:r>
          </w:p>
        </w:tc>
        <w:tc>
          <w:tcPr>
            <w:tcW w:w="1354" w:type="dxa"/>
            <w:tcBorders>
              <w:top w:val="nil"/>
              <w:left w:val="nil"/>
              <w:bottom w:val="nil"/>
              <w:right w:val="single" w:sz="4" w:space="0" w:color="auto"/>
            </w:tcBorders>
            <w:shd w:val="clear" w:color="auto" w:fill="auto"/>
            <w:noWrap/>
            <w:vAlign w:val="bottom"/>
            <w:hideMark/>
          </w:tcPr>
          <w:p w14:paraId="44516148" w14:textId="77777777" w:rsidR="00FD5987" w:rsidRPr="000939E3" w:rsidRDefault="00FD5987" w:rsidP="00FD5987">
            <w:pPr>
              <w:spacing w:after="0"/>
              <w:contextualSpacing/>
              <w:jc w:val="right"/>
              <w:rPr>
                <w:color w:val="000000"/>
                <w:sz w:val="16"/>
                <w:szCs w:val="16"/>
              </w:rPr>
            </w:pPr>
            <w:r w:rsidRPr="000939E3">
              <w:rPr>
                <w:color w:val="000000"/>
                <w:sz w:val="16"/>
                <w:szCs w:val="16"/>
              </w:rPr>
              <w:t>1 619</w:t>
            </w:r>
          </w:p>
        </w:tc>
        <w:tc>
          <w:tcPr>
            <w:tcW w:w="1179" w:type="dxa"/>
            <w:tcBorders>
              <w:top w:val="nil"/>
              <w:left w:val="single" w:sz="4" w:space="0" w:color="auto"/>
              <w:bottom w:val="nil"/>
              <w:right w:val="nil"/>
            </w:tcBorders>
            <w:shd w:val="clear" w:color="auto" w:fill="auto"/>
            <w:noWrap/>
            <w:vAlign w:val="bottom"/>
            <w:hideMark/>
          </w:tcPr>
          <w:p w14:paraId="010DEA84" w14:textId="77777777" w:rsidR="00FD5987" w:rsidRPr="000939E3" w:rsidRDefault="00FD5987" w:rsidP="00FD5987">
            <w:pPr>
              <w:spacing w:after="0"/>
              <w:contextualSpacing/>
              <w:jc w:val="right"/>
              <w:rPr>
                <w:color w:val="000000"/>
                <w:sz w:val="16"/>
                <w:szCs w:val="16"/>
              </w:rPr>
            </w:pPr>
          </w:p>
        </w:tc>
        <w:tc>
          <w:tcPr>
            <w:tcW w:w="947" w:type="dxa"/>
            <w:tcBorders>
              <w:top w:val="nil"/>
              <w:left w:val="nil"/>
              <w:bottom w:val="nil"/>
              <w:right w:val="nil"/>
            </w:tcBorders>
            <w:shd w:val="clear" w:color="auto" w:fill="auto"/>
            <w:noWrap/>
            <w:vAlign w:val="bottom"/>
            <w:hideMark/>
          </w:tcPr>
          <w:p w14:paraId="0DEA77E3" w14:textId="77777777" w:rsidR="00FD5987" w:rsidRPr="000939E3" w:rsidRDefault="00FD5987" w:rsidP="00FD5987">
            <w:pPr>
              <w:spacing w:after="0"/>
              <w:contextualSpacing/>
              <w:rPr>
                <w:sz w:val="16"/>
                <w:szCs w:val="16"/>
              </w:rPr>
            </w:pPr>
          </w:p>
        </w:tc>
        <w:tc>
          <w:tcPr>
            <w:tcW w:w="1276" w:type="dxa"/>
            <w:tcBorders>
              <w:top w:val="nil"/>
              <w:left w:val="nil"/>
              <w:bottom w:val="nil"/>
              <w:right w:val="nil"/>
            </w:tcBorders>
            <w:shd w:val="clear" w:color="auto" w:fill="auto"/>
            <w:noWrap/>
            <w:vAlign w:val="bottom"/>
            <w:hideMark/>
          </w:tcPr>
          <w:p w14:paraId="77060033" w14:textId="77777777" w:rsidR="00FD5987" w:rsidRPr="000939E3" w:rsidRDefault="00FD5987" w:rsidP="00FD5987">
            <w:pPr>
              <w:spacing w:after="0"/>
              <w:contextualSpacing/>
              <w:jc w:val="right"/>
              <w:rPr>
                <w:sz w:val="16"/>
                <w:szCs w:val="16"/>
              </w:rPr>
            </w:pPr>
          </w:p>
        </w:tc>
      </w:tr>
      <w:tr w:rsidR="00FD5987" w:rsidRPr="000939E3" w14:paraId="2447FFAD" w14:textId="77777777" w:rsidTr="00FD5987">
        <w:trPr>
          <w:trHeight w:val="17"/>
        </w:trPr>
        <w:tc>
          <w:tcPr>
            <w:tcW w:w="3544" w:type="dxa"/>
            <w:tcBorders>
              <w:top w:val="nil"/>
              <w:left w:val="nil"/>
              <w:bottom w:val="nil"/>
              <w:right w:val="nil"/>
            </w:tcBorders>
            <w:shd w:val="clear" w:color="auto" w:fill="auto"/>
            <w:noWrap/>
            <w:vAlign w:val="bottom"/>
            <w:hideMark/>
          </w:tcPr>
          <w:p w14:paraId="6513AC01" w14:textId="77777777" w:rsidR="00FD5987" w:rsidRPr="000939E3" w:rsidRDefault="00FD5987" w:rsidP="00FD5987">
            <w:pPr>
              <w:spacing w:after="0"/>
              <w:contextualSpacing/>
              <w:rPr>
                <w:color w:val="000000"/>
                <w:sz w:val="16"/>
                <w:szCs w:val="16"/>
              </w:rPr>
            </w:pPr>
            <w:r w:rsidRPr="000939E3">
              <w:rPr>
                <w:color w:val="000000"/>
                <w:sz w:val="16"/>
                <w:szCs w:val="16"/>
              </w:rPr>
              <w:t>UPVII</w:t>
            </w:r>
          </w:p>
        </w:tc>
        <w:tc>
          <w:tcPr>
            <w:tcW w:w="1129" w:type="dxa"/>
            <w:tcBorders>
              <w:top w:val="nil"/>
              <w:left w:val="nil"/>
              <w:bottom w:val="nil"/>
              <w:right w:val="nil"/>
            </w:tcBorders>
            <w:shd w:val="clear" w:color="auto" w:fill="auto"/>
            <w:noWrap/>
            <w:vAlign w:val="bottom"/>
            <w:hideMark/>
          </w:tcPr>
          <w:p w14:paraId="3EBA8438" w14:textId="77777777" w:rsidR="00FD5987" w:rsidRPr="000939E3" w:rsidRDefault="00FD5987" w:rsidP="00FD5987">
            <w:pPr>
              <w:spacing w:after="0"/>
              <w:contextualSpacing/>
              <w:jc w:val="right"/>
              <w:rPr>
                <w:sz w:val="16"/>
                <w:szCs w:val="16"/>
              </w:rPr>
            </w:pPr>
            <w:r w:rsidRPr="000939E3">
              <w:rPr>
                <w:sz w:val="16"/>
                <w:szCs w:val="16"/>
              </w:rPr>
              <w:t>187</w:t>
            </w:r>
          </w:p>
        </w:tc>
        <w:tc>
          <w:tcPr>
            <w:tcW w:w="1057" w:type="dxa"/>
            <w:tcBorders>
              <w:top w:val="nil"/>
              <w:left w:val="nil"/>
              <w:bottom w:val="nil"/>
              <w:right w:val="nil"/>
            </w:tcBorders>
            <w:shd w:val="clear" w:color="auto" w:fill="auto"/>
            <w:noWrap/>
            <w:vAlign w:val="bottom"/>
            <w:hideMark/>
          </w:tcPr>
          <w:p w14:paraId="146F3ABA" w14:textId="77777777" w:rsidR="00FD5987" w:rsidRPr="000939E3" w:rsidRDefault="00FD5987" w:rsidP="00FD5987">
            <w:pPr>
              <w:spacing w:after="0"/>
              <w:contextualSpacing/>
              <w:jc w:val="right"/>
              <w:rPr>
                <w:sz w:val="16"/>
                <w:szCs w:val="16"/>
              </w:rPr>
            </w:pPr>
            <w:r w:rsidRPr="000939E3">
              <w:rPr>
                <w:sz w:val="16"/>
                <w:szCs w:val="16"/>
              </w:rPr>
              <w:t>4,8</w:t>
            </w:r>
          </w:p>
        </w:tc>
        <w:tc>
          <w:tcPr>
            <w:tcW w:w="1216" w:type="dxa"/>
            <w:tcBorders>
              <w:top w:val="nil"/>
              <w:left w:val="nil"/>
              <w:bottom w:val="nil"/>
              <w:right w:val="single" w:sz="4" w:space="0" w:color="auto"/>
            </w:tcBorders>
            <w:shd w:val="clear" w:color="auto" w:fill="auto"/>
            <w:noWrap/>
            <w:vAlign w:val="bottom"/>
            <w:hideMark/>
          </w:tcPr>
          <w:p w14:paraId="0A2CB802" w14:textId="77777777" w:rsidR="00FD5987" w:rsidRPr="000939E3" w:rsidRDefault="00FD5987" w:rsidP="00FD5987">
            <w:pPr>
              <w:spacing w:after="0"/>
              <w:contextualSpacing/>
              <w:jc w:val="right"/>
              <w:rPr>
                <w:sz w:val="16"/>
                <w:szCs w:val="16"/>
              </w:rPr>
            </w:pPr>
            <w:r w:rsidRPr="000939E3">
              <w:rPr>
                <w:sz w:val="16"/>
                <w:szCs w:val="16"/>
              </w:rPr>
              <w:t>2 105</w:t>
            </w:r>
          </w:p>
        </w:tc>
        <w:tc>
          <w:tcPr>
            <w:tcW w:w="1148" w:type="dxa"/>
            <w:tcBorders>
              <w:top w:val="nil"/>
              <w:left w:val="single" w:sz="4" w:space="0" w:color="auto"/>
              <w:bottom w:val="nil"/>
              <w:right w:val="nil"/>
            </w:tcBorders>
            <w:shd w:val="clear" w:color="auto" w:fill="auto"/>
            <w:noWrap/>
            <w:vAlign w:val="bottom"/>
            <w:hideMark/>
          </w:tcPr>
          <w:p w14:paraId="709BCE4F" w14:textId="77777777" w:rsidR="00FD5987" w:rsidRPr="000939E3" w:rsidRDefault="00FD5987" w:rsidP="00FD5987">
            <w:pPr>
              <w:spacing w:after="0"/>
              <w:contextualSpacing/>
              <w:jc w:val="right"/>
              <w:rPr>
                <w:color w:val="000000"/>
                <w:sz w:val="16"/>
                <w:szCs w:val="16"/>
              </w:rPr>
            </w:pPr>
            <w:r w:rsidRPr="000939E3">
              <w:rPr>
                <w:color w:val="000000"/>
                <w:sz w:val="16"/>
                <w:szCs w:val="16"/>
              </w:rPr>
              <w:t>187</w:t>
            </w:r>
          </w:p>
        </w:tc>
        <w:tc>
          <w:tcPr>
            <w:tcW w:w="1184" w:type="dxa"/>
            <w:tcBorders>
              <w:top w:val="nil"/>
              <w:left w:val="nil"/>
              <w:bottom w:val="nil"/>
              <w:right w:val="nil"/>
            </w:tcBorders>
            <w:shd w:val="clear" w:color="auto" w:fill="auto"/>
            <w:noWrap/>
            <w:vAlign w:val="bottom"/>
            <w:hideMark/>
          </w:tcPr>
          <w:p w14:paraId="2446A5A3" w14:textId="77777777" w:rsidR="00FD5987" w:rsidRPr="000939E3" w:rsidRDefault="00FD5987" w:rsidP="00FD5987">
            <w:pPr>
              <w:spacing w:after="0"/>
              <w:contextualSpacing/>
              <w:jc w:val="right"/>
              <w:rPr>
                <w:sz w:val="16"/>
                <w:szCs w:val="16"/>
              </w:rPr>
            </w:pPr>
            <w:r w:rsidRPr="000939E3">
              <w:rPr>
                <w:sz w:val="16"/>
                <w:szCs w:val="16"/>
              </w:rPr>
              <w:t>4,8</w:t>
            </w:r>
          </w:p>
        </w:tc>
        <w:tc>
          <w:tcPr>
            <w:tcW w:w="1354" w:type="dxa"/>
            <w:tcBorders>
              <w:top w:val="nil"/>
              <w:left w:val="nil"/>
              <w:bottom w:val="nil"/>
              <w:right w:val="single" w:sz="4" w:space="0" w:color="auto"/>
            </w:tcBorders>
            <w:shd w:val="clear" w:color="auto" w:fill="auto"/>
            <w:noWrap/>
            <w:vAlign w:val="bottom"/>
            <w:hideMark/>
          </w:tcPr>
          <w:p w14:paraId="454D1849" w14:textId="77777777" w:rsidR="00FD5987" w:rsidRPr="000939E3" w:rsidRDefault="00FD5987" w:rsidP="00FD5987">
            <w:pPr>
              <w:spacing w:after="0"/>
              <w:contextualSpacing/>
              <w:jc w:val="right"/>
              <w:rPr>
                <w:color w:val="000000"/>
                <w:sz w:val="16"/>
                <w:szCs w:val="16"/>
              </w:rPr>
            </w:pPr>
            <w:r w:rsidRPr="000939E3">
              <w:rPr>
                <w:color w:val="000000"/>
                <w:sz w:val="16"/>
                <w:szCs w:val="16"/>
              </w:rPr>
              <w:t>2 076</w:t>
            </w:r>
          </w:p>
        </w:tc>
        <w:tc>
          <w:tcPr>
            <w:tcW w:w="1179" w:type="dxa"/>
            <w:tcBorders>
              <w:top w:val="nil"/>
              <w:left w:val="single" w:sz="4" w:space="0" w:color="auto"/>
              <w:bottom w:val="nil"/>
              <w:right w:val="nil"/>
            </w:tcBorders>
            <w:shd w:val="clear" w:color="auto" w:fill="auto"/>
            <w:noWrap/>
            <w:vAlign w:val="bottom"/>
            <w:hideMark/>
          </w:tcPr>
          <w:p w14:paraId="39A97998" w14:textId="77777777" w:rsidR="00FD5987" w:rsidRPr="000939E3" w:rsidRDefault="00FD5987" w:rsidP="00FD5987">
            <w:pPr>
              <w:spacing w:after="0"/>
              <w:contextualSpacing/>
              <w:jc w:val="right"/>
              <w:rPr>
                <w:color w:val="000000"/>
                <w:sz w:val="16"/>
                <w:szCs w:val="16"/>
              </w:rPr>
            </w:pPr>
          </w:p>
        </w:tc>
        <w:tc>
          <w:tcPr>
            <w:tcW w:w="947" w:type="dxa"/>
            <w:tcBorders>
              <w:top w:val="nil"/>
              <w:left w:val="nil"/>
              <w:bottom w:val="nil"/>
              <w:right w:val="nil"/>
            </w:tcBorders>
            <w:shd w:val="clear" w:color="auto" w:fill="auto"/>
            <w:noWrap/>
            <w:vAlign w:val="bottom"/>
            <w:hideMark/>
          </w:tcPr>
          <w:p w14:paraId="35AA843A" w14:textId="77777777" w:rsidR="00FD5987" w:rsidRPr="000939E3" w:rsidRDefault="00FD5987" w:rsidP="00FD5987">
            <w:pPr>
              <w:spacing w:after="0"/>
              <w:contextualSpacing/>
              <w:rPr>
                <w:sz w:val="16"/>
                <w:szCs w:val="16"/>
              </w:rPr>
            </w:pPr>
          </w:p>
        </w:tc>
        <w:tc>
          <w:tcPr>
            <w:tcW w:w="1276" w:type="dxa"/>
            <w:tcBorders>
              <w:top w:val="nil"/>
              <w:left w:val="nil"/>
              <w:bottom w:val="nil"/>
              <w:right w:val="nil"/>
            </w:tcBorders>
            <w:shd w:val="clear" w:color="auto" w:fill="auto"/>
            <w:noWrap/>
            <w:vAlign w:val="bottom"/>
            <w:hideMark/>
          </w:tcPr>
          <w:p w14:paraId="699F6DE6" w14:textId="77777777" w:rsidR="00FD5987" w:rsidRPr="000939E3" w:rsidRDefault="00FD5987" w:rsidP="00FD5987">
            <w:pPr>
              <w:spacing w:after="0"/>
              <w:contextualSpacing/>
              <w:jc w:val="right"/>
              <w:rPr>
                <w:sz w:val="16"/>
                <w:szCs w:val="16"/>
              </w:rPr>
            </w:pPr>
          </w:p>
        </w:tc>
      </w:tr>
      <w:tr w:rsidR="00FD5987" w:rsidRPr="000939E3" w14:paraId="3E566954" w14:textId="77777777" w:rsidTr="00FD5987">
        <w:trPr>
          <w:trHeight w:val="17"/>
        </w:trPr>
        <w:tc>
          <w:tcPr>
            <w:tcW w:w="3544" w:type="dxa"/>
            <w:tcBorders>
              <w:top w:val="nil"/>
              <w:left w:val="nil"/>
              <w:bottom w:val="nil"/>
              <w:right w:val="nil"/>
            </w:tcBorders>
            <w:shd w:val="clear" w:color="auto" w:fill="auto"/>
            <w:noWrap/>
            <w:vAlign w:val="bottom"/>
            <w:hideMark/>
          </w:tcPr>
          <w:p w14:paraId="792851A2" w14:textId="77777777" w:rsidR="00FD5987" w:rsidRPr="000939E3" w:rsidRDefault="00FD5987" w:rsidP="00FD5987">
            <w:pPr>
              <w:spacing w:after="0"/>
              <w:contextualSpacing/>
              <w:rPr>
                <w:color w:val="000000"/>
                <w:sz w:val="16"/>
                <w:szCs w:val="16"/>
              </w:rPr>
            </w:pPr>
            <w:r w:rsidRPr="000939E3">
              <w:rPr>
                <w:color w:val="000000"/>
                <w:sz w:val="16"/>
                <w:szCs w:val="16"/>
              </w:rPr>
              <w:t>Kancelária verejného ochrancu práv</w:t>
            </w:r>
          </w:p>
        </w:tc>
        <w:tc>
          <w:tcPr>
            <w:tcW w:w="1129" w:type="dxa"/>
            <w:tcBorders>
              <w:top w:val="nil"/>
              <w:left w:val="nil"/>
              <w:bottom w:val="nil"/>
              <w:right w:val="nil"/>
            </w:tcBorders>
            <w:shd w:val="clear" w:color="auto" w:fill="auto"/>
            <w:noWrap/>
            <w:vAlign w:val="bottom"/>
            <w:hideMark/>
          </w:tcPr>
          <w:p w14:paraId="1AD0A020" w14:textId="77777777" w:rsidR="00FD5987" w:rsidRPr="000939E3" w:rsidRDefault="00FD5987" w:rsidP="00FD5987">
            <w:pPr>
              <w:spacing w:after="0"/>
              <w:contextualSpacing/>
              <w:jc w:val="right"/>
              <w:rPr>
                <w:sz w:val="16"/>
                <w:szCs w:val="16"/>
              </w:rPr>
            </w:pPr>
            <w:r w:rsidRPr="000939E3">
              <w:rPr>
                <w:sz w:val="16"/>
                <w:szCs w:val="16"/>
              </w:rPr>
              <w:t>35</w:t>
            </w:r>
          </w:p>
        </w:tc>
        <w:tc>
          <w:tcPr>
            <w:tcW w:w="1057" w:type="dxa"/>
            <w:tcBorders>
              <w:top w:val="nil"/>
              <w:left w:val="nil"/>
              <w:bottom w:val="nil"/>
              <w:right w:val="nil"/>
            </w:tcBorders>
            <w:shd w:val="clear" w:color="auto" w:fill="auto"/>
            <w:noWrap/>
            <w:vAlign w:val="bottom"/>
            <w:hideMark/>
          </w:tcPr>
          <w:p w14:paraId="509BB13C" w14:textId="77777777" w:rsidR="00FD5987" w:rsidRPr="000939E3" w:rsidRDefault="00FD5987" w:rsidP="00FD5987">
            <w:pPr>
              <w:spacing w:after="0"/>
              <w:contextualSpacing/>
              <w:jc w:val="right"/>
              <w:rPr>
                <w:sz w:val="16"/>
                <w:szCs w:val="16"/>
              </w:rPr>
            </w:pPr>
            <w:r w:rsidRPr="000939E3">
              <w:rPr>
                <w:sz w:val="16"/>
                <w:szCs w:val="16"/>
              </w:rPr>
              <w:t>0,6</w:t>
            </w:r>
          </w:p>
        </w:tc>
        <w:tc>
          <w:tcPr>
            <w:tcW w:w="1216" w:type="dxa"/>
            <w:tcBorders>
              <w:top w:val="nil"/>
              <w:left w:val="nil"/>
              <w:bottom w:val="nil"/>
              <w:right w:val="single" w:sz="4" w:space="0" w:color="auto"/>
            </w:tcBorders>
            <w:shd w:val="clear" w:color="auto" w:fill="auto"/>
            <w:noWrap/>
            <w:vAlign w:val="bottom"/>
            <w:hideMark/>
          </w:tcPr>
          <w:p w14:paraId="7FEB1AD1" w14:textId="77777777" w:rsidR="00FD5987" w:rsidRPr="000939E3" w:rsidRDefault="00FD5987" w:rsidP="00FD5987">
            <w:pPr>
              <w:spacing w:after="0"/>
              <w:contextualSpacing/>
              <w:jc w:val="right"/>
              <w:rPr>
                <w:sz w:val="16"/>
                <w:szCs w:val="16"/>
              </w:rPr>
            </w:pPr>
            <w:r w:rsidRPr="000939E3">
              <w:rPr>
                <w:sz w:val="16"/>
                <w:szCs w:val="16"/>
              </w:rPr>
              <w:t>1 486</w:t>
            </w:r>
          </w:p>
        </w:tc>
        <w:tc>
          <w:tcPr>
            <w:tcW w:w="1148" w:type="dxa"/>
            <w:tcBorders>
              <w:top w:val="nil"/>
              <w:left w:val="single" w:sz="4" w:space="0" w:color="auto"/>
              <w:bottom w:val="nil"/>
              <w:right w:val="nil"/>
            </w:tcBorders>
            <w:shd w:val="clear" w:color="auto" w:fill="auto"/>
            <w:noWrap/>
            <w:vAlign w:val="bottom"/>
            <w:hideMark/>
          </w:tcPr>
          <w:p w14:paraId="7970C3D3" w14:textId="77777777" w:rsidR="00FD5987" w:rsidRPr="000939E3" w:rsidRDefault="00FD5987" w:rsidP="00FD5987">
            <w:pPr>
              <w:spacing w:after="0"/>
              <w:contextualSpacing/>
              <w:jc w:val="right"/>
              <w:rPr>
                <w:sz w:val="16"/>
                <w:szCs w:val="16"/>
              </w:rPr>
            </w:pPr>
          </w:p>
        </w:tc>
        <w:tc>
          <w:tcPr>
            <w:tcW w:w="1184" w:type="dxa"/>
            <w:tcBorders>
              <w:top w:val="nil"/>
              <w:left w:val="nil"/>
              <w:bottom w:val="nil"/>
              <w:right w:val="nil"/>
            </w:tcBorders>
            <w:shd w:val="clear" w:color="auto" w:fill="auto"/>
            <w:noWrap/>
            <w:vAlign w:val="bottom"/>
            <w:hideMark/>
          </w:tcPr>
          <w:p w14:paraId="76157840" w14:textId="77777777" w:rsidR="00FD5987" w:rsidRPr="000939E3" w:rsidRDefault="00FD5987" w:rsidP="00FD5987">
            <w:pPr>
              <w:spacing w:after="0"/>
              <w:contextualSpacing/>
              <w:rPr>
                <w:sz w:val="16"/>
                <w:szCs w:val="16"/>
              </w:rPr>
            </w:pPr>
          </w:p>
        </w:tc>
        <w:tc>
          <w:tcPr>
            <w:tcW w:w="1354" w:type="dxa"/>
            <w:tcBorders>
              <w:top w:val="nil"/>
              <w:left w:val="nil"/>
              <w:bottom w:val="nil"/>
              <w:right w:val="single" w:sz="4" w:space="0" w:color="auto"/>
            </w:tcBorders>
            <w:shd w:val="clear" w:color="auto" w:fill="auto"/>
            <w:noWrap/>
            <w:vAlign w:val="bottom"/>
            <w:hideMark/>
          </w:tcPr>
          <w:p w14:paraId="30B3202B" w14:textId="77777777" w:rsidR="00FD5987" w:rsidRPr="000939E3" w:rsidRDefault="00FD5987" w:rsidP="00FD5987">
            <w:pPr>
              <w:spacing w:after="0"/>
              <w:contextualSpacing/>
              <w:jc w:val="right"/>
              <w:rPr>
                <w:sz w:val="16"/>
                <w:szCs w:val="16"/>
              </w:rPr>
            </w:pPr>
          </w:p>
        </w:tc>
        <w:tc>
          <w:tcPr>
            <w:tcW w:w="1179" w:type="dxa"/>
            <w:tcBorders>
              <w:top w:val="nil"/>
              <w:left w:val="single" w:sz="4" w:space="0" w:color="auto"/>
              <w:bottom w:val="nil"/>
              <w:right w:val="nil"/>
            </w:tcBorders>
            <w:shd w:val="clear" w:color="auto" w:fill="auto"/>
            <w:noWrap/>
            <w:vAlign w:val="bottom"/>
            <w:hideMark/>
          </w:tcPr>
          <w:p w14:paraId="62E5E145" w14:textId="77777777" w:rsidR="00FD5987" w:rsidRPr="000939E3" w:rsidRDefault="00FD5987" w:rsidP="00FD5987">
            <w:pPr>
              <w:spacing w:after="0"/>
              <w:contextualSpacing/>
              <w:jc w:val="right"/>
              <w:rPr>
                <w:color w:val="000000"/>
                <w:sz w:val="16"/>
                <w:szCs w:val="16"/>
              </w:rPr>
            </w:pPr>
            <w:r w:rsidRPr="000939E3">
              <w:rPr>
                <w:color w:val="000000"/>
                <w:sz w:val="16"/>
                <w:szCs w:val="16"/>
              </w:rPr>
              <w:t>35</w:t>
            </w:r>
          </w:p>
        </w:tc>
        <w:tc>
          <w:tcPr>
            <w:tcW w:w="947" w:type="dxa"/>
            <w:tcBorders>
              <w:top w:val="nil"/>
              <w:left w:val="nil"/>
              <w:bottom w:val="nil"/>
              <w:right w:val="nil"/>
            </w:tcBorders>
            <w:shd w:val="clear" w:color="auto" w:fill="auto"/>
            <w:noWrap/>
            <w:vAlign w:val="bottom"/>
            <w:hideMark/>
          </w:tcPr>
          <w:p w14:paraId="27FFF121" w14:textId="77777777" w:rsidR="00FD5987" w:rsidRPr="000939E3" w:rsidRDefault="00FD5987" w:rsidP="00FD5987">
            <w:pPr>
              <w:spacing w:after="0"/>
              <w:contextualSpacing/>
              <w:jc w:val="right"/>
              <w:rPr>
                <w:sz w:val="16"/>
                <w:szCs w:val="16"/>
              </w:rPr>
            </w:pPr>
            <w:r w:rsidRPr="000939E3">
              <w:rPr>
                <w:sz w:val="16"/>
                <w:szCs w:val="16"/>
              </w:rPr>
              <w:t>0,6</w:t>
            </w:r>
          </w:p>
        </w:tc>
        <w:tc>
          <w:tcPr>
            <w:tcW w:w="1276" w:type="dxa"/>
            <w:tcBorders>
              <w:top w:val="nil"/>
              <w:left w:val="nil"/>
              <w:bottom w:val="nil"/>
              <w:right w:val="nil"/>
            </w:tcBorders>
            <w:shd w:val="clear" w:color="auto" w:fill="auto"/>
            <w:noWrap/>
            <w:vAlign w:val="bottom"/>
            <w:hideMark/>
          </w:tcPr>
          <w:p w14:paraId="20D24965" w14:textId="77777777" w:rsidR="00FD5987" w:rsidRPr="000939E3" w:rsidRDefault="00FD5987" w:rsidP="00FD5987">
            <w:pPr>
              <w:spacing w:after="0"/>
              <w:contextualSpacing/>
              <w:jc w:val="right"/>
              <w:rPr>
                <w:color w:val="000000"/>
                <w:sz w:val="16"/>
                <w:szCs w:val="16"/>
              </w:rPr>
            </w:pPr>
            <w:r w:rsidRPr="000939E3">
              <w:rPr>
                <w:color w:val="000000"/>
                <w:sz w:val="16"/>
                <w:szCs w:val="16"/>
              </w:rPr>
              <w:t>1 489</w:t>
            </w:r>
          </w:p>
        </w:tc>
      </w:tr>
      <w:tr w:rsidR="00FD5987" w:rsidRPr="000939E3" w14:paraId="1FF601E7" w14:textId="77777777" w:rsidTr="00FD5987">
        <w:trPr>
          <w:trHeight w:val="17"/>
        </w:trPr>
        <w:tc>
          <w:tcPr>
            <w:tcW w:w="3544" w:type="dxa"/>
            <w:tcBorders>
              <w:top w:val="nil"/>
              <w:left w:val="nil"/>
              <w:bottom w:val="nil"/>
              <w:right w:val="nil"/>
            </w:tcBorders>
            <w:shd w:val="clear" w:color="auto" w:fill="auto"/>
            <w:noWrap/>
            <w:vAlign w:val="bottom"/>
            <w:hideMark/>
          </w:tcPr>
          <w:p w14:paraId="141399DA" w14:textId="77777777" w:rsidR="00FD5987" w:rsidRPr="000939E3" w:rsidRDefault="00FD5987" w:rsidP="00FD5987">
            <w:pPr>
              <w:spacing w:after="0"/>
              <w:contextualSpacing/>
              <w:rPr>
                <w:color w:val="000000"/>
                <w:sz w:val="16"/>
                <w:szCs w:val="16"/>
              </w:rPr>
            </w:pPr>
            <w:r w:rsidRPr="000939E3">
              <w:rPr>
                <w:color w:val="000000"/>
                <w:sz w:val="16"/>
                <w:szCs w:val="16"/>
              </w:rPr>
              <w:t>Úrad na ochranu osobných údajov SR</w:t>
            </w:r>
          </w:p>
        </w:tc>
        <w:tc>
          <w:tcPr>
            <w:tcW w:w="1129" w:type="dxa"/>
            <w:tcBorders>
              <w:top w:val="nil"/>
              <w:left w:val="nil"/>
              <w:bottom w:val="nil"/>
              <w:right w:val="nil"/>
            </w:tcBorders>
            <w:shd w:val="clear" w:color="auto" w:fill="auto"/>
            <w:noWrap/>
            <w:vAlign w:val="bottom"/>
            <w:hideMark/>
          </w:tcPr>
          <w:p w14:paraId="4F020DF8" w14:textId="77777777" w:rsidR="00FD5987" w:rsidRPr="000939E3" w:rsidRDefault="00FD5987" w:rsidP="00FD5987">
            <w:pPr>
              <w:spacing w:after="0"/>
              <w:contextualSpacing/>
              <w:jc w:val="right"/>
              <w:rPr>
                <w:sz w:val="16"/>
                <w:szCs w:val="16"/>
              </w:rPr>
            </w:pPr>
            <w:r w:rsidRPr="000939E3">
              <w:rPr>
                <w:sz w:val="16"/>
                <w:szCs w:val="16"/>
              </w:rPr>
              <w:t>34</w:t>
            </w:r>
          </w:p>
        </w:tc>
        <w:tc>
          <w:tcPr>
            <w:tcW w:w="1057" w:type="dxa"/>
            <w:tcBorders>
              <w:top w:val="nil"/>
              <w:left w:val="nil"/>
              <w:bottom w:val="nil"/>
              <w:right w:val="nil"/>
            </w:tcBorders>
            <w:shd w:val="clear" w:color="auto" w:fill="auto"/>
            <w:noWrap/>
            <w:vAlign w:val="bottom"/>
            <w:hideMark/>
          </w:tcPr>
          <w:p w14:paraId="1CDED1C4" w14:textId="77777777" w:rsidR="00FD5987" w:rsidRPr="000939E3" w:rsidRDefault="00FD5987" w:rsidP="00FD5987">
            <w:pPr>
              <w:spacing w:after="0"/>
              <w:contextualSpacing/>
              <w:jc w:val="right"/>
              <w:rPr>
                <w:sz w:val="16"/>
                <w:szCs w:val="16"/>
              </w:rPr>
            </w:pPr>
            <w:r w:rsidRPr="000939E3">
              <w:rPr>
                <w:sz w:val="16"/>
                <w:szCs w:val="16"/>
              </w:rPr>
              <w:t>0,5</w:t>
            </w:r>
          </w:p>
        </w:tc>
        <w:tc>
          <w:tcPr>
            <w:tcW w:w="1216" w:type="dxa"/>
            <w:tcBorders>
              <w:top w:val="nil"/>
              <w:left w:val="nil"/>
              <w:bottom w:val="nil"/>
              <w:right w:val="single" w:sz="4" w:space="0" w:color="auto"/>
            </w:tcBorders>
            <w:shd w:val="clear" w:color="auto" w:fill="auto"/>
            <w:noWrap/>
            <w:vAlign w:val="bottom"/>
            <w:hideMark/>
          </w:tcPr>
          <w:p w14:paraId="2B220A8C" w14:textId="77777777" w:rsidR="00FD5987" w:rsidRPr="000939E3" w:rsidRDefault="00FD5987" w:rsidP="00FD5987">
            <w:pPr>
              <w:spacing w:after="0"/>
              <w:contextualSpacing/>
              <w:jc w:val="right"/>
              <w:rPr>
                <w:sz w:val="16"/>
                <w:szCs w:val="16"/>
              </w:rPr>
            </w:pPr>
            <w:r w:rsidRPr="000939E3">
              <w:rPr>
                <w:sz w:val="16"/>
                <w:szCs w:val="16"/>
              </w:rPr>
              <w:t>1 276</w:t>
            </w:r>
          </w:p>
        </w:tc>
        <w:tc>
          <w:tcPr>
            <w:tcW w:w="1148" w:type="dxa"/>
            <w:tcBorders>
              <w:top w:val="nil"/>
              <w:left w:val="single" w:sz="4" w:space="0" w:color="auto"/>
              <w:bottom w:val="nil"/>
              <w:right w:val="nil"/>
            </w:tcBorders>
            <w:shd w:val="clear" w:color="auto" w:fill="auto"/>
            <w:noWrap/>
            <w:vAlign w:val="bottom"/>
            <w:hideMark/>
          </w:tcPr>
          <w:p w14:paraId="53FB5521" w14:textId="77777777" w:rsidR="00FD5987" w:rsidRPr="000939E3" w:rsidRDefault="00FD5987" w:rsidP="00FD5987">
            <w:pPr>
              <w:spacing w:after="0"/>
              <w:contextualSpacing/>
              <w:jc w:val="right"/>
              <w:rPr>
                <w:sz w:val="16"/>
                <w:szCs w:val="16"/>
              </w:rPr>
            </w:pPr>
          </w:p>
        </w:tc>
        <w:tc>
          <w:tcPr>
            <w:tcW w:w="1184" w:type="dxa"/>
            <w:tcBorders>
              <w:top w:val="nil"/>
              <w:left w:val="nil"/>
              <w:bottom w:val="nil"/>
              <w:right w:val="nil"/>
            </w:tcBorders>
            <w:shd w:val="clear" w:color="auto" w:fill="auto"/>
            <w:noWrap/>
            <w:vAlign w:val="bottom"/>
            <w:hideMark/>
          </w:tcPr>
          <w:p w14:paraId="6BFDBCA3" w14:textId="77777777" w:rsidR="00FD5987" w:rsidRPr="000939E3" w:rsidRDefault="00FD5987" w:rsidP="00FD5987">
            <w:pPr>
              <w:spacing w:after="0"/>
              <w:contextualSpacing/>
              <w:rPr>
                <w:sz w:val="16"/>
                <w:szCs w:val="16"/>
              </w:rPr>
            </w:pPr>
          </w:p>
        </w:tc>
        <w:tc>
          <w:tcPr>
            <w:tcW w:w="1354" w:type="dxa"/>
            <w:tcBorders>
              <w:top w:val="nil"/>
              <w:left w:val="nil"/>
              <w:bottom w:val="nil"/>
              <w:right w:val="single" w:sz="4" w:space="0" w:color="auto"/>
            </w:tcBorders>
            <w:shd w:val="clear" w:color="auto" w:fill="auto"/>
            <w:noWrap/>
            <w:vAlign w:val="bottom"/>
            <w:hideMark/>
          </w:tcPr>
          <w:p w14:paraId="003A9767" w14:textId="77777777" w:rsidR="00FD5987" w:rsidRPr="000939E3" w:rsidRDefault="00FD5987" w:rsidP="00FD5987">
            <w:pPr>
              <w:spacing w:after="0"/>
              <w:contextualSpacing/>
              <w:jc w:val="right"/>
              <w:rPr>
                <w:sz w:val="16"/>
                <w:szCs w:val="16"/>
              </w:rPr>
            </w:pPr>
          </w:p>
        </w:tc>
        <w:tc>
          <w:tcPr>
            <w:tcW w:w="1179" w:type="dxa"/>
            <w:tcBorders>
              <w:top w:val="nil"/>
              <w:left w:val="single" w:sz="4" w:space="0" w:color="auto"/>
              <w:bottom w:val="nil"/>
              <w:right w:val="nil"/>
            </w:tcBorders>
            <w:shd w:val="clear" w:color="auto" w:fill="auto"/>
            <w:noWrap/>
            <w:vAlign w:val="bottom"/>
            <w:hideMark/>
          </w:tcPr>
          <w:p w14:paraId="62CF0A54" w14:textId="77777777" w:rsidR="00FD5987" w:rsidRPr="000939E3" w:rsidRDefault="00FD5987" w:rsidP="00FD5987">
            <w:pPr>
              <w:spacing w:after="0"/>
              <w:contextualSpacing/>
              <w:jc w:val="right"/>
              <w:rPr>
                <w:color w:val="000000"/>
                <w:sz w:val="16"/>
                <w:szCs w:val="16"/>
              </w:rPr>
            </w:pPr>
            <w:r w:rsidRPr="000939E3">
              <w:rPr>
                <w:color w:val="000000"/>
                <w:sz w:val="16"/>
                <w:szCs w:val="16"/>
              </w:rPr>
              <w:t>34</w:t>
            </w:r>
          </w:p>
        </w:tc>
        <w:tc>
          <w:tcPr>
            <w:tcW w:w="947" w:type="dxa"/>
            <w:tcBorders>
              <w:top w:val="nil"/>
              <w:left w:val="nil"/>
              <w:bottom w:val="nil"/>
              <w:right w:val="nil"/>
            </w:tcBorders>
            <w:shd w:val="clear" w:color="auto" w:fill="auto"/>
            <w:noWrap/>
            <w:vAlign w:val="bottom"/>
            <w:hideMark/>
          </w:tcPr>
          <w:p w14:paraId="3BCC3666" w14:textId="77777777" w:rsidR="00FD5987" w:rsidRPr="000939E3" w:rsidRDefault="00FD5987" w:rsidP="00FD5987">
            <w:pPr>
              <w:spacing w:after="0"/>
              <w:contextualSpacing/>
              <w:jc w:val="right"/>
              <w:rPr>
                <w:sz w:val="16"/>
                <w:szCs w:val="16"/>
              </w:rPr>
            </w:pPr>
            <w:r w:rsidRPr="000939E3">
              <w:rPr>
                <w:sz w:val="16"/>
                <w:szCs w:val="16"/>
              </w:rPr>
              <w:t>0,5</w:t>
            </w:r>
          </w:p>
        </w:tc>
        <w:tc>
          <w:tcPr>
            <w:tcW w:w="1276" w:type="dxa"/>
            <w:tcBorders>
              <w:top w:val="nil"/>
              <w:left w:val="nil"/>
              <w:bottom w:val="nil"/>
              <w:right w:val="nil"/>
            </w:tcBorders>
            <w:shd w:val="clear" w:color="auto" w:fill="auto"/>
            <w:noWrap/>
            <w:vAlign w:val="bottom"/>
            <w:hideMark/>
          </w:tcPr>
          <w:p w14:paraId="244FAEEA" w14:textId="77777777" w:rsidR="00FD5987" w:rsidRPr="000939E3" w:rsidRDefault="00FD5987" w:rsidP="00FD5987">
            <w:pPr>
              <w:spacing w:after="0"/>
              <w:contextualSpacing/>
              <w:jc w:val="right"/>
              <w:rPr>
                <w:color w:val="000000"/>
                <w:sz w:val="16"/>
                <w:szCs w:val="16"/>
              </w:rPr>
            </w:pPr>
            <w:r w:rsidRPr="000939E3">
              <w:rPr>
                <w:color w:val="000000"/>
                <w:sz w:val="16"/>
                <w:szCs w:val="16"/>
              </w:rPr>
              <w:t>1 282</w:t>
            </w:r>
          </w:p>
        </w:tc>
      </w:tr>
      <w:tr w:rsidR="00FD5987" w:rsidRPr="000939E3" w14:paraId="57BAE06B" w14:textId="77777777" w:rsidTr="00FD5987">
        <w:trPr>
          <w:trHeight w:val="17"/>
        </w:trPr>
        <w:tc>
          <w:tcPr>
            <w:tcW w:w="3544" w:type="dxa"/>
            <w:tcBorders>
              <w:top w:val="nil"/>
              <w:left w:val="nil"/>
              <w:bottom w:val="nil"/>
              <w:right w:val="nil"/>
            </w:tcBorders>
            <w:shd w:val="clear" w:color="auto" w:fill="auto"/>
            <w:noWrap/>
            <w:vAlign w:val="bottom"/>
            <w:hideMark/>
          </w:tcPr>
          <w:p w14:paraId="3BB3CBEB" w14:textId="77777777" w:rsidR="00FD5987" w:rsidRPr="000939E3" w:rsidRDefault="00FD5987" w:rsidP="00FD5987">
            <w:pPr>
              <w:spacing w:after="0"/>
              <w:contextualSpacing/>
              <w:rPr>
                <w:color w:val="000000"/>
                <w:sz w:val="16"/>
                <w:szCs w:val="16"/>
              </w:rPr>
            </w:pPr>
            <w:r w:rsidRPr="000939E3">
              <w:rPr>
                <w:color w:val="000000"/>
                <w:sz w:val="16"/>
                <w:szCs w:val="16"/>
              </w:rPr>
              <w:t>Rada pre vysielanie a retransmisiu</w:t>
            </w:r>
          </w:p>
        </w:tc>
        <w:tc>
          <w:tcPr>
            <w:tcW w:w="1129" w:type="dxa"/>
            <w:tcBorders>
              <w:top w:val="nil"/>
              <w:left w:val="nil"/>
              <w:bottom w:val="nil"/>
              <w:right w:val="nil"/>
            </w:tcBorders>
            <w:shd w:val="clear" w:color="auto" w:fill="auto"/>
            <w:noWrap/>
            <w:vAlign w:val="bottom"/>
            <w:hideMark/>
          </w:tcPr>
          <w:p w14:paraId="7BA2B768" w14:textId="77777777" w:rsidR="00FD5987" w:rsidRPr="000939E3" w:rsidRDefault="00FD5987" w:rsidP="00FD5987">
            <w:pPr>
              <w:spacing w:after="0"/>
              <w:contextualSpacing/>
              <w:jc w:val="right"/>
              <w:rPr>
                <w:sz w:val="16"/>
                <w:szCs w:val="16"/>
              </w:rPr>
            </w:pPr>
            <w:r w:rsidRPr="000939E3">
              <w:rPr>
                <w:sz w:val="16"/>
                <w:szCs w:val="16"/>
              </w:rPr>
              <w:t>30</w:t>
            </w:r>
          </w:p>
        </w:tc>
        <w:tc>
          <w:tcPr>
            <w:tcW w:w="1057" w:type="dxa"/>
            <w:tcBorders>
              <w:top w:val="nil"/>
              <w:left w:val="nil"/>
              <w:bottom w:val="nil"/>
              <w:right w:val="nil"/>
            </w:tcBorders>
            <w:shd w:val="clear" w:color="auto" w:fill="auto"/>
            <w:noWrap/>
            <w:vAlign w:val="bottom"/>
            <w:hideMark/>
          </w:tcPr>
          <w:p w14:paraId="2C630419" w14:textId="77777777" w:rsidR="00FD5987" w:rsidRPr="000939E3" w:rsidRDefault="00FD5987" w:rsidP="00FD5987">
            <w:pPr>
              <w:spacing w:after="0"/>
              <w:contextualSpacing/>
              <w:jc w:val="right"/>
              <w:rPr>
                <w:sz w:val="16"/>
                <w:szCs w:val="16"/>
              </w:rPr>
            </w:pPr>
            <w:r w:rsidRPr="000939E3">
              <w:rPr>
                <w:sz w:val="16"/>
                <w:szCs w:val="16"/>
              </w:rPr>
              <w:t>0,5</w:t>
            </w:r>
          </w:p>
        </w:tc>
        <w:tc>
          <w:tcPr>
            <w:tcW w:w="1216" w:type="dxa"/>
            <w:tcBorders>
              <w:top w:val="nil"/>
              <w:left w:val="nil"/>
              <w:bottom w:val="nil"/>
              <w:right w:val="single" w:sz="4" w:space="0" w:color="auto"/>
            </w:tcBorders>
            <w:shd w:val="clear" w:color="auto" w:fill="auto"/>
            <w:noWrap/>
            <w:vAlign w:val="bottom"/>
            <w:hideMark/>
          </w:tcPr>
          <w:p w14:paraId="6DA0FB89" w14:textId="77777777" w:rsidR="00FD5987" w:rsidRPr="000939E3" w:rsidRDefault="00FD5987" w:rsidP="00FD5987">
            <w:pPr>
              <w:spacing w:after="0"/>
              <w:contextualSpacing/>
              <w:jc w:val="right"/>
              <w:rPr>
                <w:sz w:val="16"/>
                <w:szCs w:val="16"/>
              </w:rPr>
            </w:pPr>
            <w:r w:rsidRPr="000939E3">
              <w:rPr>
                <w:sz w:val="16"/>
                <w:szCs w:val="16"/>
              </w:rPr>
              <w:t>1 303</w:t>
            </w:r>
          </w:p>
        </w:tc>
        <w:tc>
          <w:tcPr>
            <w:tcW w:w="1148" w:type="dxa"/>
            <w:tcBorders>
              <w:top w:val="nil"/>
              <w:left w:val="single" w:sz="4" w:space="0" w:color="auto"/>
              <w:bottom w:val="nil"/>
              <w:right w:val="nil"/>
            </w:tcBorders>
            <w:shd w:val="clear" w:color="auto" w:fill="auto"/>
            <w:noWrap/>
            <w:vAlign w:val="bottom"/>
            <w:hideMark/>
          </w:tcPr>
          <w:p w14:paraId="53DEA969" w14:textId="77777777" w:rsidR="00FD5987" w:rsidRPr="000939E3" w:rsidRDefault="00FD5987" w:rsidP="00FD5987">
            <w:pPr>
              <w:spacing w:after="0"/>
              <w:contextualSpacing/>
              <w:jc w:val="right"/>
              <w:rPr>
                <w:sz w:val="16"/>
                <w:szCs w:val="16"/>
              </w:rPr>
            </w:pPr>
          </w:p>
        </w:tc>
        <w:tc>
          <w:tcPr>
            <w:tcW w:w="1184" w:type="dxa"/>
            <w:tcBorders>
              <w:top w:val="nil"/>
              <w:left w:val="nil"/>
              <w:bottom w:val="nil"/>
              <w:right w:val="nil"/>
            </w:tcBorders>
            <w:shd w:val="clear" w:color="auto" w:fill="auto"/>
            <w:noWrap/>
            <w:vAlign w:val="bottom"/>
            <w:hideMark/>
          </w:tcPr>
          <w:p w14:paraId="2015F7B0" w14:textId="77777777" w:rsidR="00FD5987" w:rsidRPr="000939E3" w:rsidRDefault="00FD5987" w:rsidP="00FD5987">
            <w:pPr>
              <w:spacing w:after="0"/>
              <w:contextualSpacing/>
              <w:rPr>
                <w:sz w:val="16"/>
                <w:szCs w:val="16"/>
              </w:rPr>
            </w:pPr>
          </w:p>
        </w:tc>
        <w:tc>
          <w:tcPr>
            <w:tcW w:w="1354" w:type="dxa"/>
            <w:tcBorders>
              <w:top w:val="nil"/>
              <w:left w:val="nil"/>
              <w:bottom w:val="nil"/>
              <w:right w:val="single" w:sz="4" w:space="0" w:color="auto"/>
            </w:tcBorders>
            <w:shd w:val="clear" w:color="auto" w:fill="auto"/>
            <w:noWrap/>
            <w:vAlign w:val="bottom"/>
            <w:hideMark/>
          </w:tcPr>
          <w:p w14:paraId="05CBECEA" w14:textId="77777777" w:rsidR="00FD5987" w:rsidRPr="000939E3" w:rsidRDefault="00FD5987" w:rsidP="00FD5987">
            <w:pPr>
              <w:spacing w:after="0"/>
              <w:contextualSpacing/>
              <w:jc w:val="right"/>
              <w:rPr>
                <w:sz w:val="16"/>
                <w:szCs w:val="16"/>
              </w:rPr>
            </w:pPr>
          </w:p>
        </w:tc>
        <w:tc>
          <w:tcPr>
            <w:tcW w:w="1179" w:type="dxa"/>
            <w:tcBorders>
              <w:top w:val="nil"/>
              <w:left w:val="single" w:sz="4" w:space="0" w:color="auto"/>
              <w:bottom w:val="nil"/>
              <w:right w:val="nil"/>
            </w:tcBorders>
            <w:shd w:val="clear" w:color="auto" w:fill="auto"/>
            <w:noWrap/>
            <w:vAlign w:val="bottom"/>
            <w:hideMark/>
          </w:tcPr>
          <w:p w14:paraId="7B4C758A" w14:textId="77777777" w:rsidR="00FD5987" w:rsidRPr="000939E3" w:rsidRDefault="00FD5987" w:rsidP="00FD5987">
            <w:pPr>
              <w:spacing w:after="0"/>
              <w:contextualSpacing/>
              <w:jc w:val="right"/>
              <w:rPr>
                <w:color w:val="000000"/>
                <w:sz w:val="16"/>
                <w:szCs w:val="16"/>
              </w:rPr>
            </w:pPr>
            <w:r w:rsidRPr="000939E3">
              <w:rPr>
                <w:color w:val="000000"/>
                <w:sz w:val="16"/>
                <w:szCs w:val="16"/>
              </w:rPr>
              <w:t>30</w:t>
            </w:r>
          </w:p>
        </w:tc>
        <w:tc>
          <w:tcPr>
            <w:tcW w:w="947" w:type="dxa"/>
            <w:tcBorders>
              <w:top w:val="nil"/>
              <w:left w:val="nil"/>
              <w:bottom w:val="nil"/>
              <w:right w:val="nil"/>
            </w:tcBorders>
            <w:shd w:val="clear" w:color="auto" w:fill="auto"/>
            <w:noWrap/>
            <w:vAlign w:val="bottom"/>
            <w:hideMark/>
          </w:tcPr>
          <w:p w14:paraId="3F46399A" w14:textId="77777777" w:rsidR="00FD5987" w:rsidRPr="000939E3" w:rsidRDefault="00FD5987" w:rsidP="00FD5987">
            <w:pPr>
              <w:spacing w:after="0"/>
              <w:contextualSpacing/>
              <w:jc w:val="right"/>
              <w:rPr>
                <w:sz w:val="16"/>
                <w:szCs w:val="16"/>
              </w:rPr>
            </w:pPr>
            <w:r w:rsidRPr="000939E3">
              <w:rPr>
                <w:sz w:val="16"/>
                <w:szCs w:val="16"/>
              </w:rPr>
              <w:t>0,5</w:t>
            </w:r>
          </w:p>
        </w:tc>
        <w:tc>
          <w:tcPr>
            <w:tcW w:w="1276" w:type="dxa"/>
            <w:tcBorders>
              <w:top w:val="nil"/>
              <w:left w:val="nil"/>
              <w:bottom w:val="nil"/>
              <w:right w:val="nil"/>
            </w:tcBorders>
            <w:shd w:val="clear" w:color="auto" w:fill="auto"/>
            <w:noWrap/>
            <w:vAlign w:val="bottom"/>
            <w:hideMark/>
          </w:tcPr>
          <w:p w14:paraId="041C9633" w14:textId="77777777" w:rsidR="00FD5987" w:rsidRPr="000939E3" w:rsidRDefault="00FD5987" w:rsidP="00FD5987">
            <w:pPr>
              <w:spacing w:after="0"/>
              <w:contextualSpacing/>
              <w:jc w:val="right"/>
              <w:rPr>
                <w:color w:val="000000"/>
                <w:sz w:val="16"/>
                <w:szCs w:val="16"/>
              </w:rPr>
            </w:pPr>
            <w:r w:rsidRPr="000939E3">
              <w:rPr>
                <w:color w:val="000000"/>
                <w:sz w:val="16"/>
                <w:szCs w:val="16"/>
              </w:rPr>
              <w:t>1 302</w:t>
            </w:r>
          </w:p>
        </w:tc>
      </w:tr>
      <w:tr w:rsidR="00FD5987" w:rsidRPr="000939E3" w14:paraId="7D008B76" w14:textId="77777777" w:rsidTr="00FD5987">
        <w:trPr>
          <w:trHeight w:val="17"/>
        </w:trPr>
        <w:tc>
          <w:tcPr>
            <w:tcW w:w="3544" w:type="dxa"/>
            <w:tcBorders>
              <w:top w:val="nil"/>
              <w:left w:val="nil"/>
              <w:bottom w:val="single" w:sz="4" w:space="0" w:color="auto"/>
              <w:right w:val="nil"/>
            </w:tcBorders>
            <w:shd w:val="clear" w:color="auto" w:fill="auto"/>
            <w:noWrap/>
            <w:vAlign w:val="bottom"/>
            <w:hideMark/>
          </w:tcPr>
          <w:p w14:paraId="3740440F" w14:textId="77777777" w:rsidR="00FD5987" w:rsidRPr="000939E3" w:rsidRDefault="00FD5987" w:rsidP="00FD5987">
            <w:pPr>
              <w:spacing w:after="0"/>
              <w:contextualSpacing/>
              <w:rPr>
                <w:color w:val="000000"/>
                <w:sz w:val="16"/>
                <w:szCs w:val="16"/>
              </w:rPr>
            </w:pPr>
            <w:r w:rsidRPr="000939E3">
              <w:rPr>
                <w:color w:val="000000"/>
                <w:sz w:val="16"/>
                <w:szCs w:val="16"/>
              </w:rPr>
              <w:t>Kancelária Súdnej rady SR</w:t>
            </w:r>
          </w:p>
        </w:tc>
        <w:tc>
          <w:tcPr>
            <w:tcW w:w="1129" w:type="dxa"/>
            <w:tcBorders>
              <w:top w:val="nil"/>
              <w:left w:val="nil"/>
              <w:bottom w:val="single" w:sz="4" w:space="0" w:color="auto"/>
              <w:right w:val="nil"/>
            </w:tcBorders>
            <w:shd w:val="clear" w:color="auto" w:fill="auto"/>
            <w:noWrap/>
            <w:vAlign w:val="bottom"/>
            <w:hideMark/>
          </w:tcPr>
          <w:p w14:paraId="377FCF76" w14:textId="77777777" w:rsidR="00FD5987" w:rsidRPr="000939E3" w:rsidRDefault="00FD5987" w:rsidP="00FD5987">
            <w:pPr>
              <w:spacing w:after="0"/>
              <w:contextualSpacing/>
              <w:jc w:val="right"/>
              <w:rPr>
                <w:sz w:val="16"/>
                <w:szCs w:val="16"/>
              </w:rPr>
            </w:pPr>
            <w:r w:rsidRPr="000939E3">
              <w:rPr>
                <w:sz w:val="16"/>
                <w:szCs w:val="16"/>
              </w:rPr>
              <w:t>6</w:t>
            </w:r>
          </w:p>
        </w:tc>
        <w:tc>
          <w:tcPr>
            <w:tcW w:w="1057" w:type="dxa"/>
            <w:tcBorders>
              <w:top w:val="nil"/>
              <w:left w:val="nil"/>
              <w:bottom w:val="single" w:sz="4" w:space="0" w:color="auto"/>
              <w:right w:val="nil"/>
            </w:tcBorders>
            <w:shd w:val="clear" w:color="auto" w:fill="auto"/>
            <w:noWrap/>
            <w:vAlign w:val="bottom"/>
            <w:hideMark/>
          </w:tcPr>
          <w:p w14:paraId="3D46BDCE" w14:textId="77777777" w:rsidR="00FD5987" w:rsidRPr="000939E3" w:rsidRDefault="00FD5987" w:rsidP="00FD5987">
            <w:pPr>
              <w:spacing w:after="0"/>
              <w:contextualSpacing/>
              <w:jc w:val="right"/>
              <w:rPr>
                <w:sz w:val="16"/>
                <w:szCs w:val="16"/>
              </w:rPr>
            </w:pPr>
            <w:r w:rsidRPr="000939E3">
              <w:rPr>
                <w:sz w:val="16"/>
                <w:szCs w:val="16"/>
              </w:rPr>
              <w:t>0,4</w:t>
            </w:r>
          </w:p>
        </w:tc>
        <w:tc>
          <w:tcPr>
            <w:tcW w:w="1216" w:type="dxa"/>
            <w:tcBorders>
              <w:top w:val="nil"/>
              <w:left w:val="nil"/>
              <w:bottom w:val="single" w:sz="4" w:space="0" w:color="auto"/>
              <w:right w:val="single" w:sz="4" w:space="0" w:color="auto"/>
            </w:tcBorders>
            <w:shd w:val="clear" w:color="auto" w:fill="auto"/>
            <w:noWrap/>
            <w:vAlign w:val="bottom"/>
            <w:hideMark/>
          </w:tcPr>
          <w:p w14:paraId="5DEC5CCE" w14:textId="77777777" w:rsidR="00FD5987" w:rsidRPr="000939E3" w:rsidRDefault="00FD5987" w:rsidP="00FD5987">
            <w:pPr>
              <w:spacing w:after="0"/>
              <w:contextualSpacing/>
              <w:jc w:val="right"/>
              <w:rPr>
                <w:sz w:val="16"/>
                <w:szCs w:val="16"/>
              </w:rPr>
            </w:pPr>
            <w:r w:rsidRPr="000939E3">
              <w:rPr>
                <w:sz w:val="16"/>
                <w:szCs w:val="16"/>
              </w:rPr>
              <w:t>2 127</w:t>
            </w:r>
          </w:p>
        </w:tc>
        <w:tc>
          <w:tcPr>
            <w:tcW w:w="1148" w:type="dxa"/>
            <w:tcBorders>
              <w:top w:val="nil"/>
              <w:left w:val="single" w:sz="4" w:space="0" w:color="auto"/>
              <w:bottom w:val="single" w:sz="4" w:space="0" w:color="auto"/>
              <w:right w:val="nil"/>
            </w:tcBorders>
            <w:shd w:val="clear" w:color="auto" w:fill="auto"/>
            <w:noWrap/>
            <w:vAlign w:val="bottom"/>
            <w:hideMark/>
          </w:tcPr>
          <w:p w14:paraId="4FB123ED" w14:textId="77777777" w:rsidR="00FD5987" w:rsidRPr="000939E3" w:rsidRDefault="00FD5987" w:rsidP="00FD5987">
            <w:pPr>
              <w:spacing w:after="0"/>
              <w:contextualSpacing/>
              <w:rPr>
                <w:color w:val="000000"/>
                <w:sz w:val="16"/>
                <w:szCs w:val="16"/>
              </w:rPr>
            </w:pPr>
            <w:r w:rsidRPr="000939E3">
              <w:rPr>
                <w:color w:val="000000"/>
                <w:sz w:val="16"/>
                <w:szCs w:val="16"/>
              </w:rPr>
              <w:t> </w:t>
            </w:r>
          </w:p>
        </w:tc>
        <w:tc>
          <w:tcPr>
            <w:tcW w:w="1184" w:type="dxa"/>
            <w:tcBorders>
              <w:top w:val="nil"/>
              <w:left w:val="nil"/>
              <w:bottom w:val="single" w:sz="4" w:space="0" w:color="auto"/>
              <w:right w:val="nil"/>
            </w:tcBorders>
            <w:shd w:val="clear" w:color="auto" w:fill="auto"/>
            <w:noWrap/>
            <w:vAlign w:val="bottom"/>
            <w:hideMark/>
          </w:tcPr>
          <w:p w14:paraId="59BC13D0" w14:textId="77777777" w:rsidR="00FD5987" w:rsidRPr="000939E3" w:rsidRDefault="00FD5987" w:rsidP="00FD5987">
            <w:pPr>
              <w:spacing w:after="0"/>
              <w:contextualSpacing/>
              <w:jc w:val="right"/>
              <w:rPr>
                <w:sz w:val="16"/>
                <w:szCs w:val="16"/>
              </w:rPr>
            </w:pPr>
            <w:r w:rsidRPr="000939E3">
              <w:rPr>
                <w:sz w:val="16"/>
                <w:szCs w:val="16"/>
              </w:rPr>
              <w:t> </w:t>
            </w:r>
          </w:p>
        </w:tc>
        <w:tc>
          <w:tcPr>
            <w:tcW w:w="1354" w:type="dxa"/>
            <w:tcBorders>
              <w:top w:val="nil"/>
              <w:left w:val="nil"/>
              <w:bottom w:val="single" w:sz="4" w:space="0" w:color="auto"/>
              <w:right w:val="single" w:sz="4" w:space="0" w:color="auto"/>
            </w:tcBorders>
            <w:shd w:val="clear" w:color="auto" w:fill="auto"/>
            <w:noWrap/>
            <w:vAlign w:val="bottom"/>
            <w:hideMark/>
          </w:tcPr>
          <w:p w14:paraId="1F50EECD" w14:textId="77777777" w:rsidR="00FD5987" w:rsidRPr="000939E3" w:rsidRDefault="00FD5987" w:rsidP="00FD5987">
            <w:pPr>
              <w:spacing w:after="0"/>
              <w:contextualSpacing/>
              <w:rPr>
                <w:color w:val="000000"/>
                <w:sz w:val="16"/>
                <w:szCs w:val="16"/>
              </w:rPr>
            </w:pPr>
            <w:r w:rsidRPr="000939E3">
              <w:rPr>
                <w:color w:val="000000"/>
                <w:sz w:val="16"/>
                <w:szCs w:val="16"/>
              </w:rPr>
              <w:t> </w:t>
            </w:r>
          </w:p>
        </w:tc>
        <w:tc>
          <w:tcPr>
            <w:tcW w:w="1179" w:type="dxa"/>
            <w:tcBorders>
              <w:top w:val="nil"/>
              <w:left w:val="single" w:sz="4" w:space="0" w:color="auto"/>
              <w:bottom w:val="single" w:sz="4" w:space="0" w:color="auto"/>
              <w:right w:val="nil"/>
            </w:tcBorders>
            <w:shd w:val="clear" w:color="auto" w:fill="auto"/>
            <w:noWrap/>
            <w:vAlign w:val="bottom"/>
            <w:hideMark/>
          </w:tcPr>
          <w:p w14:paraId="7EE5F8F3" w14:textId="77777777" w:rsidR="00FD5987" w:rsidRPr="000939E3" w:rsidRDefault="00FD5987" w:rsidP="00FD5987">
            <w:pPr>
              <w:spacing w:after="0"/>
              <w:contextualSpacing/>
              <w:jc w:val="right"/>
              <w:rPr>
                <w:color w:val="000000"/>
                <w:sz w:val="16"/>
                <w:szCs w:val="16"/>
              </w:rPr>
            </w:pPr>
            <w:r w:rsidRPr="000939E3">
              <w:rPr>
                <w:color w:val="000000"/>
                <w:sz w:val="16"/>
                <w:szCs w:val="16"/>
              </w:rPr>
              <w:t>6</w:t>
            </w:r>
          </w:p>
        </w:tc>
        <w:tc>
          <w:tcPr>
            <w:tcW w:w="947" w:type="dxa"/>
            <w:tcBorders>
              <w:top w:val="nil"/>
              <w:left w:val="nil"/>
              <w:bottom w:val="single" w:sz="4" w:space="0" w:color="auto"/>
              <w:right w:val="nil"/>
            </w:tcBorders>
            <w:shd w:val="clear" w:color="auto" w:fill="auto"/>
            <w:noWrap/>
            <w:vAlign w:val="bottom"/>
            <w:hideMark/>
          </w:tcPr>
          <w:p w14:paraId="578C713F" w14:textId="77777777" w:rsidR="00FD5987" w:rsidRPr="000939E3" w:rsidRDefault="00FD5987" w:rsidP="00FD5987">
            <w:pPr>
              <w:spacing w:after="0"/>
              <w:contextualSpacing/>
              <w:jc w:val="right"/>
              <w:rPr>
                <w:sz w:val="16"/>
                <w:szCs w:val="16"/>
              </w:rPr>
            </w:pPr>
            <w:r w:rsidRPr="000939E3">
              <w:rPr>
                <w:sz w:val="16"/>
                <w:szCs w:val="16"/>
              </w:rPr>
              <w:t>0,4</w:t>
            </w:r>
          </w:p>
        </w:tc>
        <w:tc>
          <w:tcPr>
            <w:tcW w:w="1276" w:type="dxa"/>
            <w:tcBorders>
              <w:top w:val="nil"/>
              <w:left w:val="nil"/>
              <w:bottom w:val="single" w:sz="4" w:space="0" w:color="auto"/>
              <w:right w:val="nil"/>
            </w:tcBorders>
            <w:shd w:val="clear" w:color="auto" w:fill="auto"/>
            <w:noWrap/>
            <w:vAlign w:val="bottom"/>
            <w:hideMark/>
          </w:tcPr>
          <w:p w14:paraId="41E1582D" w14:textId="77777777" w:rsidR="00FD5987" w:rsidRPr="000939E3" w:rsidRDefault="00FD5987" w:rsidP="00FD5987">
            <w:pPr>
              <w:spacing w:after="0"/>
              <w:contextualSpacing/>
              <w:jc w:val="right"/>
              <w:rPr>
                <w:color w:val="000000"/>
                <w:sz w:val="16"/>
                <w:szCs w:val="16"/>
              </w:rPr>
            </w:pPr>
            <w:r w:rsidRPr="000939E3">
              <w:rPr>
                <w:color w:val="000000"/>
                <w:sz w:val="16"/>
                <w:szCs w:val="16"/>
              </w:rPr>
              <w:t>5 629</w:t>
            </w:r>
          </w:p>
        </w:tc>
      </w:tr>
      <w:tr w:rsidR="00FD5987" w:rsidRPr="000939E3" w14:paraId="380CE3CD" w14:textId="77777777" w:rsidTr="00FD5987">
        <w:trPr>
          <w:trHeight w:val="164"/>
        </w:trPr>
        <w:tc>
          <w:tcPr>
            <w:tcW w:w="3544" w:type="dxa"/>
            <w:tcBorders>
              <w:top w:val="single" w:sz="4" w:space="0" w:color="auto"/>
              <w:left w:val="nil"/>
              <w:bottom w:val="single" w:sz="4" w:space="0" w:color="auto"/>
              <w:right w:val="nil"/>
            </w:tcBorders>
            <w:shd w:val="clear" w:color="auto" w:fill="auto"/>
            <w:noWrap/>
            <w:vAlign w:val="bottom"/>
            <w:hideMark/>
          </w:tcPr>
          <w:p w14:paraId="18F33B42" w14:textId="77777777" w:rsidR="00FD5987" w:rsidRPr="000939E3" w:rsidRDefault="00FD5987" w:rsidP="00FD5987">
            <w:pPr>
              <w:spacing w:after="0"/>
              <w:contextualSpacing/>
              <w:rPr>
                <w:b/>
                <w:bCs/>
                <w:color w:val="000000"/>
                <w:sz w:val="18"/>
                <w:szCs w:val="20"/>
              </w:rPr>
            </w:pPr>
            <w:r w:rsidRPr="000939E3">
              <w:rPr>
                <w:b/>
                <w:bCs/>
                <w:color w:val="000000"/>
                <w:sz w:val="18"/>
                <w:szCs w:val="20"/>
              </w:rPr>
              <w:t>SPOLU</w:t>
            </w:r>
          </w:p>
        </w:tc>
        <w:tc>
          <w:tcPr>
            <w:tcW w:w="1129" w:type="dxa"/>
            <w:tcBorders>
              <w:top w:val="single" w:sz="4" w:space="0" w:color="auto"/>
              <w:left w:val="nil"/>
              <w:bottom w:val="single" w:sz="4" w:space="0" w:color="auto"/>
              <w:right w:val="nil"/>
            </w:tcBorders>
            <w:shd w:val="clear" w:color="auto" w:fill="auto"/>
            <w:noWrap/>
            <w:vAlign w:val="bottom"/>
            <w:hideMark/>
          </w:tcPr>
          <w:p w14:paraId="46352386" w14:textId="77777777" w:rsidR="00FD5987" w:rsidRPr="000939E3" w:rsidRDefault="00FD5987" w:rsidP="00FD5987">
            <w:pPr>
              <w:spacing w:after="0"/>
              <w:contextualSpacing/>
              <w:jc w:val="right"/>
              <w:rPr>
                <w:b/>
                <w:bCs/>
                <w:sz w:val="18"/>
                <w:szCs w:val="20"/>
              </w:rPr>
            </w:pPr>
            <w:r w:rsidRPr="000939E3">
              <w:rPr>
                <w:b/>
                <w:bCs/>
                <w:sz w:val="18"/>
                <w:szCs w:val="20"/>
              </w:rPr>
              <w:t>122 827</w:t>
            </w:r>
          </w:p>
        </w:tc>
        <w:tc>
          <w:tcPr>
            <w:tcW w:w="1057" w:type="dxa"/>
            <w:tcBorders>
              <w:top w:val="single" w:sz="4" w:space="0" w:color="auto"/>
              <w:left w:val="nil"/>
              <w:bottom w:val="single" w:sz="4" w:space="0" w:color="auto"/>
              <w:right w:val="nil"/>
            </w:tcBorders>
            <w:shd w:val="clear" w:color="auto" w:fill="auto"/>
            <w:noWrap/>
            <w:vAlign w:val="bottom"/>
            <w:hideMark/>
          </w:tcPr>
          <w:p w14:paraId="7FA0AFA1" w14:textId="77777777" w:rsidR="00FD5987" w:rsidRPr="000939E3" w:rsidRDefault="00FD5987" w:rsidP="00FD5987">
            <w:pPr>
              <w:spacing w:after="0"/>
              <w:contextualSpacing/>
              <w:jc w:val="right"/>
              <w:rPr>
                <w:b/>
                <w:bCs/>
                <w:sz w:val="18"/>
                <w:szCs w:val="20"/>
              </w:rPr>
            </w:pPr>
            <w:r w:rsidRPr="000939E3">
              <w:rPr>
                <w:b/>
                <w:bCs/>
                <w:sz w:val="18"/>
                <w:szCs w:val="20"/>
              </w:rPr>
              <w:t>1 692,8</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527EBF87" w14:textId="77777777" w:rsidR="00FD5987" w:rsidRPr="000939E3" w:rsidRDefault="00FD5987" w:rsidP="00FD5987">
            <w:pPr>
              <w:spacing w:after="0"/>
              <w:contextualSpacing/>
              <w:jc w:val="right"/>
              <w:rPr>
                <w:b/>
                <w:bCs/>
                <w:sz w:val="18"/>
                <w:szCs w:val="20"/>
              </w:rPr>
            </w:pPr>
            <w:r w:rsidRPr="000939E3">
              <w:rPr>
                <w:b/>
                <w:bCs/>
                <w:sz w:val="18"/>
                <w:szCs w:val="20"/>
              </w:rPr>
              <w:t>1 148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14:paraId="63868A9D" w14:textId="77777777" w:rsidR="00FD5987" w:rsidRPr="000939E3" w:rsidRDefault="00FD5987" w:rsidP="00FD5987">
            <w:pPr>
              <w:spacing w:after="0"/>
              <w:contextualSpacing/>
              <w:jc w:val="right"/>
              <w:rPr>
                <w:b/>
                <w:bCs/>
                <w:color w:val="000000"/>
                <w:sz w:val="18"/>
                <w:szCs w:val="20"/>
              </w:rPr>
            </w:pPr>
            <w:r w:rsidRPr="000939E3">
              <w:rPr>
                <w:b/>
                <w:bCs/>
                <w:color w:val="000000"/>
                <w:sz w:val="18"/>
                <w:szCs w:val="20"/>
              </w:rPr>
              <w:t>11 174</w:t>
            </w:r>
          </w:p>
        </w:tc>
        <w:tc>
          <w:tcPr>
            <w:tcW w:w="1184" w:type="dxa"/>
            <w:tcBorders>
              <w:top w:val="single" w:sz="4" w:space="0" w:color="auto"/>
              <w:left w:val="nil"/>
              <w:bottom w:val="single" w:sz="4" w:space="0" w:color="auto"/>
              <w:right w:val="nil"/>
            </w:tcBorders>
            <w:shd w:val="clear" w:color="auto" w:fill="auto"/>
            <w:noWrap/>
            <w:vAlign w:val="bottom"/>
            <w:hideMark/>
          </w:tcPr>
          <w:p w14:paraId="3B808A71" w14:textId="77777777" w:rsidR="00FD5987" w:rsidRPr="000939E3" w:rsidRDefault="00FD5987" w:rsidP="00FD5987">
            <w:pPr>
              <w:spacing w:after="0"/>
              <w:contextualSpacing/>
              <w:jc w:val="right"/>
              <w:rPr>
                <w:b/>
                <w:bCs/>
                <w:sz w:val="18"/>
                <w:szCs w:val="20"/>
              </w:rPr>
            </w:pPr>
            <w:r w:rsidRPr="000939E3">
              <w:rPr>
                <w:b/>
                <w:bCs/>
                <w:sz w:val="18"/>
                <w:szCs w:val="20"/>
              </w:rPr>
              <w:t>229,8</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14:paraId="4D4BEFFC" w14:textId="77777777" w:rsidR="00FD5987" w:rsidRPr="000939E3" w:rsidRDefault="00FD5987" w:rsidP="00FD5987">
            <w:pPr>
              <w:spacing w:after="0"/>
              <w:contextualSpacing/>
              <w:jc w:val="right"/>
              <w:rPr>
                <w:b/>
                <w:bCs/>
                <w:color w:val="000000"/>
                <w:sz w:val="18"/>
                <w:szCs w:val="20"/>
              </w:rPr>
            </w:pPr>
            <w:r w:rsidRPr="000939E3">
              <w:rPr>
                <w:b/>
                <w:bCs/>
                <w:color w:val="000000"/>
                <w:sz w:val="18"/>
                <w:szCs w:val="20"/>
              </w:rPr>
              <w:t>1 667</w:t>
            </w:r>
          </w:p>
        </w:tc>
        <w:tc>
          <w:tcPr>
            <w:tcW w:w="1179" w:type="dxa"/>
            <w:tcBorders>
              <w:top w:val="single" w:sz="4" w:space="0" w:color="auto"/>
              <w:left w:val="single" w:sz="4" w:space="0" w:color="auto"/>
              <w:bottom w:val="single" w:sz="4" w:space="0" w:color="auto"/>
              <w:right w:val="nil"/>
            </w:tcBorders>
            <w:shd w:val="clear" w:color="auto" w:fill="auto"/>
            <w:noWrap/>
            <w:vAlign w:val="bottom"/>
            <w:hideMark/>
          </w:tcPr>
          <w:p w14:paraId="754275B4" w14:textId="77777777" w:rsidR="00FD5987" w:rsidRPr="000939E3" w:rsidRDefault="00FD5987" w:rsidP="00FD5987">
            <w:pPr>
              <w:spacing w:after="0"/>
              <w:contextualSpacing/>
              <w:jc w:val="right"/>
              <w:rPr>
                <w:b/>
                <w:bCs/>
                <w:color w:val="000000"/>
                <w:sz w:val="18"/>
                <w:szCs w:val="20"/>
              </w:rPr>
            </w:pPr>
            <w:r w:rsidRPr="000939E3">
              <w:rPr>
                <w:b/>
                <w:bCs/>
                <w:color w:val="000000"/>
                <w:sz w:val="18"/>
                <w:szCs w:val="20"/>
              </w:rPr>
              <w:t>111 653</w:t>
            </w:r>
          </w:p>
        </w:tc>
        <w:tc>
          <w:tcPr>
            <w:tcW w:w="947" w:type="dxa"/>
            <w:tcBorders>
              <w:top w:val="single" w:sz="4" w:space="0" w:color="auto"/>
              <w:left w:val="nil"/>
              <w:bottom w:val="single" w:sz="4" w:space="0" w:color="auto"/>
              <w:right w:val="nil"/>
            </w:tcBorders>
            <w:shd w:val="clear" w:color="auto" w:fill="auto"/>
            <w:noWrap/>
            <w:vAlign w:val="bottom"/>
            <w:hideMark/>
          </w:tcPr>
          <w:p w14:paraId="11AA6E75" w14:textId="77777777" w:rsidR="00FD5987" w:rsidRPr="000939E3" w:rsidRDefault="00FD5987" w:rsidP="00FD5987">
            <w:pPr>
              <w:spacing w:after="0"/>
              <w:contextualSpacing/>
              <w:jc w:val="right"/>
              <w:rPr>
                <w:b/>
                <w:bCs/>
                <w:sz w:val="18"/>
                <w:szCs w:val="20"/>
              </w:rPr>
            </w:pPr>
            <w:r w:rsidRPr="000939E3">
              <w:rPr>
                <w:b/>
                <w:bCs/>
                <w:sz w:val="18"/>
                <w:szCs w:val="20"/>
              </w:rPr>
              <w:t>1 463,0</w:t>
            </w:r>
          </w:p>
        </w:tc>
        <w:tc>
          <w:tcPr>
            <w:tcW w:w="1276" w:type="dxa"/>
            <w:tcBorders>
              <w:top w:val="single" w:sz="4" w:space="0" w:color="auto"/>
              <w:left w:val="nil"/>
              <w:bottom w:val="single" w:sz="4" w:space="0" w:color="auto"/>
              <w:right w:val="nil"/>
            </w:tcBorders>
            <w:shd w:val="clear" w:color="auto" w:fill="auto"/>
            <w:noWrap/>
            <w:vAlign w:val="bottom"/>
            <w:hideMark/>
          </w:tcPr>
          <w:p w14:paraId="525C3FEA" w14:textId="77777777" w:rsidR="00FD5987" w:rsidRPr="000939E3" w:rsidRDefault="00FD5987" w:rsidP="00FD5987">
            <w:pPr>
              <w:spacing w:after="0"/>
              <w:contextualSpacing/>
              <w:jc w:val="right"/>
              <w:rPr>
                <w:b/>
                <w:bCs/>
                <w:color w:val="000000"/>
                <w:sz w:val="18"/>
                <w:szCs w:val="20"/>
              </w:rPr>
            </w:pPr>
            <w:r w:rsidRPr="000939E3">
              <w:rPr>
                <w:b/>
                <w:bCs/>
                <w:color w:val="000000"/>
                <w:sz w:val="18"/>
                <w:szCs w:val="20"/>
              </w:rPr>
              <w:t>1 092</w:t>
            </w:r>
          </w:p>
        </w:tc>
      </w:tr>
    </w:tbl>
    <w:p w14:paraId="341A1E99" w14:textId="77777777" w:rsidR="00D61CAD" w:rsidRPr="000939E3" w:rsidRDefault="00D61CAD" w:rsidP="00D61CAD">
      <w:pPr>
        <w:pStyle w:val="Popis"/>
        <w:jc w:val="right"/>
        <w:rPr>
          <w:b w:val="0"/>
          <w:i/>
          <w:color w:val="000000" w:themeColor="text1"/>
          <w:sz w:val="16"/>
        </w:rPr>
      </w:pPr>
      <w:r w:rsidRPr="000939E3">
        <w:rPr>
          <w:b w:val="0"/>
          <w:i/>
          <w:color w:val="000000" w:themeColor="text1"/>
          <w:sz w:val="16"/>
        </w:rPr>
        <w:t>Zdroj: SRP MF SR</w:t>
      </w:r>
    </w:p>
    <w:p w14:paraId="55C74283" w14:textId="77777777" w:rsidR="00D61CAD" w:rsidRPr="000939E3" w:rsidRDefault="00D61CAD" w:rsidP="00D61CAD">
      <w:pPr>
        <w:spacing w:after="160"/>
        <w:jc w:val="left"/>
        <w:sectPr w:rsidR="00D61CAD" w:rsidRPr="000939E3" w:rsidSect="00CF6E4C">
          <w:pgSz w:w="16838" w:h="11906" w:orient="landscape"/>
          <w:pgMar w:top="1417" w:right="1417" w:bottom="1417" w:left="1417" w:header="708" w:footer="708" w:gutter="0"/>
          <w:cols w:space="708"/>
          <w:docGrid w:linePitch="360"/>
        </w:sectPr>
      </w:pPr>
    </w:p>
    <w:p w14:paraId="48C7F719" w14:textId="77777777" w:rsidR="00D61CAD" w:rsidRPr="000939E3" w:rsidRDefault="00D61CAD" w:rsidP="00D61CAD">
      <w:pPr>
        <w:pStyle w:val="Popis"/>
        <w:spacing w:before="240"/>
        <w:jc w:val="left"/>
        <w:rPr>
          <w:b w:val="0"/>
          <w:sz w:val="22"/>
        </w:rPr>
      </w:pPr>
      <w:bookmarkStart w:id="328" w:name="_Ref532839944"/>
      <w:bookmarkStart w:id="329" w:name="_Ref532839938"/>
      <w:r w:rsidRPr="000939E3">
        <w:rPr>
          <w:sz w:val="22"/>
        </w:rPr>
        <w:t xml:space="preserve">Príloha </w:t>
      </w:r>
      <w:r w:rsidRPr="000939E3">
        <w:rPr>
          <w:sz w:val="22"/>
        </w:rPr>
        <w:fldChar w:fldCharType="begin"/>
      </w:r>
      <w:r w:rsidRPr="000939E3">
        <w:rPr>
          <w:sz w:val="22"/>
        </w:rPr>
        <w:instrText xml:space="preserve"> SEQ Príloha \* ARABIC </w:instrText>
      </w:r>
      <w:r w:rsidRPr="000939E3">
        <w:rPr>
          <w:sz w:val="22"/>
        </w:rPr>
        <w:fldChar w:fldCharType="separate"/>
      </w:r>
      <w:r w:rsidR="00BF69CA">
        <w:rPr>
          <w:noProof/>
          <w:sz w:val="22"/>
        </w:rPr>
        <w:t>15</w:t>
      </w:r>
      <w:r w:rsidRPr="000939E3">
        <w:rPr>
          <w:sz w:val="22"/>
        </w:rPr>
        <w:fldChar w:fldCharType="end"/>
      </w:r>
      <w:bookmarkEnd w:id="328"/>
      <w:r w:rsidRPr="000939E3">
        <w:rPr>
          <w:sz w:val="22"/>
        </w:rPr>
        <w:t>: Oblasti podporných a prierezových činností</w:t>
      </w:r>
      <w:bookmarkEnd w:id="329"/>
      <w:r w:rsidRPr="000939E3">
        <w:rPr>
          <w:sz w:val="22"/>
        </w:rPr>
        <w:t xml:space="preserve"> </w:t>
      </w:r>
    </w:p>
    <w:p w14:paraId="3A5F52DF" w14:textId="77777777" w:rsidR="00D61CAD" w:rsidRPr="000939E3" w:rsidRDefault="00D61CAD" w:rsidP="00D61CAD">
      <w:pPr>
        <w:spacing w:after="160"/>
      </w:pPr>
      <w:r w:rsidRPr="000939E3">
        <w:t>Na základe organizačných poriadkov organizácií boli identifikované podporné a prierezové činnosti. Prierezový a podporný charakter činností bol validovaný v spolupráci s osobným úradom MF SR. Činnosti boli následne rozdelené do 11 oblastí, v ktorých bol vykonaný zber náročnosti na interné a externé zdroje. Z výpočtu potenciálu úspor</w:t>
      </w:r>
      <w:r w:rsidRPr="000939E3" w:rsidDel="00BB3DC5">
        <w:t xml:space="preserve"> </w:t>
      </w:r>
      <w:r w:rsidRPr="000939E3">
        <w:t xml:space="preserve">boli počas konsolidácie dát vylúčené 3 oblasti, v ktorých nebolo možné jasne oddeliť náklady na odbornú a podpornú časť. Z porovnania boli vylúčenými oblasť majetkových práv, kancelárie štátneho tajomníka a generálneho tajomníka služobného úradu. </w:t>
      </w:r>
    </w:p>
    <w:tbl>
      <w:tblPr>
        <w:tblStyle w:val="Mriekatabuky1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253"/>
        <w:gridCol w:w="1984"/>
      </w:tblGrid>
      <w:tr w:rsidR="00D61CAD" w:rsidRPr="000939E3" w14:paraId="3CDCE2B4" w14:textId="77777777" w:rsidTr="00D61CAD">
        <w:trPr>
          <w:jc w:val="center"/>
        </w:trPr>
        <w:tc>
          <w:tcPr>
            <w:tcW w:w="9072" w:type="dxa"/>
            <w:gridSpan w:val="3"/>
            <w:tcBorders>
              <w:bottom w:val="single" w:sz="4" w:space="0" w:color="auto"/>
            </w:tcBorders>
          </w:tcPr>
          <w:p w14:paraId="75FB1837" w14:textId="77777777" w:rsidR="00D61CAD" w:rsidRPr="000939E3" w:rsidRDefault="00D61CAD" w:rsidP="00D61CAD">
            <w:pPr>
              <w:spacing w:after="0"/>
              <w:jc w:val="left"/>
              <w:rPr>
                <w:b/>
                <w:sz w:val="20"/>
              </w:rPr>
            </w:pPr>
            <w:r w:rsidRPr="000939E3">
              <w:rPr>
                <w:b/>
                <w:sz w:val="20"/>
              </w:rPr>
              <w:t>Tabuľka: Podporné a prierezové činnosti</w:t>
            </w:r>
          </w:p>
        </w:tc>
      </w:tr>
      <w:tr w:rsidR="00D61CAD" w:rsidRPr="000939E3" w14:paraId="4517D3CC" w14:textId="77777777" w:rsidTr="00D61CAD">
        <w:trPr>
          <w:jc w:val="center"/>
        </w:trPr>
        <w:tc>
          <w:tcPr>
            <w:tcW w:w="2835" w:type="dxa"/>
            <w:tcBorders>
              <w:top w:val="single" w:sz="4" w:space="0" w:color="auto"/>
              <w:bottom w:val="single" w:sz="4" w:space="0" w:color="auto"/>
            </w:tcBorders>
            <w:shd w:val="clear" w:color="auto" w:fill="BDD6EE" w:themeFill="accent1" w:themeFillTint="66"/>
          </w:tcPr>
          <w:p w14:paraId="00F1DC73" w14:textId="77777777" w:rsidR="00D61CAD" w:rsidRPr="000939E3" w:rsidRDefault="00D61CAD" w:rsidP="00D61CAD">
            <w:pPr>
              <w:spacing w:after="0"/>
              <w:jc w:val="left"/>
              <w:rPr>
                <w:b/>
              </w:rPr>
            </w:pPr>
            <w:r w:rsidRPr="000939E3">
              <w:rPr>
                <w:b/>
              </w:rPr>
              <w:t>Oblasť</w:t>
            </w:r>
          </w:p>
        </w:tc>
        <w:tc>
          <w:tcPr>
            <w:tcW w:w="4253" w:type="dxa"/>
            <w:tcBorders>
              <w:top w:val="single" w:sz="4" w:space="0" w:color="auto"/>
              <w:bottom w:val="single" w:sz="4" w:space="0" w:color="auto"/>
            </w:tcBorders>
            <w:shd w:val="clear" w:color="auto" w:fill="BDD6EE" w:themeFill="accent1" w:themeFillTint="66"/>
          </w:tcPr>
          <w:p w14:paraId="59A2DF13" w14:textId="77777777" w:rsidR="00D61CAD" w:rsidRPr="000939E3" w:rsidRDefault="00D61CAD" w:rsidP="00D61CAD">
            <w:pPr>
              <w:spacing w:after="0"/>
              <w:jc w:val="left"/>
              <w:rPr>
                <w:b/>
              </w:rPr>
            </w:pPr>
            <w:r w:rsidRPr="000939E3">
              <w:rPr>
                <w:b/>
              </w:rPr>
              <w:t>Príklad hlavných činností</w:t>
            </w:r>
          </w:p>
        </w:tc>
        <w:tc>
          <w:tcPr>
            <w:tcW w:w="1984" w:type="dxa"/>
            <w:tcBorders>
              <w:top w:val="single" w:sz="4" w:space="0" w:color="auto"/>
              <w:bottom w:val="single" w:sz="4" w:space="0" w:color="auto"/>
            </w:tcBorders>
            <w:shd w:val="clear" w:color="auto" w:fill="BDD6EE" w:themeFill="accent1" w:themeFillTint="66"/>
          </w:tcPr>
          <w:p w14:paraId="5854B7B1" w14:textId="77777777" w:rsidR="00D61CAD" w:rsidRPr="000939E3" w:rsidRDefault="00D61CAD" w:rsidP="00D61CAD">
            <w:pPr>
              <w:spacing w:after="0"/>
              <w:jc w:val="left"/>
              <w:rPr>
                <w:b/>
              </w:rPr>
            </w:pPr>
            <w:r w:rsidRPr="000939E3">
              <w:rPr>
                <w:b/>
              </w:rPr>
              <w:t>Súčasť porovnania</w:t>
            </w:r>
          </w:p>
        </w:tc>
      </w:tr>
      <w:tr w:rsidR="00D61CAD" w:rsidRPr="000939E3" w14:paraId="6EE740ED" w14:textId="77777777" w:rsidTr="008C79FC">
        <w:trPr>
          <w:jc w:val="center"/>
        </w:trPr>
        <w:tc>
          <w:tcPr>
            <w:tcW w:w="2835" w:type="dxa"/>
            <w:tcBorders>
              <w:top w:val="single" w:sz="4" w:space="0" w:color="auto"/>
            </w:tcBorders>
            <w:shd w:val="clear" w:color="auto" w:fill="DEEAF6" w:themeFill="accent1" w:themeFillTint="33"/>
            <w:vAlign w:val="center"/>
          </w:tcPr>
          <w:p w14:paraId="3E25126D" w14:textId="77777777" w:rsidR="00D61CAD" w:rsidRPr="000939E3" w:rsidRDefault="00D61CAD" w:rsidP="00D61CAD">
            <w:pPr>
              <w:spacing w:after="0"/>
              <w:jc w:val="left"/>
            </w:pPr>
            <w:r w:rsidRPr="000939E3">
              <w:t>Vnútorná správa a správa majetku</w:t>
            </w:r>
          </w:p>
        </w:tc>
        <w:tc>
          <w:tcPr>
            <w:tcW w:w="4253" w:type="dxa"/>
            <w:tcBorders>
              <w:top w:val="single" w:sz="4" w:space="0" w:color="auto"/>
            </w:tcBorders>
            <w:shd w:val="clear" w:color="auto" w:fill="DEEAF6" w:themeFill="accent1" w:themeFillTint="33"/>
          </w:tcPr>
          <w:p w14:paraId="2F40A6DB" w14:textId="77777777" w:rsidR="00D61CAD" w:rsidRPr="000939E3" w:rsidRDefault="00D61CAD" w:rsidP="00D61CAD">
            <w:pPr>
              <w:spacing w:after="0"/>
              <w:jc w:val="left"/>
            </w:pPr>
            <w:r w:rsidRPr="000939E3">
              <w:t>Bezpečnosť, upratovanie, registratúra</w:t>
            </w:r>
            <w:r w:rsidRPr="000939E3">
              <w:br/>
              <w:t>Správa majetku, doprava, stravovanie</w:t>
            </w:r>
          </w:p>
        </w:tc>
        <w:tc>
          <w:tcPr>
            <w:tcW w:w="1984" w:type="dxa"/>
            <w:tcBorders>
              <w:top w:val="single" w:sz="4" w:space="0" w:color="auto"/>
            </w:tcBorders>
            <w:shd w:val="clear" w:color="auto" w:fill="DEEAF6" w:themeFill="accent1" w:themeFillTint="33"/>
            <w:vAlign w:val="center"/>
          </w:tcPr>
          <w:p w14:paraId="5E4DEF6E" w14:textId="77777777" w:rsidR="00D61CAD" w:rsidRPr="000939E3" w:rsidRDefault="00D61CAD" w:rsidP="008C79FC">
            <w:pPr>
              <w:spacing w:after="0"/>
              <w:jc w:val="center"/>
            </w:pPr>
            <w:r w:rsidRPr="000939E3">
              <w:t>Áno</w:t>
            </w:r>
          </w:p>
        </w:tc>
      </w:tr>
      <w:tr w:rsidR="00D61CAD" w:rsidRPr="000939E3" w14:paraId="3AE5FDE1" w14:textId="77777777" w:rsidTr="008C79FC">
        <w:trPr>
          <w:jc w:val="center"/>
        </w:trPr>
        <w:tc>
          <w:tcPr>
            <w:tcW w:w="2835" w:type="dxa"/>
            <w:vAlign w:val="center"/>
          </w:tcPr>
          <w:p w14:paraId="38B2A881" w14:textId="77777777" w:rsidR="00D61CAD" w:rsidRPr="000939E3" w:rsidRDefault="00D61CAD" w:rsidP="00D61CAD">
            <w:pPr>
              <w:spacing w:after="0"/>
              <w:jc w:val="left"/>
            </w:pPr>
            <w:r w:rsidRPr="000939E3">
              <w:t>Financovanie</w:t>
            </w:r>
          </w:p>
        </w:tc>
        <w:tc>
          <w:tcPr>
            <w:tcW w:w="4253" w:type="dxa"/>
          </w:tcPr>
          <w:p w14:paraId="38F71FA0" w14:textId="77777777" w:rsidR="00D61CAD" w:rsidRPr="000939E3" w:rsidRDefault="00D61CAD" w:rsidP="00D61CAD">
            <w:pPr>
              <w:spacing w:after="0"/>
              <w:jc w:val="left"/>
            </w:pPr>
            <w:r w:rsidRPr="000939E3">
              <w:t>Účtovníctvo, rozpočet kapitoly, platobný styk kapitoly</w:t>
            </w:r>
          </w:p>
        </w:tc>
        <w:tc>
          <w:tcPr>
            <w:tcW w:w="1984" w:type="dxa"/>
            <w:vAlign w:val="center"/>
          </w:tcPr>
          <w:p w14:paraId="7B8510E4" w14:textId="77777777" w:rsidR="00D61CAD" w:rsidRPr="000939E3" w:rsidRDefault="00D61CAD" w:rsidP="008C79FC">
            <w:pPr>
              <w:spacing w:after="0"/>
              <w:jc w:val="center"/>
            </w:pPr>
            <w:r w:rsidRPr="000939E3">
              <w:t>Áno</w:t>
            </w:r>
          </w:p>
        </w:tc>
      </w:tr>
      <w:tr w:rsidR="00D61CAD" w:rsidRPr="000939E3" w14:paraId="6242C074" w14:textId="77777777" w:rsidTr="008C79FC">
        <w:trPr>
          <w:jc w:val="center"/>
        </w:trPr>
        <w:tc>
          <w:tcPr>
            <w:tcW w:w="2835" w:type="dxa"/>
            <w:shd w:val="clear" w:color="auto" w:fill="DEEAF6" w:themeFill="accent1" w:themeFillTint="33"/>
            <w:vAlign w:val="center"/>
          </w:tcPr>
          <w:p w14:paraId="24496EBE" w14:textId="77777777" w:rsidR="00D61CAD" w:rsidRPr="000939E3" w:rsidRDefault="00D61CAD" w:rsidP="00D61CAD">
            <w:pPr>
              <w:spacing w:after="0"/>
              <w:jc w:val="left"/>
            </w:pPr>
            <w:r w:rsidRPr="000939E3">
              <w:t>Právo a legislatíva</w:t>
            </w:r>
          </w:p>
        </w:tc>
        <w:tc>
          <w:tcPr>
            <w:tcW w:w="4253" w:type="dxa"/>
            <w:shd w:val="clear" w:color="auto" w:fill="DEEAF6" w:themeFill="accent1" w:themeFillTint="33"/>
          </w:tcPr>
          <w:p w14:paraId="302A25DF" w14:textId="69A6DB71" w:rsidR="00D61CAD" w:rsidRPr="000939E3" w:rsidRDefault="00D61CAD" w:rsidP="00D61CAD">
            <w:pPr>
              <w:spacing w:after="0"/>
              <w:jc w:val="left"/>
            </w:pPr>
            <w:r w:rsidRPr="000939E3">
              <w:t>Právne služby úradu</w:t>
            </w:r>
            <w:r w:rsidRPr="000939E3">
              <w:br/>
              <w:t>Legislatíva</w:t>
            </w:r>
            <w:r w:rsidR="00F51DAC" w:rsidRPr="000939E3">
              <w:t xml:space="preserve"> </w:t>
            </w:r>
            <w:r w:rsidRPr="000939E3">
              <w:t>- podporná funkcia, nie vecná (vytváranie vecnej podstaty legislatívy)</w:t>
            </w:r>
          </w:p>
        </w:tc>
        <w:tc>
          <w:tcPr>
            <w:tcW w:w="1984" w:type="dxa"/>
            <w:shd w:val="clear" w:color="auto" w:fill="DEEAF6" w:themeFill="accent1" w:themeFillTint="33"/>
            <w:vAlign w:val="center"/>
          </w:tcPr>
          <w:p w14:paraId="5BFBB45A" w14:textId="77777777" w:rsidR="00D61CAD" w:rsidRPr="000939E3" w:rsidRDefault="00D61CAD" w:rsidP="008C79FC">
            <w:pPr>
              <w:spacing w:after="0"/>
              <w:jc w:val="center"/>
            </w:pPr>
            <w:r w:rsidRPr="000939E3">
              <w:t>Áno</w:t>
            </w:r>
          </w:p>
        </w:tc>
      </w:tr>
      <w:tr w:rsidR="00D61CAD" w:rsidRPr="000939E3" w14:paraId="2B1E2DB3" w14:textId="77777777" w:rsidTr="008C79FC">
        <w:trPr>
          <w:jc w:val="center"/>
        </w:trPr>
        <w:tc>
          <w:tcPr>
            <w:tcW w:w="2835" w:type="dxa"/>
            <w:vAlign w:val="center"/>
          </w:tcPr>
          <w:p w14:paraId="35DE013A" w14:textId="77777777" w:rsidR="00D61CAD" w:rsidRPr="000939E3" w:rsidRDefault="00D61CAD" w:rsidP="00D61CAD">
            <w:pPr>
              <w:spacing w:after="0"/>
              <w:jc w:val="left"/>
            </w:pPr>
            <w:r w:rsidRPr="000939E3">
              <w:t>Kancelária ministra</w:t>
            </w:r>
          </w:p>
        </w:tc>
        <w:tc>
          <w:tcPr>
            <w:tcW w:w="4253" w:type="dxa"/>
          </w:tcPr>
          <w:p w14:paraId="20E1D4CE" w14:textId="77777777" w:rsidR="00D61CAD" w:rsidRPr="000939E3" w:rsidRDefault="00D61CAD" w:rsidP="00D61CAD">
            <w:pPr>
              <w:spacing w:after="0"/>
              <w:jc w:val="left"/>
            </w:pPr>
            <w:r w:rsidRPr="000939E3">
              <w:t>Administratívna podpora</w:t>
            </w:r>
            <w:r w:rsidRPr="000939E3">
              <w:br/>
              <w:t>Protokol, komunikácia, vnútorný audit</w:t>
            </w:r>
          </w:p>
        </w:tc>
        <w:tc>
          <w:tcPr>
            <w:tcW w:w="1984" w:type="dxa"/>
            <w:vAlign w:val="center"/>
          </w:tcPr>
          <w:p w14:paraId="12ADA84C" w14:textId="77777777" w:rsidR="00D61CAD" w:rsidRPr="000939E3" w:rsidRDefault="00D61CAD" w:rsidP="008C79FC">
            <w:pPr>
              <w:spacing w:after="0"/>
              <w:jc w:val="center"/>
            </w:pPr>
            <w:r w:rsidRPr="000939E3">
              <w:t>Áno</w:t>
            </w:r>
          </w:p>
        </w:tc>
      </w:tr>
      <w:tr w:rsidR="00D61CAD" w:rsidRPr="000939E3" w14:paraId="7CB1969C" w14:textId="77777777" w:rsidTr="008C79FC">
        <w:trPr>
          <w:jc w:val="center"/>
        </w:trPr>
        <w:tc>
          <w:tcPr>
            <w:tcW w:w="2835" w:type="dxa"/>
            <w:shd w:val="clear" w:color="auto" w:fill="DEEAF6" w:themeFill="accent1" w:themeFillTint="33"/>
            <w:vAlign w:val="center"/>
          </w:tcPr>
          <w:p w14:paraId="3FCBE772" w14:textId="77777777" w:rsidR="00D61CAD" w:rsidRPr="000939E3" w:rsidRDefault="00D61CAD" w:rsidP="00D61CAD">
            <w:pPr>
              <w:spacing w:after="0"/>
              <w:jc w:val="left"/>
            </w:pPr>
            <w:r w:rsidRPr="000939E3">
              <w:t>Medzinárodné vzťahy</w:t>
            </w:r>
          </w:p>
        </w:tc>
        <w:tc>
          <w:tcPr>
            <w:tcW w:w="4253" w:type="dxa"/>
            <w:shd w:val="clear" w:color="auto" w:fill="DEEAF6" w:themeFill="accent1" w:themeFillTint="33"/>
          </w:tcPr>
          <w:p w14:paraId="0C7ADBD4" w14:textId="77777777" w:rsidR="00D61CAD" w:rsidRPr="000939E3" w:rsidRDefault="00D61CAD" w:rsidP="00D61CAD">
            <w:pPr>
              <w:spacing w:after="0"/>
              <w:jc w:val="left"/>
            </w:pPr>
            <w:r w:rsidRPr="000939E3">
              <w:t>Členstvo v medzinárodných organizáciách (nie vecná či odborná agenda vyplývajúca z členstva)</w:t>
            </w:r>
          </w:p>
        </w:tc>
        <w:tc>
          <w:tcPr>
            <w:tcW w:w="1984" w:type="dxa"/>
            <w:shd w:val="clear" w:color="auto" w:fill="DEEAF6" w:themeFill="accent1" w:themeFillTint="33"/>
            <w:vAlign w:val="center"/>
          </w:tcPr>
          <w:p w14:paraId="60501E91" w14:textId="77777777" w:rsidR="00D61CAD" w:rsidRPr="000939E3" w:rsidRDefault="00D61CAD" w:rsidP="008C79FC">
            <w:pPr>
              <w:spacing w:after="0"/>
              <w:jc w:val="center"/>
            </w:pPr>
            <w:r w:rsidRPr="000939E3">
              <w:t>Áno</w:t>
            </w:r>
          </w:p>
        </w:tc>
      </w:tr>
      <w:tr w:rsidR="00D61CAD" w:rsidRPr="000939E3" w14:paraId="6BE655BA" w14:textId="77777777" w:rsidTr="008C79FC">
        <w:trPr>
          <w:jc w:val="center"/>
        </w:trPr>
        <w:tc>
          <w:tcPr>
            <w:tcW w:w="2835" w:type="dxa"/>
            <w:vAlign w:val="center"/>
          </w:tcPr>
          <w:p w14:paraId="43EBDB21" w14:textId="77777777" w:rsidR="00D61CAD" w:rsidRPr="000939E3" w:rsidRDefault="00D61CAD" w:rsidP="00D61CAD">
            <w:pPr>
              <w:spacing w:after="0"/>
              <w:jc w:val="left"/>
            </w:pPr>
            <w:r w:rsidRPr="000939E3">
              <w:t>IT</w:t>
            </w:r>
          </w:p>
        </w:tc>
        <w:tc>
          <w:tcPr>
            <w:tcW w:w="4253" w:type="dxa"/>
          </w:tcPr>
          <w:p w14:paraId="4A424F96" w14:textId="413D6A53" w:rsidR="00D61CAD" w:rsidRPr="000939E3" w:rsidRDefault="00D61CAD" w:rsidP="00D61CAD">
            <w:pPr>
              <w:spacing w:after="0"/>
              <w:jc w:val="left"/>
            </w:pPr>
            <w:r w:rsidRPr="000939E3">
              <w:t>Prevádzka IT- helpdesk, výdaj a správa počítačov a telefónov;</w:t>
            </w:r>
            <w:r w:rsidR="00F51DAC" w:rsidRPr="000939E3">
              <w:t xml:space="preserve"> </w:t>
            </w:r>
            <w:r w:rsidRPr="000939E3">
              <w:t>Správa systémov, projekty IT</w:t>
            </w:r>
          </w:p>
        </w:tc>
        <w:tc>
          <w:tcPr>
            <w:tcW w:w="1984" w:type="dxa"/>
            <w:vAlign w:val="center"/>
          </w:tcPr>
          <w:p w14:paraId="6CF41C15" w14:textId="77777777" w:rsidR="00D61CAD" w:rsidRPr="000939E3" w:rsidRDefault="00D61CAD" w:rsidP="008C79FC">
            <w:pPr>
              <w:spacing w:after="0"/>
              <w:jc w:val="center"/>
            </w:pPr>
            <w:r w:rsidRPr="000939E3">
              <w:t>Áno</w:t>
            </w:r>
          </w:p>
        </w:tc>
      </w:tr>
      <w:tr w:rsidR="00D61CAD" w:rsidRPr="000939E3" w14:paraId="49AB29BE" w14:textId="77777777" w:rsidTr="008C79FC">
        <w:trPr>
          <w:jc w:val="center"/>
        </w:trPr>
        <w:tc>
          <w:tcPr>
            <w:tcW w:w="2835" w:type="dxa"/>
            <w:shd w:val="clear" w:color="auto" w:fill="DEEAF6" w:themeFill="accent1" w:themeFillTint="33"/>
            <w:vAlign w:val="center"/>
          </w:tcPr>
          <w:p w14:paraId="7E73A366" w14:textId="77777777" w:rsidR="00D61CAD" w:rsidRPr="000939E3" w:rsidRDefault="00D61CAD" w:rsidP="00D61CAD">
            <w:pPr>
              <w:spacing w:after="0"/>
              <w:jc w:val="left"/>
            </w:pPr>
            <w:r w:rsidRPr="000939E3">
              <w:t>Ľudské zdroje</w:t>
            </w:r>
          </w:p>
        </w:tc>
        <w:tc>
          <w:tcPr>
            <w:tcW w:w="4253" w:type="dxa"/>
            <w:shd w:val="clear" w:color="auto" w:fill="DEEAF6" w:themeFill="accent1" w:themeFillTint="33"/>
          </w:tcPr>
          <w:p w14:paraId="35507060" w14:textId="77777777" w:rsidR="00D61CAD" w:rsidRPr="000939E3" w:rsidRDefault="00D61CAD" w:rsidP="00D61CAD">
            <w:pPr>
              <w:spacing w:after="0"/>
              <w:jc w:val="left"/>
            </w:pPr>
            <w:r w:rsidRPr="000939E3">
              <w:t>Odmeňovanie, personalistika, vzdelávanie</w:t>
            </w:r>
            <w:r w:rsidRPr="000939E3">
              <w:br/>
              <w:t>Výber zamestnancov, prijímanie zamestnancov</w:t>
            </w:r>
          </w:p>
        </w:tc>
        <w:tc>
          <w:tcPr>
            <w:tcW w:w="1984" w:type="dxa"/>
            <w:shd w:val="clear" w:color="auto" w:fill="DEEAF6" w:themeFill="accent1" w:themeFillTint="33"/>
            <w:vAlign w:val="center"/>
          </w:tcPr>
          <w:p w14:paraId="69F3D123" w14:textId="77777777" w:rsidR="00D61CAD" w:rsidRPr="000939E3" w:rsidRDefault="00D61CAD" w:rsidP="008C79FC">
            <w:pPr>
              <w:spacing w:after="0"/>
              <w:jc w:val="center"/>
            </w:pPr>
            <w:r w:rsidRPr="000939E3">
              <w:t>Áno</w:t>
            </w:r>
          </w:p>
        </w:tc>
      </w:tr>
      <w:tr w:rsidR="00D61CAD" w:rsidRPr="000939E3" w14:paraId="5E6650DA" w14:textId="77777777" w:rsidTr="008C79FC">
        <w:trPr>
          <w:jc w:val="center"/>
        </w:trPr>
        <w:tc>
          <w:tcPr>
            <w:tcW w:w="2835" w:type="dxa"/>
            <w:vAlign w:val="center"/>
          </w:tcPr>
          <w:p w14:paraId="466D4BCB" w14:textId="77777777" w:rsidR="00D61CAD" w:rsidRPr="000939E3" w:rsidRDefault="00D61CAD" w:rsidP="00D61CAD">
            <w:pPr>
              <w:spacing w:after="0"/>
              <w:jc w:val="left"/>
            </w:pPr>
            <w:r w:rsidRPr="000939E3">
              <w:t>Verejné obstarávanie</w:t>
            </w:r>
          </w:p>
        </w:tc>
        <w:tc>
          <w:tcPr>
            <w:tcW w:w="4253" w:type="dxa"/>
          </w:tcPr>
          <w:p w14:paraId="6A01888E" w14:textId="77777777" w:rsidR="00D61CAD" w:rsidRPr="000939E3" w:rsidRDefault="00D61CAD" w:rsidP="00D61CAD">
            <w:pPr>
              <w:spacing w:after="0"/>
              <w:jc w:val="left"/>
            </w:pPr>
            <w:r w:rsidRPr="000939E3">
              <w:t>Metodika a výkon verejného obstarávania (nie vecná príprava predmetu obstarávania)</w:t>
            </w:r>
          </w:p>
        </w:tc>
        <w:tc>
          <w:tcPr>
            <w:tcW w:w="1984" w:type="dxa"/>
            <w:vAlign w:val="center"/>
          </w:tcPr>
          <w:p w14:paraId="57E0994F" w14:textId="77777777" w:rsidR="00D61CAD" w:rsidRPr="000939E3" w:rsidRDefault="00D61CAD" w:rsidP="008C79FC">
            <w:pPr>
              <w:spacing w:after="0"/>
              <w:jc w:val="center"/>
            </w:pPr>
            <w:r w:rsidRPr="000939E3">
              <w:t>Áno</w:t>
            </w:r>
          </w:p>
        </w:tc>
      </w:tr>
      <w:tr w:rsidR="00D61CAD" w:rsidRPr="000939E3" w14:paraId="26ECA315" w14:textId="77777777" w:rsidTr="008C79FC">
        <w:trPr>
          <w:jc w:val="center"/>
        </w:trPr>
        <w:tc>
          <w:tcPr>
            <w:tcW w:w="2835" w:type="dxa"/>
            <w:shd w:val="clear" w:color="auto" w:fill="DEEAF6" w:themeFill="accent1" w:themeFillTint="33"/>
            <w:vAlign w:val="center"/>
          </w:tcPr>
          <w:p w14:paraId="16389D48" w14:textId="77777777" w:rsidR="00D61CAD" w:rsidRPr="000939E3" w:rsidRDefault="00D61CAD" w:rsidP="00D61CAD">
            <w:pPr>
              <w:spacing w:after="0"/>
              <w:jc w:val="left"/>
            </w:pPr>
            <w:r w:rsidRPr="000939E3">
              <w:t>Kancelária štátneho tajomníka</w:t>
            </w:r>
          </w:p>
        </w:tc>
        <w:tc>
          <w:tcPr>
            <w:tcW w:w="4253" w:type="dxa"/>
            <w:shd w:val="clear" w:color="auto" w:fill="DEEAF6" w:themeFill="accent1" w:themeFillTint="33"/>
          </w:tcPr>
          <w:p w14:paraId="14F67DB8" w14:textId="77777777" w:rsidR="00D61CAD" w:rsidRPr="000939E3" w:rsidRDefault="00D61CAD" w:rsidP="00D61CAD">
            <w:pPr>
              <w:spacing w:after="0"/>
              <w:jc w:val="left"/>
            </w:pPr>
            <w:r w:rsidRPr="000939E3">
              <w:t>Administratívna podpora</w:t>
            </w:r>
          </w:p>
        </w:tc>
        <w:tc>
          <w:tcPr>
            <w:tcW w:w="1984" w:type="dxa"/>
            <w:shd w:val="clear" w:color="auto" w:fill="DEEAF6" w:themeFill="accent1" w:themeFillTint="33"/>
            <w:vAlign w:val="center"/>
          </w:tcPr>
          <w:p w14:paraId="4F41B5EA" w14:textId="77777777" w:rsidR="00D61CAD" w:rsidRPr="000939E3" w:rsidRDefault="00D61CAD" w:rsidP="008C79FC">
            <w:pPr>
              <w:spacing w:after="0"/>
              <w:jc w:val="center"/>
            </w:pPr>
            <w:r w:rsidRPr="000939E3">
              <w:t>Nie</w:t>
            </w:r>
          </w:p>
        </w:tc>
      </w:tr>
      <w:tr w:rsidR="00D61CAD" w:rsidRPr="000939E3" w14:paraId="58CE7BAF" w14:textId="77777777" w:rsidTr="008C79FC">
        <w:trPr>
          <w:jc w:val="center"/>
        </w:trPr>
        <w:tc>
          <w:tcPr>
            <w:tcW w:w="2835" w:type="dxa"/>
            <w:vAlign w:val="center"/>
          </w:tcPr>
          <w:p w14:paraId="5F3924A2" w14:textId="77777777" w:rsidR="00D61CAD" w:rsidRPr="000939E3" w:rsidRDefault="00D61CAD" w:rsidP="00D61CAD">
            <w:pPr>
              <w:spacing w:after="0"/>
              <w:jc w:val="left"/>
            </w:pPr>
            <w:r w:rsidRPr="000939E3">
              <w:t>Kancelária gen. tajomníka služobného úradu</w:t>
            </w:r>
          </w:p>
        </w:tc>
        <w:tc>
          <w:tcPr>
            <w:tcW w:w="4253" w:type="dxa"/>
            <w:vAlign w:val="center"/>
          </w:tcPr>
          <w:p w14:paraId="2E3F4A0C" w14:textId="77777777" w:rsidR="00D61CAD" w:rsidRPr="000939E3" w:rsidRDefault="00D61CAD" w:rsidP="00D61CAD">
            <w:pPr>
              <w:spacing w:after="0"/>
              <w:jc w:val="left"/>
            </w:pPr>
            <w:r w:rsidRPr="000939E3">
              <w:t>Administratívna podpora</w:t>
            </w:r>
          </w:p>
        </w:tc>
        <w:tc>
          <w:tcPr>
            <w:tcW w:w="1984" w:type="dxa"/>
            <w:vAlign w:val="center"/>
          </w:tcPr>
          <w:p w14:paraId="4D08771D" w14:textId="77777777" w:rsidR="00D61CAD" w:rsidRPr="000939E3" w:rsidRDefault="00D61CAD" w:rsidP="008C79FC">
            <w:pPr>
              <w:spacing w:after="0"/>
              <w:jc w:val="center"/>
            </w:pPr>
            <w:r w:rsidRPr="000939E3">
              <w:t>Nie</w:t>
            </w:r>
          </w:p>
        </w:tc>
      </w:tr>
      <w:tr w:rsidR="00D61CAD" w:rsidRPr="000939E3" w14:paraId="7CDDE98C" w14:textId="77777777" w:rsidTr="008C79FC">
        <w:trPr>
          <w:jc w:val="center"/>
        </w:trPr>
        <w:tc>
          <w:tcPr>
            <w:tcW w:w="2835" w:type="dxa"/>
            <w:tcBorders>
              <w:bottom w:val="single" w:sz="4" w:space="0" w:color="auto"/>
            </w:tcBorders>
            <w:shd w:val="clear" w:color="auto" w:fill="DEEAF6" w:themeFill="accent1" w:themeFillTint="33"/>
            <w:vAlign w:val="center"/>
          </w:tcPr>
          <w:p w14:paraId="046BD4D9" w14:textId="77777777" w:rsidR="00D61CAD" w:rsidRPr="000939E3" w:rsidRDefault="00D61CAD" w:rsidP="00D61CAD">
            <w:pPr>
              <w:spacing w:after="0"/>
              <w:jc w:val="left"/>
            </w:pPr>
            <w:r w:rsidRPr="000939E3">
              <w:t>Majetkové práva a riadenie príspevkových a rozpočtových organizácií</w:t>
            </w:r>
          </w:p>
        </w:tc>
        <w:tc>
          <w:tcPr>
            <w:tcW w:w="4253" w:type="dxa"/>
            <w:tcBorders>
              <w:bottom w:val="single" w:sz="4" w:space="0" w:color="auto"/>
            </w:tcBorders>
            <w:shd w:val="clear" w:color="auto" w:fill="DEEAF6" w:themeFill="accent1" w:themeFillTint="33"/>
            <w:vAlign w:val="center"/>
          </w:tcPr>
          <w:p w14:paraId="37D14E5E" w14:textId="77777777" w:rsidR="00D61CAD" w:rsidRPr="000939E3" w:rsidRDefault="00D61CAD" w:rsidP="00D61CAD">
            <w:pPr>
              <w:spacing w:after="0"/>
              <w:jc w:val="left"/>
            </w:pPr>
            <w:r w:rsidRPr="000939E3">
              <w:t>Správa podriadených organizácií</w:t>
            </w:r>
          </w:p>
        </w:tc>
        <w:tc>
          <w:tcPr>
            <w:tcW w:w="1984" w:type="dxa"/>
            <w:tcBorders>
              <w:bottom w:val="single" w:sz="4" w:space="0" w:color="auto"/>
            </w:tcBorders>
            <w:shd w:val="clear" w:color="auto" w:fill="DEEAF6" w:themeFill="accent1" w:themeFillTint="33"/>
            <w:vAlign w:val="center"/>
          </w:tcPr>
          <w:p w14:paraId="73B83533" w14:textId="77777777" w:rsidR="00D61CAD" w:rsidRPr="000939E3" w:rsidRDefault="00D61CAD" w:rsidP="008C79FC">
            <w:pPr>
              <w:spacing w:after="0"/>
              <w:jc w:val="center"/>
            </w:pPr>
            <w:r w:rsidRPr="000939E3">
              <w:t>Nie</w:t>
            </w:r>
          </w:p>
        </w:tc>
      </w:tr>
      <w:tr w:rsidR="00D61CAD" w:rsidRPr="000939E3" w14:paraId="3CB50B7B" w14:textId="77777777" w:rsidTr="00D61CAD">
        <w:trPr>
          <w:jc w:val="center"/>
        </w:trPr>
        <w:tc>
          <w:tcPr>
            <w:tcW w:w="2835" w:type="dxa"/>
            <w:tcBorders>
              <w:top w:val="single" w:sz="4" w:space="0" w:color="auto"/>
            </w:tcBorders>
            <w:vAlign w:val="center"/>
          </w:tcPr>
          <w:p w14:paraId="6855A228" w14:textId="77777777" w:rsidR="00D61CAD" w:rsidRPr="000939E3" w:rsidRDefault="00D61CAD" w:rsidP="00D61CAD">
            <w:pPr>
              <w:spacing w:after="0"/>
              <w:jc w:val="left"/>
            </w:pPr>
          </w:p>
        </w:tc>
        <w:tc>
          <w:tcPr>
            <w:tcW w:w="4253" w:type="dxa"/>
            <w:tcBorders>
              <w:top w:val="single" w:sz="4" w:space="0" w:color="auto"/>
            </w:tcBorders>
            <w:vAlign w:val="center"/>
          </w:tcPr>
          <w:p w14:paraId="383AD3F0" w14:textId="77777777" w:rsidR="00D61CAD" w:rsidRPr="000939E3" w:rsidRDefault="00D61CAD" w:rsidP="00D61CAD">
            <w:pPr>
              <w:spacing w:after="0"/>
              <w:jc w:val="left"/>
            </w:pPr>
          </w:p>
        </w:tc>
        <w:tc>
          <w:tcPr>
            <w:tcW w:w="1984" w:type="dxa"/>
            <w:tcBorders>
              <w:top w:val="single" w:sz="4" w:space="0" w:color="auto"/>
            </w:tcBorders>
            <w:vAlign w:val="center"/>
          </w:tcPr>
          <w:p w14:paraId="43E17E3F" w14:textId="77777777" w:rsidR="00D61CAD" w:rsidRPr="000939E3" w:rsidRDefault="00D61CAD" w:rsidP="00D61CAD">
            <w:pPr>
              <w:spacing w:after="0"/>
              <w:jc w:val="right"/>
              <w:rPr>
                <w:i/>
                <w:sz w:val="18"/>
                <w:szCs w:val="18"/>
              </w:rPr>
            </w:pPr>
            <w:r w:rsidRPr="000939E3">
              <w:rPr>
                <w:i/>
                <w:sz w:val="18"/>
                <w:szCs w:val="18"/>
              </w:rPr>
              <w:t>Zdroj: ÚHP</w:t>
            </w:r>
          </w:p>
        </w:tc>
      </w:tr>
    </w:tbl>
    <w:p w14:paraId="54E4C8D5" w14:textId="77777777" w:rsidR="00D61CAD" w:rsidRPr="000939E3" w:rsidRDefault="00D61CAD" w:rsidP="004714F8">
      <w:pPr>
        <w:spacing w:after="160" w:line="259" w:lineRule="auto"/>
        <w:jc w:val="left"/>
        <w:sectPr w:rsidR="00D61CAD" w:rsidRPr="000939E3" w:rsidSect="00565A86">
          <w:pgSz w:w="11906" w:h="16838"/>
          <w:pgMar w:top="1417" w:right="1417" w:bottom="1417" w:left="1417" w:header="708" w:footer="708" w:gutter="0"/>
          <w:cols w:space="708"/>
          <w:docGrid w:linePitch="360"/>
        </w:sectPr>
      </w:pPr>
      <w:r w:rsidRPr="000939E3">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1929"/>
        <w:gridCol w:w="1127"/>
        <w:gridCol w:w="1127"/>
        <w:gridCol w:w="980"/>
        <w:gridCol w:w="1127"/>
        <w:gridCol w:w="1128"/>
        <w:gridCol w:w="1054"/>
        <w:gridCol w:w="1022"/>
        <w:gridCol w:w="1127"/>
        <w:gridCol w:w="1128"/>
        <w:gridCol w:w="1127"/>
        <w:gridCol w:w="1128"/>
      </w:tblGrid>
      <w:tr w:rsidR="00D61CAD" w:rsidRPr="000939E3" w14:paraId="695552B1" w14:textId="77777777" w:rsidTr="00D61CAD">
        <w:trPr>
          <w:trHeight w:val="294"/>
        </w:trPr>
        <w:tc>
          <w:tcPr>
            <w:tcW w:w="14004" w:type="dxa"/>
            <w:gridSpan w:val="12"/>
            <w:tcBorders>
              <w:top w:val="nil"/>
              <w:left w:val="nil"/>
              <w:bottom w:val="single" w:sz="4" w:space="0" w:color="auto"/>
              <w:right w:val="nil"/>
            </w:tcBorders>
            <w:shd w:val="clear" w:color="auto" w:fill="FFFFFF" w:themeFill="background1"/>
            <w:tcMar>
              <w:top w:w="11" w:type="dxa"/>
              <w:left w:w="11" w:type="dxa"/>
              <w:bottom w:w="0" w:type="dxa"/>
              <w:right w:w="11" w:type="dxa"/>
            </w:tcMar>
            <w:vAlign w:val="center"/>
          </w:tcPr>
          <w:p w14:paraId="67F97DA0" w14:textId="77777777" w:rsidR="00D61CAD" w:rsidRPr="000939E3" w:rsidRDefault="00D61CAD" w:rsidP="00D61CAD">
            <w:pPr>
              <w:spacing w:after="0" w:line="240" w:lineRule="auto"/>
              <w:jc w:val="left"/>
              <w:textAlignment w:val="center"/>
              <w:rPr>
                <w:rFonts w:eastAsia="Times New Roman" w:cs="Arial"/>
                <w:b/>
                <w:bCs/>
                <w:kern w:val="24"/>
                <w:sz w:val="20"/>
                <w:szCs w:val="20"/>
                <w:lang w:eastAsia="sk-SK"/>
              </w:rPr>
            </w:pPr>
            <w:bookmarkStart w:id="330" w:name="_Ref5996038"/>
            <w:r w:rsidRPr="000939E3">
              <w:rPr>
                <w:b/>
                <w:szCs w:val="20"/>
              </w:rPr>
              <w:t xml:space="preserve">Príloha </w:t>
            </w:r>
            <w:r w:rsidRPr="000939E3">
              <w:rPr>
                <w:b/>
                <w:szCs w:val="20"/>
              </w:rPr>
              <w:fldChar w:fldCharType="begin"/>
            </w:r>
            <w:r w:rsidRPr="000939E3">
              <w:rPr>
                <w:b/>
                <w:szCs w:val="20"/>
              </w:rPr>
              <w:instrText xml:space="preserve"> SEQ Príloha \* ARABIC </w:instrText>
            </w:r>
            <w:r w:rsidRPr="000939E3">
              <w:rPr>
                <w:b/>
                <w:szCs w:val="20"/>
              </w:rPr>
              <w:fldChar w:fldCharType="separate"/>
            </w:r>
            <w:r w:rsidR="00BF69CA">
              <w:rPr>
                <w:b/>
                <w:noProof/>
                <w:szCs w:val="20"/>
              </w:rPr>
              <w:t>16</w:t>
            </w:r>
            <w:r w:rsidRPr="000939E3">
              <w:rPr>
                <w:b/>
                <w:szCs w:val="20"/>
              </w:rPr>
              <w:fldChar w:fldCharType="end"/>
            </w:r>
            <w:bookmarkEnd w:id="330"/>
            <w:r w:rsidRPr="000939E3">
              <w:rPr>
                <w:b/>
                <w:szCs w:val="20"/>
              </w:rPr>
              <w:t xml:space="preserve">: </w:t>
            </w:r>
            <w:r w:rsidRPr="000939E3">
              <w:rPr>
                <w:rFonts w:eastAsia="Times New Roman" w:cs="Arial"/>
                <w:b/>
                <w:bCs/>
                <w:kern w:val="24"/>
                <w:szCs w:val="20"/>
                <w:lang w:eastAsia="sk-SK"/>
              </w:rPr>
              <w:t xml:space="preserve">Oblasti podporných a prierezových činností s predpokladom na centralizáciu </w:t>
            </w:r>
          </w:p>
        </w:tc>
      </w:tr>
      <w:tr w:rsidR="00D61CAD" w:rsidRPr="000939E3" w14:paraId="556E224C" w14:textId="77777777" w:rsidTr="00D61CAD">
        <w:trPr>
          <w:trHeight w:val="993"/>
        </w:trPr>
        <w:tc>
          <w:tcPr>
            <w:tcW w:w="0" w:type="auto"/>
            <w:tcBorders>
              <w:top w:val="single" w:sz="4" w:space="0" w:color="auto"/>
            </w:tcBorders>
            <w:shd w:val="clear" w:color="auto" w:fill="FFFFFF" w:themeFill="background1"/>
            <w:tcMar>
              <w:top w:w="11" w:type="dxa"/>
              <w:left w:w="11" w:type="dxa"/>
              <w:bottom w:w="0" w:type="dxa"/>
              <w:right w:w="11" w:type="dxa"/>
            </w:tcMar>
            <w:vAlign w:val="center"/>
            <w:hideMark/>
          </w:tcPr>
          <w:p w14:paraId="09523BE7" w14:textId="77777777" w:rsidR="00D61CAD" w:rsidRPr="000939E3" w:rsidRDefault="00D61CAD" w:rsidP="00D61CAD">
            <w:pPr>
              <w:spacing w:after="0" w:line="240" w:lineRule="auto"/>
              <w:rPr>
                <w:rFonts w:eastAsia="Times New Roman" w:cs="Times New Roman"/>
                <w:sz w:val="20"/>
                <w:szCs w:val="20"/>
                <w:lang w:eastAsia="sk-SK"/>
              </w:rPr>
            </w:pPr>
          </w:p>
        </w:tc>
        <w:tc>
          <w:tcPr>
            <w:tcW w:w="1127" w:type="dxa"/>
            <w:tcBorders>
              <w:top w:val="single" w:sz="4" w:space="0" w:color="auto"/>
            </w:tcBorders>
            <w:shd w:val="clear" w:color="auto" w:fill="FFFFFF" w:themeFill="background1"/>
            <w:tcMar>
              <w:top w:w="11" w:type="dxa"/>
              <w:left w:w="11" w:type="dxa"/>
              <w:bottom w:w="0" w:type="dxa"/>
              <w:right w:w="11" w:type="dxa"/>
            </w:tcMar>
            <w:vAlign w:val="center"/>
            <w:hideMark/>
          </w:tcPr>
          <w:p w14:paraId="32D0BA1A" w14:textId="77777777" w:rsidR="00D61CAD" w:rsidRPr="000939E3" w:rsidRDefault="00D61CAD" w:rsidP="00D61CAD">
            <w:pPr>
              <w:spacing w:after="0" w:line="240" w:lineRule="auto"/>
              <w:jc w:val="center"/>
              <w:textAlignment w:val="center"/>
              <w:rPr>
                <w:rFonts w:eastAsia="Times New Roman" w:cs="Arial"/>
                <w:b/>
                <w:sz w:val="20"/>
                <w:szCs w:val="20"/>
                <w:lang w:eastAsia="sk-SK"/>
              </w:rPr>
            </w:pPr>
            <w:r w:rsidRPr="000939E3">
              <w:rPr>
                <w:rFonts w:eastAsia="Times New Roman" w:cs="Arial"/>
                <w:b/>
                <w:bCs/>
                <w:kern w:val="24"/>
                <w:sz w:val="20"/>
                <w:szCs w:val="20"/>
                <w:lang w:eastAsia="sk-SK"/>
              </w:rPr>
              <w:t>Ľudské zdroje</w:t>
            </w:r>
          </w:p>
        </w:tc>
        <w:tc>
          <w:tcPr>
            <w:tcW w:w="1127" w:type="dxa"/>
            <w:tcBorders>
              <w:top w:val="single" w:sz="4" w:space="0" w:color="auto"/>
            </w:tcBorders>
            <w:shd w:val="clear" w:color="auto" w:fill="FFFFFF" w:themeFill="background1"/>
            <w:tcMar>
              <w:top w:w="11" w:type="dxa"/>
              <w:left w:w="11" w:type="dxa"/>
              <w:bottom w:w="0" w:type="dxa"/>
              <w:right w:w="11" w:type="dxa"/>
            </w:tcMar>
            <w:vAlign w:val="center"/>
            <w:hideMark/>
          </w:tcPr>
          <w:p w14:paraId="0C803F3B" w14:textId="77777777" w:rsidR="00D61CAD" w:rsidRPr="000939E3" w:rsidRDefault="00D61CAD" w:rsidP="00D61CAD">
            <w:pPr>
              <w:spacing w:after="0" w:line="240" w:lineRule="auto"/>
              <w:jc w:val="center"/>
              <w:textAlignment w:val="center"/>
              <w:rPr>
                <w:rFonts w:eastAsia="Times New Roman" w:cs="Arial"/>
                <w:b/>
                <w:sz w:val="20"/>
                <w:szCs w:val="20"/>
                <w:lang w:eastAsia="sk-SK"/>
              </w:rPr>
            </w:pPr>
            <w:r w:rsidRPr="000939E3">
              <w:rPr>
                <w:rFonts w:eastAsia="Times New Roman" w:cs="Arial"/>
                <w:b/>
                <w:bCs/>
                <w:kern w:val="24"/>
                <w:sz w:val="20"/>
                <w:szCs w:val="20"/>
                <w:lang w:eastAsia="sk-SK"/>
              </w:rPr>
              <w:t>Financovanie</w:t>
            </w:r>
          </w:p>
        </w:tc>
        <w:tc>
          <w:tcPr>
            <w:tcW w:w="980" w:type="dxa"/>
            <w:tcBorders>
              <w:top w:val="single" w:sz="4" w:space="0" w:color="auto"/>
            </w:tcBorders>
            <w:shd w:val="clear" w:color="auto" w:fill="FFFFFF" w:themeFill="background1"/>
            <w:tcMar>
              <w:top w:w="11" w:type="dxa"/>
              <w:left w:w="11" w:type="dxa"/>
              <w:bottom w:w="0" w:type="dxa"/>
              <w:right w:w="11" w:type="dxa"/>
            </w:tcMar>
            <w:vAlign w:val="center"/>
            <w:hideMark/>
          </w:tcPr>
          <w:p w14:paraId="2F066E5C" w14:textId="77777777" w:rsidR="00D61CAD" w:rsidRPr="000939E3" w:rsidRDefault="00D61CAD" w:rsidP="00D61CAD">
            <w:pPr>
              <w:spacing w:after="0" w:line="240" w:lineRule="auto"/>
              <w:jc w:val="center"/>
              <w:textAlignment w:val="center"/>
              <w:rPr>
                <w:rFonts w:eastAsia="Times New Roman" w:cs="Arial"/>
                <w:b/>
                <w:sz w:val="20"/>
                <w:szCs w:val="20"/>
                <w:lang w:eastAsia="sk-SK"/>
              </w:rPr>
            </w:pPr>
            <w:r w:rsidRPr="000939E3">
              <w:rPr>
                <w:rFonts w:eastAsia="Times New Roman" w:cs="Arial"/>
                <w:b/>
                <w:bCs/>
                <w:kern w:val="24"/>
                <w:sz w:val="20"/>
                <w:szCs w:val="20"/>
                <w:lang w:eastAsia="sk-SK"/>
              </w:rPr>
              <w:t>IT</w:t>
            </w:r>
          </w:p>
        </w:tc>
        <w:tc>
          <w:tcPr>
            <w:tcW w:w="1127" w:type="dxa"/>
            <w:tcBorders>
              <w:top w:val="single" w:sz="4" w:space="0" w:color="auto"/>
            </w:tcBorders>
            <w:shd w:val="clear" w:color="auto" w:fill="FFFFFF" w:themeFill="background1"/>
            <w:tcMar>
              <w:top w:w="11" w:type="dxa"/>
              <w:left w:w="11" w:type="dxa"/>
              <w:bottom w:w="0" w:type="dxa"/>
              <w:right w:w="11" w:type="dxa"/>
            </w:tcMar>
            <w:vAlign w:val="center"/>
            <w:hideMark/>
          </w:tcPr>
          <w:p w14:paraId="24C4948B" w14:textId="77777777" w:rsidR="00D61CAD" w:rsidRPr="000939E3" w:rsidRDefault="00D61CAD" w:rsidP="00D61CAD">
            <w:pPr>
              <w:spacing w:after="0" w:line="240" w:lineRule="auto"/>
              <w:jc w:val="center"/>
              <w:textAlignment w:val="center"/>
              <w:rPr>
                <w:rFonts w:eastAsia="Times New Roman" w:cs="Arial"/>
                <w:b/>
                <w:sz w:val="20"/>
                <w:szCs w:val="20"/>
                <w:lang w:eastAsia="sk-SK"/>
              </w:rPr>
            </w:pPr>
            <w:r w:rsidRPr="000939E3">
              <w:rPr>
                <w:rFonts w:eastAsia="Times New Roman" w:cs="Arial"/>
                <w:b/>
                <w:bCs/>
                <w:kern w:val="24"/>
                <w:sz w:val="20"/>
                <w:szCs w:val="20"/>
                <w:lang w:eastAsia="sk-SK"/>
              </w:rPr>
              <w:t>Vnútorná správa</w:t>
            </w:r>
          </w:p>
        </w:tc>
        <w:tc>
          <w:tcPr>
            <w:tcW w:w="1128" w:type="dxa"/>
            <w:tcBorders>
              <w:top w:val="single" w:sz="4" w:space="0" w:color="auto"/>
            </w:tcBorders>
            <w:shd w:val="clear" w:color="auto" w:fill="FFFFFF" w:themeFill="background1"/>
            <w:tcMar>
              <w:top w:w="11" w:type="dxa"/>
              <w:left w:w="11" w:type="dxa"/>
              <w:bottom w:w="0" w:type="dxa"/>
              <w:right w:w="11" w:type="dxa"/>
            </w:tcMar>
            <w:vAlign w:val="center"/>
            <w:hideMark/>
          </w:tcPr>
          <w:p w14:paraId="24835929" w14:textId="77777777" w:rsidR="00D61CAD" w:rsidRPr="000939E3" w:rsidRDefault="00D61CAD" w:rsidP="00D61CAD">
            <w:pPr>
              <w:spacing w:after="0" w:line="240" w:lineRule="auto"/>
              <w:jc w:val="center"/>
              <w:textAlignment w:val="center"/>
              <w:rPr>
                <w:rFonts w:eastAsia="Times New Roman" w:cs="Arial"/>
                <w:b/>
                <w:sz w:val="20"/>
                <w:szCs w:val="20"/>
                <w:lang w:eastAsia="sk-SK"/>
              </w:rPr>
            </w:pPr>
            <w:r w:rsidRPr="000939E3">
              <w:rPr>
                <w:rFonts w:eastAsia="Times New Roman" w:cs="Arial"/>
                <w:b/>
                <w:bCs/>
                <w:kern w:val="24"/>
                <w:sz w:val="20"/>
                <w:szCs w:val="20"/>
                <w:lang w:eastAsia="sk-SK"/>
              </w:rPr>
              <w:t>Verejné obstarávanie</w:t>
            </w:r>
          </w:p>
        </w:tc>
        <w:tc>
          <w:tcPr>
            <w:tcW w:w="1054" w:type="dxa"/>
            <w:tcBorders>
              <w:top w:val="single" w:sz="4" w:space="0" w:color="auto"/>
            </w:tcBorders>
            <w:shd w:val="clear" w:color="auto" w:fill="FFFFFF" w:themeFill="background1"/>
            <w:tcMar>
              <w:top w:w="11" w:type="dxa"/>
              <w:left w:w="11" w:type="dxa"/>
              <w:bottom w:w="0" w:type="dxa"/>
              <w:right w:w="11" w:type="dxa"/>
            </w:tcMar>
            <w:vAlign w:val="center"/>
            <w:hideMark/>
          </w:tcPr>
          <w:p w14:paraId="5E004A5E" w14:textId="77777777" w:rsidR="00D61CAD" w:rsidRPr="000939E3" w:rsidRDefault="00D61CAD" w:rsidP="00D61CAD">
            <w:pPr>
              <w:spacing w:after="0" w:line="240" w:lineRule="auto"/>
              <w:jc w:val="center"/>
              <w:textAlignment w:val="center"/>
              <w:rPr>
                <w:rFonts w:eastAsia="Times New Roman" w:cs="Arial"/>
                <w:b/>
                <w:sz w:val="20"/>
                <w:szCs w:val="20"/>
                <w:lang w:eastAsia="sk-SK"/>
              </w:rPr>
            </w:pPr>
            <w:r w:rsidRPr="000939E3">
              <w:rPr>
                <w:rFonts w:eastAsia="Times New Roman" w:cs="Arial"/>
                <w:b/>
                <w:bCs/>
                <w:kern w:val="24"/>
                <w:sz w:val="20"/>
                <w:szCs w:val="20"/>
                <w:lang w:eastAsia="sk-SK"/>
              </w:rPr>
              <w:t>Právo a legislatíva</w:t>
            </w:r>
          </w:p>
        </w:tc>
        <w:tc>
          <w:tcPr>
            <w:tcW w:w="1022" w:type="dxa"/>
            <w:tcBorders>
              <w:top w:val="single" w:sz="4" w:space="0" w:color="auto"/>
            </w:tcBorders>
            <w:shd w:val="clear" w:color="auto" w:fill="FFFFFF" w:themeFill="background1"/>
            <w:tcMar>
              <w:top w:w="11" w:type="dxa"/>
              <w:left w:w="11" w:type="dxa"/>
              <w:bottom w:w="0" w:type="dxa"/>
              <w:right w:w="11" w:type="dxa"/>
            </w:tcMar>
            <w:vAlign w:val="center"/>
            <w:hideMark/>
          </w:tcPr>
          <w:p w14:paraId="4C31D522" w14:textId="77777777" w:rsidR="00D61CAD" w:rsidRPr="000939E3" w:rsidRDefault="00D61CAD" w:rsidP="00D61CAD">
            <w:pPr>
              <w:spacing w:after="0" w:line="240" w:lineRule="auto"/>
              <w:jc w:val="center"/>
              <w:textAlignment w:val="center"/>
              <w:rPr>
                <w:rFonts w:eastAsia="Times New Roman" w:cs="Arial"/>
                <w:b/>
                <w:sz w:val="20"/>
                <w:szCs w:val="20"/>
                <w:lang w:eastAsia="sk-SK"/>
              </w:rPr>
            </w:pPr>
            <w:r w:rsidRPr="000939E3">
              <w:rPr>
                <w:rFonts w:eastAsia="Times New Roman" w:cs="Arial"/>
                <w:b/>
                <w:bCs/>
                <w:kern w:val="24"/>
                <w:sz w:val="20"/>
                <w:szCs w:val="20"/>
                <w:lang w:eastAsia="sk-SK"/>
              </w:rPr>
              <w:t xml:space="preserve">Majetkové práva </w:t>
            </w:r>
            <w:r w:rsidRPr="000939E3">
              <w:rPr>
                <w:rFonts w:eastAsia="Times New Roman" w:cs="Arial"/>
                <w:b/>
                <w:bCs/>
                <w:kern w:val="24"/>
                <w:sz w:val="20"/>
                <w:szCs w:val="20"/>
                <w:lang w:eastAsia="sk-SK"/>
              </w:rPr>
              <w:br/>
              <w:t>a riadenie PRO</w:t>
            </w:r>
          </w:p>
        </w:tc>
        <w:tc>
          <w:tcPr>
            <w:tcW w:w="1127" w:type="dxa"/>
            <w:tcBorders>
              <w:top w:val="single" w:sz="4" w:space="0" w:color="auto"/>
            </w:tcBorders>
            <w:shd w:val="clear" w:color="auto" w:fill="FFFFFF" w:themeFill="background1"/>
            <w:tcMar>
              <w:top w:w="11" w:type="dxa"/>
              <w:left w:w="11" w:type="dxa"/>
              <w:bottom w:w="0" w:type="dxa"/>
              <w:right w:w="11" w:type="dxa"/>
            </w:tcMar>
            <w:vAlign w:val="center"/>
            <w:hideMark/>
          </w:tcPr>
          <w:p w14:paraId="2ECA6327" w14:textId="77777777" w:rsidR="00D61CAD" w:rsidRPr="000939E3" w:rsidRDefault="00D61CAD" w:rsidP="00D61CAD">
            <w:pPr>
              <w:spacing w:after="0" w:line="240" w:lineRule="auto"/>
              <w:jc w:val="center"/>
              <w:textAlignment w:val="center"/>
              <w:rPr>
                <w:rFonts w:eastAsia="Times New Roman" w:cs="Arial"/>
                <w:b/>
                <w:sz w:val="20"/>
                <w:szCs w:val="20"/>
                <w:lang w:eastAsia="sk-SK"/>
              </w:rPr>
            </w:pPr>
            <w:r w:rsidRPr="000939E3">
              <w:rPr>
                <w:rFonts w:eastAsia="Times New Roman" w:cs="Arial"/>
                <w:b/>
                <w:bCs/>
                <w:kern w:val="24"/>
                <w:sz w:val="20"/>
                <w:szCs w:val="20"/>
                <w:lang w:eastAsia="sk-SK"/>
              </w:rPr>
              <w:t>Medzinárodné vzťahy</w:t>
            </w:r>
          </w:p>
        </w:tc>
        <w:tc>
          <w:tcPr>
            <w:tcW w:w="1128" w:type="dxa"/>
            <w:tcBorders>
              <w:top w:val="single" w:sz="4" w:space="0" w:color="auto"/>
            </w:tcBorders>
            <w:shd w:val="clear" w:color="auto" w:fill="FFFFFF" w:themeFill="background1"/>
            <w:tcMar>
              <w:top w:w="11" w:type="dxa"/>
              <w:left w:w="11" w:type="dxa"/>
              <w:bottom w:w="0" w:type="dxa"/>
              <w:right w:w="11" w:type="dxa"/>
            </w:tcMar>
            <w:vAlign w:val="center"/>
            <w:hideMark/>
          </w:tcPr>
          <w:p w14:paraId="254A94EE" w14:textId="77777777" w:rsidR="00D61CAD" w:rsidRPr="000939E3" w:rsidRDefault="00D61CAD" w:rsidP="00D61CAD">
            <w:pPr>
              <w:spacing w:after="0" w:line="240" w:lineRule="auto"/>
              <w:jc w:val="center"/>
              <w:textAlignment w:val="center"/>
              <w:rPr>
                <w:rFonts w:eastAsia="Times New Roman" w:cs="Arial"/>
                <w:b/>
                <w:sz w:val="20"/>
                <w:szCs w:val="20"/>
                <w:lang w:eastAsia="sk-SK"/>
              </w:rPr>
            </w:pPr>
            <w:r w:rsidRPr="000939E3">
              <w:rPr>
                <w:rFonts w:eastAsia="Times New Roman" w:cs="Arial"/>
                <w:b/>
                <w:bCs/>
                <w:kern w:val="24"/>
                <w:sz w:val="20"/>
                <w:szCs w:val="20"/>
                <w:lang w:eastAsia="sk-SK"/>
              </w:rPr>
              <w:t>Kancelária GTSÚ</w:t>
            </w:r>
          </w:p>
        </w:tc>
        <w:tc>
          <w:tcPr>
            <w:tcW w:w="1127" w:type="dxa"/>
            <w:tcBorders>
              <w:top w:val="single" w:sz="4" w:space="0" w:color="auto"/>
            </w:tcBorders>
            <w:shd w:val="clear" w:color="auto" w:fill="FFFFFF" w:themeFill="background1"/>
            <w:tcMar>
              <w:top w:w="11" w:type="dxa"/>
              <w:left w:w="11" w:type="dxa"/>
              <w:bottom w:w="0" w:type="dxa"/>
              <w:right w:w="11" w:type="dxa"/>
            </w:tcMar>
            <w:vAlign w:val="center"/>
            <w:hideMark/>
          </w:tcPr>
          <w:p w14:paraId="3940260F" w14:textId="77777777" w:rsidR="00D61CAD" w:rsidRPr="000939E3" w:rsidRDefault="00D61CAD" w:rsidP="00D61CAD">
            <w:pPr>
              <w:spacing w:after="0" w:line="240" w:lineRule="auto"/>
              <w:jc w:val="center"/>
              <w:textAlignment w:val="center"/>
              <w:rPr>
                <w:rFonts w:eastAsia="Times New Roman" w:cs="Arial"/>
                <w:b/>
                <w:sz w:val="20"/>
                <w:szCs w:val="20"/>
                <w:lang w:eastAsia="sk-SK"/>
              </w:rPr>
            </w:pPr>
            <w:r w:rsidRPr="000939E3">
              <w:rPr>
                <w:rFonts w:eastAsia="Times New Roman" w:cs="Arial"/>
                <w:b/>
                <w:bCs/>
                <w:kern w:val="24"/>
                <w:sz w:val="20"/>
                <w:szCs w:val="20"/>
                <w:lang w:eastAsia="sk-SK"/>
              </w:rPr>
              <w:t>Kancelária ŠT</w:t>
            </w:r>
          </w:p>
        </w:tc>
        <w:tc>
          <w:tcPr>
            <w:tcW w:w="1128" w:type="dxa"/>
            <w:tcBorders>
              <w:top w:val="single" w:sz="4" w:space="0" w:color="auto"/>
            </w:tcBorders>
            <w:shd w:val="clear" w:color="auto" w:fill="FFFFFF" w:themeFill="background1"/>
            <w:tcMar>
              <w:top w:w="11" w:type="dxa"/>
              <w:left w:w="11" w:type="dxa"/>
              <w:bottom w:w="0" w:type="dxa"/>
              <w:right w:w="11" w:type="dxa"/>
            </w:tcMar>
            <w:vAlign w:val="center"/>
            <w:hideMark/>
          </w:tcPr>
          <w:p w14:paraId="6D00DEBE" w14:textId="77777777" w:rsidR="00D61CAD" w:rsidRPr="000939E3" w:rsidRDefault="00D61CAD" w:rsidP="00D61CAD">
            <w:pPr>
              <w:spacing w:after="0" w:line="240" w:lineRule="auto"/>
              <w:jc w:val="center"/>
              <w:textAlignment w:val="center"/>
              <w:rPr>
                <w:rFonts w:eastAsia="Times New Roman" w:cs="Arial"/>
                <w:b/>
                <w:sz w:val="20"/>
                <w:szCs w:val="20"/>
                <w:lang w:eastAsia="sk-SK"/>
              </w:rPr>
            </w:pPr>
            <w:r w:rsidRPr="000939E3">
              <w:rPr>
                <w:rFonts w:eastAsia="Times New Roman" w:cs="Arial"/>
                <w:b/>
                <w:bCs/>
                <w:kern w:val="24"/>
                <w:sz w:val="20"/>
                <w:szCs w:val="20"/>
                <w:lang w:eastAsia="sk-SK"/>
              </w:rPr>
              <w:t>Kancelária ministra</w:t>
            </w:r>
          </w:p>
        </w:tc>
      </w:tr>
      <w:tr w:rsidR="00D61CAD" w:rsidRPr="000939E3" w14:paraId="05C00033" w14:textId="77777777" w:rsidTr="00D61CAD">
        <w:trPr>
          <w:trHeight w:val="509"/>
        </w:trPr>
        <w:tc>
          <w:tcPr>
            <w:tcW w:w="0" w:type="auto"/>
            <w:vMerge w:val="restart"/>
            <w:shd w:val="clear" w:color="auto" w:fill="FFFFFF" w:themeFill="background1"/>
            <w:tcMar>
              <w:top w:w="11" w:type="dxa"/>
              <w:left w:w="11" w:type="dxa"/>
              <w:bottom w:w="0" w:type="dxa"/>
              <w:right w:w="11" w:type="dxa"/>
            </w:tcMar>
            <w:vAlign w:val="center"/>
            <w:hideMark/>
          </w:tcPr>
          <w:p w14:paraId="7D26A070" w14:textId="77777777" w:rsidR="00D61CAD" w:rsidRPr="000939E3" w:rsidRDefault="00D61CAD" w:rsidP="00D61CAD">
            <w:pPr>
              <w:spacing w:after="0" w:line="240" w:lineRule="auto"/>
              <w:textAlignment w:val="center"/>
              <w:rPr>
                <w:rFonts w:eastAsia="Times New Roman" w:cs="Arial"/>
                <w:b/>
                <w:sz w:val="20"/>
                <w:szCs w:val="20"/>
                <w:lang w:eastAsia="sk-SK"/>
              </w:rPr>
            </w:pPr>
            <w:r w:rsidRPr="000939E3">
              <w:rPr>
                <w:rFonts w:eastAsia="Times New Roman" w:cs="Arial"/>
                <w:b/>
                <w:bCs/>
                <w:kern w:val="24"/>
                <w:sz w:val="20"/>
                <w:szCs w:val="20"/>
                <w:lang w:eastAsia="sk-SK"/>
              </w:rPr>
              <w:t xml:space="preserve">Optimalizácia </w:t>
            </w:r>
            <w:r w:rsidRPr="000939E3">
              <w:rPr>
                <w:rFonts w:eastAsia="Times New Roman" w:cs="Arial"/>
                <w:b/>
                <w:bCs/>
                <w:kern w:val="24"/>
                <w:sz w:val="20"/>
                <w:szCs w:val="20"/>
                <w:lang w:eastAsia="sk-SK"/>
              </w:rPr>
              <w:br/>
              <w:t>v rámci úradu</w:t>
            </w:r>
          </w:p>
        </w:tc>
        <w:tc>
          <w:tcPr>
            <w:tcW w:w="0" w:type="auto"/>
            <w:gridSpan w:val="11"/>
            <w:shd w:val="clear" w:color="auto" w:fill="FFFFFF" w:themeFill="background1"/>
            <w:tcMar>
              <w:top w:w="11" w:type="dxa"/>
              <w:left w:w="11" w:type="dxa"/>
              <w:bottom w:w="0" w:type="dxa"/>
              <w:right w:w="11" w:type="dxa"/>
            </w:tcMar>
            <w:vAlign w:val="center"/>
            <w:hideMark/>
          </w:tcPr>
          <w:p w14:paraId="4DE5D8EE" w14:textId="77777777" w:rsidR="00D61CAD" w:rsidRPr="000939E3" w:rsidRDefault="00D61CAD" w:rsidP="00D61CAD">
            <w:pPr>
              <w:spacing w:after="0" w:line="240" w:lineRule="auto"/>
              <w:jc w:val="center"/>
              <w:textAlignment w:val="center"/>
              <w:rPr>
                <w:rFonts w:eastAsia="Times New Roman" w:cs="Arial"/>
                <w:sz w:val="20"/>
                <w:szCs w:val="20"/>
                <w:lang w:eastAsia="sk-SK"/>
              </w:rPr>
            </w:pPr>
            <w:r w:rsidRPr="000939E3">
              <w:rPr>
                <w:rFonts w:eastAsia="Times New Roman" w:cs="Arial"/>
                <w:kern w:val="24"/>
                <w:sz w:val="20"/>
                <w:szCs w:val="20"/>
                <w:lang w:eastAsia="sk-SK"/>
              </w:rPr>
              <w:t>Činnosti určené na optimalizáciu závisia od konkrétnej inštitúcie</w:t>
            </w:r>
          </w:p>
        </w:tc>
      </w:tr>
      <w:tr w:rsidR="00D61CAD" w:rsidRPr="000939E3" w14:paraId="2B009BA6" w14:textId="77777777" w:rsidTr="00D61CAD">
        <w:trPr>
          <w:trHeight w:val="1021"/>
        </w:trPr>
        <w:tc>
          <w:tcPr>
            <w:tcW w:w="0" w:type="auto"/>
            <w:vMerge/>
            <w:shd w:val="clear" w:color="auto" w:fill="FFFFFF" w:themeFill="background1"/>
            <w:vAlign w:val="center"/>
            <w:hideMark/>
          </w:tcPr>
          <w:p w14:paraId="31D460EC" w14:textId="77777777" w:rsidR="00D61CAD" w:rsidRPr="000939E3" w:rsidRDefault="00D61CAD" w:rsidP="00D61CAD">
            <w:pPr>
              <w:spacing w:after="0" w:line="240" w:lineRule="auto"/>
              <w:rPr>
                <w:rFonts w:eastAsia="Times New Roman" w:cs="Arial"/>
                <w:sz w:val="20"/>
                <w:szCs w:val="20"/>
                <w:lang w:eastAsia="sk-SK"/>
              </w:rPr>
            </w:pPr>
          </w:p>
        </w:tc>
        <w:tc>
          <w:tcPr>
            <w:tcW w:w="0" w:type="auto"/>
            <w:gridSpan w:val="11"/>
            <w:shd w:val="clear" w:color="auto" w:fill="FFFFFF" w:themeFill="background1"/>
            <w:tcMar>
              <w:top w:w="11" w:type="dxa"/>
              <w:left w:w="11" w:type="dxa"/>
              <w:bottom w:w="0" w:type="dxa"/>
              <w:right w:w="11" w:type="dxa"/>
            </w:tcMar>
            <w:vAlign w:val="center"/>
            <w:hideMark/>
          </w:tcPr>
          <w:p w14:paraId="3B9700A5" w14:textId="77777777" w:rsidR="00D61CAD" w:rsidRPr="000939E3" w:rsidRDefault="00D61CAD" w:rsidP="00D61CAD">
            <w:pPr>
              <w:spacing w:after="0" w:line="240" w:lineRule="auto"/>
              <w:jc w:val="center"/>
              <w:textAlignment w:val="center"/>
              <w:rPr>
                <w:rFonts w:eastAsia="Times New Roman" w:cs="Arial"/>
                <w:sz w:val="20"/>
                <w:szCs w:val="20"/>
                <w:lang w:eastAsia="sk-SK"/>
              </w:rPr>
            </w:pPr>
            <w:r w:rsidRPr="000939E3">
              <w:rPr>
                <w:rFonts w:eastAsia="Times New Roman" w:cs="Arial"/>
                <w:kern w:val="24"/>
                <w:sz w:val="20"/>
                <w:szCs w:val="20"/>
                <w:lang w:eastAsia="sk-SK"/>
              </w:rPr>
              <w:t xml:space="preserve"> Spôsob optimalizácie je v kompetencii úradov (napr.: zníženie počtu zamestnancov a miezd/ odmien, lepšie outsourcing/ insourcing rozhodnutia)</w:t>
            </w:r>
          </w:p>
        </w:tc>
      </w:tr>
      <w:tr w:rsidR="00D61CAD" w:rsidRPr="000939E3" w14:paraId="4C3AC2CC" w14:textId="77777777" w:rsidTr="00D61CAD">
        <w:trPr>
          <w:trHeight w:val="1474"/>
        </w:trPr>
        <w:tc>
          <w:tcPr>
            <w:tcW w:w="0" w:type="auto"/>
            <w:shd w:val="clear" w:color="auto" w:fill="FFFFFF" w:themeFill="background1"/>
            <w:tcMar>
              <w:top w:w="11" w:type="dxa"/>
              <w:left w:w="11" w:type="dxa"/>
              <w:bottom w:w="0" w:type="dxa"/>
              <w:right w:w="11" w:type="dxa"/>
            </w:tcMar>
            <w:vAlign w:val="center"/>
            <w:hideMark/>
          </w:tcPr>
          <w:p w14:paraId="516003C0" w14:textId="77777777" w:rsidR="00D61CAD" w:rsidRPr="000939E3" w:rsidRDefault="00D61CAD" w:rsidP="008C79FC">
            <w:pPr>
              <w:spacing w:after="0" w:line="240" w:lineRule="auto"/>
              <w:jc w:val="left"/>
              <w:textAlignment w:val="center"/>
              <w:rPr>
                <w:rFonts w:eastAsia="Times New Roman" w:cs="Arial"/>
                <w:b/>
                <w:sz w:val="20"/>
                <w:szCs w:val="20"/>
                <w:lang w:eastAsia="sk-SK"/>
              </w:rPr>
            </w:pPr>
            <w:r w:rsidRPr="000939E3">
              <w:rPr>
                <w:rFonts w:eastAsia="Times New Roman" w:cs="Arial"/>
                <w:b/>
                <w:bCs/>
                <w:kern w:val="24"/>
                <w:sz w:val="20"/>
                <w:szCs w:val="20"/>
                <w:lang w:eastAsia="sk-SK"/>
              </w:rPr>
              <w:t>Rezortné servisné centrá</w:t>
            </w:r>
          </w:p>
        </w:tc>
        <w:tc>
          <w:tcPr>
            <w:tcW w:w="0" w:type="auto"/>
            <w:gridSpan w:val="8"/>
            <w:shd w:val="clear" w:color="auto" w:fill="FFFFFF" w:themeFill="background1"/>
            <w:tcMar>
              <w:top w:w="11" w:type="dxa"/>
              <w:left w:w="11" w:type="dxa"/>
              <w:bottom w:w="0" w:type="dxa"/>
              <w:right w:w="11" w:type="dxa"/>
            </w:tcMar>
            <w:vAlign w:val="center"/>
            <w:hideMark/>
          </w:tcPr>
          <w:p w14:paraId="6B7CAB6C" w14:textId="77777777" w:rsidR="00D61CAD" w:rsidRPr="000939E3" w:rsidRDefault="00D61CAD" w:rsidP="00D61CAD">
            <w:pPr>
              <w:spacing w:after="0" w:line="240" w:lineRule="auto"/>
              <w:jc w:val="center"/>
              <w:textAlignment w:val="center"/>
              <w:rPr>
                <w:rFonts w:eastAsia="Times New Roman" w:cs="Arial"/>
                <w:sz w:val="20"/>
                <w:szCs w:val="20"/>
                <w:lang w:eastAsia="sk-SK"/>
              </w:rPr>
            </w:pPr>
            <w:r w:rsidRPr="000939E3">
              <w:rPr>
                <w:rFonts w:eastAsia="Times New Roman" w:cs="Arial"/>
                <w:kern w:val="24"/>
                <w:sz w:val="20"/>
                <w:szCs w:val="20"/>
                <w:lang w:val="pl-PL" w:eastAsia="sk-SK"/>
              </w:rPr>
              <w:t>Vybrané činnosti s predpokladom na centralizáciu</w:t>
            </w:r>
          </w:p>
        </w:tc>
        <w:tc>
          <w:tcPr>
            <w:tcW w:w="0" w:type="auto"/>
            <w:gridSpan w:val="3"/>
            <w:shd w:val="clear" w:color="auto" w:fill="FFFFFF" w:themeFill="background1"/>
            <w:tcMar>
              <w:top w:w="11" w:type="dxa"/>
              <w:left w:w="11" w:type="dxa"/>
              <w:bottom w:w="0" w:type="dxa"/>
              <w:right w:w="11" w:type="dxa"/>
            </w:tcMar>
            <w:vAlign w:val="center"/>
            <w:hideMark/>
          </w:tcPr>
          <w:p w14:paraId="28C943CC" w14:textId="77777777" w:rsidR="00D61CAD" w:rsidRPr="000939E3" w:rsidRDefault="00D61CAD" w:rsidP="00D61CAD">
            <w:pPr>
              <w:spacing w:after="0" w:line="240" w:lineRule="auto"/>
              <w:jc w:val="center"/>
              <w:textAlignment w:val="center"/>
              <w:rPr>
                <w:rFonts w:eastAsia="Times New Roman" w:cs="Arial"/>
                <w:sz w:val="20"/>
                <w:szCs w:val="20"/>
                <w:lang w:eastAsia="sk-SK"/>
              </w:rPr>
            </w:pPr>
            <w:r w:rsidRPr="000939E3">
              <w:rPr>
                <w:rFonts w:eastAsia="Times New Roman" w:cs="Arial"/>
                <w:kern w:val="24"/>
                <w:sz w:val="20"/>
                <w:szCs w:val="20"/>
                <w:lang w:eastAsia="sk-SK"/>
              </w:rPr>
              <w:t>n/a</w:t>
            </w:r>
          </w:p>
        </w:tc>
      </w:tr>
      <w:tr w:rsidR="00D61CAD" w:rsidRPr="000939E3" w14:paraId="135B8D59" w14:textId="77777777" w:rsidTr="00D61CAD">
        <w:trPr>
          <w:trHeight w:val="464"/>
        </w:trPr>
        <w:tc>
          <w:tcPr>
            <w:tcW w:w="0" w:type="auto"/>
            <w:tcBorders>
              <w:bottom w:val="single" w:sz="4" w:space="0" w:color="auto"/>
            </w:tcBorders>
            <w:shd w:val="clear" w:color="auto" w:fill="FFFFFF" w:themeFill="background1"/>
            <w:tcMar>
              <w:top w:w="11" w:type="dxa"/>
              <w:left w:w="11" w:type="dxa"/>
              <w:bottom w:w="0" w:type="dxa"/>
              <w:right w:w="11" w:type="dxa"/>
            </w:tcMar>
            <w:vAlign w:val="center"/>
            <w:hideMark/>
          </w:tcPr>
          <w:p w14:paraId="054FF636" w14:textId="77777777" w:rsidR="00D61CAD" w:rsidRPr="000939E3" w:rsidRDefault="00D61CAD" w:rsidP="00D61CAD">
            <w:pPr>
              <w:spacing w:after="0" w:line="240" w:lineRule="auto"/>
              <w:textAlignment w:val="center"/>
              <w:rPr>
                <w:rFonts w:eastAsia="Times New Roman" w:cs="Arial"/>
                <w:sz w:val="20"/>
                <w:szCs w:val="20"/>
                <w:lang w:eastAsia="sk-SK"/>
              </w:rPr>
            </w:pPr>
            <w:r w:rsidRPr="000939E3">
              <w:rPr>
                <w:rFonts w:eastAsia="Times New Roman" w:cs="Arial"/>
                <w:bCs/>
                <w:kern w:val="24"/>
                <w:sz w:val="20"/>
                <w:szCs w:val="20"/>
                <w:lang w:eastAsia="sk-SK"/>
              </w:rPr>
              <w:t> </w:t>
            </w:r>
          </w:p>
        </w:tc>
        <w:tc>
          <w:tcPr>
            <w:tcW w:w="3234" w:type="dxa"/>
            <w:gridSpan w:val="3"/>
            <w:tcBorders>
              <w:bottom w:val="single" w:sz="4" w:space="0" w:color="auto"/>
            </w:tcBorders>
            <w:shd w:val="clear" w:color="auto" w:fill="D9D9D9" w:themeFill="background1" w:themeFillShade="D9"/>
            <w:tcMar>
              <w:top w:w="11" w:type="dxa"/>
              <w:left w:w="11" w:type="dxa"/>
              <w:bottom w:w="0" w:type="dxa"/>
              <w:right w:w="11" w:type="dxa"/>
            </w:tcMar>
            <w:vAlign w:val="center"/>
            <w:hideMark/>
          </w:tcPr>
          <w:p w14:paraId="67A530E2" w14:textId="77777777" w:rsidR="00D61CAD" w:rsidRPr="000939E3" w:rsidRDefault="00D61CAD" w:rsidP="00D61CAD">
            <w:pPr>
              <w:spacing w:after="0" w:line="240" w:lineRule="auto"/>
              <w:jc w:val="center"/>
              <w:textAlignment w:val="center"/>
              <w:rPr>
                <w:rFonts w:eastAsia="Times New Roman" w:cs="Arial"/>
                <w:b/>
                <w:sz w:val="20"/>
                <w:szCs w:val="20"/>
                <w:lang w:eastAsia="sk-SK"/>
              </w:rPr>
            </w:pPr>
            <w:r w:rsidRPr="000939E3">
              <w:rPr>
                <w:rFonts w:eastAsia="Times New Roman" w:cs="Arial"/>
                <w:b/>
                <w:sz w:val="20"/>
                <w:szCs w:val="20"/>
                <w:lang w:eastAsia="sk-SK"/>
              </w:rPr>
              <w:t>Centrálny ekonomický systém</w:t>
            </w:r>
          </w:p>
        </w:tc>
        <w:tc>
          <w:tcPr>
            <w:tcW w:w="8841" w:type="dxa"/>
            <w:gridSpan w:val="8"/>
            <w:tcBorders>
              <w:bottom w:val="single" w:sz="4" w:space="0" w:color="auto"/>
            </w:tcBorders>
            <w:shd w:val="clear" w:color="auto" w:fill="FFFFFF" w:themeFill="background1"/>
            <w:tcMar>
              <w:top w:w="11" w:type="dxa"/>
              <w:left w:w="11" w:type="dxa"/>
              <w:bottom w:w="0" w:type="dxa"/>
              <w:right w:w="11" w:type="dxa"/>
            </w:tcMar>
            <w:vAlign w:val="center"/>
            <w:hideMark/>
          </w:tcPr>
          <w:p w14:paraId="475141F1" w14:textId="77777777" w:rsidR="00D61CAD" w:rsidRPr="000939E3" w:rsidRDefault="00D61CAD" w:rsidP="00D61CAD">
            <w:pPr>
              <w:spacing w:after="0" w:line="240" w:lineRule="auto"/>
              <w:jc w:val="center"/>
              <w:textAlignment w:val="center"/>
              <w:rPr>
                <w:rFonts w:eastAsia="Times New Roman" w:cs="Arial"/>
                <w:sz w:val="20"/>
                <w:szCs w:val="20"/>
                <w:lang w:eastAsia="sk-SK"/>
              </w:rPr>
            </w:pPr>
            <w:r w:rsidRPr="000939E3">
              <w:rPr>
                <w:rFonts w:eastAsia="Times New Roman" w:cs="Arial"/>
                <w:sz w:val="20"/>
                <w:szCs w:val="20"/>
                <w:lang w:eastAsia="sk-SK"/>
              </w:rPr>
              <w:t>n/a</w:t>
            </w:r>
          </w:p>
        </w:tc>
      </w:tr>
      <w:tr w:rsidR="00D61CAD" w:rsidRPr="000939E3" w14:paraId="763D9BA6" w14:textId="77777777" w:rsidTr="00D61CAD">
        <w:trPr>
          <w:trHeight w:val="1288"/>
        </w:trPr>
        <w:tc>
          <w:tcPr>
            <w:tcW w:w="0" w:type="auto"/>
            <w:tcBorders>
              <w:bottom w:val="single" w:sz="4" w:space="0" w:color="auto"/>
            </w:tcBorders>
            <w:shd w:val="clear" w:color="auto" w:fill="FFFFFF" w:themeFill="background1"/>
            <w:tcMar>
              <w:top w:w="11" w:type="dxa"/>
              <w:left w:w="11" w:type="dxa"/>
              <w:bottom w:w="0" w:type="dxa"/>
              <w:right w:w="11" w:type="dxa"/>
            </w:tcMar>
            <w:vAlign w:val="center"/>
            <w:hideMark/>
          </w:tcPr>
          <w:p w14:paraId="3A4A5E28" w14:textId="77777777" w:rsidR="00D61CAD" w:rsidRPr="000939E3" w:rsidRDefault="00D61CAD" w:rsidP="00D61CAD">
            <w:pPr>
              <w:spacing w:after="0" w:line="240" w:lineRule="auto"/>
              <w:textAlignment w:val="center"/>
              <w:rPr>
                <w:rFonts w:eastAsia="Times New Roman" w:cs="Arial"/>
                <w:b/>
                <w:sz w:val="20"/>
                <w:szCs w:val="20"/>
                <w:lang w:eastAsia="sk-SK"/>
              </w:rPr>
            </w:pPr>
            <w:r w:rsidRPr="000939E3">
              <w:rPr>
                <w:rFonts w:eastAsia="Times New Roman" w:cs="Arial"/>
                <w:b/>
                <w:bCs/>
                <w:kern w:val="24"/>
                <w:sz w:val="20"/>
                <w:szCs w:val="20"/>
                <w:lang w:eastAsia="sk-SK"/>
              </w:rPr>
              <w:t>Štátne servisné centrá</w:t>
            </w:r>
          </w:p>
        </w:tc>
        <w:tc>
          <w:tcPr>
            <w:tcW w:w="0" w:type="auto"/>
            <w:gridSpan w:val="8"/>
            <w:tcBorders>
              <w:bottom w:val="single" w:sz="4" w:space="0" w:color="auto"/>
            </w:tcBorders>
            <w:shd w:val="clear" w:color="auto" w:fill="FFFFFF" w:themeFill="background1"/>
            <w:tcMar>
              <w:top w:w="11" w:type="dxa"/>
              <w:left w:w="11" w:type="dxa"/>
              <w:bottom w:w="0" w:type="dxa"/>
              <w:right w:w="11" w:type="dxa"/>
            </w:tcMar>
            <w:vAlign w:val="center"/>
            <w:hideMark/>
          </w:tcPr>
          <w:p w14:paraId="520B01AB" w14:textId="77777777" w:rsidR="00D61CAD" w:rsidRPr="000939E3" w:rsidRDefault="00D61CAD" w:rsidP="00D61CAD">
            <w:pPr>
              <w:spacing w:after="0" w:line="240" w:lineRule="auto"/>
              <w:jc w:val="center"/>
              <w:textAlignment w:val="center"/>
              <w:rPr>
                <w:rFonts w:eastAsia="Times New Roman" w:cs="Arial"/>
                <w:sz w:val="20"/>
                <w:szCs w:val="20"/>
                <w:lang w:eastAsia="sk-SK"/>
              </w:rPr>
            </w:pPr>
            <w:r w:rsidRPr="000939E3">
              <w:rPr>
                <w:rFonts w:eastAsia="Times New Roman" w:cs="Arial"/>
                <w:kern w:val="24"/>
                <w:sz w:val="20"/>
                <w:szCs w:val="20"/>
                <w:lang w:val="pl-PL" w:eastAsia="sk-SK"/>
              </w:rPr>
              <w:t>Vybrané činnosti s predpokladom na centralizáciu</w:t>
            </w:r>
          </w:p>
        </w:tc>
        <w:tc>
          <w:tcPr>
            <w:tcW w:w="0" w:type="auto"/>
            <w:gridSpan w:val="3"/>
            <w:tcBorders>
              <w:bottom w:val="single" w:sz="4" w:space="0" w:color="auto"/>
            </w:tcBorders>
            <w:shd w:val="clear" w:color="auto" w:fill="FFFFFF" w:themeFill="background1"/>
            <w:tcMar>
              <w:top w:w="11" w:type="dxa"/>
              <w:left w:w="11" w:type="dxa"/>
              <w:bottom w:w="0" w:type="dxa"/>
              <w:right w:w="11" w:type="dxa"/>
            </w:tcMar>
            <w:vAlign w:val="center"/>
            <w:hideMark/>
          </w:tcPr>
          <w:p w14:paraId="0B4BCE7F" w14:textId="77777777" w:rsidR="00D61CAD" w:rsidRPr="000939E3" w:rsidRDefault="00D61CAD" w:rsidP="00D61CAD">
            <w:pPr>
              <w:spacing w:after="0" w:line="240" w:lineRule="auto"/>
              <w:jc w:val="center"/>
              <w:textAlignment w:val="center"/>
              <w:rPr>
                <w:rFonts w:eastAsia="Times New Roman" w:cs="Arial"/>
                <w:sz w:val="20"/>
                <w:szCs w:val="20"/>
                <w:lang w:eastAsia="sk-SK"/>
              </w:rPr>
            </w:pPr>
            <w:r w:rsidRPr="000939E3">
              <w:rPr>
                <w:rFonts w:eastAsia="Times New Roman" w:cs="Arial"/>
                <w:kern w:val="24"/>
                <w:sz w:val="20"/>
                <w:szCs w:val="20"/>
                <w:lang w:eastAsia="sk-SK"/>
              </w:rPr>
              <w:t>n/a</w:t>
            </w:r>
          </w:p>
        </w:tc>
      </w:tr>
      <w:tr w:rsidR="00D61CAD" w:rsidRPr="000939E3" w14:paraId="0EAB377F" w14:textId="77777777" w:rsidTr="00D61CAD">
        <w:trPr>
          <w:trHeight w:val="363"/>
        </w:trPr>
        <w:tc>
          <w:tcPr>
            <w:tcW w:w="0" w:type="auto"/>
            <w:gridSpan w:val="12"/>
            <w:tcBorders>
              <w:top w:val="single" w:sz="4" w:space="0" w:color="auto"/>
              <w:left w:val="nil"/>
              <w:bottom w:val="nil"/>
              <w:right w:val="nil"/>
            </w:tcBorders>
            <w:shd w:val="clear" w:color="auto" w:fill="FFFFFF" w:themeFill="background1"/>
            <w:tcMar>
              <w:top w:w="11" w:type="dxa"/>
              <w:left w:w="11" w:type="dxa"/>
              <w:bottom w:w="0" w:type="dxa"/>
              <w:right w:w="11" w:type="dxa"/>
            </w:tcMar>
            <w:vAlign w:val="center"/>
          </w:tcPr>
          <w:p w14:paraId="34893461" w14:textId="77777777" w:rsidR="00D61CAD" w:rsidRPr="000939E3" w:rsidRDefault="00D61CAD" w:rsidP="00D61CAD">
            <w:pPr>
              <w:spacing w:after="0" w:line="240" w:lineRule="auto"/>
              <w:jc w:val="right"/>
              <w:textAlignment w:val="center"/>
              <w:rPr>
                <w:rFonts w:eastAsia="Times New Roman" w:cs="Arial"/>
                <w:i/>
                <w:kern w:val="24"/>
                <w:sz w:val="20"/>
                <w:szCs w:val="20"/>
                <w:lang w:eastAsia="sk-SK"/>
              </w:rPr>
            </w:pPr>
            <w:r w:rsidRPr="000939E3">
              <w:rPr>
                <w:rFonts w:eastAsia="Times New Roman" w:cs="Arial"/>
                <w:i/>
                <w:kern w:val="24"/>
                <w:sz w:val="20"/>
                <w:szCs w:val="20"/>
                <w:lang w:eastAsia="sk-SK"/>
              </w:rPr>
              <w:t>Zdroj: spracovanie ÚHP</w:t>
            </w:r>
          </w:p>
        </w:tc>
      </w:tr>
    </w:tbl>
    <w:p w14:paraId="207F1652" w14:textId="77777777" w:rsidR="00D61CAD" w:rsidRPr="000939E3" w:rsidRDefault="00D61CAD" w:rsidP="004714F8">
      <w:pPr>
        <w:spacing w:after="160" w:line="259" w:lineRule="auto"/>
        <w:jc w:val="left"/>
        <w:rPr>
          <w:b/>
          <w:sz w:val="24"/>
        </w:rPr>
        <w:sectPr w:rsidR="00D61CAD" w:rsidRPr="000939E3" w:rsidSect="00565A86">
          <w:pgSz w:w="16838" w:h="11906" w:orient="landscape"/>
          <w:pgMar w:top="1417" w:right="1417" w:bottom="1417" w:left="1417" w:header="708" w:footer="708" w:gutter="0"/>
          <w:cols w:space="708"/>
          <w:docGrid w:linePitch="360"/>
        </w:sectPr>
      </w:pPr>
    </w:p>
    <w:p w14:paraId="73977D7C" w14:textId="358A2C75" w:rsidR="00D61CAD" w:rsidRPr="000939E3" w:rsidRDefault="00D61CAD" w:rsidP="00D61CAD">
      <w:pPr>
        <w:pStyle w:val="Popis"/>
        <w:rPr>
          <w:sz w:val="22"/>
        </w:rPr>
      </w:pPr>
      <w:bookmarkStart w:id="331" w:name="_Ref532840717"/>
      <w:r w:rsidRPr="000939E3">
        <w:rPr>
          <w:sz w:val="22"/>
        </w:rPr>
        <w:t xml:space="preserve">Príloha </w:t>
      </w:r>
      <w:r w:rsidRPr="000939E3">
        <w:rPr>
          <w:sz w:val="22"/>
        </w:rPr>
        <w:fldChar w:fldCharType="begin"/>
      </w:r>
      <w:r w:rsidRPr="000939E3">
        <w:rPr>
          <w:sz w:val="22"/>
        </w:rPr>
        <w:instrText xml:space="preserve"> SEQ Príloha \* ARABIC </w:instrText>
      </w:r>
      <w:r w:rsidRPr="000939E3">
        <w:rPr>
          <w:sz w:val="22"/>
        </w:rPr>
        <w:fldChar w:fldCharType="separate"/>
      </w:r>
      <w:r w:rsidR="00BF69CA">
        <w:rPr>
          <w:noProof/>
          <w:sz w:val="22"/>
        </w:rPr>
        <w:t>17</w:t>
      </w:r>
      <w:r w:rsidRPr="000939E3">
        <w:rPr>
          <w:sz w:val="22"/>
        </w:rPr>
        <w:fldChar w:fldCharType="end"/>
      </w:r>
      <w:bookmarkEnd w:id="331"/>
      <w:r w:rsidRPr="000939E3">
        <w:rPr>
          <w:sz w:val="22"/>
        </w:rPr>
        <w:t>: Priemerné mzdy zamestnancov v</w:t>
      </w:r>
      <w:r w:rsidR="00565A86" w:rsidRPr="000939E3">
        <w:rPr>
          <w:sz w:val="22"/>
        </w:rPr>
        <w:t> </w:t>
      </w:r>
      <w:r w:rsidRPr="000939E3">
        <w:rPr>
          <w:sz w:val="22"/>
        </w:rPr>
        <w:t>školstve</w:t>
      </w:r>
    </w:p>
    <w:p w14:paraId="3B7ADBB5" w14:textId="77777777" w:rsidR="00565A86" w:rsidRPr="000939E3" w:rsidRDefault="00565A86" w:rsidP="00565A86">
      <w:pPr>
        <w:rPr>
          <w:lang w:eastAsia="sk-SK"/>
        </w:rPr>
      </w:pPr>
    </w:p>
    <w:tbl>
      <w:tblPr>
        <w:tblW w:w="5000" w:type="pct"/>
        <w:tblCellMar>
          <w:left w:w="70" w:type="dxa"/>
          <w:right w:w="70" w:type="dxa"/>
        </w:tblCellMar>
        <w:tblLook w:val="04A0" w:firstRow="1" w:lastRow="0" w:firstColumn="1" w:lastColumn="0" w:noHBand="0" w:noVBand="1"/>
      </w:tblPr>
      <w:tblGrid>
        <w:gridCol w:w="2407"/>
        <w:gridCol w:w="283"/>
        <w:gridCol w:w="947"/>
        <w:gridCol w:w="435"/>
        <w:gridCol w:w="512"/>
        <w:gridCol w:w="1154"/>
        <w:gridCol w:w="1665"/>
        <w:gridCol w:w="1667"/>
      </w:tblGrid>
      <w:tr w:rsidR="00D61CAD" w:rsidRPr="000939E3" w14:paraId="0266294F" w14:textId="77777777" w:rsidTr="000052C7">
        <w:trPr>
          <w:trHeight w:val="20"/>
        </w:trPr>
        <w:tc>
          <w:tcPr>
            <w:tcW w:w="5000" w:type="pct"/>
            <w:gridSpan w:val="8"/>
            <w:tcBorders>
              <w:top w:val="nil"/>
              <w:left w:val="nil"/>
              <w:bottom w:val="single" w:sz="4" w:space="0" w:color="auto"/>
              <w:right w:val="nil"/>
            </w:tcBorders>
            <w:shd w:val="clear" w:color="auto" w:fill="auto"/>
            <w:noWrap/>
            <w:vAlign w:val="center"/>
          </w:tcPr>
          <w:p w14:paraId="15B6018D" w14:textId="77777777" w:rsidR="00D61CAD" w:rsidRPr="000939E3" w:rsidRDefault="00D61CAD" w:rsidP="00D61CAD">
            <w:pPr>
              <w:keepNext/>
              <w:spacing w:after="0" w:line="240" w:lineRule="auto"/>
              <w:jc w:val="left"/>
              <w:rPr>
                <w:rFonts w:eastAsia="Times New Roman" w:cs="Times New Roman"/>
                <w:b/>
                <w:color w:val="000000"/>
                <w:lang w:eastAsia="sk-SK"/>
              </w:rPr>
            </w:pPr>
            <w:r w:rsidRPr="000939E3">
              <w:rPr>
                <w:rFonts w:eastAsia="Times New Roman" w:cs="Times New Roman"/>
                <w:b/>
                <w:color w:val="000000"/>
                <w:sz w:val="20"/>
                <w:lang w:eastAsia="sk-SK"/>
              </w:rPr>
              <w:t>Zložky mzdy zamestnancov verejného regionálneho školstva (2017)</w:t>
            </w:r>
          </w:p>
        </w:tc>
      </w:tr>
      <w:tr w:rsidR="00D61CAD" w:rsidRPr="000939E3" w14:paraId="28B625E1" w14:textId="77777777" w:rsidTr="000052C7">
        <w:trPr>
          <w:trHeight w:val="20"/>
        </w:trPr>
        <w:tc>
          <w:tcPr>
            <w:tcW w:w="1327" w:type="pct"/>
            <w:tcBorders>
              <w:top w:val="single" w:sz="4" w:space="0" w:color="auto"/>
              <w:left w:val="nil"/>
              <w:bottom w:val="single" w:sz="4" w:space="0" w:color="auto"/>
              <w:right w:val="nil"/>
            </w:tcBorders>
            <w:shd w:val="clear" w:color="auto" w:fill="auto"/>
            <w:noWrap/>
            <w:vAlign w:val="center"/>
          </w:tcPr>
          <w:p w14:paraId="244B8030" w14:textId="77777777" w:rsidR="00D61CAD" w:rsidRPr="000939E3" w:rsidRDefault="00D61CAD" w:rsidP="00D61CAD">
            <w:pPr>
              <w:keepNext/>
              <w:spacing w:after="0" w:line="240" w:lineRule="auto"/>
              <w:jc w:val="left"/>
              <w:rPr>
                <w:rFonts w:eastAsia="Times New Roman" w:cs="Times New Roman"/>
                <w:color w:val="000000"/>
                <w:lang w:eastAsia="sk-SK"/>
              </w:rPr>
            </w:pPr>
          </w:p>
        </w:tc>
        <w:tc>
          <w:tcPr>
            <w:tcW w:w="1836" w:type="pct"/>
            <w:gridSpan w:val="5"/>
            <w:tcBorders>
              <w:top w:val="single" w:sz="4" w:space="0" w:color="auto"/>
              <w:left w:val="nil"/>
              <w:bottom w:val="single" w:sz="4" w:space="0" w:color="auto"/>
              <w:right w:val="nil"/>
            </w:tcBorders>
            <w:shd w:val="clear" w:color="auto" w:fill="auto"/>
            <w:vAlign w:val="center"/>
          </w:tcPr>
          <w:p w14:paraId="7F8165A9" w14:textId="77777777" w:rsidR="00D61CAD" w:rsidRPr="000939E3" w:rsidRDefault="00D61CAD" w:rsidP="00D61CAD">
            <w:pPr>
              <w:keepNext/>
              <w:spacing w:after="0" w:line="240" w:lineRule="auto"/>
              <w:jc w:val="center"/>
              <w:rPr>
                <w:rFonts w:eastAsia="Times New Roman" w:cs="Times New Roman"/>
                <w:color w:val="000000"/>
                <w:lang w:eastAsia="sk-SK"/>
              </w:rPr>
            </w:pPr>
            <w:r w:rsidRPr="000939E3">
              <w:rPr>
                <w:color w:val="000000"/>
              </w:rPr>
              <w:t>pedagogickí a odborní zamestnanci</w:t>
            </w:r>
          </w:p>
        </w:tc>
        <w:tc>
          <w:tcPr>
            <w:tcW w:w="1837" w:type="pct"/>
            <w:gridSpan w:val="2"/>
            <w:tcBorders>
              <w:top w:val="single" w:sz="4" w:space="0" w:color="auto"/>
              <w:left w:val="nil"/>
              <w:bottom w:val="single" w:sz="4" w:space="0" w:color="auto"/>
              <w:right w:val="nil"/>
            </w:tcBorders>
            <w:shd w:val="clear" w:color="auto" w:fill="auto"/>
            <w:vAlign w:val="center"/>
          </w:tcPr>
          <w:p w14:paraId="22260C64" w14:textId="77777777" w:rsidR="00D61CAD" w:rsidRPr="000939E3" w:rsidRDefault="00D61CAD" w:rsidP="00D61CAD">
            <w:pPr>
              <w:keepNext/>
              <w:spacing w:after="0" w:line="240" w:lineRule="auto"/>
              <w:jc w:val="center"/>
              <w:rPr>
                <w:rFonts w:eastAsia="Times New Roman" w:cs="Times New Roman"/>
                <w:color w:val="000000"/>
                <w:lang w:eastAsia="sk-SK"/>
              </w:rPr>
            </w:pPr>
            <w:r w:rsidRPr="000939E3">
              <w:rPr>
                <w:color w:val="000000"/>
              </w:rPr>
              <w:t>nepedagogickí zamestnanci</w:t>
            </w:r>
          </w:p>
        </w:tc>
      </w:tr>
      <w:tr w:rsidR="00D61CAD" w:rsidRPr="000939E3" w14:paraId="1AFF7F36" w14:textId="77777777" w:rsidTr="000052C7">
        <w:trPr>
          <w:trHeight w:val="20"/>
        </w:trPr>
        <w:tc>
          <w:tcPr>
            <w:tcW w:w="1327" w:type="pct"/>
            <w:tcBorders>
              <w:top w:val="single" w:sz="4" w:space="0" w:color="auto"/>
              <w:left w:val="nil"/>
              <w:right w:val="nil"/>
            </w:tcBorders>
            <w:shd w:val="clear" w:color="auto" w:fill="auto"/>
            <w:noWrap/>
            <w:vAlign w:val="center"/>
          </w:tcPr>
          <w:p w14:paraId="6ED80280" w14:textId="77777777" w:rsidR="00D61CAD" w:rsidRPr="000939E3" w:rsidRDefault="00D61CAD" w:rsidP="00D61CAD">
            <w:pPr>
              <w:keepNext/>
              <w:spacing w:after="0" w:line="240" w:lineRule="auto"/>
              <w:jc w:val="left"/>
              <w:rPr>
                <w:rFonts w:eastAsia="Times New Roman" w:cs="Times New Roman"/>
                <w:color w:val="000000"/>
                <w:lang w:eastAsia="sk-SK"/>
              </w:rPr>
            </w:pPr>
            <w:r w:rsidRPr="000939E3">
              <w:rPr>
                <w:color w:val="000000"/>
              </w:rPr>
              <w:t>tarifa plus náhrady mzdy</w:t>
            </w:r>
          </w:p>
        </w:tc>
        <w:tc>
          <w:tcPr>
            <w:tcW w:w="918" w:type="pct"/>
            <w:gridSpan w:val="3"/>
            <w:tcBorders>
              <w:top w:val="single" w:sz="4" w:space="0" w:color="auto"/>
              <w:left w:val="nil"/>
              <w:right w:val="nil"/>
            </w:tcBorders>
            <w:shd w:val="clear" w:color="auto" w:fill="auto"/>
            <w:vAlign w:val="bottom"/>
          </w:tcPr>
          <w:p w14:paraId="6FE4D990"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875</w:t>
            </w:r>
          </w:p>
        </w:tc>
        <w:tc>
          <w:tcPr>
            <w:tcW w:w="918" w:type="pct"/>
            <w:gridSpan w:val="2"/>
            <w:tcBorders>
              <w:top w:val="single" w:sz="4" w:space="0" w:color="auto"/>
              <w:left w:val="nil"/>
              <w:right w:val="nil"/>
            </w:tcBorders>
            <w:shd w:val="clear" w:color="auto" w:fill="auto"/>
            <w:vAlign w:val="bottom"/>
          </w:tcPr>
          <w:p w14:paraId="397B6D43"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81%</w:t>
            </w:r>
          </w:p>
        </w:tc>
        <w:tc>
          <w:tcPr>
            <w:tcW w:w="918" w:type="pct"/>
            <w:tcBorders>
              <w:top w:val="single" w:sz="4" w:space="0" w:color="auto"/>
              <w:left w:val="nil"/>
              <w:right w:val="nil"/>
            </w:tcBorders>
            <w:shd w:val="clear" w:color="auto" w:fill="auto"/>
            <w:vAlign w:val="bottom"/>
          </w:tcPr>
          <w:p w14:paraId="4F1B783C"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461</w:t>
            </w:r>
          </w:p>
        </w:tc>
        <w:tc>
          <w:tcPr>
            <w:tcW w:w="919" w:type="pct"/>
            <w:tcBorders>
              <w:top w:val="single" w:sz="4" w:space="0" w:color="auto"/>
              <w:left w:val="nil"/>
              <w:right w:val="nil"/>
            </w:tcBorders>
            <w:shd w:val="clear" w:color="auto" w:fill="auto"/>
            <w:vAlign w:val="bottom"/>
          </w:tcPr>
          <w:p w14:paraId="6BE067EA" w14:textId="77777777" w:rsidR="00D61CAD" w:rsidRPr="000939E3" w:rsidRDefault="00D61CAD" w:rsidP="00D61CAD">
            <w:pPr>
              <w:keepNext/>
              <w:spacing w:after="0" w:line="240" w:lineRule="auto"/>
              <w:ind w:right="497"/>
              <w:jc w:val="right"/>
              <w:rPr>
                <w:rFonts w:eastAsia="Times New Roman" w:cs="Times New Roman"/>
                <w:color w:val="000000"/>
                <w:lang w:eastAsia="sk-SK"/>
              </w:rPr>
            </w:pPr>
            <w:r w:rsidRPr="000939E3">
              <w:rPr>
                <w:color w:val="000000"/>
              </w:rPr>
              <w:t>79%</w:t>
            </w:r>
          </w:p>
        </w:tc>
      </w:tr>
      <w:tr w:rsidR="00D61CAD" w:rsidRPr="000939E3" w14:paraId="7764529A" w14:textId="77777777" w:rsidTr="000052C7">
        <w:trPr>
          <w:trHeight w:val="20"/>
        </w:trPr>
        <w:tc>
          <w:tcPr>
            <w:tcW w:w="1327" w:type="pct"/>
            <w:tcBorders>
              <w:left w:val="nil"/>
              <w:right w:val="nil"/>
            </w:tcBorders>
            <w:shd w:val="clear" w:color="auto" w:fill="auto"/>
            <w:noWrap/>
            <w:vAlign w:val="center"/>
          </w:tcPr>
          <w:p w14:paraId="56BFF031" w14:textId="77777777" w:rsidR="00D61CAD" w:rsidRPr="000939E3" w:rsidRDefault="00D61CAD" w:rsidP="00D61CAD">
            <w:pPr>
              <w:keepNext/>
              <w:spacing w:after="0" w:line="240" w:lineRule="auto"/>
              <w:jc w:val="left"/>
              <w:rPr>
                <w:rFonts w:eastAsia="Times New Roman" w:cs="Times New Roman"/>
                <w:color w:val="000000"/>
                <w:lang w:eastAsia="sk-SK"/>
              </w:rPr>
            </w:pPr>
            <w:r w:rsidRPr="000939E3">
              <w:rPr>
                <w:color w:val="000000"/>
              </w:rPr>
              <w:t>osobný príplatok</w:t>
            </w:r>
          </w:p>
        </w:tc>
        <w:tc>
          <w:tcPr>
            <w:tcW w:w="918" w:type="pct"/>
            <w:gridSpan w:val="3"/>
            <w:tcBorders>
              <w:left w:val="nil"/>
              <w:right w:val="nil"/>
            </w:tcBorders>
            <w:shd w:val="clear" w:color="auto" w:fill="auto"/>
            <w:vAlign w:val="bottom"/>
          </w:tcPr>
          <w:p w14:paraId="1C6E5CC6"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36</w:t>
            </w:r>
          </w:p>
        </w:tc>
        <w:tc>
          <w:tcPr>
            <w:tcW w:w="918" w:type="pct"/>
            <w:gridSpan w:val="2"/>
            <w:tcBorders>
              <w:left w:val="nil"/>
              <w:right w:val="nil"/>
            </w:tcBorders>
            <w:shd w:val="clear" w:color="auto" w:fill="auto"/>
            <w:vAlign w:val="bottom"/>
          </w:tcPr>
          <w:p w14:paraId="50E9CAA8"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3%</w:t>
            </w:r>
          </w:p>
        </w:tc>
        <w:tc>
          <w:tcPr>
            <w:tcW w:w="918" w:type="pct"/>
            <w:tcBorders>
              <w:left w:val="nil"/>
              <w:right w:val="nil"/>
            </w:tcBorders>
            <w:shd w:val="clear" w:color="auto" w:fill="auto"/>
            <w:vAlign w:val="bottom"/>
          </w:tcPr>
          <w:p w14:paraId="341067BF"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60</w:t>
            </w:r>
          </w:p>
        </w:tc>
        <w:tc>
          <w:tcPr>
            <w:tcW w:w="919" w:type="pct"/>
            <w:tcBorders>
              <w:left w:val="nil"/>
              <w:right w:val="nil"/>
            </w:tcBorders>
            <w:shd w:val="clear" w:color="auto" w:fill="auto"/>
            <w:vAlign w:val="bottom"/>
          </w:tcPr>
          <w:p w14:paraId="7468E69F" w14:textId="77777777" w:rsidR="00D61CAD" w:rsidRPr="000939E3" w:rsidRDefault="00D61CAD" w:rsidP="00D61CAD">
            <w:pPr>
              <w:keepNext/>
              <w:spacing w:after="0" w:line="240" w:lineRule="auto"/>
              <w:ind w:right="497"/>
              <w:jc w:val="right"/>
              <w:rPr>
                <w:rFonts w:eastAsia="Times New Roman" w:cs="Times New Roman"/>
                <w:color w:val="000000"/>
                <w:lang w:eastAsia="sk-SK"/>
              </w:rPr>
            </w:pPr>
            <w:r w:rsidRPr="000939E3">
              <w:rPr>
                <w:color w:val="000000"/>
              </w:rPr>
              <w:t>10%</w:t>
            </w:r>
          </w:p>
        </w:tc>
      </w:tr>
      <w:tr w:rsidR="00D61CAD" w:rsidRPr="000939E3" w14:paraId="255BC6E3" w14:textId="77777777" w:rsidTr="000052C7">
        <w:trPr>
          <w:trHeight w:val="20"/>
        </w:trPr>
        <w:tc>
          <w:tcPr>
            <w:tcW w:w="1327" w:type="pct"/>
            <w:tcBorders>
              <w:left w:val="nil"/>
              <w:right w:val="nil"/>
            </w:tcBorders>
            <w:shd w:val="clear" w:color="auto" w:fill="auto"/>
            <w:noWrap/>
            <w:vAlign w:val="center"/>
          </w:tcPr>
          <w:p w14:paraId="5EC1CD10" w14:textId="77777777" w:rsidR="00D61CAD" w:rsidRPr="000939E3" w:rsidRDefault="00D61CAD" w:rsidP="00D61CAD">
            <w:pPr>
              <w:keepNext/>
              <w:spacing w:after="0" w:line="240" w:lineRule="auto"/>
              <w:jc w:val="left"/>
              <w:rPr>
                <w:rFonts w:eastAsia="Times New Roman" w:cs="Times New Roman"/>
                <w:color w:val="000000"/>
                <w:lang w:eastAsia="sk-SK"/>
              </w:rPr>
            </w:pPr>
            <w:r w:rsidRPr="000939E3">
              <w:rPr>
                <w:color w:val="000000"/>
              </w:rPr>
              <w:t>kreditový</w:t>
            </w:r>
          </w:p>
        </w:tc>
        <w:tc>
          <w:tcPr>
            <w:tcW w:w="918" w:type="pct"/>
            <w:gridSpan w:val="3"/>
            <w:tcBorders>
              <w:left w:val="nil"/>
              <w:right w:val="nil"/>
            </w:tcBorders>
            <w:shd w:val="clear" w:color="auto" w:fill="auto"/>
            <w:vAlign w:val="bottom"/>
          </w:tcPr>
          <w:p w14:paraId="4BE4C70A"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37</w:t>
            </w:r>
          </w:p>
        </w:tc>
        <w:tc>
          <w:tcPr>
            <w:tcW w:w="918" w:type="pct"/>
            <w:gridSpan w:val="2"/>
            <w:tcBorders>
              <w:left w:val="nil"/>
              <w:right w:val="nil"/>
            </w:tcBorders>
            <w:shd w:val="clear" w:color="auto" w:fill="auto"/>
            <w:vAlign w:val="bottom"/>
          </w:tcPr>
          <w:p w14:paraId="22B49783"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3%</w:t>
            </w:r>
          </w:p>
        </w:tc>
        <w:tc>
          <w:tcPr>
            <w:tcW w:w="918" w:type="pct"/>
            <w:tcBorders>
              <w:left w:val="nil"/>
              <w:right w:val="nil"/>
            </w:tcBorders>
            <w:shd w:val="clear" w:color="auto" w:fill="auto"/>
            <w:vAlign w:val="bottom"/>
          </w:tcPr>
          <w:p w14:paraId="05253E02" w14:textId="77777777" w:rsidR="00D61CAD" w:rsidRPr="000939E3" w:rsidRDefault="00D61CAD" w:rsidP="00D61CAD">
            <w:pPr>
              <w:keepNext/>
              <w:spacing w:after="0" w:line="240" w:lineRule="auto"/>
              <w:jc w:val="right"/>
              <w:rPr>
                <w:rFonts w:eastAsia="Times New Roman" w:cs="Times New Roman"/>
                <w:color w:val="000000"/>
                <w:lang w:eastAsia="sk-SK"/>
              </w:rPr>
            </w:pPr>
          </w:p>
        </w:tc>
        <w:tc>
          <w:tcPr>
            <w:tcW w:w="919" w:type="pct"/>
            <w:tcBorders>
              <w:left w:val="nil"/>
              <w:right w:val="nil"/>
            </w:tcBorders>
            <w:shd w:val="clear" w:color="auto" w:fill="auto"/>
            <w:vAlign w:val="bottom"/>
          </w:tcPr>
          <w:p w14:paraId="00C875CC" w14:textId="77777777" w:rsidR="00D61CAD" w:rsidRPr="000939E3" w:rsidRDefault="00D61CAD" w:rsidP="00D61CAD">
            <w:pPr>
              <w:keepNext/>
              <w:spacing w:after="0" w:line="240" w:lineRule="auto"/>
              <w:ind w:right="497"/>
              <w:jc w:val="right"/>
              <w:rPr>
                <w:rFonts w:eastAsia="Times New Roman" w:cs="Times New Roman"/>
                <w:color w:val="000000"/>
                <w:lang w:eastAsia="sk-SK"/>
              </w:rPr>
            </w:pPr>
          </w:p>
        </w:tc>
      </w:tr>
      <w:tr w:rsidR="00D61CAD" w:rsidRPr="000939E3" w14:paraId="3E7B98E8" w14:textId="77777777" w:rsidTr="000052C7">
        <w:trPr>
          <w:trHeight w:val="20"/>
        </w:trPr>
        <w:tc>
          <w:tcPr>
            <w:tcW w:w="1327" w:type="pct"/>
            <w:tcBorders>
              <w:left w:val="nil"/>
              <w:right w:val="nil"/>
            </w:tcBorders>
            <w:shd w:val="clear" w:color="auto" w:fill="auto"/>
            <w:noWrap/>
            <w:vAlign w:val="center"/>
          </w:tcPr>
          <w:p w14:paraId="4CE9B9A6" w14:textId="77777777" w:rsidR="00D61CAD" w:rsidRPr="000939E3" w:rsidRDefault="00D61CAD" w:rsidP="00D61CAD">
            <w:pPr>
              <w:keepNext/>
              <w:spacing w:after="0" w:line="240" w:lineRule="auto"/>
              <w:jc w:val="left"/>
              <w:rPr>
                <w:rFonts w:eastAsia="Times New Roman" w:cs="Times New Roman"/>
                <w:color w:val="000000"/>
                <w:lang w:eastAsia="sk-SK"/>
              </w:rPr>
            </w:pPr>
            <w:r w:rsidRPr="000939E3">
              <w:rPr>
                <w:color w:val="000000"/>
              </w:rPr>
              <w:t>ostatné príplatky</w:t>
            </w:r>
          </w:p>
        </w:tc>
        <w:tc>
          <w:tcPr>
            <w:tcW w:w="918" w:type="pct"/>
            <w:gridSpan w:val="3"/>
            <w:tcBorders>
              <w:left w:val="nil"/>
              <w:right w:val="nil"/>
            </w:tcBorders>
            <w:shd w:val="clear" w:color="auto" w:fill="auto"/>
            <w:vAlign w:val="bottom"/>
          </w:tcPr>
          <w:p w14:paraId="3D83E9B6"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42</w:t>
            </w:r>
          </w:p>
        </w:tc>
        <w:tc>
          <w:tcPr>
            <w:tcW w:w="918" w:type="pct"/>
            <w:gridSpan w:val="2"/>
            <w:tcBorders>
              <w:left w:val="nil"/>
              <w:right w:val="nil"/>
            </w:tcBorders>
            <w:shd w:val="clear" w:color="auto" w:fill="auto"/>
            <w:vAlign w:val="bottom"/>
          </w:tcPr>
          <w:p w14:paraId="08A9C988"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4%</w:t>
            </w:r>
          </w:p>
        </w:tc>
        <w:tc>
          <w:tcPr>
            <w:tcW w:w="918" w:type="pct"/>
            <w:tcBorders>
              <w:left w:val="nil"/>
              <w:right w:val="nil"/>
            </w:tcBorders>
            <w:shd w:val="clear" w:color="auto" w:fill="auto"/>
            <w:vAlign w:val="bottom"/>
          </w:tcPr>
          <w:p w14:paraId="74A514C9"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9</w:t>
            </w:r>
          </w:p>
        </w:tc>
        <w:tc>
          <w:tcPr>
            <w:tcW w:w="919" w:type="pct"/>
            <w:tcBorders>
              <w:left w:val="nil"/>
              <w:right w:val="nil"/>
            </w:tcBorders>
            <w:shd w:val="clear" w:color="auto" w:fill="auto"/>
            <w:vAlign w:val="bottom"/>
          </w:tcPr>
          <w:p w14:paraId="7C1B4D90" w14:textId="77777777" w:rsidR="00D61CAD" w:rsidRPr="000939E3" w:rsidRDefault="00D61CAD" w:rsidP="00D61CAD">
            <w:pPr>
              <w:keepNext/>
              <w:spacing w:after="0" w:line="240" w:lineRule="auto"/>
              <w:ind w:right="497"/>
              <w:jc w:val="right"/>
              <w:rPr>
                <w:rFonts w:eastAsia="Times New Roman" w:cs="Times New Roman"/>
                <w:color w:val="000000"/>
                <w:lang w:eastAsia="sk-SK"/>
              </w:rPr>
            </w:pPr>
            <w:r w:rsidRPr="000939E3">
              <w:rPr>
                <w:color w:val="000000"/>
              </w:rPr>
              <w:t>2%</w:t>
            </w:r>
          </w:p>
        </w:tc>
      </w:tr>
      <w:tr w:rsidR="00D61CAD" w:rsidRPr="000939E3" w14:paraId="3B2B7485" w14:textId="77777777" w:rsidTr="000052C7">
        <w:trPr>
          <w:trHeight w:val="20"/>
        </w:trPr>
        <w:tc>
          <w:tcPr>
            <w:tcW w:w="1327" w:type="pct"/>
            <w:tcBorders>
              <w:left w:val="nil"/>
              <w:right w:val="nil"/>
            </w:tcBorders>
            <w:shd w:val="clear" w:color="auto" w:fill="auto"/>
            <w:noWrap/>
            <w:vAlign w:val="center"/>
          </w:tcPr>
          <w:p w14:paraId="26A5BF0B" w14:textId="77777777" w:rsidR="00D61CAD" w:rsidRPr="000939E3" w:rsidRDefault="00D61CAD" w:rsidP="00D61CAD">
            <w:pPr>
              <w:keepNext/>
              <w:spacing w:after="0" w:line="240" w:lineRule="auto"/>
              <w:jc w:val="left"/>
              <w:rPr>
                <w:rFonts w:eastAsia="Times New Roman" w:cs="Times New Roman"/>
                <w:color w:val="000000"/>
                <w:lang w:eastAsia="sk-SK"/>
              </w:rPr>
            </w:pPr>
            <w:r w:rsidRPr="000939E3">
              <w:rPr>
                <w:color w:val="000000"/>
              </w:rPr>
              <w:t>nadčasy</w:t>
            </w:r>
          </w:p>
        </w:tc>
        <w:tc>
          <w:tcPr>
            <w:tcW w:w="918" w:type="pct"/>
            <w:gridSpan w:val="3"/>
            <w:tcBorders>
              <w:left w:val="nil"/>
              <w:right w:val="nil"/>
            </w:tcBorders>
            <w:shd w:val="clear" w:color="auto" w:fill="auto"/>
            <w:vAlign w:val="bottom"/>
          </w:tcPr>
          <w:p w14:paraId="3F9EDCC4"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17</w:t>
            </w:r>
          </w:p>
        </w:tc>
        <w:tc>
          <w:tcPr>
            <w:tcW w:w="918" w:type="pct"/>
            <w:gridSpan w:val="2"/>
            <w:tcBorders>
              <w:left w:val="nil"/>
              <w:right w:val="nil"/>
            </w:tcBorders>
            <w:shd w:val="clear" w:color="auto" w:fill="auto"/>
            <w:vAlign w:val="bottom"/>
          </w:tcPr>
          <w:p w14:paraId="4C8827E4"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2%</w:t>
            </w:r>
          </w:p>
        </w:tc>
        <w:tc>
          <w:tcPr>
            <w:tcW w:w="918" w:type="pct"/>
            <w:tcBorders>
              <w:left w:val="nil"/>
              <w:right w:val="nil"/>
            </w:tcBorders>
            <w:shd w:val="clear" w:color="auto" w:fill="auto"/>
            <w:vAlign w:val="bottom"/>
          </w:tcPr>
          <w:p w14:paraId="1E6F23C2"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3</w:t>
            </w:r>
          </w:p>
        </w:tc>
        <w:tc>
          <w:tcPr>
            <w:tcW w:w="919" w:type="pct"/>
            <w:tcBorders>
              <w:left w:val="nil"/>
              <w:right w:val="nil"/>
            </w:tcBorders>
            <w:shd w:val="clear" w:color="auto" w:fill="auto"/>
            <w:vAlign w:val="bottom"/>
          </w:tcPr>
          <w:p w14:paraId="28BB795C" w14:textId="77777777" w:rsidR="00D61CAD" w:rsidRPr="000939E3" w:rsidRDefault="00D61CAD" w:rsidP="00D61CAD">
            <w:pPr>
              <w:keepNext/>
              <w:spacing w:after="0" w:line="240" w:lineRule="auto"/>
              <w:ind w:right="497"/>
              <w:jc w:val="right"/>
              <w:rPr>
                <w:rFonts w:eastAsia="Times New Roman" w:cs="Times New Roman"/>
                <w:color w:val="000000"/>
                <w:lang w:eastAsia="sk-SK"/>
              </w:rPr>
            </w:pPr>
            <w:r w:rsidRPr="000939E3">
              <w:rPr>
                <w:color w:val="000000"/>
              </w:rPr>
              <w:t>1%</w:t>
            </w:r>
          </w:p>
        </w:tc>
      </w:tr>
      <w:tr w:rsidR="00D61CAD" w:rsidRPr="000939E3" w14:paraId="07F04D1E" w14:textId="77777777" w:rsidTr="000052C7">
        <w:trPr>
          <w:trHeight w:val="20"/>
        </w:trPr>
        <w:tc>
          <w:tcPr>
            <w:tcW w:w="1327" w:type="pct"/>
            <w:tcBorders>
              <w:left w:val="nil"/>
              <w:bottom w:val="single" w:sz="4" w:space="0" w:color="auto"/>
              <w:right w:val="nil"/>
            </w:tcBorders>
            <w:shd w:val="clear" w:color="auto" w:fill="auto"/>
            <w:noWrap/>
            <w:vAlign w:val="center"/>
          </w:tcPr>
          <w:p w14:paraId="0D21F1B4" w14:textId="77777777" w:rsidR="00D61CAD" w:rsidRPr="000939E3" w:rsidRDefault="00D61CAD" w:rsidP="00D61CAD">
            <w:pPr>
              <w:keepNext/>
              <w:spacing w:after="0" w:line="240" w:lineRule="auto"/>
              <w:jc w:val="left"/>
              <w:rPr>
                <w:rFonts w:eastAsia="Times New Roman" w:cs="Times New Roman"/>
                <w:color w:val="000000"/>
                <w:lang w:eastAsia="sk-SK"/>
              </w:rPr>
            </w:pPr>
            <w:r w:rsidRPr="000939E3">
              <w:rPr>
                <w:color w:val="000000"/>
              </w:rPr>
              <w:t>odmeny</w:t>
            </w:r>
          </w:p>
        </w:tc>
        <w:tc>
          <w:tcPr>
            <w:tcW w:w="918" w:type="pct"/>
            <w:gridSpan w:val="3"/>
            <w:tcBorders>
              <w:left w:val="nil"/>
              <w:bottom w:val="single" w:sz="4" w:space="0" w:color="auto"/>
              <w:right w:val="nil"/>
            </w:tcBorders>
            <w:shd w:val="clear" w:color="auto" w:fill="auto"/>
            <w:vAlign w:val="bottom"/>
          </w:tcPr>
          <w:p w14:paraId="6A4242A1"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70</w:t>
            </w:r>
          </w:p>
        </w:tc>
        <w:tc>
          <w:tcPr>
            <w:tcW w:w="918" w:type="pct"/>
            <w:gridSpan w:val="2"/>
            <w:tcBorders>
              <w:left w:val="nil"/>
              <w:bottom w:val="single" w:sz="4" w:space="0" w:color="auto"/>
              <w:right w:val="nil"/>
            </w:tcBorders>
            <w:shd w:val="clear" w:color="auto" w:fill="auto"/>
            <w:vAlign w:val="bottom"/>
          </w:tcPr>
          <w:p w14:paraId="0B031C31"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6%</w:t>
            </w:r>
          </w:p>
        </w:tc>
        <w:tc>
          <w:tcPr>
            <w:tcW w:w="918" w:type="pct"/>
            <w:tcBorders>
              <w:left w:val="nil"/>
              <w:bottom w:val="single" w:sz="4" w:space="0" w:color="auto"/>
              <w:right w:val="nil"/>
            </w:tcBorders>
            <w:shd w:val="clear" w:color="auto" w:fill="auto"/>
            <w:vAlign w:val="bottom"/>
          </w:tcPr>
          <w:p w14:paraId="115D4764"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50</w:t>
            </w:r>
          </w:p>
        </w:tc>
        <w:tc>
          <w:tcPr>
            <w:tcW w:w="919" w:type="pct"/>
            <w:tcBorders>
              <w:left w:val="nil"/>
              <w:bottom w:val="single" w:sz="4" w:space="0" w:color="auto"/>
              <w:right w:val="nil"/>
            </w:tcBorders>
            <w:shd w:val="clear" w:color="auto" w:fill="auto"/>
            <w:vAlign w:val="bottom"/>
          </w:tcPr>
          <w:p w14:paraId="428874A9" w14:textId="77777777" w:rsidR="00D61CAD" w:rsidRPr="000939E3" w:rsidRDefault="00D61CAD" w:rsidP="00D61CAD">
            <w:pPr>
              <w:keepNext/>
              <w:spacing w:after="0" w:line="240" w:lineRule="auto"/>
              <w:ind w:right="497"/>
              <w:jc w:val="right"/>
              <w:rPr>
                <w:rFonts w:eastAsia="Times New Roman" w:cs="Times New Roman"/>
                <w:color w:val="000000"/>
                <w:lang w:eastAsia="sk-SK"/>
              </w:rPr>
            </w:pPr>
            <w:r w:rsidRPr="000939E3">
              <w:rPr>
                <w:color w:val="000000"/>
              </w:rPr>
              <w:t>9%</w:t>
            </w:r>
          </w:p>
        </w:tc>
      </w:tr>
      <w:tr w:rsidR="00D61CAD" w:rsidRPr="000939E3" w14:paraId="47026E9C" w14:textId="77777777" w:rsidTr="000052C7">
        <w:trPr>
          <w:trHeight w:val="20"/>
        </w:trPr>
        <w:tc>
          <w:tcPr>
            <w:tcW w:w="1327" w:type="pct"/>
            <w:tcBorders>
              <w:top w:val="single" w:sz="4" w:space="0" w:color="auto"/>
              <w:left w:val="nil"/>
              <w:right w:val="nil"/>
            </w:tcBorders>
            <w:shd w:val="clear" w:color="auto" w:fill="auto"/>
            <w:noWrap/>
            <w:vAlign w:val="center"/>
          </w:tcPr>
          <w:p w14:paraId="28CB2395" w14:textId="77777777" w:rsidR="00D61CAD" w:rsidRPr="000939E3" w:rsidRDefault="00D61CAD" w:rsidP="00D61CAD">
            <w:pPr>
              <w:keepNext/>
              <w:spacing w:after="0" w:line="240" w:lineRule="auto"/>
              <w:jc w:val="left"/>
              <w:rPr>
                <w:rFonts w:eastAsia="Times New Roman" w:cs="Times New Roman"/>
                <w:color w:val="000000"/>
                <w:lang w:eastAsia="sk-SK"/>
              </w:rPr>
            </w:pPr>
            <w:r w:rsidRPr="000939E3">
              <w:rPr>
                <w:color w:val="000000"/>
              </w:rPr>
              <w:t>spolu</w:t>
            </w:r>
          </w:p>
        </w:tc>
        <w:tc>
          <w:tcPr>
            <w:tcW w:w="918" w:type="pct"/>
            <w:gridSpan w:val="3"/>
            <w:tcBorders>
              <w:top w:val="single" w:sz="4" w:space="0" w:color="auto"/>
              <w:left w:val="nil"/>
              <w:right w:val="nil"/>
            </w:tcBorders>
            <w:shd w:val="clear" w:color="auto" w:fill="auto"/>
            <w:vAlign w:val="bottom"/>
          </w:tcPr>
          <w:p w14:paraId="1420E100"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1 076</w:t>
            </w:r>
          </w:p>
        </w:tc>
        <w:tc>
          <w:tcPr>
            <w:tcW w:w="918" w:type="pct"/>
            <w:gridSpan w:val="2"/>
            <w:tcBorders>
              <w:top w:val="single" w:sz="4" w:space="0" w:color="auto"/>
              <w:left w:val="nil"/>
              <w:right w:val="nil"/>
            </w:tcBorders>
            <w:shd w:val="clear" w:color="auto" w:fill="auto"/>
            <w:vAlign w:val="bottom"/>
          </w:tcPr>
          <w:p w14:paraId="4C64769F"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100%</w:t>
            </w:r>
          </w:p>
        </w:tc>
        <w:tc>
          <w:tcPr>
            <w:tcW w:w="918" w:type="pct"/>
            <w:tcBorders>
              <w:top w:val="single" w:sz="4" w:space="0" w:color="auto"/>
              <w:left w:val="nil"/>
              <w:right w:val="nil"/>
            </w:tcBorders>
            <w:shd w:val="clear" w:color="auto" w:fill="auto"/>
            <w:vAlign w:val="bottom"/>
          </w:tcPr>
          <w:p w14:paraId="45277F63" w14:textId="77777777" w:rsidR="00D61CAD" w:rsidRPr="000939E3" w:rsidRDefault="00D61CAD" w:rsidP="00D61CAD">
            <w:pPr>
              <w:keepNext/>
              <w:spacing w:after="0" w:line="240" w:lineRule="auto"/>
              <w:jc w:val="right"/>
              <w:rPr>
                <w:rFonts w:eastAsia="Times New Roman" w:cs="Times New Roman"/>
                <w:color w:val="000000"/>
                <w:lang w:eastAsia="sk-SK"/>
              </w:rPr>
            </w:pPr>
            <w:r w:rsidRPr="000939E3">
              <w:rPr>
                <w:color w:val="000000"/>
              </w:rPr>
              <w:t>583</w:t>
            </w:r>
          </w:p>
        </w:tc>
        <w:tc>
          <w:tcPr>
            <w:tcW w:w="919" w:type="pct"/>
            <w:tcBorders>
              <w:top w:val="single" w:sz="4" w:space="0" w:color="auto"/>
              <w:left w:val="nil"/>
              <w:right w:val="nil"/>
            </w:tcBorders>
            <w:shd w:val="clear" w:color="auto" w:fill="auto"/>
            <w:vAlign w:val="bottom"/>
          </w:tcPr>
          <w:p w14:paraId="174ED9B3" w14:textId="77777777" w:rsidR="00D61CAD" w:rsidRPr="000939E3" w:rsidRDefault="00D61CAD" w:rsidP="00D61CAD">
            <w:pPr>
              <w:keepNext/>
              <w:spacing w:after="0" w:line="240" w:lineRule="auto"/>
              <w:ind w:right="497"/>
              <w:jc w:val="right"/>
              <w:rPr>
                <w:rFonts w:eastAsia="Times New Roman" w:cs="Times New Roman"/>
                <w:color w:val="000000"/>
                <w:lang w:eastAsia="sk-SK"/>
              </w:rPr>
            </w:pPr>
            <w:r w:rsidRPr="000939E3">
              <w:rPr>
                <w:color w:val="000000"/>
              </w:rPr>
              <w:t>100%</w:t>
            </w:r>
          </w:p>
        </w:tc>
      </w:tr>
      <w:tr w:rsidR="00D61CAD" w:rsidRPr="000939E3" w14:paraId="664AEC71" w14:textId="77777777" w:rsidTr="000052C7">
        <w:trPr>
          <w:trHeight w:val="20"/>
        </w:trPr>
        <w:tc>
          <w:tcPr>
            <w:tcW w:w="1483" w:type="pct"/>
            <w:gridSpan w:val="2"/>
            <w:tcBorders>
              <w:top w:val="single" w:sz="4" w:space="0" w:color="auto"/>
              <w:left w:val="nil"/>
              <w:bottom w:val="nil"/>
              <w:right w:val="nil"/>
            </w:tcBorders>
            <w:shd w:val="clear" w:color="auto" w:fill="auto"/>
            <w:noWrap/>
            <w:vAlign w:val="bottom"/>
          </w:tcPr>
          <w:p w14:paraId="435A348F" w14:textId="77777777" w:rsidR="00D61CAD" w:rsidRPr="000939E3" w:rsidRDefault="00D61CAD" w:rsidP="00D61CAD">
            <w:pPr>
              <w:keepNext/>
              <w:spacing w:after="0" w:line="240" w:lineRule="auto"/>
              <w:jc w:val="left"/>
              <w:rPr>
                <w:rFonts w:eastAsia="Times New Roman" w:cs="Times New Roman"/>
                <w:b/>
                <w:color w:val="000000"/>
                <w:lang w:eastAsia="sk-SK"/>
              </w:rPr>
            </w:pPr>
          </w:p>
        </w:tc>
        <w:tc>
          <w:tcPr>
            <w:tcW w:w="522" w:type="pct"/>
            <w:tcBorders>
              <w:top w:val="single" w:sz="4" w:space="0" w:color="auto"/>
              <w:left w:val="nil"/>
              <w:bottom w:val="nil"/>
              <w:right w:val="nil"/>
            </w:tcBorders>
            <w:shd w:val="clear" w:color="auto" w:fill="auto"/>
            <w:noWrap/>
            <w:vAlign w:val="bottom"/>
          </w:tcPr>
          <w:p w14:paraId="769F1C46" w14:textId="77777777" w:rsidR="00D61CAD" w:rsidRPr="000939E3" w:rsidRDefault="00D61CAD" w:rsidP="00D61CAD">
            <w:pPr>
              <w:keepNext/>
              <w:spacing w:after="0" w:line="240" w:lineRule="auto"/>
              <w:jc w:val="right"/>
              <w:rPr>
                <w:rFonts w:eastAsia="Times New Roman" w:cs="Times New Roman"/>
                <w:b/>
                <w:color w:val="000000"/>
                <w:lang w:eastAsia="sk-SK"/>
              </w:rPr>
            </w:pPr>
          </w:p>
        </w:tc>
        <w:tc>
          <w:tcPr>
            <w:tcW w:w="522" w:type="pct"/>
            <w:gridSpan w:val="2"/>
            <w:tcBorders>
              <w:top w:val="single" w:sz="4" w:space="0" w:color="auto"/>
              <w:left w:val="nil"/>
              <w:bottom w:val="nil"/>
              <w:right w:val="nil"/>
            </w:tcBorders>
            <w:shd w:val="clear" w:color="auto" w:fill="auto"/>
            <w:noWrap/>
            <w:vAlign w:val="bottom"/>
          </w:tcPr>
          <w:p w14:paraId="510CB0D3" w14:textId="77777777" w:rsidR="00D61CAD" w:rsidRPr="000939E3" w:rsidRDefault="00D61CAD" w:rsidP="00D61CAD">
            <w:pPr>
              <w:keepNext/>
              <w:spacing w:after="0" w:line="240" w:lineRule="auto"/>
              <w:jc w:val="right"/>
              <w:rPr>
                <w:rFonts w:eastAsia="Times New Roman" w:cs="Times New Roman"/>
                <w:b/>
                <w:color w:val="000000"/>
                <w:lang w:eastAsia="sk-SK"/>
              </w:rPr>
            </w:pPr>
          </w:p>
        </w:tc>
        <w:tc>
          <w:tcPr>
            <w:tcW w:w="2473" w:type="pct"/>
            <w:gridSpan w:val="3"/>
            <w:tcBorders>
              <w:top w:val="single" w:sz="4" w:space="0" w:color="auto"/>
              <w:left w:val="nil"/>
              <w:bottom w:val="nil"/>
              <w:right w:val="nil"/>
            </w:tcBorders>
          </w:tcPr>
          <w:p w14:paraId="6EE8712E" w14:textId="77777777" w:rsidR="00D61CAD" w:rsidRPr="000939E3" w:rsidRDefault="00D61CAD" w:rsidP="00D61CAD">
            <w:pPr>
              <w:keepNext/>
              <w:spacing w:after="0" w:line="240" w:lineRule="auto"/>
              <w:jc w:val="right"/>
              <w:rPr>
                <w:rFonts w:eastAsia="Times New Roman" w:cs="Times New Roman"/>
                <w:i/>
                <w:color w:val="000000"/>
                <w:lang w:eastAsia="sk-SK"/>
              </w:rPr>
            </w:pPr>
            <w:r w:rsidRPr="000939E3">
              <w:rPr>
                <w:rFonts w:eastAsia="Times New Roman" w:cs="Times New Roman"/>
                <w:i/>
                <w:color w:val="000000"/>
                <w:sz w:val="18"/>
                <w:lang w:eastAsia="sk-SK"/>
              </w:rPr>
              <w:t>Zdroj: CVTI, prepočty ÚHP</w:t>
            </w:r>
          </w:p>
        </w:tc>
      </w:tr>
    </w:tbl>
    <w:p w14:paraId="635D9945" w14:textId="77777777" w:rsidR="00D61CAD" w:rsidRPr="000939E3" w:rsidRDefault="00D61CAD" w:rsidP="00D61CAD">
      <w:pPr>
        <w:spacing w:after="160"/>
        <w:jc w:val="left"/>
        <w:rPr>
          <w:b/>
        </w:rPr>
      </w:pPr>
    </w:p>
    <w:tbl>
      <w:tblPr>
        <w:tblW w:w="5000" w:type="pct"/>
        <w:tblCellMar>
          <w:left w:w="30" w:type="dxa"/>
          <w:right w:w="30" w:type="dxa"/>
        </w:tblCellMar>
        <w:tblLook w:val="0000" w:firstRow="0" w:lastRow="0" w:firstColumn="0" w:lastColumn="0" w:noHBand="0" w:noVBand="0"/>
      </w:tblPr>
      <w:tblGrid>
        <w:gridCol w:w="2162"/>
        <w:gridCol w:w="1152"/>
        <w:gridCol w:w="1152"/>
        <w:gridCol w:w="1152"/>
        <w:gridCol w:w="85"/>
        <w:gridCol w:w="998"/>
        <w:gridCol w:w="69"/>
        <w:gridCol w:w="1152"/>
        <w:gridCol w:w="196"/>
        <w:gridCol w:w="952"/>
      </w:tblGrid>
      <w:tr w:rsidR="00D61CAD" w:rsidRPr="000939E3" w14:paraId="2C2682A3" w14:textId="77777777" w:rsidTr="000052C7">
        <w:trPr>
          <w:trHeight w:val="57"/>
        </w:trPr>
        <w:tc>
          <w:tcPr>
            <w:tcW w:w="3144" w:type="pct"/>
            <w:gridSpan w:val="5"/>
            <w:tcBorders>
              <w:top w:val="nil"/>
              <w:left w:val="nil"/>
              <w:bottom w:val="single" w:sz="4" w:space="0" w:color="auto"/>
              <w:right w:val="nil"/>
            </w:tcBorders>
          </w:tcPr>
          <w:p w14:paraId="18CDCD53" w14:textId="77777777" w:rsidR="00D61CAD" w:rsidRPr="000939E3" w:rsidRDefault="00D61CAD" w:rsidP="000052C7">
            <w:pPr>
              <w:autoSpaceDE w:val="0"/>
              <w:autoSpaceDN w:val="0"/>
              <w:adjustRightInd w:val="0"/>
              <w:spacing w:after="0" w:line="240" w:lineRule="auto"/>
              <w:contextualSpacing/>
              <w:jc w:val="left"/>
              <w:rPr>
                <w:rFonts w:cs="Arial"/>
                <w:b/>
                <w:color w:val="000000"/>
                <w:sz w:val="20"/>
                <w:szCs w:val="20"/>
              </w:rPr>
            </w:pPr>
            <w:r w:rsidRPr="000939E3">
              <w:rPr>
                <w:rFonts w:cs="Arial"/>
                <w:b/>
                <w:color w:val="000000"/>
                <w:sz w:val="20"/>
                <w:szCs w:val="20"/>
              </w:rPr>
              <w:t>Zložky mzdy zamestnancov na VVŠ (2017)</w:t>
            </w:r>
          </w:p>
        </w:tc>
        <w:tc>
          <w:tcPr>
            <w:tcW w:w="550" w:type="pct"/>
            <w:tcBorders>
              <w:top w:val="nil"/>
              <w:left w:val="nil"/>
              <w:bottom w:val="single" w:sz="4" w:space="0" w:color="auto"/>
              <w:right w:val="nil"/>
            </w:tcBorders>
          </w:tcPr>
          <w:p w14:paraId="2A4ABA27" w14:textId="77777777" w:rsidR="00D61CAD" w:rsidRPr="000939E3" w:rsidRDefault="00D61CAD" w:rsidP="000052C7">
            <w:pPr>
              <w:autoSpaceDE w:val="0"/>
              <w:autoSpaceDN w:val="0"/>
              <w:adjustRightInd w:val="0"/>
              <w:spacing w:after="0" w:line="240" w:lineRule="auto"/>
              <w:contextualSpacing/>
              <w:jc w:val="left"/>
              <w:rPr>
                <w:rFonts w:cs="Arial"/>
                <w:b/>
                <w:color w:val="000000"/>
                <w:sz w:val="20"/>
                <w:szCs w:val="20"/>
              </w:rPr>
            </w:pPr>
          </w:p>
        </w:tc>
        <w:tc>
          <w:tcPr>
            <w:tcW w:w="781" w:type="pct"/>
            <w:gridSpan w:val="3"/>
            <w:tcBorders>
              <w:top w:val="nil"/>
              <w:left w:val="nil"/>
              <w:bottom w:val="single" w:sz="4" w:space="0" w:color="auto"/>
              <w:right w:val="nil"/>
            </w:tcBorders>
          </w:tcPr>
          <w:p w14:paraId="0FD42B36" w14:textId="77777777" w:rsidR="00D61CAD" w:rsidRPr="000939E3" w:rsidRDefault="00D61CAD" w:rsidP="000052C7">
            <w:pPr>
              <w:autoSpaceDE w:val="0"/>
              <w:autoSpaceDN w:val="0"/>
              <w:adjustRightInd w:val="0"/>
              <w:spacing w:after="0" w:line="240" w:lineRule="auto"/>
              <w:contextualSpacing/>
              <w:jc w:val="left"/>
              <w:rPr>
                <w:rFonts w:cs="Arial"/>
                <w:b/>
                <w:color w:val="000000"/>
                <w:sz w:val="20"/>
                <w:szCs w:val="20"/>
              </w:rPr>
            </w:pPr>
          </w:p>
        </w:tc>
        <w:tc>
          <w:tcPr>
            <w:tcW w:w="525" w:type="pct"/>
            <w:tcBorders>
              <w:top w:val="nil"/>
              <w:left w:val="nil"/>
              <w:bottom w:val="single" w:sz="4" w:space="0" w:color="auto"/>
              <w:right w:val="nil"/>
            </w:tcBorders>
          </w:tcPr>
          <w:p w14:paraId="598A5D34" w14:textId="77777777" w:rsidR="00D61CAD" w:rsidRPr="000939E3" w:rsidRDefault="00D61CAD" w:rsidP="000052C7">
            <w:pPr>
              <w:autoSpaceDE w:val="0"/>
              <w:autoSpaceDN w:val="0"/>
              <w:adjustRightInd w:val="0"/>
              <w:spacing w:after="0" w:line="240" w:lineRule="auto"/>
              <w:contextualSpacing/>
              <w:jc w:val="left"/>
              <w:rPr>
                <w:rFonts w:cs="Arial"/>
                <w:b/>
                <w:color w:val="000000"/>
                <w:sz w:val="20"/>
                <w:szCs w:val="20"/>
              </w:rPr>
            </w:pPr>
          </w:p>
        </w:tc>
      </w:tr>
      <w:tr w:rsidR="00D61CAD" w:rsidRPr="000939E3" w14:paraId="6D11CA05" w14:textId="77777777" w:rsidTr="000052C7">
        <w:trPr>
          <w:trHeight w:val="57"/>
        </w:trPr>
        <w:tc>
          <w:tcPr>
            <w:tcW w:w="1192" w:type="pct"/>
            <w:tcBorders>
              <w:top w:val="single" w:sz="4" w:space="0" w:color="auto"/>
              <w:left w:val="nil"/>
              <w:bottom w:val="single" w:sz="4" w:space="0" w:color="auto"/>
              <w:right w:val="nil"/>
            </w:tcBorders>
            <w:vAlign w:val="center"/>
          </w:tcPr>
          <w:p w14:paraId="5C6E6C86" w14:textId="77777777" w:rsidR="00D61CAD" w:rsidRPr="000939E3" w:rsidRDefault="00D61CAD" w:rsidP="000052C7">
            <w:pPr>
              <w:autoSpaceDE w:val="0"/>
              <w:autoSpaceDN w:val="0"/>
              <w:adjustRightInd w:val="0"/>
              <w:spacing w:after="0" w:line="240" w:lineRule="auto"/>
              <w:contextualSpacing/>
              <w:jc w:val="left"/>
              <w:rPr>
                <w:rFonts w:cs="Arial"/>
                <w:color w:val="000000"/>
                <w:szCs w:val="20"/>
              </w:rPr>
            </w:pPr>
            <w:r w:rsidRPr="000939E3">
              <w:rPr>
                <w:rFonts w:cs="Arial"/>
                <w:color w:val="000000"/>
                <w:szCs w:val="20"/>
              </w:rPr>
              <w:t>zložka mzdy</w:t>
            </w:r>
          </w:p>
        </w:tc>
        <w:tc>
          <w:tcPr>
            <w:tcW w:w="1269" w:type="pct"/>
            <w:gridSpan w:val="2"/>
            <w:tcBorders>
              <w:top w:val="single" w:sz="4" w:space="0" w:color="auto"/>
              <w:left w:val="nil"/>
              <w:bottom w:val="single" w:sz="4" w:space="0" w:color="auto"/>
              <w:right w:val="nil"/>
            </w:tcBorders>
            <w:vAlign w:val="center"/>
          </w:tcPr>
          <w:p w14:paraId="13462B32" w14:textId="77777777" w:rsidR="00D61CAD" w:rsidRPr="000939E3" w:rsidRDefault="00D61CAD" w:rsidP="000052C7">
            <w:pPr>
              <w:autoSpaceDE w:val="0"/>
              <w:autoSpaceDN w:val="0"/>
              <w:adjustRightInd w:val="0"/>
              <w:spacing w:after="0" w:line="240" w:lineRule="auto"/>
              <w:contextualSpacing/>
              <w:jc w:val="center"/>
              <w:rPr>
                <w:color w:val="000000"/>
                <w:szCs w:val="20"/>
              </w:rPr>
            </w:pPr>
            <w:r w:rsidRPr="000939E3">
              <w:rPr>
                <w:color w:val="000000"/>
                <w:szCs w:val="20"/>
              </w:rPr>
              <w:t>VŠ učitelia</w:t>
            </w:r>
          </w:p>
        </w:tc>
        <w:tc>
          <w:tcPr>
            <w:tcW w:w="1270" w:type="pct"/>
            <w:gridSpan w:val="4"/>
            <w:tcBorders>
              <w:top w:val="single" w:sz="4" w:space="0" w:color="auto"/>
              <w:left w:val="nil"/>
              <w:bottom w:val="single" w:sz="4" w:space="0" w:color="auto"/>
              <w:right w:val="nil"/>
            </w:tcBorders>
            <w:vAlign w:val="center"/>
          </w:tcPr>
          <w:p w14:paraId="05F3E0D4" w14:textId="77777777" w:rsidR="00D61CAD" w:rsidRPr="000939E3" w:rsidRDefault="00D61CAD" w:rsidP="000052C7">
            <w:pPr>
              <w:autoSpaceDE w:val="0"/>
              <w:autoSpaceDN w:val="0"/>
              <w:adjustRightInd w:val="0"/>
              <w:spacing w:after="0" w:line="240" w:lineRule="auto"/>
              <w:contextualSpacing/>
              <w:jc w:val="center"/>
              <w:rPr>
                <w:color w:val="000000"/>
                <w:szCs w:val="20"/>
              </w:rPr>
            </w:pPr>
            <w:r w:rsidRPr="000939E3">
              <w:rPr>
                <w:color w:val="000000"/>
                <w:szCs w:val="20"/>
              </w:rPr>
              <w:t>výskumní a umeleckí pracovníci</w:t>
            </w:r>
          </w:p>
        </w:tc>
        <w:tc>
          <w:tcPr>
            <w:tcW w:w="1270" w:type="pct"/>
            <w:gridSpan w:val="3"/>
            <w:tcBorders>
              <w:top w:val="single" w:sz="4" w:space="0" w:color="auto"/>
              <w:left w:val="nil"/>
              <w:bottom w:val="single" w:sz="4" w:space="0" w:color="auto"/>
              <w:right w:val="nil"/>
            </w:tcBorders>
            <w:vAlign w:val="center"/>
          </w:tcPr>
          <w:p w14:paraId="7804D950" w14:textId="77777777" w:rsidR="00D61CAD" w:rsidRPr="000939E3" w:rsidRDefault="00D61CAD" w:rsidP="000052C7">
            <w:pPr>
              <w:autoSpaceDE w:val="0"/>
              <w:autoSpaceDN w:val="0"/>
              <w:adjustRightInd w:val="0"/>
              <w:spacing w:after="0" w:line="240" w:lineRule="auto"/>
              <w:contextualSpacing/>
              <w:jc w:val="center"/>
              <w:rPr>
                <w:color w:val="000000"/>
                <w:szCs w:val="20"/>
              </w:rPr>
            </w:pPr>
            <w:r w:rsidRPr="000939E3">
              <w:rPr>
                <w:color w:val="000000"/>
                <w:szCs w:val="20"/>
              </w:rPr>
              <w:t>neučitelia</w:t>
            </w:r>
          </w:p>
        </w:tc>
      </w:tr>
      <w:tr w:rsidR="00D61CAD" w:rsidRPr="000939E3" w14:paraId="33871082" w14:textId="77777777" w:rsidTr="000052C7">
        <w:trPr>
          <w:trHeight w:val="57"/>
        </w:trPr>
        <w:tc>
          <w:tcPr>
            <w:tcW w:w="1192" w:type="pct"/>
            <w:tcBorders>
              <w:top w:val="single" w:sz="4" w:space="0" w:color="auto"/>
              <w:left w:val="nil"/>
              <w:bottom w:val="nil"/>
              <w:right w:val="nil"/>
            </w:tcBorders>
            <w:vAlign w:val="bottom"/>
          </w:tcPr>
          <w:p w14:paraId="5E801AAD" w14:textId="77777777" w:rsidR="00D61CAD" w:rsidRPr="000939E3" w:rsidRDefault="00D61CAD" w:rsidP="000052C7">
            <w:pPr>
              <w:autoSpaceDE w:val="0"/>
              <w:autoSpaceDN w:val="0"/>
              <w:adjustRightInd w:val="0"/>
              <w:spacing w:after="0" w:line="240" w:lineRule="auto"/>
              <w:contextualSpacing/>
              <w:jc w:val="left"/>
              <w:rPr>
                <w:rFonts w:cs="Arial"/>
                <w:color w:val="000000"/>
                <w:szCs w:val="20"/>
              </w:rPr>
            </w:pPr>
            <w:r w:rsidRPr="000939E3">
              <w:rPr>
                <w:color w:val="000000"/>
                <w:szCs w:val="20"/>
              </w:rPr>
              <w:t>tarifa plus náhrady mzdy</w:t>
            </w:r>
          </w:p>
        </w:tc>
        <w:tc>
          <w:tcPr>
            <w:tcW w:w="635" w:type="pct"/>
            <w:tcBorders>
              <w:top w:val="single" w:sz="4" w:space="0" w:color="auto"/>
              <w:left w:val="nil"/>
              <w:bottom w:val="nil"/>
              <w:right w:val="nil"/>
            </w:tcBorders>
            <w:vAlign w:val="bottom"/>
          </w:tcPr>
          <w:p w14:paraId="738C383C" w14:textId="77777777" w:rsidR="00D61CAD" w:rsidRPr="000939E3" w:rsidRDefault="00D61CAD" w:rsidP="000052C7">
            <w:pPr>
              <w:autoSpaceDE w:val="0"/>
              <w:autoSpaceDN w:val="0"/>
              <w:adjustRightInd w:val="0"/>
              <w:spacing w:after="0" w:line="240" w:lineRule="auto"/>
              <w:contextualSpacing/>
              <w:jc w:val="right"/>
              <w:rPr>
                <w:rFonts w:cs="Arial"/>
                <w:color w:val="000000"/>
                <w:szCs w:val="20"/>
              </w:rPr>
            </w:pPr>
            <w:r w:rsidRPr="000939E3">
              <w:rPr>
                <w:color w:val="000000"/>
                <w:szCs w:val="20"/>
              </w:rPr>
              <w:t>1 082,4</w:t>
            </w:r>
          </w:p>
        </w:tc>
        <w:tc>
          <w:tcPr>
            <w:tcW w:w="635" w:type="pct"/>
            <w:tcBorders>
              <w:top w:val="single" w:sz="4" w:space="0" w:color="auto"/>
              <w:left w:val="nil"/>
              <w:bottom w:val="nil"/>
              <w:right w:val="nil"/>
            </w:tcBorders>
            <w:vAlign w:val="bottom"/>
          </w:tcPr>
          <w:p w14:paraId="65564A62"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72%</w:t>
            </w:r>
          </w:p>
        </w:tc>
        <w:tc>
          <w:tcPr>
            <w:tcW w:w="635" w:type="pct"/>
            <w:tcBorders>
              <w:top w:val="single" w:sz="4" w:space="0" w:color="auto"/>
              <w:left w:val="nil"/>
              <w:bottom w:val="nil"/>
              <w:right w:val="nil"/>
            </w:tcBorders>
            <w:vAlign w:val="bottom"/>
          </w:tcPr>
          <w:p w14:paraId="3A7083B8" w14:textId="77777777" w:rsidR="00D61CAD" w:rsidRPr="000939E3" w:rsidRDefault="00D61CAD" w:rsidP="000052C7">
            <w:pPr>
              <w:autoSpaceDE w:val="0"/>
              <w:autoSpaceDN w:val="0"/>
              <w:adjustRightInd w:val="0"/>
              <w:spacing w:after="0" w:line="240" w:lineRule="auto"/>
              <w:contextualSpacing/>
              <w:jc w:val="right"/>
              <w:rPr>
                <w:rFonts w:cs="Arial"/>
                <w:color w:val="000000"/>
                <w:szCs w:val="20"/>
              </w:rPr>
            </w:pPr>
            <w:r w:rsidRPr="000939E3">
              <w:rPr>
                <w:color w:val="000000"/>
                <w:szCs w:val="20"/>
              </w:rPr>
              <w:t>844,8</w:t>
            </w:r>
          </w:p>
        </w:tc>
        <w:tc>
          <w:tcPr>
            <w:tcW w:w="635" w:type="pct"/>
            <w:gridSpan w:val="3"/>
            <w:tcBorders>
              <w:top w:val="single" w:sz="4" w:space="0" w:color="auto"/>
              <w:left w:val="nil"/>
              <w:bottom w:val="nil"/>
              <w:right w:val="nil"/>
            </w:tcBorders>
            <w:vAlign w:val="bottom"/>
          </w:tcPr>
          <w:p w14:paraId="0979F5D3"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67%</w:t>
            </w:r>
          </w:p>
        </w:tc>
        <w:tc>
          <w:tcPr>
            <w:tcW w:w="635" w:type="pct"/>
            <w:tcBorders>
              <w:top w:val="single" w:sz="4" w:space="0" w:color="auto"/>
              <w:left w:val="nil"/>
              <w:bottom w:val="nil"/>
              <w:right w:val="nil"/>
            </w:tcBorders>
            <w:vAlign w:val="bottom"/>
          </w:tcPr>
          <w:p w14:paraId="26D85A2C"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526,8</w:t>
            </w:r>
          </w:p>
        </w:tc>
        <w:tc>
          <w:tcPr>
            <w:tcW w:w="633" w:type="pct"/>
            <w:gridSpan w:val="2"/>
            <w:tcBorders>
              <w:top w:val="single" w:sz="4" w:space="0" w:color="auto"/>
              <w:left w:val="nil"/>
              <w:bottom w:val="nil"/>
              <w:right w:val="nil"/>
            </w:tcBorders>
            <w:vAlign w:val="bottom"/>
          </w:tcPr>
          <w:p w14:paraId="55081E81"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61%</w:t>
            </w:r>
          </w:p>
        </w:tc>
      </w:tr>
      <w:tr w:rsidR="00D61CAD" w:rsidRPr="000939E3" w14:paraId="79B864F2" w14:textId="77777777" w:rsidTr="000052C7">
        <w:trPr>
          <w:trHeight w:val="57"/>
        </w:trPr>
        <w:tc>
          <w:tcPr>
            <w:tcW w:w="1192" w:type="pct"/>
            <w:tcBorders>
              <w:top w:val="nil"/>
              <w:left w:val="nil"/>
              <w:right w:val="nil"/>
            </w:tcBorders>
            <w:vAlign w:val="bottom"/>
          </w:tcPr>
          <w:p w14:paraId="5F91164E" w14:textId="77777777" w:rsidR="00D61CAD" w:rsidRPr="000939E3" w:rsidRDefault="00D61CAD" w:rsidP="000052C7">
            <w:pPr>
              <w:autoSpaceDE w:val="0"/>
              <w:autoSpaceDN w:val="0"/>
              <w:adjustRightInd w:val="0"/>
              <w:spacing w:after="0" w:line="240" w:lineRule="auto"/>
              <w:contextualSpacing/>
              <w:jc w:val="left"/>
              <w:rPr>
                <w:rFonts w:cs="Arial"/>
                <w:color w:val="000000"/>
                <w:szCs w:val="20"/>
              </w:rPr>
            </w:pPr>
            <w:r w:rsidRPr="000939E3">
              <w:rPr>
                <w:color w:val="000000"/>
                <w:szCs w:val="20"/>
              </w:rPr>
              <w:t>osobný príplatok</w:t>
            </w:r>
          </w:p>
        </w:tc>
        <w:tc>
          <w:tcPr>
            <w:tcW w:w="635" w:type="pct"/>
            <w:tcBorders>
              <w:top w:val="nil"/>
              <w:left w:val="nil"/>
              <w:right w:val="nil"/>
            </w:tcBorders>
            <w:vAlign w:val="bottom"/>
          </w:tcPr>
          <w:p w14:paraId="5C118853" w14:textId="77777777" w:rsidR="00D61CAD" w:rsidRPr="000939E3" w:rsidRDefault="00D61CAD" w:rsidP="000052C7">
            <w:pPr>
              <w:autoSpaceDE w:val="0"/>
              <w:autoSpaceDN w:val="0"/>
              <w:adjustRightInd w:val="0"/>
              <w:spacing w:after="0" w:line="240" w:lineRule="auto"/>
              <w:contextualSpacing/>
              <w:jc w:val="right"/>
              <w:rPr>
                <w:rFonts w:cs="Arial"/>
                <w:color w:val="000000"/>
                <w:szCs w:val="20"/>
              </w:rPr>
            </w:pPr>
            <w:r w:rsidRPr="000939E3">
              <w:rPr>
                <w:color w:val="000000"/>
                <w:szCs w:val="20"/>
              </w:rPr>
              <w:t>152,0</w:t>
            </w:r>
          </w:p>
        </w:tc>
        <w:tc>
          <w:tcPr>
            <w:tcW w:w="635" w:type="pct"/>
            <w:tcBorders>
              <w:top w:val="nil"/>
              <w:left w:val="nil"/>
              <w:right w:val="nil"/>
            </w:tcBorders>
            <w:vAlign w:val="bottom"/>
          </w:tcPr>
          <w:p w14:paraId="27A7B7C3"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10%</w:t>
            </w:r>
          </w:p>
        </w:tc>
        <w:tc>
          <w:tcPr>
            <w:tcW w:w="635" w:type="pct"/>
            <w:tcBorders>
              <w:top w:val="nil"/>
              <w:left w:val="nil"/>
              <w:right w:val="nil"/>
            </w:tcBorders>
            <w:vAlign w:val="bottom"/>
          </w:tcPr>
          <w:p w14:paraId="684184FC" w14:textId="77777777" w:rsidR="00D61CAD" w:rsidRPr="000939E3" w:rsidRDefault="00D61CAD" w:rsidP="000052C7">
            <w:pPr>
              <w:autoSpaceDE w:val="0"/>
              <w:autoSpaceDN w:val="0"/>
              <w:adjustRightInd w:val="0"/>
              <w:spacing w:after="0" w:line="240" w:lineRule="auto"/>
              <w:contextualSpacing/>
              <w:jc w:val="right"/>
              <w:rPr>
                <w:rFonts w:cs="Arial"/>
                <w:color w:val="000000"/>
                <w:szCs w:val="20"/>
              </w:rPr>
            </w:pPr>
            <w:r w:rsidRPr="000939E3">
              <w:rPr>
                <w:color w:val="000000"/>
                <w:szCs w:val="20"/>
              </w:rPr>
              <w:t>155,6</w:t>
            </w:r>
          </w:p>
        </w:tc>
        <w:tc>
          <w:tcPr>
            <w:tcW w:w="635" w:type="pct"/>
            <w:gridSpan w:val="3"/>
            <w:tcBorders>
              <w:top w:val="nil"/>
              <w:left w:val="nil"/>
              <w:right w:val="nil"/>
            </w:tcBorders>
            <w:vAlign w:val="bottom"/>
          </w:tcPr>
          <w:p w14:paraId="3497ACE3"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12%</w:t>
            </w:r>
          </w:p>
        </w:tc>
        <w:tc>
          <w:tcPr>
            <w:tcW w:w="635" w:type="pct"/>
            <w:tcBorders>
              <w:top w:val="nil"/>
              <w:left w:val="nil"/>
              <w:right w:val="nil"/>
            </w:tcBorders>
            <w:vAlign w:val="bottom"/>
          </w:tcPr>
          <w:p w14:paraId="39D0452D"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146,9</w:t>
            </w:r>
          </w:p>
        </w:tc>
        <w:tc>
          <w:tcPr>
            <w:tcW w:w="633" w:type="pct"/>
            <w:gridSpan w:val="2"/>
            <w:tcBorders>
              <w:top w:val="nil"/>
              <w:left w:val="nil"/>
              <w:right w:val="nil"/>
            </w:tcBorders>
            <w:vAlign w:val="bottom"/>
          </w:tcPr>
          <w:p w14:paraId="05FA987B"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17%</w:t>
            </w:r>
          </w:p>
        </w:tc>
      </w:tr>
      <w:tr w:rsidR="00D61CAD" w:rsidRPr="000939E3" w14:paraId="00B9D369" w14:textId="77777777" w:rsidTr="000052C7">
        <w:trPr>
          <w:trHeight w:val="57"/>
        </w:trPr>
        <w:tc>
          <w:tcPr>
            <w:tcW w:w="1192" w:type="pct"/>
            <w:tcBorders>
              <w:top w:val="nil"/>
              <w:left w:val="nil"/>
              <w:right w:val="nil"/>
            </w:tcBorders>
            <w:vAlign w:val="bottom"/>
          </w:tcPr>
          <w:p w14:paraId="320595F2" w14:textId="77777777" w:rsidR="00D61CAD" w:rsidRPr="000939E3" w:rsidRDefault="00D61CAD" w:rsidP="000052C7">
            <w:pPr>
              <w:autoSpaceDE w:val="0"/>
              <w:autoSpaceDN w:val="0"/>
              <w:adjustRightInd w:val="0"/>
              <w:spacing w:after="0" w:line="240" w:lineRule="auto"/>
              <w:contextualSpacing/>
              <w:jc w:val="left"/>
              <w:rPr>
                <w:rFonts w:cs="Arial"/>
                <w:color w:val="000000"/>
                <w:szCs w:val="20"/>
              </w:rPr>
            </w:pPr>
            <w:r w:rsidRPr="000939E3">
              <w:rPr>
                <w:color w:val="000000"/>
                <w:szCs w:val="20"/>
              </w:rPr>
              <w:t>nadčasy</w:t>
            </w:r>
          </w:p>
        </w:tc>
        <w:tc>
          <w:tcPr>
            <w:tcW w:w="635" w:type="pct"/>
            <w:tcBorders>
              <w:top w:val="nil"/>
              <w:left w:val="nil"/>
              <w:right w:val="nil"/>
            </w:tcBorders>
            <w:vAlign w:val="bottom"/>
          </w:tcPr>
          <w:p w14:paraId="1B562C79" w14:textId="77777777" w:rsidR="00D61CAD" w:rsidRPr="000939E3" w:rsidRDefault="00D61CAD" w:rsidP="000052C7">
            <w:pPr>
              <w:autoSpaceDE w:val="0"/>
              <w:autoSpaceDN w:val="0"/>
              <w:adjustRightInd w:val="0"/>
              <w:spacing w:after="0" w:line="240" w:lineRule="auto"/>
              <w:contextualSpacing/>
              <w:jc w:val="right"/>
              <w:rPr>
                <w:rFonts w:cs="Arial"/>
                <w:color w:val="000000"/>
                <w:szCs w:val="20"/>
              </w:rPr>
            </w:pPr>
          </w:p>
        </w:tc>
        <w:tc>
          <w:tcPr>
            <w:tcW w:w="635" w:type="pct"/>
            <w:tcBorders>
              <w:top w:val="nil"/>
              <w:left w:val="nil"/>
              <w:right w:val="nil"/>
            </w:tcBorders>
            <w:vAlign w:val="bottom"/>
          </w:tcPr>
          <w:p w14:paraId="53F4E357" w14:textId="77777777" w:rsidR="00D61CAD" w:rsidRPr="000939E3" w:rsidRDefault="00D61CAD" w:rsidP="000052C7">
            <w:pPr>
              <w:autoSpaceDE w:val="0"/>
              <w:autoSpaceDN w:val="0"/>
              <w:adjustRightInd w:val="0"/>
              <w:spacing w:after="0" w:line="240" w:lineRule="auto"/>
              <w:contextualSpacing/>
              <w:jc w:val="right"/>
              <w:rPr>
                <w:color w:val="000000"/>
                <w:szCs w:val="20"/>
              </w:rPr>
            </w:pPr>
          </w:p>
        </w:tc>
        <w:tc>
          <w:tcPr>
            <w:tcW w:w="635" w:type="pct"/>
            <w:tcBorders>
              <w:top w:val="nil"/>
              <w:left w:val="nil"/>
              <w:right w:val="nil"/>
            </w:tcBorders>
            <w:vAlign w:val="bottom"/>
          </w:tcPr>
          <w:p w14:paraId="74C26216" w14:textId="77777777" w:rsidR="00D61CAD" w:rsidRPr="000939E3" w:rsidRDefault="00D61CAD" w:rsidP="000052C7">
            <w:pPr>
              <w:autoSpaceDE w:val="0"/>
              <w:autoSpaceDN w:val="0"/>
              <w:adjustRightInd w:val="0"/>
              <w:spacing w:after="0" w:line="240" w:lineRule="auto"/>
              <w:contextualSpacing/>
              <w:jc w:val="right"/>
              <w:rPr>
                <w:rFonts w:cs="Arial"/>
                <w:color w:val="000000"/>
                <w:szCs w:val="20"/>
              </w:rPr>
            </w:pPr>
          </w:p>
        </w:tc>
        <w:tc>
          <w:tcPr>
            <w:tcW w:w="635" w:type="pct"/>
            <w:gridSpan w:val="3"/>
            <w:tcBorders>
              <w:top w:val="nil"/>
              <w:left w:val="nil"/>
              <w:right w:val="nil"/>
            </w:tcBorders>
            <w:vAlign w:val="bottom"/>
          </w:tcPr>
          <w:p w14:paraId="6039CBE5" w14:textId="77777777" w:rsidR="00D61CAD" w:rsidRPr="000939E3" w:rsidRDefault="00D61CAD" w:rsidP="000052C7">
            <w:pPr>
              <w:autoSpaceDE w:val="0"/>
              <w:autoSpaceDN w:val="0"/>
              <w:adjustRightInd w:val="0"/>
              <w:spacing w:after="0" w:line="240" w:lineRule="auto"/>
              <w:contextualSpacing/>
              <w:jc w:val="right"/>
              <w:rPr>
                <w:color w:val="000000"/>
                <w:szCs w:val="20"/>
              </w:rPr>
            </w:pPr>
          </w:p>
        </w:tc>
        <w:tc>
          <w:tcPr>
            <w:tcW w:w="635" w:type="pct"/>
            <w:tcBorders>
              <w:top w:val="nil"/>
              <w:left w:val="nil"/>
              <w:right w:val="nil"/>
            </w:tcBorders>
            <w:vAlign w:val="bottom"/>
          </w:tcPr>
          <w:p w14:paraId="244FEB3B"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11,2</w:t>
            </w:r>
          </w:p>
        </w:tc>
        <w:tc>
          <w:tcPr>
            <w:tcW w:w="633" w:type="pct"/>
            <w:gridSpan w:val="2"/>
            <w:tcBorders>
              <w:top w:val="nil"/>
              <w:left w:val="nil"/>
              <w:right w:val="nil"/>
            </w:tcBorders>
            <w:vAlign w:val="bottom"/>
          </w:tcPr>
          <w:p w14:paraId="29000483"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1%</w:t>
            </w:r>
          </w:p>
        </w:tc>
      </w:tr>
      <w:tr w:rsidR="00D61CAD" w:rsidRPr="000939E3" w14:paraId="126FF2B8" w14:textId="77777777" w:rsidTr="000052C7">
        <w:trPr>
          <w:trHeight w:val="57"/>
        </w:trPr>
        <w:tc>
          <w:tcPr>
            <w:tcW w:w="1192" w:type="pct"/>
            <w:tcBorders>
              <w:top w:val="nil"/>
              <w:left w:val="nil"/>
              <w:right w:val="nil"/>
            </w:tcBorders>
            <w:vAlign w:val="bottom"/>
          </w:tcPr>
          <w:p w14:paraId="73F010FF" w14:textId="77777777" w:rsidR="00D61CAD" w:rsidRPr="000939E3" w:rsidRDefault="00D61CAD" w:rsidP="000052C7">
            <w:pPr>
              <w:autoSpaceDE w:val="0"/>
              <w:autoSpaceDN w:val="0"/>
              <w:adjustRightInd w:val="0"/>
              <w:spacing w:after="0" w:line="240" w:lineRule="auto"/>
              <w:contextualSpacing/>
              <w:jc w:val="left"/>
              <w:rPr>
                <w:rFonts w:cs="Arial"/>
                <w:color w:val="000000"/>
                <w:szCs w:val="20"/>
              </w:rPr>
            </w:pPr>
            <w:r w:rsidRPr="000939E3">
              <w:rPr>
                <w:color w:val="000000"/>
                <w:szCs w:val="20"/>
              </w:rPr>
              <w:t>odmeny</w:t>
            </w:r>
          </w:p>
        </w:tc>
        <w:tc>
          <w:tcPr>
            <w:tcW w:w="635" w:type="pct"/>
            <w:tcBorders>
              <w:top w:val="nil"/>
              <w:left w:val="nil"/>
              <w:right w:val="nil"/>
            </w:tcBorders>
            <w:vAlign w:val="bottom"/>
          </w:tcPr>
          <w:p w14:paraId="5BC90D22" w14:textId="77777777" w:rsidR="00D61CAD" w:rsidRPr="000939E3" w:rsidRDefault="00D61CAD" w:rsidP="000052C7">
            <w:pPr>
              <w:autoSpaceDE w:val="0"/>
              <w:autoSpaceDN w:val="0"/>
              <w:adjustRightInd w:val="0"/>
              <w:spacing w:after="0" w:line="240" w:lineRule="auto"/>
              <w:contextualSpacing/>
              <w:jc w:val="right"/>
              <w:rPr>
                <w:rFonts w:cs="Arial"/>
                <w:color w:val="000000"/>
                <w:szCs w:val="20"/>
              </w:rPr>
            </w:pPr>
            <w:r w:rsidRPr="000939E3">
              <w:rPr>
                <w:color w:val="000000"/>
                <w:szCs w:val="20"/>
              </w:rPr>
              <w:t>222,7</w:t>
            </w:r>
          </w:p>
        </w:tc>
        <w:tc>
          <w:tcPr>
            <w:tcW w:w="635" w:type="pct"/>
            <w:tcBorders>
              <w:top w:val="nil"/>
              <w:left w:val="nil"/>
              <w:right w:val="nil"/>
            </w:tcBorders>
            <w:vAlign w:val="bottom"/>
          </w:tcPr>
          <w:p w14:paraId="4B09B887"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15%</w:t>
            </w:r>
          </w:p>
        </w:tc>
        <w:tc>
          <w:tcPr>
            <w:tcW w:w="635" w:type="pct"/>
            <w:tcBorders>
              <w:top w:val="nil"/>
              <w:left w:val="nil"/>
              <w:right w:val="nil"/>
            </w:tcBorders>
            <w:vAlign w:val="bottom"/>
          </w:tcPr>
          <w:p w14:paraId="4EF8F174" w14:textId="77777777" w:rsidR="00D61CAD" w:rsidRPr="000939E3" w:rsidRDefault="00D61CAD" w:rsidP="000052C7">
            <w:pPr>
              <w:autoSpaceDE w:val="0"/>
              <w:autoSpaceDN w:val="0"/>
              <w:adjustRightInd w:val="0"/>
              <w:spacing w:after="0" w:line="240" w:lineRule="auto"/>
              <w:contextualSpacing/>
              <w:jc w:val="right"/>
              <w:rPr>
                <w:rFonts w:cs="Arial"/>
                <w:color w:val="000000"/>
                <w:szCs w:val="20"/>
              </w:rPr>
            </w:pPr>
            <w:r w:rsidRPr="000939E3">
              <w:rPr>
                <w:color w:val="000000"/>
                <w:szCs w:val="20"/>
              </w:rPr>
              <w:t>192,4</w:t>
            </w:r>
          </w:p>
        </w:tc>
        <w:tc>
          <w:tcPr>
            <w:tcW w:w="635" w:type="pct"/>
            <w:gridSpan w:val="3"/>
            <w:tcBorders>
              <w:top w:val="nil"/>
              <w:left w:val="nil"/>
              <w:right w:val="nil"/>
            </w:tcBorders>
            <w:vAlign w:val="bottom"/>
          </w:tcPr>
          <w:p w14:paraId="3F53C3E3"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15%</w:t>
            </w:r>
          </w:p>
        </w:tc>
        <w:tc>
          <w:tcPr>
            <w:tcW w:w="635" w:type="pct"/>
            <w:tcBorders>
              <w:top w:val="nil"/>
              <w:left w:val="nil"/>
              <w:right w:val="nil"/>
            </w:tcBorders>
            <w:vAlign w:val="bottom"/>
          </w:tcPr>
          <w:p w14:paraId="0B8E9FA7"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142,8</w:t>
            </w:r>
          </w:p>
        </w:tc>
        <w:tc>
          <w:tcPr>
            <w:tcW w:w="633" w:type="pct"/>
            <w:gridSpan w:val="2"/>
            <w:tcBorders>
              <w:top w:val="nil"/>
              <w:left w:val="nil"/>
              <w:right w:val="nil"/>
            </w:tcBorders>
            <w:vAlign w:val="bottom"/>
          </w:tcPr>
          <w:p w14:paraId="798F8861"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16%</w:t>
            </w:r>
          </w:p>
        </w:tc>
      </w:tr>
      <w:tr w:rsidR="00D61CAD" w:rsidRPr="000939E3" w14:paraId="4869BCDE" w14:textId="77777777" w:rsidTr="000052C7">
        <w:trPr>
          <w:trHeight w:val="57"/>
        </w:trPr>
        <w:tc>
          <w:tcPr>
            <w:tcW w:w="1192" w:type="pct"/>
            <w:tcBorders>
              <w:top w:val="nil"/>
              <w:left w:val="nil"/>
              <w:bottom w:val="single" w:sz="4" w:space="0" w:color="auto"/>
              <w:right w:val="nil"/>
            </w:tcBorders>
            <w:vAlign w:val="bottom"/>
          </w:tcPr>
          <w:p w14:paraId="6BBF2B86" w14:textId="77777777" w:rsidR="00D61CAD" w:rsidRPr="000939E3" w:rsidRDefault="00D61CAD" w:rsidP="000052C7">
            <w:pPr>
              <w:autoSpaceDE w:val="0"/>
              <w:autoSpaceDN w:val="0"/>
              <w:adjustRightInd w:val="0"/>
              <w:spacing w:after="0" w:line="240" w:lineRule="auto"/>
              <w:contextualSpacing/>
              <w:jc w:val="left"/>
              <w:rPr>
                <w:rFonts w:cs="Arial"/>
                <w:color w:val="000000"/>
                <w:szCs w:val="20"/>
              </w:rPr>
            </w:pPr>
            <w:r w:rsidRPr="000939E3">
              <w:rPr>
                <w:color w:val="000000"/>
                <w:szCs w:val="20"/>
              </w:rPr>
              <w:t>ostatne</w:t>
            </w:r>
          </w:p>
        </w:tc>
        <w:tc>
          <w:tcPr>
            <w:tcW w:w="635" w:type="pct"/>
            <w:tcBorders>
              <w:top w:val="nil"/>
              <w:left w:val="nil"/>
              <w:bottom w:val="single" w:sz="4" w:space="0" w:color="auto"/>
              <w:right w:val="nil"/>
            </w:tcBorders>
            <w:vAlign w:val="bottom"/>
          </w:tcPr>
          <w:p w14:paraId="1FF593BD" w14:textId="77777777" w:rsidR="00D61CAD" w:rsidRPr="000939E3" w:rsidRDefault="00D61CAD" w:rsidP="000052C7">
            <w:pPr>
              <w:autoSpaceDE w:val="0"/>
              <w:autoSpaceDN w:val="0"/>
              <w:adjustRightInd w:val="0"/>
              <w:spacing w:after="0" w:line="240" w:lineRule="auto"/>
              <w:contextualSpacing/>
              <w:jc w:val="right"/>
              <w:rPr>
                <w:rFonts w:cs="Arial"/>
                <w:color w:val="000000"/>
                <w:szCs w:val="20"/>
              </w:rPr>
            </w:pPr>
            <w:r w:rsidRPr="000939E3">
              <w:rPr>
                <w:color w:val="000000"/>
                <w:szCs w:val="20"/>
              </w:rPr>
              <w:t>56,5</w:t>
            </w:r>
          </w:p>
        </w:tc>
        <w:tc>
          <w:tcPr>
            <w:tcW w:w="635" w:type="pct"/>
            <w:tcBorders>
              <w:top w:val="nil"/>
              <w:left w:val="nil"/>
              <w:bottom w:val="single" w:sz="4" w:space="0" w:color="auto"/>
              <w:right w:val="nil"/>
            </w:tcBorders>
            <w:vAlign w:val="bottom"/>
          </w:tcPr>
          <w:p w14:paraId="2B318E68"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4%</w:t>
            </w:r>
          </w:p>
        </w:tc>
        <w:tc>
          <w:tcPr>
            <w:tcW w:w="635" w:type="pct"/>
            <w:tcBorders>
              <w:top w:val="nil"/>
              <w:left w:val="nil"/>
              <w:bottom w:val="single" w:sz="4" w:space="0" w:color="auto"/>
              <w:right w:val="nil"/>
            </w:tcBorders>
            <w:vAlign w:val="bottom"/>
          </w:tcPr>
          <w:p w14:paraId="2730EFF8" w14:textId="77777777" w:rsidR="00D61CAD" w:rsidRPr="000939E3" w:rsidRDefault="00D61CAD" w:rsidP="000052C7">
            <w:pPr>
              <w:autoSpaceDE w:val="0"/>
              <w:autoSpaceDN w:val="0"/>
              <w:adjustRightInd w:val="0"/>
              <w:spacing w:after="0" w:line="240" w:lineRule="auto"/>
              <w:contextualSpacing/>
              <w:jc w:val="right"/>
              <w:rPr>
                <w:rFonts w:cs="Arial"/>
                <w:color w:val="000000"/>
                <w:szCs w:val="20"/>
              </w:rPr>
            </w:pPr>
            <w:r w:rsidRPr="000939E3">
              <w:rPr>
                <w:color w:val="000000"/>
                <w:szCs w:val="20"/>
              </w:rPr>
              <w:t>67,8</w:t>
            </w:r>
          </w:p>
        </w:tc>
        <w:tc>
          <w:tcPr>
            <w:tcW w:w="635" w:type="pct"/>
            <w:gridSpan w:val="3"/>
            <w:tcBorders>
              <w:top w:val="nil"/>
              <w:left w:val="nil"/>
              <w:bottom w:val="single" w:sz="4" w:space="0" w:color="auto"/>
              <w:right w:val="nil"/>
            </w:tcBorders>
            <w:vAlign w:val="bottom"/>
          </w:tcPr>
          <w:p w14:paraId="1B72BBD0"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5%</w:t>
            </w:r>
          </w:p>
        </w:tc>
        <w:tc>
          <w:tcPr>
            <w:tcW w:w="635" w:type="pct"/>
            <w:tcBorders>
              <w:top w:val="nil"/>
              <w:left w:val="nil"/>
              <w:bottom w:val="single" w:sz="4" w:space="0" w:color="auto"/>
              <w:right w:val="nil"/>
            </w:tcBorders>
            <w:vAlign w:val="bottom"/>
          </w:tcPr>
          <w:p w14:paraId="1B9BCF51"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43,0</w:t>
            </w:r>
          </w:p>
        </w:tc>
        <w:tc>
          <w:tcPr>
            <w:tcW w:w="633" w:type="pct"/>
            <w:gridSpan w:val="2"/>
            <w:tcBorders>
              <w:top w:val="nil"/>
              <w:left w:val="nil"/>
              <w:bottom w:val="single" w:sz="4" w:space="0" w:color="auto"/>
              <w:right w:val="nil"/>
            </w:tcBorders>
            <w:vAlign w:val="bottom"/>
          </w:tcPr>
          <w:p w14:paraId="436D051B" w14:textId="77777777" w:rsidR="00D61CAD" w:rsidRPr="000939E3" w:rsidRDefault="00D61CAD" w:rsidP="000052C7">
            <w:pPr>
              <w:autoSpaceDE w:val="0"/>
              <w:autoSpaceDN w:val="0"/>
              <w:adjustRightInd w:val="0"/>
              <w:spacing w:after="0" w:line="240" w:lineRule="auto"/>
              <w:contextualSpacing/>
              <w:jc w:val="right"/>
              <w:rPr>
                <w:color w:val="000000"/>
                <w:szCs w:val="20"/>
              </w:rPr>
            </w:pPr>
            <w:r w:rsidRPr="000939E3">
              <w:rPr>
                <w:color w:val="000000"/>
                <w:szCs w:val="20"/>
              </w:rPr>
              <w:t>5%</w:t>
            </w:r>
          </w:p>
        </w:tc>
      </w:tr>
      <w:tr w:rsidR="00D61CAD" w:rsidRPr="000939E3" w14:paraId="23132311" w14:textId="77777777" w:rsidTr="000052C7">
        <w:trPr>
          <w:trHeight w:val="57"/>
        </w:trPr>
        <w:tc>
          <w:tcPr>
            <w:tcW w:w="1192" w:type="pct"/>
            <w:tcBorders>
              <w:top w:val="single" w:sz="4" w:space="0" w:color="auto"/>
              <w:left w:val="nil"/>
              <w:bottom w:val="single" w:sz="4" w:space="0" w:color="auto"/>
              <w:right w:val="nil"/>
            </w:tcBorders>
            <w:vAlign w:val="bottom"/>
          </w:tcPr>
          <w:p w14:paraId="1B7F653F" w14:textId="77777777" w:rsidR="00D61CAD" w:rsidRPr="000939E3" w:rsidRDefault="00D61CAD" w:rsidP="000052C7">
            <w:pPr>
              <w:autoSpaceDE w:val="0"/>
              <w:autoSpaceDN w:val="0"/>
              <w:adjustRightInd w:val="0"/>
              <w:spacing w:after="0" w:line="240" w:lineRule="auto"/>
              <w:contextualSpacing/>
              <w:jc w:val="left"/>
              <w:rPr>
                <w:rFonts w:cs="Arial"/>
                <w:b/>
                <w:color w:val="000000"/>
                <w:szCs w:val="20"/>
              </w:rPr>
            </w:pPr>
            <w:r w:rsidRPr="000939E3">
              <w:rPr>
                <w:b/>
                <w:color w:val="000000"/>
                <w:szCs w:val="20"/>
              </w:rPr>
              <w:t>spolu</w:t>
            </w:r>
          </w:p>
        </w:tc>
        <w:tc>
          <w:tcPr>
            <w:tcW w:w="635" w:type="pct"/>
            <w:tcBorders>
              <w:top w:val="single" w:sz="4" w:space="0" w:color="auto"/>
              <w:left w:val="nil"/>
              <w:bottom w:val="single" w:sz="4" w:space="0" w:color="auto"/>
              <w:right w:val="nil"/>
            </w:tcBorders>
            <w:vAlign w:val="bottom"/>
          </w:tcPr>
          <w:p w14:paraId="015BD824" w14:textId="77777777" w:rsidR="00D61CAD" w:rsidRPr="000939E3" w:rsidRDefault="00D61CAD" w:rsidP="000052C7">
            <w:pPr>
              <w:autoSpaceDE w:val="0"/>
              <w:autoSpaceDN w:val="0"/>
              <w:adjustRightInd w:val="0"/>
              <w:spacing w:after="0" w:line="240" w:lineRule="auto"/>
              <w:contextualSpacing/>
              <w:jc w:val="right"/>
              <w:rPr>
                <w:rFonts w:cs="Arial"/>
                <w:b/>
                <w:color w:val="000000"/>
                <w:szCs w:val="20"/>
              </w:rPr>
            </w:pPr>
            <w:r w:rsidRPr="000939E3">
              <w:rPr>
                <w:b/>
                <w:color w:val="000000"/>
                <w:szCs w:val="20"/>
              </w:rPr>
              <w:t>1 513,6</w:t>
            </w:r>
          </w:p>
        </w:tc>
        <w:tc>
          <w:tcPr>
            <w:tcW w:w="635" w:type="pct"/>
            <w:tcBorders>
              <w:top w:val="single" w:sz="4" w:space="0" w:color="auto"/>
              <w:left w:val="nil"/>
              <w:bottom w:val="single" w:sz="4" w:space="0" w:color="auto"/>
              <w:right w:val="nil"/>
            </w:tcBorders>
            <w:vAlign w:val="bottom"/>
          </w:tcPr>
          <w:p w14:paraId="3B7F7DAC" w14:textId="77777777" w:rsidR="00D61CAD" w:rsidRPr="000939E3" w:rsidRDefault="00D61CAD" w:rsidP="000052C7">
            <w:pPr>
              <w:autoSpaceDE w:val="0"/>
              <w:autoSpaceDN w:val="0"/>
              <w:adjustRightInd w:val="0"/>
              <w:spacing w:after="0" w:line="240" w:lineRule="auto"/>
              <w:contextualSpacing/>
              <w:jc w:val="right"/>
              <w:rPr>
                <w:b/>
                <w:color w:val="000000"/>
                <w:szCs w:val="20"/>
              </w:rPr>
            </w:pPr>
            <w:r w:rsidRPr="000939E3">
              <w:rPr>
                <w:b/>
                <w:color w:val="000000"/>
                <w:szCs w:val="20"/>
              </w:rPr>
              <w:t>100%</w:t>
            </w:r>
          </w:p>
        </w:tc>
        <w:tc>
          <w:tcPr>
            <w:tcW w:w="635" w:type="pct"/>
            <w:tcBorders>
              <w:top w:val="single" w:sz="4" w:space="0" w:color="auto"/>
              <w:left w:val="nil"/>
              <w:bottom w:val="single" w:sz="4" w:space="0" w:color="auto"/>
              <w:right w:val="nil"/>
            </w:tcBorders>
            <w:vAlign w:val="bottom"/>
          </w:tcPr>
          <w:p w14:paraId="250509DA" w14:textId="77777777" w:rsidR="00D61CAD" w:rsidRPr="000939E3" w:rsidRDefault="00D61CAD" w:rsidP="000052C7">
            <w:pPr>
              <w:autoSpaceDE w:val="0"/>
              <w:autoSpaceDN w:val="0"/>
              <w:adjustRightInd w:val="0"/>
              <w:spacing w:after="0" w:line="240" w:lineRule="auto"/>
              <w:contextualSpacing/>
              <w:jc w:val="right"/>
              <w:rPr>
                <w:rFonts w:cs="Arial"/>
                <w:b/>
                <w:color w:val="000000"/>
                <w:szCs w:val="20"/>
              </w:rPr>
            </w:pPr>
            <w:r w:rsidRPr="000939E3">
              <w:rPr>
                <w:b/>
                <w:color w:val="000000"/>
                <w:szCs w:val="20"/>
              </w:rPr>
              <w:t>1 260,6</w:t>
            </w:r>
          </w:p>
        </w:tc>
        <w:tc>
          <w:tcPr>
            <w:tcW w:w="635" w:type="pct"/>
            <w:gridSpan w:val="3"/>
            <w:tcBorders>
              <w:top w:val="single" w:sz="4" w:space="0" w:color="auto"/>
              <w:left w:val="nil"/>
              <w:bottom w:val="single" w:sz="4" w:space="0" w:color="auto"/>
              <w:right w:val="nil"/>
            </w:tcBorders>
            <w:vAlign w:val="bottom"/>
          </w:tcPr>
          <w:p w14:paraId="4D57B162" w14:textId="77777777" w:rsidR="00D61CAD" w:rsidRPr="000939E3" w:rsidRDefault="00D61CAD" w:rsidP="000052C7">
            <w:pPr>
              <w:autoSpaceDE w:val="0"/>
              <w:autoSpaceDN w:val="0"/>
              <w:adjustRightInd w:val="0"/>
              <w:spacing w:after="0" w:line="240" w:lineRule="auto"/>
              <w:contextualSpacing/>
              <w:jc w:val="right"/>
              <w:rPr>
                <w:b/>
                <w:color w:val="000000"/>
                <w:szCs w:val="20"/>
              </w:rPr>
            </w:pPr>
            <w:r w:rsidRPr="000939E3">
              <w:rPr>
                <w:b/>
                <w:color w:val="000000"/>
                <w:szCs w:val="20"/>
              </w:rPr>
              <w:t>100%</w:t>
            </w:r>
          </w:p>
        </w:tc>
        <w:tc>
          <w:tcPr>
            <w:tcW w:w="635" w:type="pct"/>
            <w:tcBorders>
              <w:top w:val="single" w:sz="4" w:space="0" w:color="auto"/>
              <w:left w:val="nil"/>
              <w:bottom w:val="single" w:sz="4" w:space="0" w:color="auto"/>
              <w:right w:val="nil"/>
            </w:tcBorders>
            <w:vAlign w:val="bottom"/>
          </w:tcPr>
          <w:p w14:paraId="383CD77E" w14:textId="77777777" w:rsidR="00D61CAD" w:rsidRPr="000939E3" w:rsidRDefault="00D61CAD" w:rsidP="000052C7">
            <w:pPr>
              <w:autoSpaceDE w:val="0"/>
              <w:autoSpaceDN w:val="0"/>
              <w:adjustRightInd w:val="0"/>
              <w:spacing w:after="0" w:line="240" w:lineRule="auto"/>
              <w:contextualSpacing/>
              <w:jc w:val="right"/>
              <w:rPr>
                <w:b/>
                <w:color w:val="000000"/>
                <w:szCs w:val="20"/>
              </w:rPr>
            </w:pPr>
            <w:r w:rsidRPr="000939E3">
              <w:rPr>
                <w:b/>
                <w:color w:val="000000"/>
                <w:szCs w:val="20"/>
              </w:rPr>
              <w:t>870,7</w:t>
            </w:r>
          </w:p>
        </w:tc>
        <w:tc>
          <w:tcPr>
            <w:tcW w:w="633" w:type="pct"/>
            <w:gridSpan w:val="2"/>
            <w:tcBorders>
              <w:top w:val="single" w:sz="4" w:space="0" w:color="auto"/>
              <w:left w:val="nil"/>
              <w:bottom w:val="single" w:sz="4" w:space="0" w:color="auto"/>
              <w:right w:val="nil"/>
            </w:tcBorders>
            <w:vAlign w:val="bottom"/>
          </w:tcPr>
          <w:p w14:paraId="1123BCEA" w14:textId="77777777" w:rsidR="00D61CAD" w:rsidRPr="000939E3" w:rsidRDefault="00D61CAD" w:rsidP="000052C7">
            <w:pPr>
              <w:autoSpaceDE w:val="0"/>
              <w:autoSpaceDN w:val="0"/>
              <w:adjustRightInd w:val="0"/>
              <w:spacing w:after="0" w:line="240" w:lineRule="auto"/>
              <w:contextualSpacing/>
              <w:jc w:val="right"/>
              <w:rPr>
                <w:rFonts w:cs="Arial"/>
                <w:b/>
                <w:color w:val="000000"/>
                <w:szCs w:val="20"/>
              </w:rPr>
            </w:pPr>
            <w:r w:rsidRPr="000939E3">
              <w:rPr>
                <w:b/>
                <w:color w:val="000000"/>
                <w:szCs w:val="20"/>
              </w:rPr>
              <w:t>100%</w:t>
            </w:r>
          </w:p>
        </w:tc>
      </w:tr>
      <w:tr w:rsidR="00D61CAD" w:rsidRPr="000939E3" w14:paraId="47D74B71" w14:textId="77777777" w:rsidTr="000052C7">
        <w:trPr>
          <w:trHeight w:val="57"/>
        </w:trPr>
        <w:tc>
          <w:tcPr>
            <w:tcW w:w="1192" w:type="pct"/>
            <w:tcBorders>
              <w:top w:val="single" w:sz="4" w:space="0" w:color="auto"/>
              <w:left w:val="nil"/>
              <w:bottom w:val="nil"/>
              <w:right w:val="nil"/>
            </w:tcBorders>
          </w:tcPr>
          <w:p w14:paraId="303516A6" w14:textId="77777777" w:rsidR="00D61CAD" w:rsidRPr="000939E3" w:rsidRDefault="00D61CAD" w:rsidP="000052C7">
            <w:pPr>
              <w:autoSpaceDE w:val="0"/>
              <w:autoSpaceDN w:val="0"/>
              <w:adjustRightInd w:val="0"/>
              <w:spacing w:after="0" w:line="240" w:lineRule="auto"/>
              <w:contextualSpacing/>
              <w:jc w:val="right"/>
              <w:rPr>
                <w:rFonts w:cs="Arial"/>
                <w:i/>
                <w:color w:val="000000"/>
                <w:sz w:val="20"/>
                <w:szCs w:val="20"/>
              </w:rPr>
            </w:pPr>
          </w:p>
        </w:tc>
        <w:tc>
          <w:tcPr>
            <w:tcW w:w="1952" w:type="pct"/>
            <w:gridSpan w:val="4"/>
            <w:tcBorders>
              <w:top w:val="single" w:sz="4" w:space="0" w:color="auto"/>
              <w:left w:val="nil"/>
              <w:bottom w:val="nil"/>
              <w:right w:val="nil"/>
            </w:tcBorders>
          </w:tcPr>
          <w:p w14:paraId="7FB29F1D" w14:textId="77777777" w:rsidR="00D61CAD" w:rsidRPr="000939E3" w:rsidRDefault="00D61CAD" w:rsidP="000052C7">
            <w:pPr>
              <w:autoSpaceDE w:val="0"/>
              <w:autoSpaceDN w:val="0"/>
              <w:adjustRightInd w:val="0"/>
              <w:spacing w:after="0" w:line="240" w:lineRule="auto"/>
              <w:contextualSpacing/>
              <w:jc w:val="right"/>
              <w:rPr>
                <w:rFonts w:cs="Arial"/>
                <w:i/>
                <w:color w:val="000000"/>
                <w:sz w:val="20"/>
                <w:szCs w:val="20"/>
              </w:rPr>
            </w:pPr>
          </w:p>
        </w:tc>
        <w:tc>
          <w:tcPr>
            <w:tcW w:w="1856" w:type="pct"/>
            <w:gridSpan w:val="5"/>
            <w:tcBorders>
              <w:top w:val="single" w:sz="4" w:space="0" w:color="auto"/>
              <w:left w:val="nil"/>
              <w:bottom w:val="nil"/>
              <w:right w:val="nil"/>
            </w:tcBorders>
          </w:tcPr>
          <w:p w14:paraId="028F2050" w14:textId="77777777" w:rsidR="00D61CAD" w:rsidRPr="000939E3" w:rsidRDefault="00D61CAD" w:rsidP="000052C7">
            <w:pPr>
              <w:autoSpaceDE w:val="0"/>
              <w:autoSpaceDN w:val="0"/>
              <w:adjustRightInd w:val="0"/>
              <w:spacing w:after="0" w:line="240" w:lineRule="auto"/>
              <w:contextualSpacing/>
              <w:jc w:val="right"/>
              <w:rPr>
                <w:rFonts w:cs="Arial"/>
                <w:i/>
                <w:color w:val="000000"/>
                <w:sz w:val="20"/>
                <w:szCs w:val="20"/>
              </w:rPr>
            </w:pPr>
            <w:r w:rsidRPr="000939E3">
              <w:rPr>
                <w:rFonts w:cs="Arial"/>
                <w:i/>
                <w:color w:val="000000"/>
                <w:sz w:val="18"/>
                <w:szCs w:val="20"/>
              </w:rPr>
              <w:t>Zdroj: CVTI SR</w:t>
            </w:r>
          </w:p>
        </w:tc>
      </w:tr>
    </w:tbl>
    <w:p w14:paraId="2976189A" w14:textId="77777777" w:rsidR="00D61CAD" w:rsidRPr="000939E3" w:rsidRDefault="00D61CAD" w:rsidP="00D61CAD">
      <w:pPr>
        <w:pStyle w:val="Popis"/>
      </w:pPr>
    </w:p>
    <w:p w14:paraId="69F8196D" w14:textId="597CB6D6" w:rsidR="00F41C2D" w:rsidRPr="000939E3" w:rsidRDefault="00F41C2D" w:rsidP="004714F8">
      <w:pPr>
        <w:spacing w:after="160" w:line="259" w:lineRule="auto"/>
        <w:jc w:val="left"/>
        <w:rPr>
          <w:b/>
          <w:sz w:val="24"/>
        </w:rPr>
      </w:pPr>
    </w:p>
    <w:p w14:paraId="1D08253D" w14:textId="77777777" w:rsidR="00D61CAD" w:rsidRPr="000939E3" w:rsidRDefault="00D61CAD" w:rsidP="00D61CAD">
      <w:pPr>
        <w:pStyle w:val="Popis"/>
        <w:rPr>
          <w:sz w:val="22"/>
        </w:rPr>
      </w:pPr>
      <w:bookmarkStart w:id="332" w:name="_Ref531768063"/>
      <w:bookmarkStart w:id="333" w:name="_Ref11754149"/>
      <w:r w:rsidRPr="000939E3">
        <w:rPr>
          <w:sz w:val="22"/>
        </w:rPr>
        <w:t xml:space="preserve">Príloha </w:t>
      </w:r>
      <w:r w:rsidRPr="000939E3">
        <w:rPr>
          <w:sz w:val="22"/>
        </w:rPr>
        <w:fldChar w:fldCharType="begin"/>
      </w:r>
      <w:r w:rsidRPr="000939E3">
        <w:rPr>
          <w:sz w:val="22"/>
        </w:rPr>
        <w:instrText xml:space="preserve"> SEQ Príloha \* ARABIC </w:instrText>
      </w:r>
      <w:r w:rsidRPr="000939E3">
        <w:rPr>
          <w:sz w:val="22"/>
        </w:rPr>
        <w:fldChar w:fldCharType="separate"/>
      </w:r>
      <w:r w:rsidR="00BF69CA">
        <w:rPr>
          <w:noProof/>
          <w:sz w:val="22"/>
        </w:rPr>
        <w:t>18</w:t>
      </w:r>
      <w:r w:rsidRPr="000939E3">
        <w:rPr>
          <w:sz w:val="22"/>
        </w:rPr>
        <w:fldChar w:fldCharType="end"/>
      </w:r>
      <w:bookmarkEnd w:id="332"/>
      <w:r w:rsidRPr="000939E3">
        <w:rPr>
          <w:sz w:val="22"/>
        </w:rPr>
        <w:t>: Podrobnosti prepočtu uvoľnených prostriedkov v oblasti vysokého školstva</w:t>
      </w:r>
      <w:bookmarkEnd w:id="333"/>
    </w:p>
    <w:p w14:paraId="5C89529A" w14:textId="77777777" w:rsidR="00D61CAD" w:rsidRPr="000939E3" w:rsidRDefault="00D61CAD" w:rsidP="00D61CAD">
      <w:pPr>
        <w:pStyle w:val="Odsekzoznamu"/>
        <w:numPr>
          <w:ilvl w:val="0"/>
          <w:numId w:val="13"/>
        </w:numPr>
      </w:pPr>
      <w:r w:rsidRPr="000939E3">
        <w:t>Počet VŠ študentov na učiteľa:</w:t>
      </w:r>
    </w:p>
    <w:p w14:paraId="1B32B5B0" w14:textId="77777777" w:rsidR="00D61CAD" w:rsidRPr="000939E3" w:rsidRDefault="00D61CAD" w:rsidP="00D61CAD">
      <w:pPr>
        <w:pStyle w:val="Odsekzoznamu"/>
        <w:numPr>
          <w:ilvl w:val="1"/>
          <w:numId w:val="13"/>
        </w:numPr>
      </w:pPr>
      <w:r w:rsidRPr="000939E3">
        <w:t> SK: 12,5</w:t>
      </w:r>
    </w:p>
    <w:p w14:paraId="0370EF51" w14:textId="77777777" w:rsidR="00D61CAD" w:rsidRPr="000939E3" w:rsidRDefault="00D61CAD" w:rsidP="00D61CAD">
      <w:pPr>
        <w:pStyle w:val="Odsekzoznamu"/>
        <w:numPr>
          <w:ilvl w:val="1"/>
          <w:numId w:val="13"/>
        </w:numPr>
      </w:pPr>
      <w:r w:rsidRPr="000939E3">
        <w:t> ČR: 14,9</w:t>
      </w:r>
    </w:p>
    <w:p w14:paraId="1E99A9C1" w14:textId="77777777" w:rsidR="00D61CAD" w:rsidRPr="000939E3" w:rsidRDefault="00D61CAD" w:rsidP="00D61CAD">
      <w:pPr>
        <w:pStyle w:val="Odsekzoznamu"/>
        <w:numPr>
          <w:ilvl w:val="1"/>
          <w:numId w:val="13"/>
        </w:numPr>
      </w:pPr>
      <w:r w:rsidRPr="000939E3">
        <w:t>rozdiel 16 %</w:t>
      </w:r>
    </w:p>
    <w:p w14:paraId="081214DA" w14:textId="77777777" w:rsidR="00D61CAD" w:rsidRPr="000939E3" w:rsidRDefault="00D61CAD" w:rsidP="00D61CAD">
      <w:pPr>
        <w:pStyle w:val="Odsekzoznamu"/>
        <w:numPr>
          <w:ilvl w:val="0"/>
          <w:numId w:val="13"/>
        </w:numPr>
      </w:pPr>
      <w:r w:rsidRPr="000939E3">
        <w:t xml:space="preserve">Balík prostriedkov na osobné výdavky na VŠ učiteľov </w:t>
      </w:r>
    </w:p>
    <w:p w14:paraId="38B6AA77" w14:textId="77777777" w:rsidR="00D61CAD" w:rsidRPr="000939E3" w:rsidRDefault="00D61CAD" w:rsidP="00D61CAD">
      <w:pPr>
        <w:pStyle w:val="Odsekzoznamu"/>
        <w:numPr>
          <w:ilvl w:val="1"/>
          <w:numId w:val="13"/>
        </w:numPr>
      </w:pPr>
      <w:r w:rsidRPr="000939E3">
        <w:t xml:space="preserve">v roku 2017: 235,1 mil. eur, </w:t>
      </w:r>
    </w:p>
    <w:p w14:paraId="52B664B5" w14:textId="77777777" w:rsidR="00D61CAD" w:rsidRPr="000939E3" w:rsidRDefault="00D61CAD" w:rsidP="00D61CAD">
      <w:pPr>
        <w:pStyle w:val="Odsekzoznamu"/>
        <w:numPr>
          <w:ilvl w:val="1"/>
          <w:numId w:val="13"/>
        </w:numPr>
      </w:pPr>
      <w:r w:rsidRPr="000939E3">
        <w:t>odhad 2019: 268 mil. eur</w:t>
      </w:r>
    </w:p>
    <w:p w14:paraId="3A42468D" w14:textId="2DD879B5" w:rsidR="00D61CAD" w:rsidRPr="000939E3" w:rsidRDefault="00D61CAD" w:rsidP="00D61CAD">
      <w:pPr>
        <w:pStyle w:val="Odsekzoznamu"/>
        <w:numPr>
          <w:ilvl w:val="0"/>
          <w:numId w:val="13"/>
        </w:numPr>
        <w:rPr>
          <w:b/>
        </w:rPr>
      </w:pPr>
      <w:r w:rsidRPr="000939E3">
        <w:rPr>
          <w:b/>
        </w:rPr>
        <w:t>Uvoľnené prostriedky, odhad pre rok 2019: 43 mil. eur</w:t>
      </w:r>
      <w:r w:rsidR="003E1E1F" w:rsidRPr="000939E3">
        <w:rPr>
          <w:b/>
        </w:rPr>
        <w:t>, pre rok 2020 47 mil. eur</w:t>
      </w:r>
    </w:p>
    <w:p w14:paraId="1B995E0D" w14:textId="77777777" w:rsidR="00D61CAD" w:rsidRPr="000939E3" w:rsidRDefault="00D61CAD" w:rsidP="00D61CAD">
      <w:pPr>
        <w:pStyle w:val="Odsekzoznamu"/>
        <w:numPr>
          <w:ilvl w:val="0"/>
          <w:numId w:val="14"/>
        </w:numPr>
      </w:pPr>
      <w:r w:rsidRPr="000939E3">
        <w:t>Počet nepedagogických zamestnancov:</w:t>
      </w:r>
    </w:p>
    <w:p w14:paraId="65B9CF7E" w14:textId="77777777" w:rsidR="00D61CAD" w:rsidRPr="000939E3" w:rsidRDefault="00D61CAD" w:rsidP="00D61CAD">
      <w:pPr>
        <w:pStyle w:val="Odsekzoznamu"/>
        <w:numPr>
          <w:ilvl w:val="1"/>
          <w:numId w:val="14"/>
        </w:numPr>
      </w:pPr>
      <w:r w:rsidRPr="000939E3">
        <w:t> rok 2010: 10 103</w:t>
      </w:r>
    </w:p>
    <w:p w14:paraId="245A0C83" w14:textId="77777777" w:rsidR="00D61CAD" w:rsidRPr="000939E3" w:rsidRDefault="00D61CAD" w:rsidP="00D61CAD">
      <w:pPr>
        <w:pStyle w:val="Odsekzoznamu"/>
        <w:numPr>
          <w:ilvl w:val="1"/>
          <w:numId w:val="14"/>
        </w:numPr>
      </w:pPr>
      <w:r w:rsidRPr="000939E3">
        <w:t> rok 2017: 9 617</w:t>
      </w:r>
    </w:p>
    <w:p w14:paraId="2D9EBB1C" w14:textId="77777777" w:rsidR="00D61CAD" w:rsidRPr="000939E3" w:rsidRDefault="00D61CAD" w:rsidP="00D61CAD">
      <w:pPr>
        <w:pStyle w:val="Odsekzoznamu"/>
        <w:numPr>
          <w:ilvl w:val="1"/>
          <w:numId w:val="14"/>
        </w:numPr>
      </w:pPr>
      <w:r w:rsidRPr="000939E3">
        <w:t> potrebných podľa počtu na študenta z roku 2010: 7 124</w:t>
      </w:r>
    </w:p>
    <w:p w14:paraId="3D7CD985" w14:textId="77777777" w:rsidR="00D61CAD" w:rsidRPr="000939E3" w:rsidRDefault="00D61CAD" w:rsidP="00D61CAD">
      <w:pPr>
        <w:pStyle w:val="Odsekzoznamu"/>
        <w:numPr>
          <w:ilvl w:val="1"/>
          <w:numId w:val="14"/>
        </w:numPr>
      </w:pPr>
      <w:r w:rsidRPr="000939E3">
        <w:t> rozdiel 26%</w:t>
      </w:r>
    </w:p>
    <w:p w14:paraId="79B18D91" w14:textId="77777777" w:rsidR="00D61CAD" w:rsidRPr="000939E3" w:rsidRDefault="00D61CAD" w:rsidP="00D61CAD">
      <w:pPr>
        <w:pStyle w:val="Odsekzoznamu"/>
        <w:numPr>
          <w:ilvl w:val="0"/>
          <w:numId w:val="14"/>
        </w:numPr>
      </w:pPr>
      <w:r w:rsidRPr="000939E3">
        <w:t xml:space="preserve">Balík prostriedkov na osobné výdavky na nepedagogických zamestnancov VŠ: </w:t>
      </w:r>
    </w:p>
    <w:p w14:paraId="2B90F41B" w14:textId="77777777" w:rsidR="00D61CAD" w:rsidRPr="000939E3" w:rsidRDefault="00D61CAD" w:rsidP="00D61CAD">
      <w:pPr>
        <w:pStyle w:val="Odsekzoznamu"/>
        <w:numPr>
          <w:ilvl w:val="1"/>
          <w:numId w:val="14"/>
        </w:numPr>
      </w:pPr>
      <w:r w:rsidRPr="000939E3">
        <w:t> rok 2017: 136 mil. eur</w:t>
      </w:r>
    </w:p>
    <w:p w14:paraId="72F1702B" w14:textId="77777777" w:rsidR="00D61CAD" w:rsidRPr="000939E3" w:rsidRDefault="00D61CAD" w:rsidP="00D61CAD">
      <w:pPr>
        <w:pStyle w:val="Odsekzoznamu"/>
        <w:numPr>
          <w:ilvl w:val="1"/>
          <w:numId w:val="14"/>
        </w:numPr>
      </w:pPr>
      <w:r w:rsidRPr="000939E3">
        <w:t> odhad na rok 2019: 156 mil. eur</w:t>
      </w:r>
    </w:p>
    <w:p w14:paraId="336922F3" w14:textId="5371E1FE" w:rsidR="00D61CAD" w:rsidRPr="000939E3" w:rsidRDefault="00D61CAD" w:rsidP="00D61CAD">
      <w:pPr>
        <w:pStyle w:val="Odsekzoznamu"/>
        <w:numPr>
          <w:ilvl w:val="0"/>
          <w:numId w:val="14"/>
        </w:numPr>
        <w:rPr>
          <w:b/>
        </w:rPr>
      </w:pPr>
      <w:r w:rsidRPr="000939E3">
        <w:rPr>
          <w:b/>
        </w:rPr>
        <w:t>Uvoľnené prostriedky, odhad pre rok 2019: 40 mil. eur</w:t>
      </w:r>
      <w:r w:rsidR="003E1E1F" w:rsidRPr="000939E3">
        <w:rPr>
          <w:b/>
        </w:rPr>
        <w:t>, pre rok 2020</w:t>
      </w:r>
      <w:r w:rsidR="00A30CFB" w:rsidRPr="000939E3">
        <w:rPr>
          <w:b/>
        </w:rPr>
        <w:t>:</w:t>
      </w:r>
      <w:r w:rsidR="003E1E1F" w:rsidRPr="000939E3">
        <w:rPr>
          <w:b/>
        </w:rPr>
        <w:t xml:space="preserve"> 44 mil. eur</w:t>
      </w:r>
    </w:p>
    <w:p w14:paraId="636E8B88" w14:textId="52F7ACF5" w:rsidR="00D61CAD" w:rsidRPr="000939E3" w:rsidRDefault="00D61CAD" w:rsidP="00D61CAD">
      <w:pPr>
        <w:pStyle w:val="Odsekzoznamu"/>
        <w:numPr>
          <w:ilvl w:val="0"/>
          <w:numId w:val="14"/>
        </w:numPr>
        <w:rPr>
          <w:b/>
        </w:rPr>
      </w:pPr>
      <w:r w:rsidRPr="000939E3">
        <w:rPr>
          <w:b/>
        </w:rPr>
        <w:t>Spolu uvoľnené prostriedky, odhad pre rok 2019: 83 mil. eur</w:t>
      </w:r>
      <w:r w:rsidR="003E1E1F" w:rsidRPr="000939E3">
        <w:rPr>
          <w:b/>
        </w:rPr>
        <w:t>, pre rok 2020</w:t>
      </w:r>
      <w:r w:rsidR="00A30CFB" w:rsidRPr="000939E3">
        <w:rPr>
          <w:b/>
        </w:rPr>
        <w:t>:</w:t>
      </w:r>
      <w:r w:rsidR="003E1E1F" w:rsidRPr="000939E3">
        <w:rPr>
          <w:b/>
        </w:rPr>
        <w:t xml:space="preserve"> 91 mil. eur</w:t>
      </w:r>
    </w:p>
    <w:p w14:paraId="22EBD6A5" w14:textId="77777777" w:rsidR="00D61CAD" w:rsidRPr="000939E3" w:rsidRDefault="00D61CAD" w:rsidP="00565A86">
      <w:pPr>
        <w:pStyle w:val="Odsekzoznamu"/>
        <w:rPr>
          <w:i/>
          <w:sz w:val="18"/>
        </w:rPr>
      </w:pPr>
      <w:r w:rsidRPr="000939E3">
        <w:rPr>
          <w:i/>
          <w:sz w:val="18"/>
        </w:rPr>
        <w:t>Zdroj: CVTI SR, OECD 2018b</w:t>
      </w:r>
    </w:p>
    <w:p w14:paraId="6C8620D6" w14:textId="3BAA0FE7" w:rsidR="00377398" w:rsidRPr="000939E3" w:rsidRDefault="00377398">
      <w:pPr>
        <w:spacing w:after="160" w:line="259" w:lineRule="auto"/>
        <w:jc w:val="left"/>
        <w:rPr>
          <w:b/>
          <w:sz w:val="24"/>
        </w:rPr>
      </w:pPr>
      <w:r w:rsidRPr="000939E3">
        <w:rPr>
          <w:b/>
          <w:sz w:val="24"/>
        </w:rPr>
        <w:br w:type="page"/>
      </w:r>
    </w:p>
    <w:p w14:paraId="1EA17955" w14:textId="3E3A69A2" w:rsidR="00A30CFB" w:rsidRPr="000939E3" w:rsidRDefault="00A96B53" w:rsidP="00A96B53">
      <w:pPr>
        <w:pStyle w:val="Popis"/>
        <w:rPr>
          <w:sz w:val="22"/>
        </w:rPr>
      </w:pPr>
      <w:r w:rsidRPr="000939E3">
        <w:rPr>
          <w:sz w:val="22"/>
        </w:rPr>
        <w:t xml:space="preserve">Príloha </w:t>
      </w:r>
      <w:r w:rsidRPr="000939E3">
        <w:rPr>
          <w:sz w:val="22"/>
        </w:rPr>
        <w:fldChar w:fldCharType="begin"/>
      </w:r>
      <w:r w:rsidRPr="000939E3">
        <w:rPr>
          <w:sz w:val="22"/>
        </w:rPr>
        <w:instrText xml:space="preserve"> SEQ Príloha \* ARABIC </w:instrText>
      </w:r>
      <w:r w:rsidRPr="000939E3">
        <w:rPr>
          <w:sz w:val="22"/>
        </w:rPr>
        <w:fldChar w:fldCharType="separate"/>
      </w:r>
      <w:r w:rsidR="00BF69CA">
        <w:rPr>
          <w:noProof/>
          <w:sz w:val="22"/>
        </w:rPr>
        <w:t>19</w:t>
      </w:r>
      <w:r w:rsidRPr="000939E3">
        <w:rPr>
          <w:sz w:val="22"/>
        </w:rPr>
        <w:fldChar w:fldCharType="end"/>
      </w:r>
      <w:r w:rsidRPr="000939E3">
        <w:rPr>
          <w:sz w:val="22"/>
        </w:rPr>
        <w:t>: Porovnávané spoločnosti v SR a ČR (v mil. eur; 2018)</w:t>
      </w:r>
    </w:p>
    <w:tbl>
      <w:tblPr>
        <w:tblW w:w="5000" w:type="pct"/>
        <w:tblLayout w:type="fixed"/>
        <w:tblCellMar>
          <w:left w:w="70" w:type="dxa"/>
          <w:right w:w="70" w:type="dxa"/>
        </w:tblCellMar>
        <w:tblLook w:val="04A0" w:firstRow="1" w:lastRow="0" w:firstColumn="1" w:lastColumn="0" w:noHBand="0" w:noVBand="1"/>
      </w:tblPr>
      <w:tblGrid>
        <w:gridCol w:w="3828"/>
        <w:gridCol w:w="1241"/>
        <w:gridCol w:w="1068"/>
        <w:gridCol w:w="798"/>
        <w:gridCol w:w="1068"/>
        <w:gridCol w:w="1067"/>
      </w:tblGrid>
      <w:tr w:rsidR="00A30CFB" w:rsidRPr="000939E3" w14:paraId="77ACBAB6" w14:textId="77777777" w:rsidTr="006D1557">
        <w:trPr>
          <w:trHeight w:val="113"/>
        </w:trPr>
        <w:tc>
          <w:tcPr>
            <w:tcW w:w="2110" w:type="pct"/>
            <w:tcBorders>
              <w:top w:val="single" w:sz="4" w:space="0" w:color="auto"/>
              <w:left w:val="nil"/>
              <w:bottom w:val="single" w:sz="4" w:space="0" w:color="auto"/>
              <w:right w:val="nil"/>
            </w:tcBorders>
            <w:shd w:val="clear" w:color="auto" w:fill="auto"/>
            <w:noWrap/>
            <w:vAlign w:val="center"/>
            <w:hideMark/>
          </w:tcPr>
          <w:p w14:paraId="5DF5B7D6" w14:textId="77777777" w:rsidR="00A30CFB" w:rsidRPr="000939E3" w:rsidRDefault="00A30CFB" w:rsidP="006D1557">
            <w:pPr>
              <w:spacing w:after="0" w:line="240" w:lineRule="auto"/>
              <w:jc w:val="center"/>
              <w:rPr>
                <w:rFonts w:eastAsia="Times New Roman" w:cs="Times New Roman"/>
                <w:b/>
                <w:bCs/>
                <w:color w:val="000000"/>
                <w:lang w:eastAsia="sk-SK"/>
              </w:rPr>
            </w:pPr>
            <w:r w:rsidRPr="000939E3">
              <w:rPr>
                <w:rFonts w:eastAsia="Times New Roman" w:cs="Times New Roman"/>
                <w:b/>
                <w:bCs/>
                <w:color w:val="000000"/>
                <w:lang w:eastAsia="sk-SK"/>
              </w:rPr>
              <w:t>spoločnosť</w:t>
            </w:r>
          </w:p>
        </w:tc>
        <w:tc>
          <w:tcPr>
            <w:tcW w:w="684" w:type="pct"/>
            <w:tcBorders>
              <w:top w:val="single" w:sz="4" w:space="0" w:color="auto"/>
              <w:left w:val="nil"/>
              <w:bottom w:val="single" w:sz="4" w:space="0" w:color="auto"/>
              <w:right w:val="nil"/>
            </w:tcBorders>
            <w:shd w:val="clear" w:color="auto" w:fill="auto"/>
            <w:noWrap/>
            <w:vAlign w:val="center"/>
            <w:hideMark/>
          </w:tcPr>
          <w:p w14:paraId="369A86CD" w14:textId="77777777" w:rsidR="00A30CFB" w:rsidRPr="000939E3" w:rsidRDefault="00A30CFB" w:rsidP="006D1557">
            <w:pPr>
              <w:spacing w:after="0" w:line="240" w:lineRule="auto"/>
              <w:jc w:val="center"/>
              <w:rPr>
                <w:rFonts w:eastAsia="Times New Roman" w:cs="Times New Roman"/>
                <w:b/>
                <w:bCs/>
                <w:color w:val="000000"/>
                <w:lang w:eastAsia="sk-SK"/>
              </w:rPr>
            </w:pPr>
            <w:r w:rsidRPr="000939E3">
              <w:rPr>
                <w:rFonts w:eastAsia="Times New Roman" w:cs="Times New Roman"/>
                <w:b/>
                <w:bCs/>
                <w:color w:val="000000"/>
                <w:lang w:eastAsia="sk-SK"/>
              </w:rPr>
              <w:t>FTE, resp. priemerný počet</w:t>
            </w:r>
          </w:p>
        </w:tc>
        <w:tc>
          <w:tcPr>
            <w:tcW w:w="589" w:type="pct"/>
            <w:tcBorders>
              <w:top w:val="single" w:sz="4" w:space="0" w:color="auto"/>
              <w:left w:val="nil"/>
              <w:bottom w:val="single" w:sz="4" w:space="0" w:color="auto"/>
              <w:right w:val="nil"/>
            </w:tcBorders>
            <w:shd w:val="clear" w:color="auto" w:fill="auto"/>
            <w:noWrap/>
            <w:vAlign w:val="center"/>
            <w:hideMark/>
          </w:tcPr>
          <w:p w14:paraId="61323C30" w14:textId="77777777" w:rsidR="00A30CFB" w:rsidRPr="000939E3" w:rsidRDefault="00A30CFB" w:rsidP="006D1557">
            <w:pPr>
              <w:spacing w:after="0" w:line="240" w:lineRule="auto"/>
              <w:jc w:val="center"/>
              <w:rPr>
                <w:rFonts w:eastAsia="Times New Roman" w:cs="Times New Roman"/>
                <w:b/>
                <w:bCs/>
                <w:color w:val="000000"/>
                <w:lang w:eastAsia="sk-SK"/>
              </w:rPr>
            </w:pPr>
            <w:r w:rsidRPr="000939E3">
              <w:rPr>
                <w:rFonts w:eastAsia="Times New Roman" w:cs="Times New Roman"/>
                <w:b/>
                <w:bCs/>
                <w:color w:val="000000"/>
                <w:lang w:eastAsia="sk-SK"/>
              </w:rPr>
              <w:t>osobné náklady</w:t>
            </w:r>
          </w:p>
        </w:tc>
        <w:tc>
          <w:tcPr>
            <w:tcW w:w="440" w:type="pct"/>
            <w:tcBorders>
              <w:top w:val="single" w:sz="4" w:space="0" w:color="auto"/>
              <w:left w:val="nil"/>
              <w:bottom w:val="single" w:sz="4" w:space="0" w:color="auto"/>
              <w:right w:val="nil"/>
            </w:tcBorders>
            <w:shd w:val="clear" w:color="auto" w:fill="auto"/>
            <w:noWrap/>
            <w:vAlign w:val="center"/>
            <w:hideMark/>
          </w:tcPr>
          <w:p w14:paraId="5F3BF5D8" w14:textId="77777777" w:rsidR="00A30CFB" w:rsidRPr="000939E3" w:rsidRDefault="00A30CFB" w:rsidP="006D1557">
            <w:pPr>
              <w:spacing w:after="0" w:line="240" w:lineRule="auto"/>
              <w:jc w:val="center"/>
              <w:rPr>
                <w:rFonts w:eastAsia="Times New Roman" w:cs="Times New Roman"/>
                <w:b/>
                <w:bCs/>
                <w:color w:val="000000"/>
                <w:lang w:eastAsia="sk-SK"/>
              </w:rPr>
            </w:pPr>
            <w:r w:rsidRPr="000939E3">
              <w:rPr>
                <w:rFonts w:eastAsia="Times New Roman" w:cs="Times New Roman"/>
                <w:b/>
                <w:bCs/>
                <w:color w:val="000000"/>
                <w:lang w:eastAsia="sk-SK"/>
              </w:rPr>
              <w:t>OPEX</w:t>
            </w:r>
          </w:p>
        </w:tc>
        <w:tc>
          <w:tcPr>
            <w:tcW w:w="589" w:type="pct"/>
            <w:tcBorders>
              <w:top w:val="single" w:sz="4" w:space="0" w:color="auto"/>
              <w:left w:val="nil"/>
              <w:bottom w:val="single" w:sz="4" w:space="0" w:color="auto"/>
              <w:right w:val="nil"/>
            </w:tcBorders>
            <w:shd w:val="clear" w:color="auto" w:fill="auto"/>
            <w:noWrap/>
            <w:vAlign w:val="center"/>
            <w:hideMark/>
          </w:tcPr>
          <w:p w14:paraId="1A535BB4" w14:textId="77777777" w:rsidR="00A30CFB" w:rsidRPr="000939E3" w:rsidRDefault="00A30CFB" w:rsidP="006D1557">
            <w:pPr>
              <w:spacing w:after="0" w:line="240" w:lineRule="auto"/>
              <w:jc w:val="center"/>
              <w:rPr>
                <w:rFonts w:eastAsia="Times New Roman" w:cs="Times New Roman"/>
                <w:b/>
                <w:bCs/>
                <w:color w:val="000000"/>
                <w:lang w:eastAsia="sk-SK"/>
              </w:rPr>
            </w:pPr>
            <w:r w:rsidRPr="000939E3">
              <w:rPr>
                <w:rFonts w:eastAsia="Times New Roman" w:cs="Times New Roman"/>
                <w:b/>
                <w:bCs/>
                <w:color w:val="000000"/>
                <w:lang w:eastAsia="sk-SK"/>
              </w:rPr>
              <w:t>celkové náklady</w:t>
            </w:r>
          </w:p>
        </w:tc>
        <w:tc>
          <w:tcPr>
            <w:tcW w:w="588" w:type="pct"/>
            <w:tcBorders>
              <w:top w:val="single" w:sz="4" w:space="0" w:color="auto"/>
              <w:left w:val="nil"/>
              <w:bottom w:val="single" w:sz="4" w:space="0" w:color="auto"/>
              <w:right w:val="nil"/>
            </w:tcBorders>
            <w:vAlign w:val="center"/>
          </w:tcPr>
          <w:p w14:paraId="0AF1C204" w14:textId="77777777" w:rsidR="00A30CFB" w:rsidRPr="000939E3" w:rsidRDefault="00A30CFB" w:rsidP="006D1557">
            <w:pPr>
              <w:spacing w:after="0" w:line="240" w:lineRule="auto"/>
              <w:jc w:val="center"/>
              <w:rPr>
                <w:rFonts w:eastAsia="Times New Roman" w:cs="Times New Roman"/>
                <w:b/>
                <w:bCs/>
                <w:color w:val="000000"/>
                <w:lang w:eastAsia="sk-SK"/>
              </w:rPr>
            </w:pPr>
            <w:r w:rsidRPr="000939E3">
              <w:rPr>
                <w:rFonts w:eastAsia="Times New Roman" w:cs="Times New Roman"/>
                <w:b/>
                <w:bCs/>
                <w:color w:val="000000"/>
                <w:lang w:eastAsia="sk-SK"/>
              </w:rPr>
              <w:t>pomer osobné a celkové</w:t>
            </w:r>
          </w:p>
        </w:tc>
      </w:tr>
      <w:tr w:rsidR="00A96B53" w:rsidRPr="000939E3" w14:paraId="0EEB1960" w14:textId="77777777" w:rsidTr="006D1557">
        <w:trPr>
          <w:trHeight w:val="113"/>
        </w:trPr>
        <w:tc>
          <w:tcPr>
            <w:tcW w:w="2110" w:type="pct"/>
            <w:tcBorders>
              <w:top w:val="nil"/>
              <w:left w:val="nil"/>
              <w:bottom w:val="nil"/>
              <w:right w:val="nil"/>
            </w:tcBorders>
            <w:shd w:val="clear" w:color="auto" w:fill="auto"/>
            <w:noWrap/>
            <w:vAlign w:val="bottom"/>
            <w:hideMark/>
          </w:tcPr>
          <w:p w14:paraId="3883DF37" w14:textId="7469E19B" w:rsidR="00A96B53" w:rsidRPr="000939E3" w:rsidRDefault="00A96B53" w:rsidP="00A96B53">
            <w:pPr>
              <w:spacing w:after="0" w:line="240" w:lineRule="auto"/>
              <w:jc w:val="left"/>
              <w:rPr>
                <w:rFonts w:eastAsia="Times New Roman" w:cs="Times New Roman"/>
                <w:color w:val="000000"/>
                <w:lang w:eastAsia="sk-SK"/>
              </w:rPr>
            </w:pPr>
            <w:r w:rsidRPr="000939E3">
              <w:rPr>
                <w:color w:val="000000"/>
              </w:rPr>
              <w:t xml:space="preserve">Železnice Slovenskej republiky </w:t>
            </w:r>
          </w:p>
        </w:tc>
        <w:tc>
          <w:tcPr>
            <w:tcW w:w="684" w:type="pct"/>
            <w:tcBorders>
              <w:top w:val="nil"/>
              <w:left w:val="nil"/>
              <w:bottom w:val="nil"/>
              <w:right w:val="nil"/>
            </w:tcBorders>
            <w:shd w:val="clear" w:color="auto" w:fill="auto"/>
            <w:noWrap/>
            <w:vAlign w:val="center"/>
            <w:hideMark/>
          </w:tcPr>
          <w:p w14:paraId="361707A4" w14:textId="1C8E9776"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13 684</w:t>
            </w:r>
          </w:p>
        </w:tc>
        <w:tc>
          <w:tcPr>
            <w:tcW w:w="589" w:type="pct"/>
            <w:tcBorders>
              <w:top w:val="nil"/>
              <w:left w:val="nil"/>
              <w:bottom w:val="nil"/>
              <w:right w:val="nil"/>
            </w:tcBorders>
            <w:shd w:val="clear" w:color="auto" w:fill="auto"/>
            <w:noWrap/>
            <w:vAlign w:val="center"/>
            <w:hideMark/>
          </w:tcPr>
          <w:p w14:paraId="2C8CDD12" w14:textId="555545A7"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253</w:t>
            </w:r>
          </w:p>
        </w:tc>
        <w:tc>
          <w:tcPr>
            <w:tcW w:w="440" w:type="pct"/>
            <w:tcBorders>
              <w:top w:val="nil"/>
              <w:left w:val="nil"/>
              <w:bottom w:val="nil"/>
              <w:right w:val="nil"/>
            </w:tcBorders>
            <w:shd w:val="clear" w:color="auto" w:fill="auto"/>
            <w:noWrap/>
            <w:vAlign w:val="center"/>
            <w:hideMark/>
          </w:tcPr>
          <w:p w14:paraId="3309C1BF" w14:textId="078DC850"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397</w:t>
            </w:r>
          </w:p>
        </w:tc>
        <w:tc>
          <w:tcPr>
            <w:tcW w:w="589" w:type="pct"/>
            <w:tcBorders>
              <w:top w:val="nil"/>
              <w:left w:val="nil"/>
              <w:bottom w:val="nil"/>
              <w:right w:val="nil"/>
            </w:tcBorders>
            <w:shd w:val="clear" w:color="auto" w:fill="auto"/>
            <w:noWrap/>
            <w:vAlign w:val="center"/>
            <w:hideMark/>
          </w:tcPr>
          <w:p w14:paraId="185A9DCC" w14:textId="72611EB6"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495</w:t>
            </w:r>
          </w:p>
        </w:tc>
        <w:tc>
          <w:tcPr>
            <w:tcW w:w="588" w:type="pct"/>
            <w:tcBorders>
              <w:top w:val="nil"/>
              <w:left w:val="nil"/>
              <w:bottom w:val="nil"/>
              <w:right w:val="nil"/>
            </w:tcBorders>
            <w:vAlign w:val="center"/>
          </w:tcPr>
          <w:p w14:paraId="676453AE" w14:textId="575F8DB5" w:rsidR="00A96B53" w:rsidRPr="000939E3" w:rsidRDefault="00A96B53" w:rsidP="00A96B53">
            <w:pPr>
              <w:spacing w:after="0" w:line="240" w:lineRule="auto"/>
              <w:jc w:val="right"/>
              <w:rPr>
                <w:color w:val="000000"/>
              </w:rPr>
            </w:pPr>
            <w:r w:rsidRPr="000939E3">
              <w:rPr>
                <w:color w:val="000000"/>
              </w:rPr>
              <w:t>51%</w:t>
            </w:r>
          </w:p>
        </w:tc>
      </w:tr>
      <w:tr w:rsidR="00A96B53" w:rsidRPr="000939E3" w14:paraId="0B44AAE3" w14:textId="77777777" w:rsidTr="006D1557">
        <w:trPr>
          <w:trHeight w:val="113"/>
        </w:trPr>
        <w:tc>
          <w:tcPr>
            <w:tcW w:w="2110" w:type="pct"/>
            <w:tcBorders>
              <w:top w:val="nil"/>
              <w:left w:val="nil"/>
              <w:bottom w:val="nil"/>
              <w:right w:val="nil"/>
            </w:tcBorders>
            <w:shd w:val="clear" w:color="auto" w:fill="auto"/>
            <w:noWrap/>
            <w:vAlign w:val="bottom"/>
            <w:hideMark/>
          </w:tcPr>
          <w:p w14:paraId="6C391F36" w14:textId="44C040D4" w:rsidR="00A96B53" w:rsidRPr="000939E3" w:rsidRDefault="00A96B53" w:rsidP="00A96B53">
            <w:pPr>
              <w:spacing w:after="0" w:line="240" w:lineRule="auto"/>
              <w:jc w:val="left"/>
              <w:rPr>
                <w:rFonts w:eastAsia="Times New Roman" w:cs="Times New Roman"/>
                <w:color w:val="000000"/>
                <w:lang w:eastAsia="sk-SK"/>
              </w:rPr>
            </w:pPr>
            <w:r w:rsidRPr="000939E3">
              <w:rPr>
                <w:color w:val="000000"/>
              </w:rPr>
              <w:t>Slovenská pošta, a.s.</w:t>
            </w:r>
          </w:p>
        </w:tc>
        <w:tc>
          <w:tcPr>
            <w:tcW w:w="684" w:type="pct"/>
            <w:tcBorders>
              <w:top w:val="nil"/>
              <w:left w:val="nil"/>
              <w:bottom w:val="nil"/>
              <w:right w:val="nil"/>
            </w:tcBorders>
            <w:shd w:val="clear" w:color="auto" w:fill="auto"/>
            <w:noWrap/>
            <w:vAlign w:val="center"/>
            <w:hideMark/>
          </w:tcPr>
          <w:p w14:paraId="666F4251" w14:textId="61DDE92D"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12 837</w:t>
            </w:r>
          </w:p>
        </w:tc>
        <w:tc>
          <w:tcPr>
            <w:tcW w:w="589" w:type="pct"/>
            <w:tcBorders>
              <w:top w:val="nil"/>
              <w:left w:val="nil"/>
              <w:bottom w:val="nil"/>
              <w:right w:val="nil"/>
            </w:tcBorders>
            <w:shd w:val="clear" w:color="auto" w:fill="auto"/>
            <w:noWrap/>
            <w:vAlign w:val="center"/>
            <w:hideMark/>
          </w:tcPr>
          <w:p w14:paraId="55500640" w14:textId="5F113471"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176</w:t>
            </w:r>
          </w:p>
        </w:tc>
        <w:tc>
          <w:tcPr>
            <w:tcW w:w="440" w:type="pct"/>
            <w:tcBorders>
              <w:top w:val="nil"/>
              <w:left w:val="nil"/>
              <w:bottom w:val="nil"/>
              <w:right w:val="nil"/>
            </w:tcBorders>
            <w:shd w:val="clear" w:color="auto" w:fill="auto"/>
            <w:noWrap/>
            <w:vAlign w:val="center"/>
            <w:hideMark/>
          </w:tcPr>
          <w:p w14:paraId="7A0CA382" w14:textId="067C42A6"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297</w:t>
            </w:r>
          </w:p>
        </w:tc>
        <w:tc>
          <w:tcPr>
            <w:tcW w:w="589" w:type="pct"/>
            <w:tcBorders>
              <w:top w:val="nil"/>
              <w:left w:val="nil"/>
              <w:bottom w:val="nil"/>
              <w:right w:val="nil"/>
            </w:tcBorders>
            <w:shd w:val="clear" w:color="auto" w:fill="auto"/>
            <w:noWrap/>
            <w:vAlign w:val="center"/>
            <w:hideMark/>
          </w:tcPr>
          <w:p w14:paraId="51E99F65" w14:textId="1CF8AE53"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328</w:t>
            </w:r>
          </w:p>
        </w:tc>
        <w:tc>
          <w:tcPr>
            <w:tcW w:w="588" w:type="pct"/>
            <w:tcBorders>
              <w:top w:val="nil"/>
              <w:left w:val="nil"/>
              <w:bottom w:val="nil"/>
              <w:right w:val="nil"/>
            </w:tcBorders>
            <w:vAlign w:val="center"/>
          </w:tcPr>
          <w:p w14:paraId="0A94D88F" w14:textId="58DE9F45" w:rsidR="00A96B53" w:rsidRPr="000939E3" w:rsidRDefault="00A96B53" w:rsidP="00A96B53">
            <w:pPr>
              <w:spacing w:after="0" w:line="240" w:lineRule="auto"/>
              <w:jc w:val="right"/>
              <w:rPr>
                <w:color w:val="000000"/>
              </w:rPr>
            </w:pPr>
            <w:r w:rsidRPr="000939E3">
              <w:rPr>
                <w:color w:val="000000"/>
              </w:rPr>
              <w:t>54%</w:t>
            </w:r>
          </w:p>
        </w:tc>
      </w:tr>
      <w:tr w:rsidR="00A96B53" w:rsidRPr="000939E3" w14:paraId="6EADC96E" w14:textId="77777777" w:rsidTr="006D1557">
        <w:trPr>
          <w:trHeight w:val="113"/>
        </w:trPr>
        <w:tc>
          <w:tcPr>
            <w:tcW w:w="2110" w:type="pct"/>
            <w:tcBorders>
              <w:top w:val="nil"/>
              <w:left w:val="nil"/>
              <w:bottom w:val="nil"/>
              <w:right w:val="nil"/>
            </w:tcBorders>
            <w:shd w:val="clear" w:color="auto" w:fill="auto"/>
            <w:noWrap/>
            <w:vAlign w:val="bottom"/>
            <w:hideMark/>
          </w:tcPr>
          <w:p w14:paraId="645C7E22" w14:textId="43FAE9E1" w:rsidR="00A96B53" w:rsidRPr="000939E3" w:rsidRDefault="00A96B53" w:rsidP="00A96B53">
            <w:pPr>
              <w:spacing w:after="0" w:line="240" w:lineRule="auto"/>
              <w:jc w:val="left"/>
              <w:rPr>
                <w:rFonts w:eastAsia="Times New Roman" w:cs="Times New Roman"/>
                <w:color w:val="000000"/>
                <w:lang w:eastAsia="sk-SK"/>
              </w:rPr>
            </w:pPr>
            <w:r w:rsidRPr="000939E3">
              <w:rPr>
                <w:color w:val="000000"/>
              </w:rPr>
              <w:t xml:space="preserve">Železničná spoločnosť Cargo Slovakia, a.s. </w:t>
            </w:r>
          </w:p>
        </w:tc>
        <w:tc>
          <w:tcPr>
            <w:tcW w:w="684" w:type="pct"/>
            <w:tcBorders>
              <w:top w:val="nil"/>
              <w:left w:val="nil"/>
              <w:bottom w:val="nil"/>
              <w:right w:val="nil"/>
            </w:tcBorders>
            <w:shd w:val="clear" w:color="auto" w:fill="auto"/>
            <w:noWrap/>
            <w:vAlign w:val="center"/>
            <w:hideMark/>
          </w:tcPr>
          <w:p w14:paraId="4B5FDCFB" w14:textId="0A43FC39"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5 513</w:t>
            </w:r>
          </w:p>
        </w:tc>
        <w:tc>
          <w:tcPr>
            <w:tcW w:w="589" w:type="pct"/>
            <w:tcBorders>
              <w:top w:val="nil"/>
              <w:left w:val="nil"/>
              <w:bottom w:val="nil"/>
              <w:right w:val="nil"/>
            </w:tcBorders>
            <w:shd w:val="clear" w:color="auto" w:fill="auto"/>
            <w:noWrap/>
            <w:vAlign w:val="center"/>
            <w:hideMark/>
          </w:tcPr>
          <w:p w14:paraId="37AD61F9" w14:textId="5DBCBB20"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94</w:t>
            </w:r>
          </w:p>
        </w:tc>
        <w:tc>
          <w:tcPr>
            <w:tcW w:w="440" w:type="pct"/>
            <w:tcBorders>
              <w:top w:val="nil"/>
              <w:left w:val="nil"/>
              <w:bottom w:val="nil"/>
              <w:right w:val="nil"/>
            </w:tcBorders>
            <w:shd w:val="clear" w:color="auto" w:fill="auto"/>
            <w:noWrap/>
            <w:vAlign w:val="center"/>
            <w:hideMark/>
          </w:tcPr>
          <w:p w14:paraId="119470AA" w14:textId="032C6BF1"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264</w:t>
            </w:r>
          </w:p>
        </w:tc>
        <w:tc>
          <w:tcPr>
            <w:tcW w:w="589" w:type="pct"/>
            <w:tcBorders>
              <w:top w:val="nil"/>
              <w:left w:val="nil"/>
              <w:bottom w:val="nil"/>
              <w:right w:val="nil"/>
            </w:tcBorders>
            <w:shd w:val="clear" w:color="auto" w:fill="auto"/>
            <w:noWrap/>
            <w:vAlign w:val="center"/>
            <w:hideMark/>
          </w:tcPr>
          <w:p w14:paraId="06B2F01F" w14:textId="57CE984E"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289</w:t>
            </w:r>
          </w:p>
        </w:tc>
        <w:tc>
          <w:tcPr>
            <w:tcW w:w="588" w:type="pct"/>
            <w:tcBorders>
              <w:top w:val="nil"/>
              <w:left w:val="nil"/>
              <w:bottom w:val="nil"/>
              <w:right w:val="nil"/>
            </w:tcBorders>
            <w:vAlign w:val="center"/>
          </w:tcPr>
          <w:p w14:paraId="19B277E2" w14:textId="76B62C37" w:rsidR="00A96B53" w:rsidRPr="000939E3" w:rsidRDefault="00A96B53" w:rsidP="00A96B53">
            <w:pPr>
              <w:spacing w:after="0" w:line="240" w:lineRule="auto"/>
              <w:jc w:val="right"/>
              <w:rPr>
                <w:color w:val="000000"/>
              </w:rPr>
            </w:pPr>
            <w:r w:rsidRPr="000939E3">
              <w:rPr>
                <w:color w:val="000000"/>
              </w:rPr>
              <w:t>33%</w:t>
            </w:r>
          </w:p>
        </w:tc>
      </w:tr>
      <w:tr w:rsidR="00A96B53" w:rsidRPr="000939E3" w14:paraId="4459E32F" w14:textId="77777777" w:rsidTr="006D1557">
        <w:trPr>
          <w:trHeight w:val="113"/>
        </w:trPr>
        <w:tc>
          <w:tcPr>
            <w:tcW w:w="2110" w:type="pct"/>
            <w:tcBorders>
              <w:top w:val="nil"/>
              <w:left w:val="nil"/>
              <w:bottom w:val="nil"/>
              <w:right w:val="nil"/>
            </w:tcBorders>
            <w:shd w:val="clear" w:color="auto" w:fill="auto"/>
            <w:noWrap/>
            <w:vAlign w:val="bottom"/>
            <w:hideMark/>
          </w:tcPr>
          <w:p w14:paraId="1C1560DF" w14:textId="56DF1CDD" w:rsidR="00A96B53" w:rsidRPr="000939E3" w:rsidRDefault="00A96B53" w:rsidP="00A96B53">
            <w:pPr>
              <w:spacing w:after="0" w:line="240" w:lineRule="auto"/>
              <w:jc w:val="left"/>
              <w:rPr>
                <w:rFonts w:eastAsia="Times New Roman" w:cs="Times New Roman"/>
                <w:color w:val="000000"/>
                <w:lang w:eastAsia="sk-SK"/>
              </w:rPr>
            </w:pPr>
            <w:r w:rsidRPr="000939E3">
              <w:rPr>
                <w:color w:val="000000"/>
              </w:rPr>
              <w:t>Železničná spoločnosť Slovensko, a.s.</w:t>
            </w:r>
          </w:p>
        </w:tc>
        <w:tc>
          <w:tcPr>
            <w:tcW w:w="684" w:type="pct"/>
            <w:tcBorders>
              <w:top w:val="nil"/>
              <w:left w:val="nil"/>
              <w:bottom w:val="nil"/>
              <w:right w:val="nil"/>
            </w:tcBorders>
            <w:shd w:val="clear" w:color="auto" w:fill="auto"/>
            <w:noWrap/>
            <w:vAlign w:val="center"/>
            <w:hideMark/>
          </w:tcPr>
          <w:p w14:paraId="7B3211AA" w14:textId="68055341"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5 877</w:t>
            </w:r>
          </w:p>
        </w:tc>
        <w:tc>
          <w:tcPr>
            <w:tcW w:w="589" w:type="pct"/>
            <w:tcBorders>
              <w:top w:val="nil"/>
              <w:left w:val="nil"/>
              <w:bottom w:val="nil"/>
              <w:right w:val="nil"/>
            </w:tcBorders>
            <w:shd w:val="clear" w:color="auto" w:fill="auto"/>
            <w:noWrap/>
            <w:vAlign w:val="center"/>
            <w:hideMark/>
          </w:tcPr>
          <w:p w14:paraId="4ADCB1F9" w14:textId="563A8267"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115</w:t>
            </w:r>
          </w:p>
        </w:tc>
        <w:tc>
          <w:tcPr>
            <w:tcW w:w="440" w:type="pct"/>
            <w:tcBorders>
              <w:top w:val="nil"/>
              <w:left w:val="nil"/>
              <w:bottom w:val="nil"/>
              <w:right w:val="nil"/>
            </w:tcBorders>
            <w:shd w:val="clear" w:color="auto" w:fill="auto"/>
            <w:noWrap/>
            <w:vAlign w:val="center"/>
            <w:hideMark/>
          </w:tcPr>
          <w:p w14:paraId="0FA48A2E" w14:textId="0E3F4892"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312</w:t>
            </w:r>
          </w:p>
        </w:tc>
        <w:tc>
          <w:tcPr>
            <w:tcW w:w="589" w:type="pct"/>
            <w:tcBorders>
              <w:top w:val="nil"/>
              <w:left w:val="nil"/>
              <w:bottom w:val="nil"/>
              <w:right w:val="nil"/>
            </w:tcBorders>
            <w:shd w:val="clear" w:color="auto" w:fill="auto"/>
            <w:noWrap/>
            <w:vAlign w:val="center"/>
            <w:hideMark/>
          </w:tcPr>
          <w:p w14:paraId="3655CFB1" w14:textId="3899C476"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402</w:t>
            </w:r>
          </w:p>
        </w:tc>
        <w:tc>
          <w:tcPr>
            <w:tcW w:w="588" w:type="pct"/>
            <w:tcBorders>
              <w:top w:val="nil"/>
              <w:left w:val="nil"/>
              <w:bottom w:val="nil"/>
              <w:right w:val="nil"/>
            </w:tcBorders>
            <w:vAlign w:val="center"/>
          </w:tcPr>
          <w:p w14:paraId="150D8FFF" w14:textId="2FFDDC01" w:rsidR="00A96B53" w:rsidRPr="000939E3" w:rsidRDefault="00A96B53" w:rsidP="00A96B53">
            <w:pPr>
              <w:spacing w:after="0" w:line="240" w:lineRule="auto"/>
              <w:jc w:val="right"/>
              <w:rPr>
                <w:color w:val="000000"/>
              </w:rPr>
            </w:pPr>
            <w:r w:rsidRPr="000939E3">
              <w:rPr>
                <w:color w:val="000000"/>
              </w:rPr>
              <w:t>28%</w:t>
            </w:r>
          </w:p>
        </w:tc>
      </w:tr>
      <w:tr w:rsidR="00A96B53" w:rsidRPr="000939E3" w14:paraId="2400FA8F" w14:textId="77777777" w:rsidTr="006D1557">
        <w:trPr>
          <w:trHeight w:val="113"/>
        </w:trPr>
        <w:tc>
          <w:tcPr>
            <w:tcW w:w="2110" w:type="pct"/>
            <w:tcBorders>
              <w:top w:val="nil"/>
              <w:left w:val="nil"/>
              <w:bottom w:val="nil"/>
              <w:right w:val="nil"/>
            </w:tcBorders>
            <w:shd w:val="clear" w:color="auto" w:fill="auto"/>
            <w:noWrap/>
            <w:vAlign w:val="bottom"/>
            <w:hideMark/>
          </w:tcPr>
          <w:p w14:paraId="476D48BB" w14:textId="1EF4CB39" w:rsidR="00A96B53" w:rsidRPr="000939E3" w:rsidRDefault="00A96B53" w:rsidP="00A96B53">
            <w:pPr>
              <w:spacing w:after="0" w:line="240" w:lineRule="auto"/>
              <w:jc w:val="left"/>
              <w:rPr>
                <w:rFonts w:eastAsia="Times New Roman" w:cs="Times New Roman"/>
                <w:color w:val="000000"/>
                <w:lang w:eastAsia="sk-SK"/>
              </w:rPr>
            </w:pPr>
            <w:r w:rsidRPr="000939E3">
              <w:rPr>
                <w:color w:val="000000"/>
              </w:rPr>
              <w:t xml:space="preserve">Sociálna poisťovňa </w:t>
            </w:r>
          </w:p>
        </w:tc>
        <w:tc>
          <w:tcPr>
            <w:tcW w:w="684" w:type="pct"/>
            <w:tcBorders>
              <w:top w:val="nil"/>
              <w:left w:val="nil"/>
              <w:bottom w:val="nil"/>
              <w:right w:val="nil"/>
            </w:tcBorders>
            <w:shd w:val="clear" w:color="auto" w:fill="auto"/>
            <w:noWrap/>
            <w:vAlign w:val="center"/>
            <w:hideMark/>
          </w:tcPr>
          <w:p w14:paraId="468C12C9" w14:textId="2F00C4BF"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5 195</w:t>
            </w:r>
          </w:p>
        </w:tc>
        <w:tc>
          <w:tcPr>
            <w:tcW w:w="589" w:type="pct"/>
            <w:tcBorders>
              <w:top w:val="nil"/>
              <w:left w:val="nil"/>
              <w:bottom w:val="nil"/>
              <w:right w:val="nil"/>
            </w:tcBorders>
            <w:shd w:val="clear" w:color="auto" w:fill="auto"/>
            <w:noWrap/>
            <w:vAlign w:val="center"/>
            <w:hideMark/>
          </w:tcPr>
          <w:p w14:paraId="06B99598" w14:textId="53483450"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100</w:t>
            </w:r>
          </w:p>
        </w:tc>
        <w:tc>
          <w:tcPr>
            <w:tcW w:w="440" w:type="pct"/>
            <w:tcBorders>
              <w:top w:val="nil"/>
              <w:left w:val="nil"/>
              <w:bottom w:val="nil"/>
              <w:right w:val="nil"/>
            </w:tcBorders>
            <w:shd w:val="clear" w:color="auto" w:fill="auto"/>
            <w:noWrap/>
            <w:vAlign w:val="center"/>
            <w:hideMark/>
          </w:tcPr>
          <w:p w14:paraId="18ACA344" w14:textId="23586736"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147</w:t>
            </w:r>
          </w:p>
        </w:tc>
        <w:tc>
          <w:tcPr>
            <w:tcW w:w="589" w:type="pct"/>
            <w:tcBorders>
              <w:top w:val="nil"/>
              <w:left w:val="nil"/>
              <w:bottom w:val="nil"/>
              <w:right w:val="nil"/>
            </w:tcBorders>
            <w:shd w:val="clear" w:color="auto" w:fill="auto"/>
            <w:noWrap/>
            <w:vAlign w:val="center"/>
            <w:hideMark/>
          </w:tcPr>
          <w:p w14:paraId="32002046" w14:textId="65A14379"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153</w:t>
            </w:r>
          </w:p>
        </w:tc>
        <w:tc>
          <w:tcPr>
            <w:tcW w:w="588" w:type="pct"/>
            <w:tcBorders>
              <w:top w:val="nil"/>
              <w:left w:val="nil"/>
              <w:bottom w:val="nil"/>
              <w:right w:val="nil"/>
            </w:tcBorders>
            <w:vAlign w:val="center"/>
          </w:tcPr>
          <w:p w14:paraId="49E2FC97" w14:textId="6AF8F1C6" w:rsidR="00A96B53" w:rsidRPr="000939E3" w:rsidRDefault="00A96B53" w:rsidP="00A96B53">
            <w:pPr>
              <w:spacing w:after="0" w:line="240" w:lineRule="auto"/>
              <w:jc w:val="right"/>
              <w:rPr>
                <w:color w:val="000000"/>
              </w:rPr>
            </w:pPr>
            <w:r w:rsidRPr="000939E3">
              <w:rPr>
                <w:color w:val="000000"/>
              </w:rPr>
              <w:t>65%</w:t>
            </w:r>
          </w:p>
        </w:tc>
      </w:tr>
      <w:tr w:rsidR="00A96B53" w:rsidRPr="000939E3" w14:paraId="7A2B3A76" w14:textId="77777777" w:rsidTr="006D1557">
        <w:trPr>
          <w:trHeight w:val="113"/>
        </w:trPr>
        <w:tc>
          <w:tcPr>
            <w:tcW w:w="2110" w:type="pct"/>
            <w:tcBorders>
              <w:top w:val="nil"/>
              <w:left w:val="nil"/>
              <w:bottom w:val="nil"/>
              <w:right w:val="nil"/>
            </w:tcBorders>
            <w:shd w:val="clear" w:color="auto" w:fill="auto"/>
            <w:noWrap/>
            <w:vAlign w:val="bottom"/>
            <w:hideMark/>
          </w:tcPr>
          <w:p w14:paraId="54990149" w14:textId="566D5F2A" w:rsidR="00A96B53" w:rsidRPr="000939E3" w:rsidRDefault="00A96B53" w:rsidP="00A96B53">
            <w:pPr>
              <w:spacing w:after="0" w:line="240" w:lineRule="auto"/>
              <w:jc w:val="left"/>
              <w:rPr>
                <w:rFonts w:eastAsia="Times New Roman" w:cs="Times New Roman"/>
                <w:color w:val="000000"/>
                <w:lang w:eastAsia="sk-SK"/>
              </w:rPr>
            </w:pPr>
            <w:r w:rsidRPr="000939E3">
              <w:rPr>
                <w:color w:val="000000"/>
              </w:rPr>
              <w:t xml:space="preserve">Správa železniční dopravní cesty </w:t>
            </w:r>
          </w:p>
        </w:tc>
        <w:tc>
          <w:tcPr>
            <w:tcW w:w="684" w:type="pct"/>
            <w:tcBorders>
              <w:top w:val="nil"/>
              <w:left w:val="nil"/>
              <w:bottom w:val="nil"/>
              <w:right w:val="nil"/>
            </w:tcBorders>
            <w:shd w:val="clear" w:color="auto" w:fill="auto"/>
            <w:noWrap/>
            <w:vAlign w:val="center"/>
            <w:hideMark/>
          </w:tcPr>
          <w:p w14:paraId="0CD33659" w14:textId="1B079A9F"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17 307</w:t>
            </w:r>
          </w:p>
        </w:tc>
        <w:tc>
          <w:tcPr>
            <w:tcW w:w="589" w:type="pct"/>
            <w:tcBorders>
              <w:top w:val="nil"/>
              <w:left w:val="nil"/>
              <w:bottom w:val="nil"/>
              <w:right w:val="nil"/>
            </w:tcBorders>
            <w:shd w:val="clear" w:color="auto" w:fill="auto"/>
            <w:noWrap/>
            <w:vAlign w:val="center"/>
            <w:hideMark/>
          </w:tcPr>
          <w:p w14:paraId="1DD8AC3B" w14:textId="224505D9"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411</w:t>
            </w:r>
          </w:p>
        </w:tc>
        <w:tc>
          <w:tcPr>
            <w:tcW w:w="440" w:type="pct"/>
            <w:tcBorders>
              <w:top w:val="nil"/>
              <w:left w:val="nil"/>
              <w:bottom w:val="nil"/>
              <w:right w:val="nil"/>
            </w:tcBorders>
            <w:shd w:val="clear" w:color="auto" w:fill="auto"/>
            <w:noWrap/>
            <w:vAlign w:val="center"/>
            <w:hideMark/>
          </w:tcPr>
          <w:p w14:paraId="1C541A3E" w14:textId="4A3EDBC8"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957</w:t>
            </w:r>
          </w:p>
        </w:tc>
        <w:tc>
          <w:tcPr>
            <w:tcW w:w="589" w:type="pct"/>
            <w:tcBorders>
              <w:top w:val="nil"/>
              <w:left w:val="nil"/>
              <w:bottom w:val="nil"/>
              <w:right w:val="nil"/>
            </w:tcBorders>
            <w:shd w:val="clear" w:color="auto" w:fill="auto"/>
            <w:noWrap/>
            <w:vAlign w:val="center"/>
            <w:hideMark/>
          </w:tcPr>
          <w:p w14:paraId="617F88F3" w14:textId="6F10BDB7"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1 117</w:t>
            </w:r>
          </w:p>
        </w:tc>
        <w:tc>
          <w:tcPr>
            <w:tcW w:w="588" w:type="pct"/>
            <w:tcBorders>
              <w:top w:val="nil"/>
              <w:left w:val="nil"/>
              <w:bottom w:val="nil"/>
              <w:right w:val="nil"/>
            </w:tcBorders>
            <w:vAlign w:val="center"/>
          </w:tcPr>
          <w:p w14:paraId="74B5B69A" w14:textId="0C66227F" w:rsidR="00A96B53" w:rsidRPr="000939E3" w:rsidRDefault="00A96B53" w:rsidP="00A96B53">
            <w:pPr>
              <w:spacing w:after="0" w:line="240" w:lineRule="auto"/>
              <w:jc w:val="right"/>
              <w:rPr>
                <w:color w:val="000000"/>
              </w:rPr>
            </w:pPr>
            <w:r w:rsidRPr="000939E3">
              <w:rPr>
                <w:color w:val="000000"/>
              </w:rPr>
              <w:t>37%</w:t>
            </w:r>
          </w:p>
        </w:tc>
      </w:tr>
      <w:tr w:rsidR="00A96B53" w:rsidRPr="000939E3" w14:paraId="2750C234" w14:textId="77777777" w:rsidTr="006D1557">
        <w:trPr>
          <w:trHeight w:val="113"/>
        </w:trPr>
        <w:tc>
          <w:tcPr>
            <w:tcW w:w="2110" w:type="pct"/>
            <w:tcBorders>
              <w:top w:val="nil"/>
              <w:left w:val="nil"/>
              <w:bottom w:val="nil"/>
              <w:right w:val="nil"/>
            </w:tcBorders>
            <w:shd w:val="clear" w:color="auto" w:fill="auto"/>
            <w:noWrap/>
            <w:vAlign w:val="bottom"/>
            <w:hideMark/>
          </w:tcPr>
          <w:p w14:paraId="676EBF45" w14:textId="45F2A854" w:rsidR="00A96B53" w:rsidRPr="000939E3" w:rsidRDefault="00A96B53" w:rsidP="00A96B53">
            <w:pPr>
              <w:spacing w:after="0" w:line="240" w:lineRule="auto"/>
              <w:jc w:val="left"/>
              <w:rPr>
                <w:rFonts w:eastAsia="Times New Roman" w:cs="Times New Roman"/>
                <w:color w:val="000000"/>
                <w:lang w:eastAsia="sk-SK"/>
              </w:rPr>
            </w:pPr>
            <w:r w:rsidRPr="000939E3">
              <w:rPr>
                <w:color w:val="000000"/>
              </w:rPr>
              <w:t xml:space="preserve">Česká pošta </w:t>
            </w:r>
          </w:p>
        </w:tc>
        <w:tc>
          <w:tcPr>
            <w:tcW w:w="684" w:type="pct"/>
            <w:tcBorders>
              <w:top w:val="nil"/>
              <w:left w:val="nil"/>
              <w:bottom w:val="nil"/>
              <w:right w:val="nil"/>
            </w:tcBorders>
            <w:shd w:val="clear" w:color="auto" w:fill="auto"/>
            <w:noWrap/>
            <w:vAlign w:val="center"/>
            <w:hideMark/>
          </w:tcPr>
          <w:p w14:paraId="1EACA464" w14:textId="2B06907B"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28 994</w:t>
            </w:r>
          </w:p>
        </w:tc>
        <w:tc>
          <w:tcPr>
            <w:tcW w:w="589" w:type="pct"/>
            <w:tcBorders>
              <w:top w:val="nil"/>
              <w:left w:val="nil"/>
              <w:bottom w:val="nil"/>
              <w:right w:val="nil"/>
            </w:tcBorders>
            <w:shd w:val="clear" w:color="auto" w:fill="auto"/>
            <w:noWrap/>
            <w:vAlign w:val="center"/>
            <w:hideMark/>
          </w:tcPr>
          <w:p w14:paraId="602B6080" w14:textId="266C4EFB"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501</w:t>
            </w:r>
          </w:p>
        </w:tc>
        <w:tc>
          <w:tcPr>
            <w:tcW w:w="440" w:type="pct"/>
            <w:tcBorders>
              <w:top w:val="nil"/>
              <w:left w:val="nil"/>
              <w:bottom w:val="nil"/>
              <w:right w:val="nil"/>
            </w:tcBorders>
            <w:shd w:val="clear" w:color="auto" w:fill="auto"/>
            <w:noWrap/>
            <w:vAlign w:val="center"/>
            <w:hideMark/>
          </w:tcPr>
          <w:p w14:paraId="7B21F5F9" w14:textId="491A19FA"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675</w:t>
            </w:r>
          </w:p>
        </w:tc>
        <w:tc>
          <w:tcPr>
            <w:tcW w:w="589" w:type="pct"/>
            <w:tcBorders>
              <w:top w:val="nil"/>
              <w:left w:val="nil"/>
              <w:bottom w:val="nil"/>
              <w:right w:val="nil"/>
            </w:tcBorders>
            <w:shd w:val="clear" w:color="auto" w:fill="auto"/>
            <w:noWrap/>
            <w:vAlign w:val="center"/>
            <w:hideMark/>
          </w:tcPr>
          <w:p w14:paraId="60E64BBD" w14:textId="461A4C3D"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818</w:t>
            </w:r>
          </w:p>
        </w:tc>
        <w:tc>
          <w:tcPr>
            <w:tcW w:w="588" w:type="pct"/>
            <w:tcBorders>
              <w:top w:val="nil"/>
              <w:left w:val="nil"/>
              <w:bottom w:val="nil"/>
              <w:right w:val="nil"/>
            </w:tcBorders>
            <w:vAlign w:val="center"/>
          </w:tcPr>
          <w:p w14:paraId="7DF47C48" w14:textId="5D7D0F4F" w:rsidR="00A96B53" w:rsidRPr="000939E3" w:rsidRDefault="00A96B53" w:rsidP="00A96B53">
            <w:pPr>
              <w:spacing w:after="0" w:line="240" w:lineRule="auto"/>
              <w:jc w:val="right"/>
              <w:rPr>
                <w:color w:val="000000"/>
              </w:rPr>
            </w:pPr>
            <w:r w:rsidRPr="000939E3">
              <w:rPr>
                <w:color w:val="000000"/>
              </w:rPr>
              <w:t>61%</w:t>
            </w:r>
          </w:p>
        </w:tc>
      </w:tr>
      <w:tr w:rsidR="00A96B53" w:rsidRPr="000939E3" w14:paraId="0668F2F3" w14:textId="77777777" w:rsidTr="006D1557">
        <w:trPr>
          <w:trHeight w:val="113"/>
        </w:trPr>
        <w:tc>
          <w:tcPr>
            <w:tcW w:w="2110" w:type="pct"/>
            <w:tcBorders>
              <w:top w:val="nil"/>
              <w:left w:val="nil"/>
              <w:bottom w:val="nil"/>
              <w:right w:val="nil"/>
            </w:tcBorders>
            <w:shd w:val="clear" w:color="auto" w:fill="auto"/>
            <w:noWrap/>
            <w:vAlign w:val="bottom"/>
            <w:hideMark/>
          </w:tcPr>
          <w:p w14:paraId="60371C08" w14:textId="2582D5D7" w:rsidR="00A96B53" w:rsidRPr="000939E3" w:rsidRDefault="00A96B53" w:rsidP="00A96B53">
            <w:pPr>
              <w:spacing w:after="0" w:line="240" w:lineRule="auto"/>
              <w:jc w:val="left"/>
              <w:rPr>
                <w:rFonts w:eastAsia="Times New Roman" w:cs="Times New Roman"/>
                <w:color w:val="000000"/>
                <w:lang w:eastAsia="sk-SK"/>
              </w:rPr>
            </w:pPr>
            <w:r w:rsidRPr="000939E3">
              <w:rPr>
                <w:color w:val="000000"/>
              </w:rPr>
              <w:t>ČD Cargo</w:t>
            </w:r>
          </w:p>
        </w:tc>
        <w:tc>
          <w:tcPr>
            <w:tcW w:w="684" w:type="pct"/>
            <w:tcBorders>
              <w:top w:val="nil"/>
              <w:left w:val="nil"/>
              <w:bottom w:val="nil"/>
              <w:right w:val="nil"/>
            </w:tcBorders>
            <w:shd w:val="clear" w:color="auto" w:fill="auto"/>
            <w:noWrap/>
            <w:vAlign w:val="center"/>
            <w:hideMark/>
          </w:tcPr>
          <w:p w14:paraId="3D3B4243" w14:textId="799E016C"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6 958</w:t>
            </w:r>
          </w:p>
        </w:tc>
        <w:tc>
          <w:tcPr>
            <w:tcW w:w="589" w:type="pct"/>
            <w:tcBorders>
              <w:top w:val="nil"/>
              <w:left w:val="nil"/>
              <w:bottom w:val="nil"/>
              <w:right w:val="nil"/>
            </w:tcBorders>
            <w:shd w:val="clear" w:color="auto" w:fill="auto"/>
            <w:noWrap/>
            <w:vAlign w:val="center"/>
            <w:hideMark/>
          </w:tcPr>
          <w:p w14:paraId="2569D8A3" w14:textId="2B470467"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172</w:t>
            </w:r>
          </w:p>
        </w:tc>
        <w:tc>
          <w:tcPr>
            <w:tcW w:w="440" w:type="pct"/>
            <w:tcBorders>
              <w:top w:val="nil"/>
              <w:left w:val="nil"/>
              <w:bottom w:val="nil"/>
              <w:right w:val="nil"/>
            </w:tcBorders>
            <w:shd w:val="clear" w:color="auto" w:fill="auto"/>
            <w:noWrap/>
            <w:vAlign w:val="center"/>
            <w:hideMark/>
          </w:tcPr>
          <w:p w14:paraId="68A8A5F3" w14:textId="0A990DC8"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433</w:t>
            </w:r>
          </w:p>
        </w:tc>
        <w:tc>
          <w:tcPr>
            <w:tcW w:w="589" w:type="pct"/>
            <w:tcBorders>
              <w:top w:val="nil"/>
              <w:left w:val="nil"/>
              <w:bottom w:val="nil"/>
              <w:right w:val="nil"/>
            </w:tcBorders>
            <w:shd w:val="clear" w:color="auto" w:fill="auto"/>
            <w:noWrap/>
            <w:vAlign w:val="center"/>
            <w:hideMark/>
          </w:tcPr>
          <w:p w14:paraId="28F35915" w14:textId="5611D62A"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442</w:t>
            </w:r>
          </w:p>
        </w:tc>
        <w:tc>
          <w:tcPr>
            <w:tcW w:w="588" w:type="pct"/>
            <w:tcBorders>
              <w:top w:val="nil"/>
              <w:left w:val="nil"/>
              <w:bottom w:val="nil"/>
              <w:right w:val="nil"/>
            </w:tcBorders>
            <w:vAlign w:val="center"/>
          </w:tcPr>
          <w:p w14:paraId="1AAD537F" w14:textId="33A70F0E" w:rsidR="00A96B53" w:rsidRPr="000939E3" w:rsidRDefault="00A96B53" w:rsidP="00A96B53">
            <w:pPr>
              <w:spacing w:after="0" w:line="240" w:lineRule="auto"/>
              <w:jc w:val="right"/>
              <w:rPr>
                <w:color w:val="000000"/>
              </w:rPr>
            </w:pPr>
            <w:r w:rsidRPr="000939E3">
              <w:rPr>
                <w:color w:val="000000"/>
              </w:rPr>
              <w:t>39%</w:t>
            </w:r>
          </w:p>
        </w:tc>
      </w:tr>
      <w:tr w:rsidR="00A96B53" w:rsidRPr="000939E3" w14:paraId="11D6A6C6" w14:textId="77777777" w:rsidTr="006D1557">
        <w:trPr>
          <w:trHeight w:val="113"/>
        </w:trPr>
        <w:tc>
          <w:tcPr>
            <w:tcW w:w="2110" w:type="pct"/>
            <w:tcBorders>
              <w:top w:val="nil"/>
              <w:left w:val="nil"/>
              <w:bottom w:val="nil"/>
              <w:right w:val="nil"/>
            </w:tcBorders>
            <w:shd w:val="clear" w:color="auto" w:fill="auto"/>
            <w:noWrap/>
            <w:vAlign w:val="bottom"/>
            <w:hideMark/>
          </w:tcPr>
          <w:p w14:paraId="033D1685" w14:textId="20EB2145" w:rsidR="00A96B53" w:rsidRPr="000939E3" w:rsidRDefault="00A96B53" w:rsidP="00A96B53">
            <w:pPr>
              <w:spacing w:after="0" w:line="240" w:lineRule="auto"/>
              <w:jc w:val="left"/>
              <w:rPr>
                <w:rFonts w:eastAsia="Times New Roman" w:cs="Times New Roman"/>
                <w:color w:val="000000"/>
                <w:lang w:eastAsia="sk-SK"/>
              </w:rPr>
            </w:pPr>
            <w:r w:rsidRPr="000939E3">
              <w:rPr>
                <w:color w:val="000000"/>
              </w:rPr>
              <w:t>ČD osobné</w:t>
            </w:r>
          </w:p>
        </w:tc>
        <w:tc>
          <w:tcPr>
            <w:tcW w:w="684" w:type="pct"/>
            <w:tcBorders>
              <w:top w:val="nil"/>
              <w:left w:val="nil"/>
              <w:bottom w:val="nil"/>
              <w:right w:val="nil"/>
            </w:tcBorders>
            <w:shd w:val="clear" w:color="auto" w:fill="auto"/>
            <w:noWrap/>
            <w:vAlign w:val="center"/>
            <w:hideMark/>
          </w:tcPr>
          <w:p w14:paraId="59958F4F" w14:textId="253B7A48"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14 592</w:t>
            </w:r>
          </w:p>
        </w:tc>
        <w:tc>
          <w:tcPr>
            <w:tcW w:w="589" w:type="pct"/>
            <w:tcBorders>
              <w:top w:val="nil"/>
              <w:left w:val="nil"/>
              <w:bottom w:val="nil"/>
              <w:right w:val="nil"/>
            </w:tcBorders>
            <w:shd w:val="clear" w:color="auto" w:fill="auto"/>
            <w:noWrap/>
            <w:vAlign w:val="center"/>
            <w:hideMark/>
          </w:tcPr>
          <w:p w14:paraId="59A79CDF" w14:textId="1CEE89C6"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347</w:t>
            </w:r>
          </w:p>
        </w:tc>
        <w:tc>
          <w:tcPr>
            <w:tcW w:w="440" w:type="pct"/>
            <w:tcBorders>
              <w:top w:val="nil"/>
              <w:left w:val="nil"/>
              <w:bottom w:val="nil"/>
              <w:right w:val="nil"/>
            </w:tcBorders>
            <w:shd w:val="clear" w:color="auto" w:fill="auto"/>
            <w:noWrap/>
            <w:vAlign w:val="center"/>
            <w:hideMark/>
          </w:tcPr>
          <w:p w14:paraId="0E39F952" w14:textId="4CC47E8E"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721</w:t>
            </w:r>
          </w:p>
        </w:tc>
        <w:tc>
          <w:tcPr>
            <w:tcW w:w="589" w:type="pct"/>
            <w:tcBorders>
              <w:top w:val="nil"/>
              <w:left w:val="nil"/>
              <w:bottom w:val="nil"/>
              <w:right w:val="nil"/>
            </w:tcBorders>
            <w:shd w:val="clear" w:color="auto" w:fill="auto"/>
            <w:noWrap/>
            <w:vAlign w:val="center"/>
            <w:hideMark/>
          </w:tcPr>
          <w:p w14:paraId="611E7E40" w14:textId="63F7ACC3"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901</w:t>
            </w:r>
          </w:p>
        </w:tc>
        <w:tc>
          <w:tcPr>
            <w:tcW w:w="588" w:type="pct"/>
            <w:tcBorders>
              <w:top w:val="nil"/>
              <w:left w:val="nil"/>
              <w:bottom w:val="nil"/>
              <w:right w:val="nil"/>
            </w:tcBorders>
            <w:vAlign w:val="center"/>
          </w:tcPr>
          <w:p w14:paraId="69DE57AE" w14:textId="685BC387" w:rsidR="00A96B53" w:rsidRPr="000939E3" w:rsidRDefault="00A96B53" w:rsidP="00A96B53">
            <w:pPr>
              <w:spacing w:after="0" w:line="240" w:lineRule="auto"/>
              <w:jc w:val="right"/>
              <w:rPr>
                <w:color w:val="000000"/>
              </w:rPr>
            </w:pPr>
            <w:r w:rsidRPr="000939E3">
              <w:rPr>
                <w:color w:val="000000"/>
              </w:rPr>
              <w:t>39%</w:t>
            </w:r>
          </w:p>
        </w:tc>
      </w:tr>
      <w:tr w:rsidR="00A96B53" w:rsidRPr="000939E3" w14:paraId="5DC12350" w14:textId="77777777" w:rsidTr="006D1557">
        <w:trPr>
          <w:trHeight w:val="113"/>
        </w:trPr>
        <w:tc>
          <w:tcPr>
            <w:tcW w:w="2110" w:type="pct"/>
            <w:tcBorders>
              <w:top w:val="nil"/>
              <w:left w:val="nil"/>
              <w:bottom w:val="single" w:sz="4" w:space="0" w:color="auto"/>
              <w:right w:val="nil"/>
            </w:tcBorders>
            <w:shd w:val="clear" w:color="auto" w:fill="auto"/>
            <w:noWrap/>
            <w:vAlign w:val="bottom"/>
            <w:hideMark/>
          </w:tcPr>
          <w:p w14:paraId="72C8B75E" w14:textId="0A2930E5" w:rsidR="00A96B53" w:rsidRPr="000939E3" w:rsidRDefault="00A96B53" w:rsidP="00A96B53">
            <w:pPr>
              <w:spacing w:after="0" w:line="240" w:lineRule="auto"/>
              <w:jc w:val="left"/>
              <w:rPr>
                <w:rFonts w:eastAsia="Times New Roman" w:cs="Times New Roman"/>
                <w:color w:val="000000"/>
                <w:lang w:eastAsia="sk-SK"/>
              </w:rPr>
            </w:pPr>
            <w:r w:rsidRPr="000939E3">
              <w:rPr>
                <w:color w:val="000000"/>
              </w:rPr>
              <w:t>Česká správa sociálního zabezpečení</w:t>
            </w:r>
          </w:p>
        </w:tc>
        <w:tc>
          <w:tcPr>
            <w:tcW w:w="684" w:type="pct"/>
            <w:tcBorders>
              <w:top w:val="nil"/>
              <w:left w:val="nil"/>
              <w:bottom w:val="single" w:sz="4" w:space="0" w:color="auto"/>
              <w:right w:val="nil"/>
            </w:tcBorders>
            <w:shd w:val="clear" w:color="auto" w:fill="auto"/>
            <w:noWrap/>
            <w:vAlign w:val="center"/>
            <w:hideMark/>
          </w:tcPr>
          <w:p w14:paraId="192F8F41" w14:textId="2F32B00C"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8 721</w:t>
            </w:r>
          </w:p>
        </w:tc>
        <w:tc>
          <w:tcPr>
            <w:tcW w:w="589" w:type="pct"/>
            <w:tcBorders>
              <w:top w:val="nil"/>
              <w:left w:val="nil"/>
              <w:bottom w:val="single" w:sz="4" w:space="0" w:color="auto"/>
              <w:right w:val="nil"/>
            </w:tcBorders>
            <w:shd w:val="clear" w:color="auto" w:fill="auto"/>
            <w:noWrap/>
            <w:vAlign w:val="center"/>
            <w:hideMark/>
          </w:tcPr>
          <w:p w14:paraId="50977F10" w14:textId="673FAEC4"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120</w:t>
            </w:r>
          </w:p>
        </w:tc>
        <w:tc>
          <w:tcPr>
            <w:tcW w:w="440" w:type="pct"/>
            <w:tcBorders>
              <w:top w:val="nil"/>
              <w:left w:val="nil"/>
              <w:bottom w:val="single" w:sz="4" w:space="0" w:color="auto"/>
              <w:right w:val="nil"/>
            </w:tcBorders>
            <w:shd w:val="clear" w:color="auto" w:fill="auto"/>
            <w:noWrap/>
            <w:vAlign w:val="center"/>
            <w:hideMark/>
          </w:tcPr>
          <w:p w14:paraId="5EF26978" w14:textId="270E2B1D"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233</w:t>
            </w:r>
          </w:p>
        </w:tc>
        <w:tc>
          <w:tcPr>
            <w:tcW w:w="589" w:type="pct"/>
            <w:tcBorders>
              <w:top w:val="nil"/>
              <w:left w:val="nil"/>
              <w:bottom w:val="single" w:sz="4" w:space="0" w:color="auto"/>
              <w:right w:val="nil"/>
            </w:tcBorders>
            <w:shd w:val="clear" w:color="auto" w:fill="auto"/>
            <w:noWrap/>
            <w:vAlign w:val="center"/>
            <w:hideMark/>
          </w:tcPr>
          <w:p w14:paraId="14C50693" w14:textId="315D704B" w:rsidR="00A96B53" w:rsidRPr="000939E3" w:rsidRDefault="00A96B53" w:rsidP="00A96B53">
            <w:pPr>
              <w:spacing w:after="0" w:line="240" w:lineRule="auto"/>
              <w:jc w:val="right"/>
              <w:rPr>
                <w:rFonts w:eastAsia="Times New Roman" w:cs="Times New Roman"/>
                <w:color w:val="000000"/>
                <w:lang w:eastAsia="sk-SK"/>
              </w:rPr>
            </w:pPr>
            <w:r w:rsidRPr="000939E3">
              <w:rPr>
                <w:color w:val="000000"/>
              </w:rPr>
              <w:t>244</w:t>
            </w:r>
          </w:p>
        </w:tc>
        <w:tc>
          <w:tcPr>
            <w:tcW w:w="588" w:type="pct"/>
            <w:tcBorders>
              <w:top w:val="nil"/>
              <w:left w:val="nil"/>
              <w:bottom w:val="single" w:sz="4" w:space="0" w:color="auto"/>
              <w:right w:val="nil"/>
            </w:tcBorders>
            <w:vAlign w:val="center"/>
          </w:tcPr>
          <w:p w14:paraId="6599F10B" w14:textId="4FE09B5C" w:rsidR="00A96B53" w:rsidRPr="000939E3" w:rsidRDefault="00A96B53" w:rsidP="00A96B53">
            <w:pPr>
              <w:spacing w:after="0" w:line="240" w:lineRule="auto"/>
              <w:jc w:val="right"/>
              <w:rPr>
                <w:color w:val="000000"/>
              </w:rPr>
            </w:pPr>
            <w:r w:rsidRPr="000939E3">
              <w:rPr>
                <w:color w:val="000000"/>
              </w:rPr>
              <w:t>49%</w:t>
            </w:r>
          </w:p>
        </w:tc>
      </w:tr>
      <w:tr w:rsidR="00A30CFB" w:rsidRPr="000939E3" w14:paraId="3156461C" w14:textId="77777777" w:rsidTr="006D1557">
        <w:trPr>
          <w:trHeight w:val="113"/>
        </w:trPr>
        <w:tc>
          <w:tcPr>
            <w:tcW w:w="2110" w:type="pct"/>
            <w:tcBorders>
              <w:top w:val="single" w:sz="4" w:space="0" w:color="auto"/>
              <w:left w:val="nil"/>
              <w:right w:val="nil"/>
            </w:tcBorders>
            <w:shd w:val="clear" w:color="auto" w:fill="auto"/>
            <w:noWrap/>
            <w:vAlign w:val="bottom"/>
          </w:tcPr>
          <w:p w14:paraId="5574989E" w14:textId="77777777" w:rsidR="00A30CFB" w:rsidRPr="000939E3" w:rsidRDefault="00A30CFB" w:rsidP="006D1557">
            <w:pPr>
              <w:spacing w:after="0" w:line="240" w:lineRule="auto"/>
              <w:jc w:val="left"/>
              <w:rPr>
                <w:rFonts w:eastAsia="Times New Roman" w:cs="Times New Roman"/>
                <w:color w:val="000000"/>
                <w:lang w:eastAsia="sk-SK"/>
              </w:rPr>
            </w:pPr>
          </w:p>
        </w:tc>
        <w:tc>
          <w:tcPr>
            <w:tcW w:w="684" w:type="pct"/>
            <w:tcBorders>
              <w:top w:val="single" w:sz="4" w:space="0" w:color="auto"/>
              <w:left w:val="nil"/>
              <w:right w:val="nil"/>
            </w:tcBorders>
            <w:shd w:val="clear" w:color="auto" w:fill="auto"/>
            <w:noWrap/>
            <w:vAlign w:val="bottom"/>
          </w:tcPr>
          <w:p w14:paraId="750FB618" w14:textId="77777777" w:rsidR="00A30CFB" w:rsidRPr="000939E3" w:rsidRDefault="00A30CFB" w:rsidP="006D1557">
            <w:pPr>
              <w:spacing w:after="0" w:line="240" w:lineRule="auto"/>
              <w:jc w:val="right"/>
              <w:rPr>
                <w:rFonts w:eastAsia="Times New Roman" w:cs="Times New Roman"/>
                <w:color w:val="000000"/>
                <w:lang w:eastAsia="sk-SK"/>
              </w:rPr>
            </w:pPr>
          </w:p>
        </w:tc>
        <w:tc>
          <w:tcPr>
            <w:tcW w:w="2206" w:type="pct"/>
            <w:gridSpan w:val="4"/>
            <w:tcBorders>
              <w:top w:val="single" w:sz="4" w:space="0" w:color="auto"/>
              <w:left w:val="nil"/>
              <w:right w:val="nil"/>
            </w:tcBorders>
            <w:shd w:val="clear" w:color="auto" w:fill="auto"/>
            <w:noWrap/>
          </w:tcPr>
          <w:p w14:paraId="76C9A89B" w14:textId="77777777" w:rsidR="00A30CFB" w:rsidRPr="000939E3" w:rsidRDefault="00A30CFB" w:rsidP="006D1557">
            <w:pPr>
              <w:spacing w:after="0" w:line="240" w:lineRule="auto"/>
              <w:jc w:val="right"/>
              <w:rPr>
                <w:i/>
                <w:noProof/>
                <w:sz w:val="18"/>
                <w:lang w:eastAsia="sk-SK"/>
              </w:rPr>
            </w:pPr>
            <w:r w:rsidRPr="000939E3">
              <w:rPr>
                <w:i/>
                <w:noProof/>
                <w:sz w:val="18"/>
                <w:lang w:eastAsia="sk-SK"/>
              </w:rPr>
              <w:t>Zdroj: ÚHP, výročné správy spoločností</w:t>
            </w:r>
          </w:p>
        </w:tc>
      </w:tr>
    </w:tbl>
    <w:p w14:paraId="43ADAA63" w14:textId="77777777" w:rsidR="00A30CFB" w:rsidRPr="000939E3" w:rsidRDefault="00A30CFB">
      <w:pPr>
        <w:spacing w:after="160" w:line="259" w:lineRule="auto"/>
        <w:jc w:val="left"/>
        <w:sectPr w:rsidR="00A30CFB" w:rsidRPr="000939E3" w:rsidSect="00626763">
          <w:pgSz w:w="11906" w:h="16838"/>
          <w:pgMar w:top="1418" w:right="1418" w:bottom="1418" w:left="1418" w:header="709" w:footer="709" w:gutter="0"/>
          <w:cols w:space="708"/>
          <w:docGrid w:linePitch="360"/>
        </w:sectPr>
      </w:pPr>
    </w:p>
    <w:p w14:paraId="203851E9" w14:textId="73ADE5CF" w:rsidR="00F5612D" w:rsidRPr="000939E3" w:rsidRDefault="002072B4" w:rsidP="002072B4">
      <w:pPr>
        <w:pStyle w:val="Nadpis1"/>
      </w:pPr>
      <w:bookmarkStart w:id="334" w:name="_Toc34050715"/>
      <w:r w:rsidRPr="000939E3">
        <w:t>Použitá literatúra</w:t>
      </w:r>
      <w:bookmarkEnd w:id="334"/>
    </w:p>
    <w:p w14:paraId="3F9184A3" w14:textId="77777777" w:rsidR="00736480" w:rsidRPr="000939E3" w:rsidRDefault="00736480" w:rsidP="00736480">
      <w:pPr>
        <w:rPr>
          <w:i/>
        </w:rPr>
      </w:pPr>
      <w:r w:rsidRPr="000939E3">
        <w:t xml:space="preserve">ARMSTRONG, M. 2009. </w:t>
      </w:r>
      <w:r w:rsidRPr="000939E3">
        <w:rPr>
          <w:i/>
        </w:rPr>
        <w:t>Odměňovaní pracovníků</w:t>
      </w:r>
      <w:r w:rsidRPr="000939E3">
        <w:t>. Praha : Grada Publishing</w:t>
      </w:r>
      <w:r w:rsidRPr="000939E3">
        <w:rPr>
          <w:i/>
        </w:rPr>
        <w:t xml:space="preserve"> </w:t>
      </w:r>
    </w:p>
    <w:p w14:paraId="4C9A3B6E" w14:textId="77777777" w:rsidR="00736480" w:rsidRPr="000939E3" w:rsidRDefault="00736480" w:rsidP="00736480">
      <w:r w:rsidRPr="000939E3">
        <w:t xml:space="preserve">BACH, S., BORDOGNA, L. 2016. </w:t>
      </w:r>
      <w:r w:rsidRPr="000939E3">
        <w:rPr>
          <w:i/>
        </w:rPr>
        <w:t>Public Service Management and Employment Relations in Europe.</w:t>
      </w:r>
      <w:r w:rsidRPr="000939E3">
        <w:t xml:space="preserve"> ROUTLEGE.</w:t>
      </w:r>
    </w:p>
    <w:p w14:paraId="1C1BC244" w14:textId="77777777" w:rsidR="009B6F2B" w:rsidRPr="000939E3" w:rsidRDefault="00D6059C" w:rsidP="00736480">
      <w:pPr>
        <w:rPr>
          <w:lang w:val="en-GB"/>
        </w:rPr>
      </w:pPr>
      <w:r w:rsidRPr="000939E3">
        <w:t>Burgess.S., Gossage.D, Propper.C. 2003.</w:t>
      </w:r>
      <w:r w:rsidRPr="000939E3">
        <w:rPr>
          <w:lang w:val="en-GB"/>
        </w:rPr>
        <w:t xml:space="preserve"> </w:t>
      </w:r>
      <w:r w:rsidRPr="000939E3">
        <w:rPr>
          <w:i/>
        </w:rPr>
        <w:t>Explaining Differences in Hospital Performance: Does the answer lie in the labour market?</w:t>
      </w:r>
      <w:r w:rsidRPr="000939E3">
        <w:rPr>
          <w:i/>
          <w:iCs/>
          <w:lang w:val="en-GB"/>
        </w:rPr>
        <w:t xml:space="preserve"> </w:t>
      </w:r>
      <w:r w:rsidRPr="000939E3">
        <w:rPr>
          <w:lang w:val="en-GB"/>
        </w:rPr>
        <w:t xml:space="preserve">CMPO (Working Paper Series No. 03/091). Dostupné online: </w:t>
      </w:r>
      <w:hyperlink r:id="rId86" w:history="1">
        <w:r w:rsidRPr="000939E3">
          <w:rPr>
            <w:rStyle w:val="Hypertextovprepojenie"/>
            <w:lang w:val="en-GB"/>
          </w:rPr>
          <w:t>http://www.bristol.ac.uk/cmpo/ publications/papers/2003/wp91.pdf</w:t>
        </w:r>
      </w:hyperlink>
      <w:r w:rsidRPr="000939E3">
        <w:rPr>
          <w:lang w:val="en-GB"/>
        </w:rPr>
        <w:t xml:space="preserve">. </w:t>
      </w:r>
    </w:p>
    <w:p w14:paraId="53E6B91C" w14:textId="6FF879D3" w:rsidR="00736480" w:rsidRPr="000939E3" w:rsidRDefault="00736480" w:rsidP="00736480">
      <w:r w:rsidRPr="000939E3">
        <w:t xml:space="preserve">ČESKÁ REPUBLIKA, 2018. </w:t>
      </w:r>
      <w:r w:rsidRPr="000939E3">
        <w:rPr>
          <w:i/>
        </w:rPr>
        <w:t>Vládní návrh zákona o státním rozpočtu České republiky na rok 2019. Zpráva ke státnímu rozpočtu České republiky na rok 2019</w:t>
      </w:r>
      <w:r w:rsidRPr="000939E3">
        <w:t xml:space="preserve">. Dostupné online: </w:t>
      </w:r>
      <w:hyperlink r:id="rId87" w:history="1">
        <w:r w:rsidRPr="000939E3">
          <w:rPr>
            <w:rStyle w:val="Hypertextovprepojenie"/>
          </w:rPr>
          <w:t>https://www.psp.cz/sqw/text</w:t>
        </w:r>
        <w:r w:rsidRPr="000939E3">
          <w:rPr>
            <w:rStyle w:val="Hypertextovprepojenie"/>
          </w:rPr>
          <w:br/>
          <w:t>/orig2.sqw?idd=138427</w:t>
        </w:r>
      </w:hyperlink>
    </w:p>
    <w:p w14:paraId="55585251" w14:textId="77777777" w:rsidR="00736480" w:rsidRPr="000939E3" w:rsidRDefault="00736480" w:rsidP="00736480">
      <w:r w:rsidRPr="000939E3">
        <w:t xml:space="preserve">ČSÚ, 2018. </w:t>
      </w:r>
      <w:r w:rsidRPr="000939E3">
        <w:rPr>
          <w:i/>
        </w:rPr>
        <w:t>Struktura mezd zaměstnanců - 2017</w:t>
      </w:r>
      <w:r w:rsidRPr="000939E3">
        <w:t xml:space="preserve">. Praha : Český statistický úřad. Dostupné online: </w:t>
      </w:r>
      <w:hyperlink r:id="rId88" w:history="1">
        <w:r w:rsidRPr="000939E3">
          <w:rPr>
            <w:rStyle w:val="Hypertextovprepojenie"/>
          </w:rPr>
          <w:t>https://www.czso.cz/csu/czso/struktura-mezd-zamestnancu-2017</w:t>
        </w:r>
      </w:hyperlink>
      <w:r w:rsidRPr="000939E3">
        <w:t xml:space="preserve"> </w:t>
      </w:r>
    </w:p>
    <w:p w14:paraId="6E49080C" w14:textId="3EE9263F" w:rsidR="00B51BC6" w:rsidRPr="000939E3" w:rsidRDefault="00B51BC6" w:rsidP="00297115">
      <w:pPr>
        <w:rPr>
          <w:i/>
          <w:iCs/>
        </w:rPr>
      </w:pPr>
      <w:r w:rsidRPr="000939E3">
        <w:t xml:space="preserve">DELOITTE, 2015. </w:t>
      </w:r>
      <w:r w:rsidRPr="000939E3">
        <w:rPr>
          <w:i/>
          <w:iCs/>
        </w:rPr>
        <w:t xml:space="preserve">An examination </w:t>
      </w:r>
      <w:r w:rsidR="00820790" w:rsidRPr="000939E3">
        <w:rPr>
          <w:i/>
          <w:iCs/>
        </w:rPr>
        <w:t>of Shared Services in the Irish</w:t>
      </w:r>
      <w:r w:rsidRPr="000939E3">
        <w:rPr>
          <w:i/>
          <w:iCs/>
        </w:rPr>
        <w:t xml:space="preserve"> Public Service and Internationally.</w:t>
      </w:r>
    </w:p>
    <w:p w14:paraId="5B4A9A0F" w14:textId="19FF4919" w:rsidR="007D7FE2" w:rsidRPr="000939E3" w:rsidRDefault="007D7FE2" w:rsidP="00297115">
      <w:pPr>
        <w:rPr>
          <w:i/>
          <w:iCs/>
        </w:rPr>
      </w:pPr>
      <w:r w:rsidRPr="000939E3">
        <w:rPr>
          <w:i/>
          <w:iCs/>
        </w:rPr>
        <w:t xml:space="preserve">Európska komisia, 2019. </w:t>
      </w:r>
      <w:r w:rsidRPr="000939E3">
        <w:rPr>
          <w:i/>
        </w:rPr>
        <w:t xml:space="preserve">Country Report Slovakia 2019. </w:t>
      </w:r>
      <w:r w:rsidRPr="000939E3">
        <w:t xml:space="preserve">Brussels: European Commission. </w:t>
      </w:r>
      <w:r w:rsidRPr="000939E3">
        <w:rPr>
          <w:i/>
        </w:rPr>
        <w:t xml:space="preserve">Dostupné online: </w:t>
      </w:r>
      <w:hyperlink r:id="rId89" w:history="1">
        <w:r w:rsidRPr="000939E3">
          <w:rPr>
            <w:rStyle w:val="Hypertextovprepojenie"/>
          </w:rPr>
          <w:t>https://ec.europa.eu/info/sites/info/files/file_import/2019-european-semester-country-report-slovakia_en_0.pdf</w:t>
        </w:r>
      </w:hyperlink>
    </w:p>
    <w:p w14:paraId="3DDC4FAA" w14:textId="58050BD0" w:rsidR="002D6079" w:rsidRPr="000939E3" w:rsidRDefault="002D6079" w:rsidP="00297115">
      <w:pPr>
        <w:rPr>
          <w:i/>
          <w:iCs/>
        </w:rPr>
      </w:pPr>
      <w:r w:rsidRPr="000939E3">
        <w:rPr>
          <w:i/>
          <w:iCs/>
        </w:rPr>
        <w:t xml:space="preserve">FLODGREN et al., 2011. An overview of reviews evaluating the effectiveness of financial incentives in changing healthcare professional behaviours and patient outcomes. </w:t>
      </w:r>
    </w:p>
    <w:p w14:paraId="385AE3E3" w14:textId="77777777" w:rsidR="00736480" w:rsidRPr="000939E3" w:rsidRDefault="00736480" w:rsidP="00297115">
      <w:pPr>
        <w:rPr>
          <w:rFonts w:ascii="Calibri" w:hAnsi="Calibri"/>
        </w:rPr>
      </w:pPr>
      <w:r w:rsidRPr="000939E3">
        <w:t xml:space="preserve">GALIANI et al., 2002. Evaluating the Impact of School Decentralization on Educational Quality. In </w:t>
      </w:r>
      <w:r w:rsidRPr="000939E3">
        <w:rPr>
          <w:i/>
        </w:rPr>
        <w:t>Economía</w:t>
      </w:r>
      <w:r w:rsidRPr="000939E3">
        <w:t xml:space="preserve"> Vol. 2, No. 2.</w:t>
      </w:r>
    </w:p>
    <w:p w14:paraId="11E55BFA" w14:textId="77777777" w:rsidR="00736480" w:rsidRPr="000939E3" w:rsidRDefault="00736480" w:rsidP="00297115">
      <w:r w:rsidRPr="000939E3">
        <w:t xml:space="preserve">GILLIES, 2010. </w:t>
      </w:r>
      <w:r w:rsidRPr="000939E3">
        <w:rPr>
          <w:i/>
        </w:rPr>
        <w:t>The power of persistence, Education System Reform and Aid Effectiveness, Case Studies in Long-Term Education Reform</w:t>
      </w:r>
      <w:r w:rsidRPr="000939E3">
        <w:t xml:space="preserve">. Washington : EQUIP. Dostupné online: </w:t>
      </w:r>
      <w:hyperlink r:id="rId90" w:history="1">
        <w:r w:rsidRPr="000939E3">
          <w:rPr>
            <w:rStyle w:val="Hypertextovprepojenie"/>
          </w:rPr>
          <w:t>http://www.equip123.net/docs/E2-Power_of_Persistence.pdf</w:t>
        </w:r>
      </w:hyperlink>
      <w:r w:rsidRPr="000939E3">
        <w:t>.</w:t>
      </w:r>
    </w:p>
    <w:p w14:paraId="53DDFA98" w14:textId="335491EF" w:rsidR="004C22B8" w:rsidRPr="000939E3" w:rsidRDefault="00736480" w:rsidP="004C22B8">
      <w:pPr>
        <w:autoSpaceDE w:val="0"/>
        <w:autoSpaceDN w:val="0"/>
        <w:adjustRightInd w:val="0"/>
        <w:rPr>
          <w:rFonts w:cs="SegoeUI"/>
        </w:rPr>
      </w:pPr>
      <w:r w:rsidRPr="000939E3">
        <w:rPr>
          <w:rFonts w:cs="SegoeUI"/>
        </w:rPr>
        <w:t xml:space="preserve">GONZALES, Ch., JAIN-CHANDRA, S., KOCHAR, K., NEWIAK, M., ZEINULLAYEV, T. 2015. </w:t>
      </w:r>
      <w:r w:rsidRPr="000939E3">
        <w:rPr>
          <w:rFonts w:cs="SegoeUI"/>
          <w:i/>
        </w:rPr>
        <w:t>Catalyst for Change: Empowering Women and Tackling Income Inequality</w:t>
      </w:r>
      <w:r w:rsidRPr="000939E3">
        <w:rPr>
          <w:rFonts w:cs="SegoeUI"/>
        </w:rPr>
        <w:t xml:space="preserve">. </w:t>
      </w:r>
      <w:r w:rsidRPr="000939E3">
        <w:rPr>
          <w:rFonts w:cs="SegoeUI"/>
          <w:i/>
        </w:rPr>
        <w:t>IMF Staff Discussion Note No. 15/20</w:t>
      </w:r>
      <w:r w:rsidRPr="000939E3">
        <w:rPr>
          <w:rFonts w:cs="SegoeUI"/>
        </w:rPr>
        <w:t xml:space="preserve"> . Washington: International Monetary Fund. Dostupné online: </w:t>
      </w:r>
      <w:hyperlink r:id="rId91" w:history="1">
        <w:r w:rsidRPr="000939E3">
          <w:rPr>
            <w:rStyle w:val="Hypertextovprepojenie"/>
            <w:rFonts w:cs="SegoeUI"/>
          </w:rPr>
          <w:t>http://www.imf.org/external/pubs/ft/sdn/2015/sdn1520.pdf</w:t>
        </w:r>
      </w:hyperlink>
      <w:r w:rsidR="004C22B8" w:rsidRPr="000939E3">
        <w:rPr>
          <w:rFonts w:cs="SegoeUI"/>
        </w:rPr>
        <w:t>.</w:t>
      </w:r>
    </w:p>
    <w:p w14:paraId="1FDC2DEF" w14:textId="2D8B9BF5" w:rsidR="004C22B8" w:rsidRPr="000939E3" w:rsidRDefault="004C22B8" w:rsidP="009B6F2B">
      <w:pPr>
        <w:pStyle w:val="Textpoznmkypodiarou"/>
        <w:spacing w:after="240" w:line="276" w:lineRule="auto"/>
        <w:rPr>
          <w:sz w:val="22"/>
          <w:lang w:val="de-DE"/>
        </w:rPr>
      </w:pPr>
      <w:r w:rsidRPr="000939E3">
        <w:rPr>
          <w:sz w:val="22"/>
          <w:lang w:val="en-GB"/>
        </w:rPr>
        <w:t xml:space="preserve">Hall.E., Propper.C. and Van Reenen.J. 2008. </w:t>
      </w:r>
      <w:r w:rsidRPr="000939E3">
        <w:rPr>
          <w:i/>
          <w:iCs/>
          <w:sz w:val="22"/>
          <w:lang w:val="en-GB"/>
        </w:rPr>
        <w:t>Can Pay Regulation Kill? Panel Data Evidence on the Effect of Labor Markets on Hospital Performance</w:t>
      </w:r>
      <w:r w:rsidRPr="000939E3">
        <w:rPr>
          <w:i/>
          <w:sz w:val="22"/>
          <w:lang w:val="en-GB"/>
        </w:rPr>
        <w:t>,</w:t>
      </w:r>
      <w:r w:rsidRPr="000939E3">
        <w:rPr>
          <w:sz w:val="22"/>
          <w:lang w:val="en-GB"/>
        </w:rPr>
        <w:t xml:space="preserve"> Centre for Economic Performance (Discussion Paper No 843). </w:t>
      </w:r>
      <w:r w:rsidRPr="000939E3">
        <w:rPr>
          <w:sz w:val="22"/>
          <w:lang w:val="de-DE"/>
        </w:rPr>
        <w:t xml:space="preserve">Dostupné online: </w:t>
      </w:r>
      <w:hyperlink r:id="rId92" w:history="1">
        <w:r w:rsidRPr="000939E3">
          <w:rPr>
            <w:rStyle w:val="Hypertextovprepojenie"/>
            <w:sz w:val="22"/>
            <w:lang w:val="de-DE"/>
          </w:rPr>
          <w:t>http://cep.lse.ac.uk/pubs/download/dp0843.pdf</w:t>
        </w:r>
      </w:hyperlink>
      <w:r w:rsidR="009B6F2B" w:rsidRPr="000939E3">
        <w:rPr>
          <w:rStyle w:val="Hypertextovprepojenie"/>
          <w:sz w:val="22"/>
          <w:lang w:val="de-DE"/>
        </w:rPr>
        <w:t>.</w:t>
      </w:r>
      <w:r w:rsidRPr="000939E3">
        <w:rPr>
          <w:sz w:val="22"/>
          <w:lang w:val="de-DE"/>
        </w:rPr>
        <w:t xml:space="preserve"> </w:t>
      </w:r>
    </w:p>
    <w:p w14:paraId="348BED63" w14:textId="77777777" w:rsidR="00736480" w:rsidRPr="000939E3" w:rsidRDefault="00736480" w:rsidP="00736480">
      <w:r w:rsidRPr="000939E3">
        <w:t xml:space="preserve">IEP, ÚHP. 2017. </w:t>
      </w:r>
      <w:r w:rsidRPr="000939E3">
        <w:rPr>
          <w:i/>
        </w:rPr>
        <w:t>Revízia výdavkov na životné prostredie. Záverečná správa.</w:t>
      </w:r>
      <w:r w:rsidRPr="000939E3">
        <w:t xml:space="preserve"> Bratislava : Ministerstvo financií SR. Dostupné online: </w:t>
      </w:r>
      <w:hyperlink r:id="rId93" w:history="1">
        <w:r w:rsidRPr="000939E3">
          <w:rPr>
            <w:rStyle w:val="Hypertextovprepojenie"/>
          </w:rPr>
          <w:t>https://goo.gl/oCxtGh</w:t>
        </w:r>
      </w:hyperlink>
      <w:r w:rsidRPr="000939E3">
        <w:t>.</w:t>
      </w:r>
    </w:p>
    <w:p w14:paraId="710E7039" w14:textId="56A04825" w:rsidR="008705B3" w:rsidRPr="000939E3" w:rsidRDefault="008705B3" w:rsidP="00736480">
      <w:r w:rsidRPr="000939E3">
        <w:t xml:space="preserve">IFP, 2012. Málo zdravia za veľa peňazí: Analýza efektívnosti slovenského zdravotníctva, dostupné online: </w:t>
      </w:r>
      <w:hyperlink r:id="rId94" w:history="1">
        <w:r w:rsidRPr="000939E3">
          <w:rPr>
            <w:rStyle w:val="Hypertextovprepojenie"/>
          </w:rPr>
          <w:t>https://www.finance.gov.sk/sk/financie/institut-financnej-politiky/publikacie-ifp/ekonomicke-analyzy/28-malo-zdravia-za-vela-penazi-analyza-efektivnosti-slovenskeho-zdravotnictva-december-2012.html</w:t>
        </w:r>
      </w:hyperlink>
    </w:p>
    <w:p w14:paraId="771EB82B" w14:textId="77777777" w:rsidR="00736480" w:rsidRPr="000939E3" w:rsidRDefault="00736480" w:rsidP="00736480">
      <w:r w:rsidRPr="000939E3">
        <w:t xml:space="preserve">IFP, 2017. </w:t>
      </w:r>
      <w:r w:rsidRPr="000939E3">
        <w:rPr>
          <w:i/>
        </w:rPr>
        <w:t>Skrytý poklad v samospráve: Alternatívne možnosti sústredenia výkonu správy v samosprávach</w:t>
      </w:r>
      <w:r w:rsidRPr="000939E3">
        <w:t xml:space="preserve">. Bratislava: Ministerstvo financií SR. Dostupné online: </w:t>
      </w:r>
      <w:hyperlink r:id="rId95" w:history="1">
        <w:r w:rsidRPr="000939E3">
          <w:rPr>
            <w:rStyle w:val="Hypertextovprepojenie"/>
          </w:rPr>
          <w:t>http://www.finance.gov.sk/Default.aspx?CatID=11457</w:t>
        </w:r>
      </w:hyperlink>
      <w:r w:rsidRPr="000939E3">
        <w:t xml:space="preserve"> </w:t>
      </w:r>
    </w:p>
    <w:p w14:paraId="708C3537" w14:textId="77777777" w:rsidR="00736480" w:rsidRPr="000939E3" w:rsidRDefault="00736480" w:rsidP="00144B79">
      <w:r w:rsidRPr="000939E3">
        <w:t xml:space="preserve">IJ, 2018. </w:t>
      </w:r>
      <w:r w:rsidRPr="000939E3">
        <w:rPr>
          <w:i/>
        </w:rPr>
        <w:t>Priebežná implementačná správa 2018: Zdravotníctvo, doprava, informatizácia, vzdelávanie, životné prostredie, trh práce a sociálne politiky</w:t>
      </w:r>
      <w:r w:rsidRPr="000939E3">
        <w:t xml:space="preserve">. Bratislava : Úrad vlády SR. Dostupné online: </w:t>
      </w:r>
      <w:hyperlink r:id="rId96" w:history="1">
        <w:r w:rsidRPr="000939E3">
          <w:rPr>
            <w:rStyle w:val="Hypertextovprepojenie"/>
          </w:rPr>
          <w:t>https://www.vlada.</w:t>
        </w:r>
        <w:r w:rsidRPr="000939E3">
          <w:rPr>
            <w:rStyle w:val="Hypertextovprepojenie"/>
          </w:rPr>
          <w:br/>
          <w:t>gov.sk/data/files/7386_priebezna-implementacna-sprava-2018.pdf</w:t>
        </w:r>
      </w:hyperlink>
      <w:r w:rsidRPr="000939E3">
        <w:t xml:space="preserve">. </w:t>
      </w:r>
    </w:p>
    <w:p w14:paraId="58B3E5D5" w14:textId="37265372" w:rsidR="004D5307" w:rsidRPr="000939E3" w:rsidRDefault="004D5307" w:rsidP="00144B79">
      <w:r w:rsidRPr="000939E3">
        <w:t xml:space="preserve">IJ, 2019b. </w:t>
      </w:r>
      <w:r w:rsidRPr="000939E3">
        <w:rPr>
          <w:i/>
        </w:rPr>
        <w:t>Priebežná implementačná správa 2019: Zdravotníctvo, doprava, informatizácia, vzdelávanie, životné prostredie, trh práce a sociálne politiky</w:t>
      </w:r>
      <w:r w:rsidRPr="000939E3">
        <w:t xml:space="preserve">. Bratislava : Úrad vlády SR. Dostupné online: </w:t>
      </w:r>
      <w:hyperlink r:id="rId97" w:history="1">
        <w:r w:rsidRPr="000939E3">
          <w:rPr>
            <w:rStyle w:val="Hypertextovprepojenie"/>
          </w:rPr>
          <w:t>https://www.vlada.gov.sk/data/files/7635_priebezna-implementacna-sprava-2019-ij-uv-sr_final.pdf</w:t>
        </w:r>
      </w:hyperlink>
    </w:p>
    <w:p w14:paraId="0970DEE7" w14:textId="40C91647" w:rsidR="00CA2FD4" w:rsidRPr="000939E3" w:rsidRDefault="00CA2FD4" w:rsidP="00144B79">
      <w:r w:rsidRPr="000939E3">
        <w:t xml:space="preserve">IJ, 2019. </w:t>
      </w:r>
      <w:r w:rsidRPr="000939E3">
        <w:rPr>
          <w:i/>
        </w:rPr>
        <w:t>Súhrnná implementačná správa 2018: Zdravotníctvo, doprava, informatizácia, vzdelávanie, životné prostredie, trh práce a sociálne politiky</w:t>
      </w:r>
      <w:r w:rsidRPr="000939E3">
        <w:t xml:space="preserve">. Bratislava : Úrad vlády SR. </w:t>
      </w:r>
    </w:p>
    <w:p w14:paraId="4DE278E3" w14:textId="77777777" w:rsidR="00736480" w:rsidRPr="000939E3" w:rsidRDefault="00736480" w:rsidP="00736480">
      <w:pPr>
        <w:autoSpaceDE w:val="0"/>
        <w:autoSpaceDN w:val="0"/>
        <w:adjustRightInd w:val="0"/>
        <w:spacing w:line="240" w:lineRule="auto"/>
      </w:pPr>
      <w:r w:rsidRPr="000939E3">
        <w:t xml:space="preserve">ILO. </w:t>
      </w:r>
      <w:r w:rsidRPr="000939E3">
        <w:rPr>
          <w:i/>
        </w:rPr>
        <w:t>International Standard Classification of Occupations</w:t>
      </w:r>
      <w:r w:rsidRPr="000939E3">
        <w:t xml:space="preserve">. Dostupné online: </w:t>
      </w:r>
      <w:hyperlink r:id="rId98" w:history="1">
        <w:r w:rsidRPr="000939E3">
          <w:rPr>
            <w:rStyle w:val="Hypertextovprepojenie"/>
          </w:rPr>
          <w:t>https://www.ilo.org/public/english/</w:t>
        </w:r>
        <w:r w:rsidRPr="000939E3">
          <w:rPr>
            <w:rStyle w:val="Hypertextovprepojenie"/>
          </w:rPr>
          <w:br/>
          <w:t>bureau/stat/isco/isco08/index.htm</w:t>
        </w:r>
      </w:hyperlink>
      <w:r w:rsidRPr="000939E3">
        <w:t xml:space="preserve"> </w:t>
      </w:r>
    </w:p>
    <w:p w14:paraId="04448AB0" w14:textId="77777777" w:rsidR="00736480" w:rsidRPr="000939E3" w:rsidRDefault="00736480" w:rsidP="00736480">
      <w:pPr>
        <w:autoSpaceDE w:val="0"/>
        <w:autoSpaceDN w:val="0"/>
        <w:adjustRightInd w:val="0"/>
        <w:spacing w:line="240" w:lineRule="auto"/>
      </w:pPr>
      <w:r w:rsidRPr="000939E3">
        <w:t xml:space="preserve">IMF, 2015. </w:t>
      </w:r>
      <w:r w:rsidRPr="000939E3">
        <w:rPr>
          <w:i/>
        </w:rPr>
        <w:t xml:space="preserve">Expenditure Reviews: Lessons from International Experience. </w:t>
      </w:r>
      <w:r w:rsidRPr="000939E3">
        <w:t xml:space="preserve">Dostupné online: </w:t>
      </w:r>
      <w:hyperlink r:id="rId99" w:history="1">
        <w:r w:rsidRPr="000939E3">
          <w:rPr>
            <w:rStyle w:val="Hypertextovprepojenie"/>
          </w:rPr>
          <w:t>http://www.mfsr.sk/</w:t>
        </w:r>
        <w:r w:rsidRPr="000939E3">
          <w:rPr>
            <w:rStyle w:val="Hypertextovprepojenie"/>
          </w:rPr>
          <w:br/>
          <w:t>Components/CategoryDocuments/s_LoadDocument.aspx?categoryId=11190&amp;documentId=14813</w:t>
        </w:r>
      </w:hyperlink>
      <w:r w:rsidRPr="000939E3">
        <w:t xml:space="preserve"> </w:t>
      </w:r>
    </w:p>
    <w:p w14:paraId="54893CD5" w14:textId="77777777" w:rsidR="00736480" w:rsidRPr="000939E3" w:rsidRDefault="00736480" w:rsidP="00736480">
      <w:r w:rsidRPr="000939E3">
        <w:t xml:space="preserve">IMF, 2016. </w:t>
      </w:r>
      <w:r w:rsidRPr="000939E3">
        <w:rPr>
          <w:i/>
        </w:rPr>
        <w:t>Managing Government Compensation and Employment—Institutions, Policies, and Reform Challenges</w:t>
      </w:r>
      <w:r w:rsidRPr="000939E3">
        <w:t xml:space="preserve">. Dostupné online: </w:t>
      </w:r>
      <w:hyperlink r:id="rId100" w:history="1">
        <w:r w:rsidRPr="000939E3">
          <w:rPr>
            <w:rStyle w:val="Hypertextovprepojenie"/>
          </w:rPr>
          <w:t>https://www.imf.org/en/Publications/Policy-Papers/Issues/2016/12/31/Managing-Government-Compensation-and-Employment-Institutions-Policies-and-Reform-Challenges-PP5044</w:t>
        </w:r>
      </w:hyperlink>
      <w:r w:rsidRPr="000939E3">
        <w:t xml:space="preserve"> </w:t>
      </w:r>
    </w:p>
    <w:p w14:paraId="2FEF8861" w14:textId="6BEE3052" w:rsidR="00736480" w:rsidRPr="000939E3" w:rsidRDefault="00736480" w:rsidP="00736480">
      <w:pPr>
        <w:autoSpaceDE w:val="0"/>
        <w:autoSpaceDN w:val="0"/>
        <w:adjustRightInd w:val="0"/>
        <w:spacing w:line="240" w:lineRule="auto"/>
        <w:rPr>
          <w:color w:val="1F497D"/>
        </w:rPr>
      </w:pPr>
      <w:r w:rsidRPr="000939E3">
        <w:t xml:space="preserve">IMF, EC, 2017. </w:t>
      </w:r>
      <w:r w:rsidRPr="000939E3">
        <w:rPr>
          <w:i/>
        </w:rPr>
        <w:t>Slovak Republic: Summary of Joint IMF/EC Technical Assistance Follow-up Mission in Support of Public Expenditure Review</w:t>
      </w:r>
      <w:r w:rsidRPr="000939E3">
        <w:t xml:space="preserve">. Dostupné online: </w:t>
      </w:r>
      <w:hyperlink r:id="rId101" w:history="1">
        <w:r w:rsidRPr="000939E3">
          <w:rPr>
            <w:rStyle w:val="Hypertextovprepojenie"/>
          </w:rPr>
          <w:t>https://goo.gl/dcV3fr</w:t>
        </w:r>
      </w:hyperlink>
      <w:r w:rsidRPr="000939E3">
        <w:rPr>
          <w:color w:val="1F497D"/>
        </w:rPr>
        <w:t>.</w:t>
      </w:r>
    </w:p>
    <w:p w14:paraId="134FB247" w14:textId="77777777" w:rsidR="00736480" w:rsidRPr="000939E3" w:rsidRDefault="00736480" w:rsidP="00736480">
      <w:r w:rsidRPr="000939E3">
        <w:t xml:space="preserve">IVP, 2016a. </w:t>
      </w:r>
      <w:r w:rsidRPr="000939E3">
        <w:rPr>
          <w:i/>
        </w:rPr>
        <w:t>Bez kreditov neodídem.</w:t>
      </w:r>
      <w:r w:rsidRPr="000939E3">
        <w:t xml:space="preserve"> Bratislava : Ministerstvo školstva, vedy, výskumu a športu SR. Dostupné online: </w:t>
      </w:r>
      <w:hyperlink r:id="rId102" w:history="1">
        <w:r w:rsidRPr="000939E3">
          <w:rPr>
            <w:rStyle w:val="Hypertextovprepojenie"/>
          </w:rPr>
          <w:t>https://www.minedu.sk/data/att/9665.pdf</w:t>
        </w:r>
      </w:hyperlink>
      <w:r w:rsidRPr="000939E3">
        <w:t>.</w:t>
      </w:r>
    </w:p>
    <w:p w14:paraId="73771ABE" w14:textId="77777777" w:rsidR="00736480" w:rsidRPr="000939E3" w:rsidRDefault="00736480" w:rsidP="00736480">
      <w:r w:rsidRPr="000939E3">
        <w:t xml:space="preserve">IVP, 2016b. </w:t>
      </w:r>
      <w:r w:rsidRPr="000939E3">
        <w:rPr>
          <w:i/>
        </w:rPr>
        <w:t>Možnosti racionalizácie siete škôl. Diskusná štúdia.</w:t>
      </w:r>
      <w:r w:rsidRPr="000939E3">
        <w:t xml:space="preserve"> Bratislava : Ministerstvo školstva, vedy, výskumu a športu SR. Dostupné online: </w:t>
      </w:r>
      <w:hyperlink r:id="rId103" w:history="1">
        <w:r w:rsidRPr="000939E3">
          <w:rPr>
            <w:rStyle w:val="Hypertextovprepojenie"/>
          </w:rPr>
          <w:t>https://www.minedu.sk/data/att/10293.pdf</w:t>
        </w:r>
      </w:hyperlink>
      <w:r w:rsidRPr="000939E3">
        <w:t>.</w:t>
      </w:r>
    </w:p>
    <w:p w14:paraId="3B49D9C5" w14:textId="77777777" w:rsidR="00736480" w:rsidRPr="000939E3" w:rsidRDefault="00736480" w:rsidP="00736480">
      <w:r w:rsidRPr="000939E3">
        <w:t xml:space="preserve">IVP, ÚHP. 2017. </w:t>
      </w:r>
      <w:r w:rsidRPr="000939E3">
        <w:rPr>
          <w:i/>
        </w:rPr>
        <w:t>Revízia výdavkov na vzdelávanie. Záverečná správa.</w:t>
      </w:r>
      <w:r w:rsidRPr="000939E3">
        <w:t xml:space="preserve"> Bratislava : Ministerstvo financií SR. Dostupné online: </w:t>
      </w:r>
      <w:hyperlink r:id="rId104" w:history="1">
        <w:r w:rsidRPr="000939E3">
          <w:rPr>
            <w:rStyle w:val="Hypertextovprepojenie"/>
          </w:rPr>
          <w:t>https://goo.gl/WZa3ga</w:t>
        </w:r>
      </w:hyperlink>
      <w:r w:rsidRPr="000939E3">
        <w:t>.</w:t>
      </w:r>
    </w:p>
    <w:p w14:paraId="278AE403" w14:textId="3245670F" w:rsidR="00843DA2" w:rsidRPr="000939E3" w:rsidRDefault="00843DA2" w:rsidP="00843DA2">
      <w:r w:rsidRPr="000939E3">
        <w:t xml:space="preserve">IZP, ÚHP. 2016. </w:t>
      </w:r>
      <w:r w:rsidRPr="000939E3">
        <w:rPr>
          <w:i/>
        </w:rPr>
        <w:t>Revízia výdavkov na zdravotníctvo. Priebežná správa.</w:t>
      </w:r>
      <w:r w:rsidRPr="000939E3">
        <w:t xml:space="preserve"> Bratislava : Ministerstvo financií SR. Dostupné online: https://www.finance.gov.sk/files/archiv/uhp/3370/76/Finalna-sprava_revizia_</w:t>
      </w:r>
      <w:r w:rsidR="009031CA" w:rsidRPr="000939E3">
        <w:br/>
      </w:r>
      <w:r w:rsidRPr="000939E3">
        <w:t>ZDRAVOTNICTVO.pdf.</w:t>
      </w:r>
    </w:p>
    <w:p w14:paraId="1B342007" w14:textId="7DC83013" w:rsidR="00736480" w:rsidRPr="000939E3" w:rsidRDefault="00736480" w:rsidP="00736480">
      <w:r w:rsidRPr="000939E3">
        <w:t xml:space="preserve">IZP, ÚHP. 2018. </w:t>
      </w:r>
      <w:r w:rsidRPr="000939E3">
        <w:rPr>
          <w:i/>
        </w:rPr>
        <w:t>Revízia výdavkov na zdravotníctvo</w:t>
      </w:r>
      <w:r w:rsidR="00843DA2" w:rsidRPr="000939E3">
        <w:rPr>
          <w:i/>
        </w:rPr>
        <w:t xml:space="preserve"> II</w:t>
      </w:r>
      <w:r w:rsidRPr="000939E3">
        <w:rPr>
          <w:i/>
        </w:rPr>
        <w:t>. Priebežná správa.</w:t>
      </w:r>
      <w:r w:rsidRPr="000939E3">
        <w:t xml:space="preserve"> Bratislava : Ministerstvo financií SR. Dostupné online: </w:t>
      </w:r>
      <w:hyperlink r:id="rId105" w:history="1">
        <w:r w:rsidR="00CB6A72" w:rsidRPr="000939E3">
          <w:rPr>
            <w:rStyle w:val="Hypertextovprepojenie"/>
          </w:rPr>
          <w:t>http://bit.ly/2OGJna2</w:t>
        </w:r>
      </w:hyperlink>
      <w:r w:rsidRPr="000939E3">
        <w:t>.</w:t>
      </w:r>
    </w:p>
    <w:p w14:paraId="1A5D6A0B" w14:textId="640C9989" w:rsidR="000052C7" w:rsidRDefault="00CB6A72" w:rsidP="00736480">
      <w:r w:rsidRPr="000939E3">
        <w:t xml:space="preserve">IZP, ÚHP. 2019. </w:t>
      </w:r>
      <w:r w:rsidRPr="000939E3">
        <w:rPr>
          <w:i/>
        </w:rPr>
        <w:t>Revízia výdavkov na zdra</w:t>
      </w:r>
      <w:r w:rsidR="00B41AEF">
        <w:rPr>
          <w:i/>
        </w:rPr>
        <w:t>votníctvo II. Záverečná správa.</w:t>
      </w:r>
      <w:r w:rsidRPr="000939E3">
        <w:t xml:space="preserve"> Bratislava : Ministerstvo financií SR. Dostupné online: </w:t>
      </w:r>
      <w:hyperlink r:id="rId106" w:history="1">
        <w:r w:rsidR="000052C7" w:rsidRPr="00812AA4">
          <w:rPr>
            <w:rStyle w:val="Hypertextovprepojenie"/>
          </w:rPr>
          <w:t>https://www.mfsr.sk/files/archiv/44/revizia_zdravotnictvo_2.pdf</w:t>
        </w:r>
      </w:hyperlink>
      <w:r w:rsidRPr="000939E3">
        <w:t>.</w:t>
      </w:r>
    </w:p>
    <w:p w14:paraId="39BD6EA1" w14:textId="6EA26604" w:rsidR="00736480" w:rsidRPr="000939E3" w:rsidRDefault="00736480" w:rsidP="00736480">
      <w:pPr>
        <w:rPr>
          <w:b/>
        </w:rPr>
      </w:pPr>
      <w:r w:rsidRPr="000939E3">
        <w:t>KAHANCOVÁ, M., MARTIŠKOVÁ, M., 2016. Czechia and Slovakia: Facing Austerity Through Collective Action: Economic Crisis and Public Service Employment Relations</w:t>
      </w:r>
      <w:r w:rsidRPr="000939E3">
        <w:rPr>
          <w:i/>
        </w:rPr>
        <w:t xml:space="preserve"> </w:t>
      </w:r>
      <w:r w:rsidRPr="000939E3">
        <w:t xml:space="preserve">In </w:t>
      </w:r>
      <w:r w:rsidRPr="000939E3">
        <w:rPr>
          <w:i/>
        </w:rPr>
        <w:t>Public Service Management and Employment Relations in Europe.</w:t>
      </w:r>
      <w:r w:rsidRPr="000939E3">
        <w:t xml:space="preserve"> s. 271-299. New York : Routledge. </w:t>
      </w:r>
    </w:p>
    <w:p w14:paraId="3349F845" w14:textId="6CDAB953" w:rsidR="00736480" w:rsidRPr="000939E3" w:rsidRDefault="00736480" w:rsidP="00736480">
      <w:pPr>
        <w:autoSpaceDE w:val="0"/>
        <w:autoSpaceDN w:val="0"/>
        <w:adjustRightInd w:val="0"/>
        <w:spacing w:line="240" w:lineRule="auto"/>
      </w:pPr>
      <w:r w:rsidRPr="000939E3">
        <w:t>MF SR, 2018.</w:t>
      </w:r>
      <w:r w:rsidR="00596FB2" w:rsidRPr="000939E3">
        <w:t xml:space="preserve"> </w:t>
      </w:r>
      <w:r w:rsidRPr="000939E3">
        <w:rPr>
          <w:i/>
        </w:rPr>
        <w:t>Národný program reforiem.</w:t>
      </w:r>
      <w:r w:rsidRPr="000939E3">
        <w:t xml:space="preserve"> Bratislava : Ministerstvo financií SR. Dostupné online: </w:t>
      </w:r>
      <w:hyperlink r:id="rId107" w:history="1">
        <w:r w:rsidRPr="000939E3">
          <w:rPr>
            <w:rStyle w:val="Hypertextovprepojenie"/>
          </w:rPr>
          <w:t>https://goo.gl/dcV3fr</w:t>
        </w:r>
      </w:hyperlink>
      <w:r w:rsidRPr="000939E3">
        <w:t xml:space="preserve">. </w:t>
      </w:r>
    </w:p>
    <w:p w14:paraId="7DCF8400" w14:textId="72CD0BC6" w:rsidR="00596FB2" w:rsidRPr="000939E3" w:rsidRDefault="00596FB2" w:rsidP="00736480">
      <w:pPr>
        <w:autoSpaceDE w:val="0"/>
        <w:autoSpaceDN w:val="0"/>
        <w:adjustRightInd w:val="0"/>
        <w:spacing w:line="240" w:lineRule="auto"/>
      </w:pPr>
      <w:r w:rsidRPr="000939E3">
        <w:t xml:space="preserve">MF SR, 2019. </w:t>
      </w:r>
      <w:r w:rsidRPr="000939E3">
        <w:rPr>
          <w:i/>
        </w:rPr>
        <w:t>Národný program reforiem.</w:t>
      </w:r>
      <w:r w:rsidRPr="000939E3">
        <w:t xml:space="preserve"> Bratislava : Ministerstvo financií SR. Dostupné online: </w:t>
      </w:r>
      <w:hyperlink r:id="rId108" w:history="1">
        <w:r w:rsidRPr="000939E3">
          <w:rPr>
            <w:rStyle w:val="Hypertextovprepojenie"/>
            <w:i/>
          </w:rPr>
          <w:t>https://www.finance.gov.sk/sk/financie/institut-financnej-politiky/strategicke-materialy/narodny-program-reforiem/narodny-program-reforiem.html</w:t>
        </w:r>
      </w:hyperlink>
    </w:p>
    <w:p w14:paraId="37C64A7B" w14:textId="652E31D8" w:rsidR="00736480" w:rsidRPr="000939E3" w:rsidRDefault="00736480" w:rsidP="00736480">
      <w:pPr>
        <w:autoSpaceDE w:val="0"/>
        <w:autoSpaceDN w:val="0"/>
        <w:adjustRightInd w:val="0"/>
        <w:spacing w:line="240" w:lineRule="auto"/>
      </w:pPr>
      <w:r w:rsidRPr="000939E3">
        <w:t xml:space="preserve">Miškolci, J. 2018. </w:t>
      </w:r>
      <w:r w:rsidRPr="000939E3">
        <w:rPr>
          <w:i/>
        </w:rPr>
        <w:t>Profesijný rozvoj učiteľov a učiteliek</w:t>
      </w:r>
      <w:r w:rsidRPr="000939E3">
        <w:t xml:space="preserve">. Bratislava : To dá rozum. Dostupné online: </w:t>
      </w:r>
      <w:hyperlink r:id="rId109" w:history="1">
        <w:r w:rsidRPr="000939E3">
          <w:rPr>
            <w:rStyle w:val="Hypertextovprepojenie"/>
          </w:rPr>
          <w:t>https://todarozum.sk/aktualita/586-profesijny-rozvoj-ucitelov-a-uciteliek/</w:t>
        </w:r>
      </w:hyperlink>
      <w:r w:rsidR="00764AB3" w:rsidRPr="000939E3">
        <w:t xml:space="preserve"> </w:t>
      </w:r>
    </w:p>
    <w:p w14:paraId="4D241B3D" w14:textId="77777777" w:rsidR="00736480" w:rsidRPr="000939E3" w:rsidRDefault="00736480" w:rsidP="00736480">
      <w:r w:rsidRPr="000939E3">
        <w:t xml:space="preserve">MPSV ČR, 2017. </w:t>
      </w:r>
      <w:r w:rsidRPr="000939E3">
        <w:rPr>
          <w:i/>
        </w:rPr>
        <w:t xml:space="preserve">Statistická ročenka z oblasti práce a sociálních věcí 2016. </w:t>
      </w:r>
      <w:r w:rsidRPr="000939E3">
        <w:t xml:space="preserve">Praha : MPSV ČR. Dostupné online: </w:t>
      </w:r>
      <w:hyperlink r:id="rId110" w:history="1">
        <w:r w:rsidRPr="000939E3">
          <w:rPr>
            <w:rStyle w:val="Hypertextovprepojenie"/>
          </w:rPr>
          <w:t>https://www.mpsv.cz/files/clanky/31493/Statisticka_rocenka_z_oblasti_prace_a_socialnich_veci_2016.pdf?fbclid=IwAR2LRT_he4kv0BZSigZvNzGndtxS06sSHQDByUh0WdBGtMZlEGtE5_DaGr4</w:t>
        </w:r>
      </w:hyperlink>
      <w:r w:rsidRPr="000939E3">
        <w:t xml:space="preserve"> </w:t>
      </w:r>
    </w:p>
    <w:p w14:paraId="7D35C2BB" w14:textId="3D05FF00" w:rsidR="00736480" w:rsidRPr="000939E3" w:rsidRDefault="00E819B2" w:rsidP="00144B79">
      <w:r w:rsidRPr="000939E3">
        <w:t>MPSVaR</w:t>
      </w:r>
      <w:r w:rsidR="00736480" w:rsidRPr="000939E3">
        <w:t xml:space="preserve"> SR, 2016. </w:t>
      </w:r>
      <w:r w:rsidR="00736480" w:rsidRPr="000939E3">
        <w:rPr>
          <w:i/>
        </w:rPr>
        <w:t>Správa o sociálnej situácii obyvateľstva Slovenskej republiky za rok 2015.</w:t>
      </w:r>
      <w:r w:rsidR="00736480" w:rsidRPr="000939E3">
        <w:t xml:space="preserve"> Bratislava : Ministerstvo práce, sociálnych vecí a rodiny SR. Dostupné online: </w:t>
      </w:r>
      <w:hyperlink r:id="rId111" w:history="1">
        <w:r w:rsidR="00736480" w:rsidRPr="000939E3">
          <w:rPr>
            <w:rStyle w:val="Hypertextovprepojenie"/>
          </w:rPr>
          <w:t>https://www.employment.gov.sk/</w:t>
        </w:r>
        <w:r w:rsidR="00736480" w:rsidRPr="000939E3">
          <w:rPr>
            <w:rStyle w:val="Hypertextovprepojenie"/>
          </w:rPr>
          <w:br/>
          <w:t>files/slovensky/ministerstvo/analyticke-centrum/sprava-socialnej-situacii-obyvatelstva-za-rok-2015.pdf</w:t>
        </w:r>
      </w:hyperlink>
      <w:r w:rsidR="00736480" w:rsidRPr="000939E3">
        <w:t>.</w:t>
      </w:r>
    </w:p>
    <w:p w14:paraId="127C7C65" w14:textId="77777777" w:rsidR="00736480" w:rsidRPr="000939E3" w:rsidRDefault="00736480" w:rsidP="00736480">
      <w:r w:rsidRPr="000939E3">
        <w:t xml:space="preserve">NASUWT, 2017. </w:t>
      </w:r>
      <w:r w:rsidRPr="000939E3">
        <w:rPr>
          <w:i/>
        </w:rPr>
        <w:t>Salary Scales Salary Scales The Fringe, Outer London and Inner London</w:t>
      </w:r>
      <w:r w:rsidRPr="000939E3">
        <w:t xml:space="preserve">. Birmingham : NASUWT. Dostupné online: </w:t>
      </w:r>
      <w:hyperlink r:id="rId112" w:history="1">
        <w:r w:rsidRPr="000939E3">
          <w:rPr>
            <w:rStyle w:val="Hypertextovprepojenie"/>
          </w:rPr>
          <w:t>https://www.nasuwt.org.uk/uploads/assets/uploaded/48e500c4-2404-4ee5-8b8588</w:t>
        </w:r>
        <w:r w:rsidRPr="000939E3">
          <w:rPr>
            <w:rStyle w:val="Hypertextovprepojenie"/>
          </w:rPr>
          <w:br/>
          <w:t>916a973a50.pdf</w:t>
        </w:r>
      </w:hyperlink>
      <w:r w:rsidRPr="000939E3">
        <w:t xml:space="preserve"> </w:t>
      </w:r>
    </w:p>
    <w:p w14:paraId="4CBCD6ED" w14:textId="77777777" w:rsidR="00736480" w:rsidRPr="000939E3" w:rsidRDefault="00736480" w:rsidP="00736480">
      <w:r w:rsidRPr="000939E3">
        <w:t xml:space="preserve">NASUWT, 2017. </w:t>
      </w:r>
      <w:r w:rsidRPr="000939E3">
        <w:rPr>
          <w:i/>
        </w:rPr>
        <w:t>Salary Scales</w:t>
      </w:r>
      <w:r w:rsidRPr="000939E3">
        <w:t xml:space="preserve">. Birmingham : NASUWT. Dostupné online: </w:t>
      </w:r>
      <w:hyperlink r:id="rId113" w:history="1">
        <w:r w:rsidRPr="000939E3">
          <w:rPr>
            <w:rStyle w:val="Hypertextovprepojenie"/>
          </w:rPr>
          <w:t>https://www.nasuwt.org.uk/uploads/</w:t>
        </w:r>
        <w:r w:rsidRPr="000939E3">
          <w:rPr>
            <w:rStyle w:val="Hypertextovprepojenie"/>
          </w:rPr>
          <w:br/>
          <w:t>assets/uploaded/e2c3ba3f-20f3-410c-ae4b83329cbe3e4a.pdf</w:t>
        </w:r>
      </w:hyperlink>
      <w:r w:rsidRPr="000939E3">
        <w:t xml:space="preserve"> </w:t>
      </w:r>
    </w:p>
    <w:p w14:paraId="5829ED3C" w14:textId="6E990CBD" w:rsidR="00773A4B" w:rsidRPr="000939E3" w:rsidRDefault="00773A4B" w:rsidP="00736480">
      <w:pPr>
        <w:rPr>
          <w:rStyle w:val="Hypertextovprepojenie"/>
        </w:rPr>
      </w:pPr>
      <w:r w:rsidRPr="000939E3">
        <w:t xml:space="preserve">NATO, 2018. </w:t>
      </w:r>
      <w:r w:rsidRPr="000939E3">
        <w:rPr>
          <w:i/>
        </w:rPr>
        <w:t>Defence Expenditure of NATO Countries</w:t>
      </w:r>
      <w:r w:rsidRPr="000939E3">
        <w:t xml:space="preserve"> (2011-2018). Dostupné online: </w:t>
      </w:r>
      <w:hyperlink r:id="rId114" w:history="1">
        <w:r w:rsidRPr="000939E3">
          <w:rPr>
            <w:rStyle w:val="Hypertextovprepojenie"/>
          </w:rPr>
          <w:t>https://www.nato.int/cps/em / natohq/news_156770.htm</w:t>
        </w:r>
      </w:hyperlink>
    </w:p>
    <w:p w14:paraId="038E30B2" w14:textId="77777777" w:rsidR="00736480" w:rsidRPr="000939E3" w:rsidRDefault="00736480" w:rsidP="00736480">
      <w:pPr>
        <w:rPr>
          <w:rStyle w:val="Hypertextovprepojenie"/>
        </w:rPr>
      </w:pPr>
      <w:r w:rsidRPr="000939E3">
        <w:t xml:space="preserve">OECD, 2012a. </w:t>
      </w:r>
      <w:r w:rsidRPr="000939E3">
        <w:rPr>
          <w:i/>
          <w:iCs/>
        </w:rPr>
        <w:t>Does money buy strong performance in PISA?</w:t>
      </w:r>
      <w:r w:rsidRPr="000939E3">
        <w:t xml:space="preserve">, Paríž: OECD publishing. Dostupné online: </w:t>
      </w:r>
      <w:hyperlink r:id="rId115" w:history="1">
        <w:r w:rsidRPr="000939E3">
          <w:rPr>
            <w:rStyle w:val="Hypertextovprepojenie"/>
          </w:rPr>
          <w:t>https://www.oecd.org/pisa/pisaproducts/pisainfocus/49685503.pdf</w:t>
        </w:r>
      </w:hyperlink>
    </w:p>
    <w:p w14:paraId="00EED40A" w14:textId="77777777" w:rsidR="00736480" w:rsidRPr="000939E3" w:rsidRDefault="00736480" w:rsidP="00736480">
      <w:pPr>
        <w:autoSpaceDE w:val="0"/>
        <w:autoSpaceDN w:val="0"/>
        <w:adjustRightInd w:val="0"/>
        <w:spacing w:line="240" w:lineRule="auto"/>
      </w:pPr>
      <w:r w:rsidRPr="000939E3">
        <w:t>OECD, 2012b.</w:t>
      </w:r>
      <w:r w:rsidRPr="000939E3">
        <w:rPr>
          <w:i/>
        </w:rPr>
        <w:t xml:space="preserve"> Education at the Glance 2012</w:t>
      </w:r>
      <w:r w:rsidRPr="000939E3">
        <w:t xml:space="preserve">. Paríž : OECD Publishing. Dostupné online: </w:t>
      </w:r>
      <w:hyperlink r:id="rId116" w:history="1">
        <w:r w:rsidRPr="000939E3">
          <w:rPr>
            <w:rStyle w:val="Hypertextovprepojenie"/>
          </w:rPr>
          <w:t>https://www.oecd-ilibrary.org/education/education-at-a-glance-2012_eag-2012-en</w:t>
        </w:r>
      </w:hyperlink>
      <w:r w:rsidRPr="000939E3">
        <w:t xml:space="preserve">. </w:t>
      </w:r>
    </w:p>
    <w:p w14:paraId="65494006" w14:textId="77777777" w:rsidR="00736480" w:rsidRPr="000939E3" w:rsidRDefault="00736480" w:rsidP="00736480">
      <w:r w:rsidRPr="000939E3">
        <w:t xml:space="preserve">OECD, 2017a. </w:t>
      </w:r>
      <w:r w:rsidRPr="000939E3">
        <w:rPr>
          <w:i/>
        </w:rPr>
        <w:t>Government at the Glance 2017</w:t>
      </w:r>
      <w:r w:rsidRPr="000939E3">
        <w:t xml:space="preserve">. Paríž : OECD Publishing. Dostupné online: </w:t>
      </w:r>
      <w:hyperlink r:id="rId117" w:history="1">
        <w:r w:rsidRPr="000939E3">
          <w:rPr>
            <w:rStyle w:val="Hypertextovprepojenie"/>
          </w:rPr>
          <w:t>http://dx.doi.org/</w:t>
        </w:r>
        <w:r w:rsidRPr="000939E3">
          <w:rPr>
            <w:rStyle w:val="Hypertextovprepojenie"/>
          </w:rPr>
          <w:br/>
          <w:t>10.1787/gov_glance-2017-en</w:t>
        </w:r>
      </w:hyperlink>
      <w:r w:rsidRPr="000939E3">
        <w:t xml:space="preserve"> </w:t>
      </w:r>
    </w:p>
    <w:p w14:paraId="462A0F74" w14:textId="77777777" w:rsidR="00736480" w:rsidRPr="000939E3" w:rsidRDefault="00736480" w:rsidP="00736480">
      <w:r w:rsidRPr="000939E3">
        <w:t xml:space="preserve">OECD, 2017b. </w:t>
      </w:r>
      <w:r w:rsidRPr="000939E3">
        <w:rPr>
          <w:i/>
        </w:rPr>
        <w:t>Health at the Glance 2017</w:t>
      </w:r>
      <w:r w:rsidRPr="000939E3">
        <w:t xml:space="preserve">. Paríž : OECD Publishing. Dostupné online: </w:t>
      </w:r>
      <w:hyperlink r:id="rId118" w:history="1">
        <w:r w:rsidRPr="000939E3">
          <w:rPr>
            <w:rStyle w:val="Hypertextovprepojenie"/>
          </w:rPr>
          <w:t>http://dx.doi.org/10.1787/</w:t>
        </w:r>
        <w:r w:rsidRPr="000939E3">
          <w:rPr>
            <w:rStyle w:val="Hypertextovprepojenie"/>
          </w:rPr>
          <w:br/>
          <w:t>health_glance-2017-en</w:t>
        </w:r>
      </w:hyperlink>
      <w:r w:rsidRPr="000939E3">
        <w:t xml:space="preserve"> </w:t>
      </w:r>
    </w:p>
    <w:p w14:paraId="569FC24F" w14:textId="77777777" w:rsidR="00736480" w:rsidRPr="000939E3" w:rsidRDefault="00736480" w:rsidP="00736480">
      <w:pPr>
        <w:rPr>
          <w:rFonts w:ascii="CaeciliaLTStd-Italic" w:hAnsi="CaeciliaLTStd-Italic" w:cs="CaeciliaLTStd-Italic"/>
          <w:i/>
          <w:iCs/>
          <w:sz w:val="16"/>
          <w:szCs w:val="16"/>
        </w:rPr>
      </w:pPr>
      <w:r w:rsidRPr="000939E3">
        <w:t xml:space="preserve">OECD, 2018a. </w:t>
      </w:r>
      <w:r w:rsidRPr="000939E3">
        <w:rPr>
          <w:i/>
        </w:rPr>
        <w:t>OECD Employment Outlook 2018.</w:t>
      </w:r>
      <w:r w:rsidRPr="000939E3">
        <w:t xml:space="preserve"> Paríž : OECD Publishing. Dostupné online: </w:t>
      </w:r>
      <w:hyperlink r:id="rId119" w:history="1">
        <w:r w:rsidRPr="000939E3">
          <w:rPr>
            <w:rStyle w:val="Hypertextovprepojenie"/>
          </w:rPr>
          <w:t>http://dx.doi.org/</w:t>
        </w:r>
        <w:r w:rsidRPr="000939E3">
          <w:rPr>
            <w:rStyle w:val="Hypertextovprepojenie"/>
          </w:rPr>
          <w:br/>
          <w:t>10.1787/empl_outlook-2018-en</w:t>
        </w:r>
      </w:hyperlink>
      <w:r w:rsidRPr="000939E3">
        <w:rPr>
          <w:rFonts w:ascii="CaeciliaLTStd-Italic" w:hAnsi="CaeciliaLTStd-Italic" w:cs="CaeciliaLTStd-Italic"/>
          <w:i/>
          <w:iCs/>
          <w:sz w:val="16"/>
          <w:szCs w:val="16"/>
        </w:rPr>
        <w:t xml:space="preserve"> </w:t>
      </w:r>
    </w:p>
    <w:p w14:paraId="49EE437D" w14:textId="77777777" w:rsidR="00736480" w:rsidRPr="000939E3" w:rsidRDefault="00736480" w:rsidP="00736480">
      <w:r w:rsidRPr="000939E3">
        <w:t xml:space="preserve">OECD, 2018b. </w:t>
      </w:r>
      <w:r w:rsidRPr="000939E3">
        <w:rPr>
          <w:i/>
        </w:rPr>
        <w:t>Education at the Glance 2018</w:t>
      </w:r>
      <w:r w:rsidRPr="000939E3">
        <w:t xml:space="preserve">. Paríž : OECD Publishing. Dostupné online: </w:t>
      </w:r>
      <w:hyperlink r:id="rId120" w:history="1">
        <w:r w:rsidRPr="000939E3">
          <w:rPr>
            <w:rStyle w:val="Hypertextovprepojenie"/>
          </w:rPr>
          <w:t>http://dx.doi.org/10.1787</w:t>
        </w:r>
        <w:r w:rsidRPr="000939E3">
          <w:rPr>
            <w:rStyle w:val="Hypertextovprepojenie"/>
          </w:rPr>
          <w:br/>
          <w:t>/eag-2018-en</w:t>
        </w:r>
      </w:hyperlink>
      <w:r w:rsidRPr="000939E3">
        <w:t xml:space="preserve"> </w:t>
      </w:r>
    </w:p>
    <w:p w14:paraId="1C075ABE" w14:textId="714C3033" w:rsidR="00404149" w:rsidRPr="000939E3" w:rsidRDefault="00404149" w:rsidP="00736480">
      <w:r w:rsidRPr="000939E3">
        <w:t>O</w:t>
      </w:r>
      <w:r w:rsidRPr="000939E3">
        <w:rPr>
          <w:szCs w:val="20"/>
        </w:rPr>
        <w:t xml:space="preserve">ECD, 2019. </w:t>
      </w:r>
      <w:r w:rsidRPr="000939E3">
        <w:rPr>
          <w:i/>
          <w:szCs w:val="20"/>
        </w:rPr>
        <w:t>Education at the Glance 2019</w:t>
      </w:r>
      <w:r w:rsidRPr="000939E3">
        <w:rPr>
          <w:szCs w:val="20"/>
        </w:rPr>
        <w:t xml:space="preserve">. Paríž : OECD Publishing. Dostupné online: </w:t>
      </w:r>
      <w:hyperlink r:id="rId121" w:history="1">
        <w:r w:rsidRPr="000939E3">
          <w:rPr>
            <w:rStyle w:val="Hypertextovprepojenie"/>
            <w:rFonts w:cs="Arial"/>
            <w:color w:val="0068B6"/>
            <w:szCs w:val="20"/>
            <w:shd w:val="clear" w:color="auto" w:fill="F4F4F4"/>
          </w:rPr>
          <w:t>https://doi.org/10.1787/19991487</w:t>
        </w:r>
      </w:hyperlink>
    </w:p>
    <w:p w14:paraId="549FF6BD" w14:textId="77777777" w:rsidR="00736480" w:rsidRPr="000939E3" w:rsidRDefault="00736480" w:rsidP="00736480">
      <w:r w:rsidRPr="000939E3">
        <w:t xml:space="preserve">OFFICE FOR NATIONAL STATISTICS. 2015. </w:t>
      </w:r>
      <w:r w:rsidRPr="000939E3">
        <w:rPr>
          <w:i/>
        </w:rPr>
        <w:t>Public service productivity estimates: total public service</w:t>
      </w:r>
      <w:r w:rsidRPr="000939E3">
        <w:t xml:space="preserve">. ONS. Dostupné online: </w:t>
      </w:r>
      <w:hyperlink r:id="rId122" w:history="1">
        <w:r w:rsidRPr="000939E3">
          <w:rPr>
            <w:rStyle w:val="Hypertextovprepojenie"/>
          </w:rPr>
          <w:t>https://www.ons.gov.uk/economy/economicoutputandproductivity/publicservicesproductivity</w:t>
        </w:r>
        <w:r w:rsidRPr="000939E3">
          <w:rPr>
            <w:rStyle w:val="Hypertextovprepojenie"/>
          </w:rPr>
          <w:br/>
          <w:t>/methodologies/publicserviceproductivityestimatestotalpublicservicesqmi</w:t>
        </w:r>
      </w:hyperlink>
    </w:p>
    <w:p w14:paraId="3C928BF3" w14:textId="77777777" w:rsidR="000E33DA" w:rsidRPr="000939E3" w:rsidRDefault="000E33DA" w:rsidP="000E33DA">
      <w:r w:rsidRPr="000939E3">
        <w:t xml:space="preserve">PAAGMAN, 2012. </w:t>
      </w:r>
      <w:r w:rsidRPr="000939E3">
        <w:rPr>
          <w:i/>
          <w:iCs/>
        </w:rPr>
        <w:t>Only For The Money? Motives for introducing shared services in government organizations</w:t>
      </w:r>
      <w:r w:rsidRPr="000939E3">
        <w:t xml:space="preserve">. Dostupné online: </w:t>
      </w:r>
      <w:hyperlink r:id="rId123" w:history="1">
        <w:r w:rsidRPr="000939E3">
          <w:rPr>
            <w:rStyle w:val="Hypertextovprepojenie"/>
          </w:rPr>
          <w:t>https://essay.utwente.nl/62028/1/Master_thesis_Arnaud_Paagman_FINAL.PDF</w:t>
        </w:r>
      </w:hyperlink>
      <w:r w:rsidRPr="000939E3">
        <w:t xml:space="preserve"> </w:t>
      </w:r>
    </w:p>
    <w:p w14:paraId="17C992D2" w14:textId="6E32BCF1" w:rsidR="00736480" w:rsidRPr="000939E3" w:rsidRDefault="00B41AEF" w:rsidP="00736480">
      <w:pPr>
        <w:rPr>
          <w:rStyle w:val="Hypertextovprepojenie"/>
          <w:rFonts w:cs="Arial"/>
        </w:rPr>
      </w:pPr>
      <w:r>
        <w:t>PEFA .2016</w:t>
      </w:r>
      <w:r w:rsidR="00736480" w:rsidRPr="000939E3">
        <w:t xml:space="preserve">. </w:t>
      </w:r>
      <w:r w:rsidR="00736480" w:rsidRPr="000939E3">
        <w:rPr>
          <w:i/>
        </w:rPr>
        <w:t>Framework for Assessing Public Financial Management</w:t>
      </w:r>
      <w:r w:rsidR="00736480" w:rsidRPr="000939E3">
        <w:t xml:space="preserve">. Washington, DC: Public Expenditure and Financial Accountability Secretariat. Dostupné online: </w:t>
      </w:r>
      <w:r w:rsidR="00736480" w:rsidRPr="000939E3">
        <w:rPr>
          <w:rStyle w:val="Hypertextovprepojenie"/>
          <w:rFonts w:cs="Arial"/>
        </w:rPr>
        <w:t>https://pefa.org/sites/default/files/PEFA%20Framework</w:t>
      </w:r>
      <w:r w:rsidR="00736480" w:rsidRPr="000939E3">
        <w:rPr>
          <w:rStyle w:val="Hypertextovprepojenie"/>
          <w:rFonts w:cs="Arial"/>
        </w:rPr>
        <w:br/>
        <w:t>_English.pdf</w:t>
      </w:r>
    </w:p>
    <w:p w14:paraId="2B1233D1" w14:textId="77777777" w:rsidR="00736480" w:rsidRPr="000939E3" w:rsidRDefault="00736480" w:rsidP="00736480">
      <w:pPr>
        <w:rPr>
          <w:rFonts w:cs="Arial"/>
        </w:rPr>
      </w:pPr>
      <w:r w:rsidRPr="000939E3">
        <w:t>PILICHOWSKI, E., TURKISCH, E. 2008.</w:t>
      </w:r>
      <w:r w:rsidRPr="000939E3">
        <w:rPr>
          <w:rFonts w:cs="Arial"/>
        </w:rPr>
        <w:t xml:space="preserve"> </w:t>
      </w:r>
      <w:r w:rsidRPr="000939E3">
        <w:rPr>
          <w:rFonts w:cs="Arial"/>
          <w:i/>
        </w:rPr>
        <w:t>Employment in Government in the Perspective of the Production Costs of Goods and Services in the Public Domain</w:t>
      </w:r>
      <w:r w:rsidRPr="000939E3">
        <w:rPr>
          <w:rFonts w:cs="Arial"/>
        </w:rPr>
        <w:t xml:space="preserve">. OECD. Dostupné online: </w:t>
      </w:r>
      <w:hyperlink r:id="rId124" w:history="1">
        <w:r w:rsidRPr="000939E3">
          <w:rPr>
            <w:rStyle w:val="Hypertextovprepojenie"/>
            <w:rFonts w:cs="Arial"/>
          </w:rPr>
          <w:t>https://www.oecd-ilibrary.org/governance/employment-in-government-in-the-perspective-of-the-production-costs-of-goods-and-services-in-the-public-domain_245160338300</w:t>
        </w:r>
      </w:hyperlink>
    </w:p>
    <w:p w14:paraId="05E3814C" w14:textId="4B852D54" w:rsidR="004C22B8" w:rsidRPr="000939E3" w:rsidRDefault="004C22B8" w:rsidP="00B51BC6">
      <w:r w:rsidRPr="000939E3">
        <w:rPr>
          <w:lang w:val="en-GB"/>
        </w:rPr>
        <w:t xml:space="preserve">Propper, C. and Britton, J. 2012. </w:t>
      </w:r>
      <w:r w:rsidRPr="000939E3">
        <w:rPr>
          <w:i/>
          <w:lang w:val="en-GB"/>
        </w:rPr>
        <w:t>Does wage regulation harm kids? Evidence from English schools.</w:t>
      </w:r>
      <w:r w:rsidRPr="000939E3">
        <w:rPr>
          <w:lang w:val="en-GB"/>
        </w:rPr>
        <w:t xml:space="preserve"> The Center for Market and Public Organisation (Working Paper Series No. 12/293). </w:t>
      </w:r>
      <w:r w:rsidRPr="000939E3">
        <w:rPr>
          <w:lang w:val="de-DE"/>
        </w:rPr>
        <w:t xml:space="preserve">Dostupné online: </w:t>
      </w:r>
      <w:hyperlink r:id="rId125" w:history="1">
        <w:r w:rsidRPr="000939E3">
          <w:rPr>
            <w:rStyle w:val="Hypertextovprepojenie"/>
            <w:lang w:val="de-DE"/>
          </w:rPr>
          <w:t>http://www.bristol.ac.uk/media-library/sites/cmpo/migrated/documents/wp293.pdf</w:t>
        </w:r>
      </w:hyperlink>
    </w:p>
    <w:p w14:paraId="6A00724A" w14:textId="738DA8D3" w:rsidR="00B51BC6" w:rsidRPr="000939E3" w:rsidRDefault="00B51BC6" w:rsidP="00B51BC6">
      <w:pPr>
        <w:rPr>
          <w:i/>
          <w:iCs/>
        </w:rPr>
      </w:pPr>
      <w:r w:rsidRPr="000939E3">
        <w:t>P</w:t>
      </w:r>
      <w:r w:rsidR="008C79FC" w:rsidRPr="000939E3">
        <w:t>w</w:t>
      </w:r>
      <w:r w:rsidRPr="000939E3">
        <w:t xml:space="preserve">C,2014. </w:t>
      </w:r>
      <w:r w:rsidRPr="000939E3">
        <w:rPr>
          <w:i/>
          <w:iCs/>
        </w:rPr>
        <w:t>Shared service centres 2014 – Moving towards Centres of Excellence.</w:t>
      </w:r>
    </w:p>
    <w:p w14:paraId="2E2D5FE5" w14:textId="400C9D68" w:rsidR="00B51BC6" w:rsidRPr="000939E3" w:rsidRDefault="00B51BC6" w:rsidP="00B51BC6">
      <w:pPr>
        <w:rPr>
          <w:i/>
          <w:iCs/>
        </w:rPr>
      </w:pPr>
      <w:r w:rsidRPr="000939E3">
        <w:t>P</w:t>
      </w:r>
      <w:r w:rsidR="008C79FC" w:rsidRPr="000939E3">
        <w:t>w</w:t>
      </w:r>
      <w:r w:rsidRPr="000939E3">
        <w:t xml:space="preserve">C,2019. </w:t>
      </w:r>
      <w:r w:rsidRPr="000939E3">
        <w:rPr>
          <w:i/>
          <w:iCs/>
        </w:rPr>
        <w:t>Review of DataCentrum Budget Unit in Slovakia.</w:t>
      </w:r>
    </w:p>
    <w:p w14:paraId="745AB53C" w14:textId="6BE243FB" w:rsidR="00736480" w:rsidRPr="000939E3" w:rsidRDefault="00736480" w:rsidP="00736480">
      <w:pPr>
        <w:rPr>
          <w:i/>
        </w:rPr>
      </w:pPr>
      <w:r w:rsidRPr="000939E3">
        <w:t xml:space="preserve">RABRENOVIC, A. </w:t>
      </w:r>
      <w:r w:rsidRPr="000939E3">
        <w:rPr>
          <w:i/>
        </w:rPr>
        <w:t>Main Principles and Approaches to Civil Service Pay Reform: Example of Western Balkan Countries.</w:t>
      </w:r>
      <w:r w:rsidRPr="000939E3">
        <w:t xml:space="preserve"> Dostupné online: </w:t>
      </w:r>
      <w:hyperlink r:id="rId126" w:history="1">
        <w:r w:rsidR="00272BE3" w:rsidRPr="000939E3">
          <w:rPr>
            <w:rStyle w:val="Hypertextovprepojenie"/>
          </w:rPr>
          <w:t>http://www.nispa.org/files/conferences/2013/papers/201305070652020.paper_</w:t>
        </w:r>
        <w:r w:rsidR="00272BE3" w:rsidRPr="000939E3">
          <w:rPr>
            <w:rStyle w:val="Hypertextovprepojenie"/>
          </w:rPr>
          <w:br/>
          <w:t>Rabrenovic.pdf?fs_papersPage=4</w:t>
        </w:r>
      </w:hyperlink>
      <w:r w:rsidR="004B45B2" w:rsidRPr="000939E3">
        <w:t xml:space="preserve"> </w:t>
      </w:r>
    </w:p>
    <w:p w14:paraId="56E7B69B" w14:textId="77777777" w:rsidR="00736480" w:rsidRPr="000939E3" w:rsidRDefault="00736480" w:rsidP="00736480">
      <w:r w:rsidRPr="000939E3">
        <w:t xml:space="preserve">SEKCIA ROZPOČTOVEJ POLITIKY MF SR. </w:t>
      </w:r>
      <w:r w:rsidRPr="000939E3">
        <w:rPr>
          <w:i/>
        </w:rPr>
        <w:t>Správa o vývoji zamestnanosti a mzdových výdavkoch v sektore verejnej správy za rok 2010</w:t>
      </w:r>
      <w:r w:rsidRPr="000939E3">
        <w:t xml:space="preserve">. Bratislava : Ministerstvo financií SR. </w:t>
      </w:r>
    </w:p>
    <w:p w14:paraId="1255433C" w14:textId="77777777" w:rsidR="00736480" w:rsidRPr="000939E3" w:rsidRDefault="00736480" w:rsidP="00736480">
      <w:r w:rsidRPr="000939E3">
        <w:t xml:space="preserve">SEKCIA ROZPOČTOVEJ POLITIKY MF SR. </w:t>
      </w:r>
      <w:r w:rsidRPr="000939E3">
        <w:rPr>
          <w:i/>
        </w:rPr>
        <w:t>Správa o vývoji zamestnanosti a mzdových výdavkoch v sektore verejnej správy za rok 2011</w:t>
      </w:r>
      <w:r w:rsidRPr="000939E3">
        <w:t xml:space="preserve">. Bratislava : Ministerstvo financií SR. </w:t>
      </w:r>
    </w:p>
    <w:p w14:paraId="6C010FFD" w14:textId="77777777" w:rsidR="00736480" w:rsidRPr="000939E3" w:rsidRDefault="00736480" w:rsidP="00736480">
      <w:r w:rsidRPr="000939E3">
        <w:t xml:space="preserve">SEKCIA ROZPOČTOVEJ POLITIKY MF SR. </w:t>
      </w:r>
      <w:r w:rsidRPr="000939E3">
        <w:rPr>
          <w:i/>
        </w:rPr>
        <w:t>Správa o vývoji zamestnanosti a mzdových výdavkoch v sektore verejnej správy za rok 2012</w:t>
      </w:r>
      <w:r w:rsidRPr="000939E3">
        <w:t xml:space="preserve">. Bratislava : Ministerstvo financií SR. </w:t>
      </w:r>
    </w:p>
    <w:p w14:paraId="7FCF49C7" w14:textId="77777777" w:rsidR="00736480" w:rsidRPr="000939E3" w:rsidRDefault="00736480" w:rsidP="00736480">
      <w:r w:rsidRPr="000939E3">
        <w:t xml:space="preserve">SEKCIA ROZPOČTOVEJ POLITIKY MF SR. </w:t>
      </w:r>
      <w:r w:rsidRPr="000939E3">
        <w:rPr>
          <w:i/>
        </w:rPr>
        <w:t>Správa o vývoji zamestnanosti a mzdových výdavkoch v sektore verejnej správy za rok 2013</w:t>
      </w:r>
      <w:r w:rsidRPr="000939E3">
        <w:t xml:space="preserve">. Bratislava : Ministerstvo financií SR. </w:t>
      </w:r>
    </w:p>
    <w:p w14:paraId="4E4E54A6" w14:textId="77777777" w:rsidR="00736480" w:rsidRPr="000939E3" w:rsidRDefault="00736480" w:rsidP="00736480">
      <w:r w:rsidRPr="000939E3">
        <w:t xml:space="preserve">SEKCIA ROZPOČTOVEJ POLITIKY MF SR. </w:t>
      </w:r>
      <w:r w:rsidRPr="000939E3">
        <w:rPr>
          <w:i/>
        </w:rPr>
        <w:t>Správa o vývoji zamestnanosti a mzdových výdavkoch v sektore verejnej správy za rok 2014</w:t>
      </w:r>
      <w:r w:rsidRPr="000939E3">
        <w:t xml:space="preserve">. Bratislava : Ministerstvo financií SR. </w:t>
      </w:r>
    </w:p>
    <w:p w14:paraId="2E1239CD" w14:textId="77777777" w:rsidR="00736480" w:rsidRPr="000939E3" w:rsidRDefault="00736480" w:rsidP="00736480">
      <w:r w:rsidRPr="000939E3">
        <w:t xml:space="preserve">SEKCIA ROZPOČTOVEJ POLITIKY MF SR. </w:t>
      </w:r>
      <w:r w:rsidRPr="000939E3">
        <w:rPr>
          <w:i/>
        </w:rPr>
        <w:t>Správa o vývoji zamestnanosti a mzdových výdavkoch v sektore verejnej správy za rok 2015</w:t>
      </w:r>
      <w:r w:rsidRPr="000939E3">
        <w:t xml:space="preserve">. Bratislava : Ministerstvo financií SR. </w:t>
      </w:r>
    </w:p>
    <w:p w14:paraId="0C402A9E" w14:textId="77777777" w:rsidR="00736480" w:rsidRPr="000939E3" w:rsidRDefault="00736480" w:rsidP="00736480">
      <w:r w:rsidRPr="000939E3">
        <w:t xml:space="preserve">SEKCIA ROZPOČTOVEJ POLITIKY MF SR. </w:t>
      </w:r>
      <w:r w:rsidRPr="000939E3">
        <w:rPr>
          <w:i/>
        </w:rPr>
        <w:t>Správa o vývoji zamestnanosti a mzdových výdavkoch v sektore verejnej správy za rok 2016</w:t>
      </w:r>
      <w:r w:rsidRPr="000939E3">
        <w:t xml:space="preserve">. Bratislava : Ministerstvo financií SR. </w:t>
      </w:r>
    </w:p>
    <w:p w14:paraId="14AFAB45" w14:textId="77777777" w:rsidR="00736480" w:rsidRPr="000939E3" w:rsidRDefault="00736480" w:rsidP="00736480">
      <w:r w:rsidRPr="000939E3">
        <w:t xml:space="preserve">SEKCIA ROZPOČTOVEJ POLITIKY MF SR. </w:t>
      </w:r>
      <w:r w:rsidRPr="000939E3">
        <w:rPr>
          <w:i/>
        </w:rPr>
        <w:t>Správa o vývoji zamestnanosti a mzdových výdavkoch v sektore verejnej správy za rok 2017</w:t>
      </w:r>
      <w:r w:rsidRPr="000939E3">
        <w:t xml:space="preserve">. Bratislava : Ministerstvo financií SR. </w:t>
      </w:r>
    </w:p>
    <w:p w14:paraId="324A2E90" w14:textId="28974F12" w:rsidR="00736480" w:rsidRPr="000939E3" w:rsidRDefault="00736480" w:rsidP="00736480">
      <w:r w:rsidRPr="000939E3">
        <w:t xml:space="preserve">Slovenská komora učiteľov, 2014. </w:t>
      </w:r>
      <w:r w:rsidRPr="000939E3">
        <w:rPr>
          <w:i/>
        </w:rPr>
        <w:t>Vyhodnotenie dotazníka ku kariérnemu rastu a kreditovému systému</w:t>
      </w:r>
      <w:r w:rsidRPr="000939E3">
        <w:t xml:space="preserve">. Dostupné online:. </w:t>
      </w:r>
      <w:hyperlink r:id="rId127" w:history="1">
        <w:r w:rsidRPr="000939E3">
          <w:rPr>
            <w:rStyle w:val="Hypertextovprepojenie"/>
          </w:rPr>
          <w:t>http://sku.sk/vyhodnotenie-dotaznika-ku-kariernemu-rastu-a-kreditovemu-systemu-zakon-c-317-2009/</w:t>
        </w:r>
      </w:hyperlink>
      <w:r w:rsidRPr="000939E3">
        <w:t xml:space="preserve"> </w:t>
      </w:r>
    </w:p>
    <w:p w14:paraId="62E92280" w14:textId="77777777" w:rsidR="00736480" w:rsidRPr="000939E3" w:rsidRDefault="00736480" w:rsidP="00736480">
      <w:r w:rsidRPr="000939E3">
        <w:t>STAROŇOVÁ, K., STAŇOVÁ, Ľ., SIČÁKOVÁ-BEBLAVÁ, E. 2014.</w:t>
      </w:r>
      <w:r w:rsidRPr="000939E3">
        <w:rPr>
          <w:i/>
        </w:rPr>
        <w:t xml:space="preserve"> Systémy štátnej služby. Koncepty a trendy</w:t>
      </w:r>
      <w:r w:rsidRPr="000939E3">
        <w:t>. Bratislava : Univerzita Komenského v Bratislave.</w:t>
      </w:r>
    </w:p>
    <w:p w14:paraId="24DD80B0" w14:textId="77777777" w:rsidR="00736480" w:rsidRPr="000939E3" w:rsidRDefault="00736480" w:rsidP="00736480">
      <w:r w:rsidRPr="000939E3">
        <w:t xml:space="preserve">ŠÚ SR, 2017. </w:t>
      </w:r>
      <w:r w:rsidRPr="000939E3">
        <w:rPr>
          <w:i/>
        </w:rPr>
        <w:t>Štruktúra miezd v SR v roku 2016.</w:t>
      </w:r>
      <w:r w:rsidRPr="000939E3">
        <w:t xml:space="preserve"> Bratislava : Štatistický úrad SR. </w:t>
      </w:r>
    </w:p>
    <w:p w14:paraId="609EA0E6" w14:textId="77777777" w:rsidR="00736480" w:rsidRPr="000939E3" w:rsidRDefault="00736480" w:rsidP="00736480">
      <w:r w:rsidRPr="000939E3">
        <w:t xml:space="preserve">ŠÚ SR, 2018. </w:t>
      </w:r>
      <w:r w:rsidRPr="000939E3">
        <w:rPr>
          <w:i/>
        </w:rPr>
        <w:t>Štruktúra miezd v SR v roku 2017.</w:t>
      </w:r>
      <w:r w:rsidRPr="000939E3">
        <w:t xml:space="preserve"> Bratislava : Štatistický úrad SR.</w:t>
      </w:r>
    </w:p>
    <w:p w14:paraId="408F83E7" w14:textId="38DD1ECC" w:rsidR="00736480" w:rsidRPr="000939E3" w:rsidRDefault="00736480" w:rsidP="00736480">
      <w:r w:rsidRPr="000939E3">
        <w:t xml:space="preserve">ÚRAD VLÁDY SR, 2017. </w:t>
      </w:r>
      <w:r w:rsidRPr="000939E3">
        <w:rPr>
          <w:i/>
        </w:rPr>
        <w:t>REMUNERATION AND BENEFITS IN CENTRAL GOVERNMENT CIVIL SERVICE IN THE EU MEMBERS STATES AND EUROPEAN COMMISSION</w:t>
      </w:r>
      <w:r w:rsidRPr="000939E3">
        <w:t xml:space="preserve">. Bratislava : Úrad vlády SR, 47 s. Dostupné online: </w:t>
      </w:r>
      <w:hyperlink r:id="rId128" w:history="1">
        <w:r w:rsidR="00764AB3" w:rsidRPr="000939E3">
          <w:rPr>
            <w:rStyle w:val="Hypertextovprepojenie"/>
          </w:rPr>
          <w:t>http://www.eupan.eu/files/repository/20171220100120_EUPAN_Remuneration_and_benefits_in_central_government_civil_service_in_eu_member_states_and_ec.pdf</w:t>
        </w:r>
      </w:hyperlink>
      <w:r w:rsidRPr="000939E3">
        <w:t xml:space="preserve">. </w:t>
      </w:r>
    </w:p>
    <w:p w14:paraId="5CC4016B" w14:textId="77777777" w:rsidR="00736480" w:rsidRPr="000939E3" w:rsidRDefault="00736480" w:rsidP="00736480">
      <w:r w:rsidRPr="000939E3">
        <w:t xml:space="preserve">VAN de WALLE, S., GROENEVELD, S. 2016. </w:t>
      </w:r>
      <w:r w:rsidRPr="000939E3">
        <w:rPr>
          <w:i/>
        </w:rPr>
        <w:t>Theory and Practice of Public Sector Reform.</w:t>
      </w:r>
      <w:r w:rsidRPr="000939E3">
        <w:t xml:space="preserve"> ROUTLEDGE.</w:t>
      </w:r>
    </w:p>
    <w:p w14:paraId="1B4ED324" w14:textId="6563FC48" w:rsidR="00F15101" w:rsidRPr="000939E3" w:rsidRDefault="00F15101" w:rsidP="00736480">
      <w:pPr>
        <w:autoSpaceDE w:val="0"/>
        <w:autoSpaceDN w:val="0"/>
        <w:adjustRightInd w:val="0"/>
        <w:rPr>
          <w:rFonts w:cs="SegoeUI"/>
        </w:rPr>
      </w:pPr>
      <w:r w:rsidRPr="000939E3">
        <w:rPr>
          <w:rFonts w:cs="SegoeUI"/>
        </w:rPr>
        <w:t xml:space="preserve">VEREJNÁ OCHRANKYŇA PRÁV, 2018. Systém kontroly v zariadeniach sociálnych služieb so zameraním na seniorov. </w:t>
      </w:r>
      <w:r w:rsidR="00323D03" w:rsidRPr="000939E3">
        <w:rPr>
          <w:rFonts w:cs="SegoeUI"/>
        </w:rPr>
        <w:t>Nepublikované.</w:t>
      </w:r>
    </w:p>
    <w:p w14:paraId="6677512B" w14:textId="77777777" w:rsidR="00736480" w:rsidRPr="000939E3" w:rsidRDefault="00736480" w:rsidP="00736480">
      <w:pPr>
        <w:autoSpaceDE w:val="0"/>
        <w:autoSpaceDN w:val="0"/>
        <w:adjustRightInd w:val="0"/>
        <w:rPr>
          <w:rFonts w:cs="SegoeUI"/>
        </w:rPr>
      </w:pPr>
      <w:r w:rsidRPr="000939E3">
        <w:rPr>
          <w:rFonts w:cs="SegoeUI"/>
        </w:rPr>
        <w:t xml:space="preserve">WEICHSELBAUMER, D., WINTER-EBMER, R. 2005, A Meta-Analysis of the International Gender Wage Gap. In </w:t>
      </w:r>
      <w:r w:rsidRPr="000939E3">
        <w:rPr>
          <w:rFonts w:cs="SegoeUI-Italic"/>
          <w:i/>
          <w:iCs/>
        </w:rPr>
        <w:t>Journal of Economic Surveys</w:t>
      </w:r>
      <w:r w:rsidRPr="000939E3">
        <w:rPr>
          <w:rFonts w:cs="SegoeUI"/>
        </w:rPr>
        <w:t>, Vol. 19, No. 3</w:t>
      </w:r>
    </w:p>
    <w:p w14:paraId="05337FD6" w14:textId="20BBA684" w:rsidR="00272BE3" w:rsidRPr="000939E3" w:rsidRDefault="00272BE3" w:rsidP="00736480">
      <w:pPr>
        <w:autoSpaceDE w:val="0"/>
        <w:autoSpaceDN w:val="0"/>
        <w:adjustRightInd w:val="0"/>
        <w:rPr>
          <w:rFonts w:cs="SegoeUI"/>
        </w:rPr>
      </w:pPr>
      <w:r w:rsidRPr="000939E3">
        <w:rPr>
          <w:rFonts w:cs="SegoeUI"/>
        </w:rPr>
        <w:t xml:space="preserve">WORLD BANK. 2007. </w:t>
      </w:r>
      <w:r w:rsidRPr="000939E3">
        <w:rPr>
          <w:rFonts w:cs="SegoeUI"/>
          <w:i/>
        </w:rPr>
        <w:t>Kyrgyz Republic Public Expenditure Review.</w:t>
      </w:r>
      <w:r w:rsidRPr="000939E3">
        <w:rPr>
          <w:rFonts w:cs="SegoeUI"/>
        </w:rPr>
        <w:t xml:space="preserve"> Washington : World Bank. Dostupné online: </w:t>
      </w:r>
      <w:hyperlink r:id="rId129" w:history="1">
        <w:r w:rsidRPr="000939E3">
          <w:rPr>
            <w:rStyle w:val="Hypertextovprepojenie"/>
            <w:rFonts w:cs="SegoeUI"/>
          </w:rPr>
          <w:t>http://www.worldbank.org/en/country/kyrgyzrepublic/publication/kyrgyz-republic-public-expenditure-review-2015</w:t>
        </w:r>
      </w:hyperlink>
      <w:r w:rsidRPr="000939E3">
        <w:rPr>
          <w:rFonts w:cs="SegoeUI"/>
        </w:rPr>
        <w:t xml:space="preserve"> </w:t>
      </w:r>
    </w:p>
    <w:p w14:paraId="4BB65DD2" w14:textId="77777777" w:rsidR="00736480" w:rsidRPr="000939E3" w:rsidRDefault="00736480" w:rsidP="00736480">
      <w:pPr>
        <w:autoSpaceDE w:val="0"/>
        <w:autoSpaceDN w:val="0"/>
        <w:adjustRightInd w:val="0"/>
        <w:spacing w:line="240" w:lineRule="auto"/>
      </w:pPr>
    </w:p>
    <w:p w14:paraId="221B755B" w14:textId="07DC46FC" w:rsidR="0044286D" w:rsidRPr="000939E3" w:rsidRDefault="0044286D" w:rsidP="0044286D">
      <w:pPr>
        <w:pStyle w:val="Nadpis1"/>
      </w:pPr>
      <w:bookmarkStart w:id="335" w:name="_Toc34050716"/>
      <w:r w:rsidRPr="000939E3">
        <w:t>Zoznam skratiek</w:t>
      </w:r>
      <w:bookmarkEnd w:id="335"/>
    </w:p>
    <w:tbl>
      <w:tblPr>
        <w:tblStyle w:val="Tabukasmriekou4zvraznenie11"/>
        <w:tblW w:w="4994" w:type="pct"/>
        <w:tblLook w:val="04A0" w:firstRow="1" w:lastRow="0" w:firstColumn="1" w:lastColumn="0" w:noHBand="0" w:noVBand="1"/>
      </w:tblPr>
      <w:tblGrid>
        <w:gridCol w:w="2688"/>
        <w:gridCol w:w="6361"/>
      </w:tblGrid>
      <w:tr w:rsidR="00135185" w:rsidRPr="000939E3" w14:paraId="79FF0C8B" w14:textId="77777777" w:rsidTr="008E3B2B">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1485" w:type="pct"/>
            <w:shd w:val="clear" w:color="auto" w:fill="9CC2E5" w:themeFill="accent1" w:themeFillTint="99"/>
            <w:noWrap/>
          </w:tcPr>
          <w:p w14:paraId="05404410" w14:textId="77777777" w:rsidR="00135185" w:rsidRPr="000939E3" w:rsidRDefault="00135185" w:rsidP="00135185">
            <w:pPr>
              <w:spacing w:after="0"/>
              <w:contextualSpacing/>
              <w:jc w:val="left"/>
              <w:rPr>
                <w:rFonts w:eastAsia="Times New Roman" w:cs="Times New Roman"/>
                <w:bCs w:val="0"/>
                <w:lang w:eastAsia="sk-SK"/>
              </w:rPr>
            </w:pPr>
            <w:r w:rsidRPr="000939E3">
              <w:rPr>
                <w:bCs w:val="0"/>
              </w:rPr>
              <w:t>Skratka</w:t>
            </w:r>
          </w:p>
        </w:tc>
        <w:tc>
          <w:tcPr>
            <w:tcW w:w="3515" w:type="pct"/>
            <w:shd w:val="clear" w:color="auto" w:fill="9CC2E5" w:themeFill="accent1" w:themeFillTint="99"/>
          </w:tcPr>
          <w:p w14:paraId="0D7FC6EC" w14:textId="77777777" w:rsidR="00135185" w:rsidRPr="000939E3" w:rsidRDefault="00135185" w:rsidP="00135185">
            <w:pPr>
              <w:spacing w:after="0"/>
              <w:contextualSpacing/>
              <w:jc w:val="left"/>
              <w:cnfStyle w:val="100000000000" w:firstRow="1" w:lastRow="0" w:firstColumn="0" w:lastColumn="0" w:oddVBand="0" w:evenVBand="0" w:oddHBand="0" w:evenHBand="0" w:firstRowFirstColumn="0" w:firstRowLastColumn="0" w:lastRowFirstColumn="0" w:lastRowLastColumn="0"/>
              <w:rPr>
                <w:rFonts w:eastAsia="Times New Roman" w:cs="Times New Roman"/>
                <w:lang w:eastAsia="sk-SK"/>
              </w:rPr>
            </w:pPr>
            <w:r w:rsidRPr="000939E3">
              <w:rPr>
                <w:bCs w:val="0"/>
              </w:rPr>
              <w:t>Popis</w:t>
            </w:r>
          </w:p>
        </w:tc>
      </w:tr>
      <w:tr w:rsidR="00135185" w:rsidRPr="000939E3" w14:paraId="1C1C2BC0"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48913545" w14:textId="77777777" w:rsidR="00135185" w:rsidRPr="000939E3" w:rsidRDefault="00135185" w:rsidP="00135185">
            <w:pPr>
              <w:spacing w:after="0"/>
              <w:contextualSpacing/>
              <w:rPr>
                <w:b w:val="0"/>
                <w:color w:val="000000"/>
              </w:rPr>
            </w:pPr>
            <w:r w:rsidRPr="000939E3">
              <w:rPr>
                <w:b w:val="0"/>
                <w:color w:val="000000"/>
              </w:rPr>
              <w:t>BA</w:t>
            </w:r>
          </w:p>
        </w:tc>
        <w:tc>
          <w:tcPr>
            <w:tcW w:w="3515" w:type="pct"/>
          </w:tcPr>
          <w:p w14:paraId="05B56CD0"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Bratislava</w:t>
            </w:r>
          </w:p>
        </w:tc>
      </w:tr>
      <w:tr w:rsidR="00135185" w:rsidRPr="000939E3" w14:paraId="78917002"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7FC72376"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BCG</w:t>
            </w:r>
          </w:p>
        </w:tc>
        <w:tc>
          <w:tcPr>
            <w:tcW w:w="3515" w:type="pct"/>
          </w:tcPr>
          <w:p w14:paraId="15A86759"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Boston Consulting Group</w:t>
            </w:r>
          </w:p>
        </w:tc>
      </w:tr>
      <w:tr w:rsidR="00135185" w:rsidRPr="000939E3" w14:paraId="7BD4EE7B"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7E830325"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BOZP</w:t>
            </w:r>
          </w:p>
        </w:tc>
        <w:tc>
          <w:tcPr>
            <w:tcW w:w="3515" w:type="pct"/>
          </w:tcPr>
          <w:p w14:paraId="031C9D8D"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Bezpečnosť a ochrana zdravia pri práci</w:t>
            </w:r>
          </w:p>
        </w:tc>
      </w:tr>
      <w:tr w:rsidR="00135185" w:rsidRPr="000939E3" w14:paraId="134DEDB0"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32CDD0BC"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CES</w:t>
            </w:r>
          </w:p>
        </w:tc>
        <w:tc>
          <w:tcPr>
            <w:tcW w:w="3515" w:type="pct"/>
          </w:tcPr>
          <w:p w14:paraId="1CCD8401"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 xml:space="preserve">Centrálny ekonomický systém </w:t>
            </w:r>
          </w:p>
        </w:tc>
      </w:tr>
      <w:tr w:rsidR="00135185" w:rsidRPr="000939E3" w14:paraId="35685EFA"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2FA42BD1"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CELSI</w:t>
            </w:r>
          </w:p>
        </w:tc>
        <w:tc>
          <w:tcPr>
            <w:tcW w:w="3515" w:type="pct"/>
          </w:tcPr>
          <w:p w14:paraId="4831B137"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Stredoeurópsky inštitút pre výskum práce</w:t>
            </w:r>
          </w:p>
        </w:tc>
      </w:tr>
      <w:tr w:rsidR="00135185" w:rsidRPr="000939E3" w14:paraId="5FD0D3E3"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010680D"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CEPEJ</w:t>
            </w:r>
          </w:p>
        </w:tc>
        <w:tc>
          <w:tcPr>
            <w:tcW w:w="3515" w:type="pct"/>
          </w:tcPr>
          <w:p w14:paraId="10747C4A"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Komisia Rady Európy pre hodnotenie efektívnosti justície</w:t>
            </w:r>
          </w:p>
        </w:tc>
      </w:tr>
      <w:tr w:rsidR="00135185" w:rsidRPr="000939E3" w14:paraId="6F571F4F"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95D8B04"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CVTI</w:t>
            </w:r>
          </w:p>
        </w:tc>
        <w:tc>
          <w:tcPr>
            <w:tcW w:w="3515" w:type="pct"/>
          </w:tcPr>
          <w:p w14:paraId="44AB0121"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Centrum vedecko-technických informácií SR</w:t>
            </w:r>
          </w:p>
        </w:tc>
      </w:tr>
      <w:tr w:rsidR="00135185" w:rsidRPr="000939E3" w14:paraId="0EA9BDF0"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7C590F1C"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ČD</w:t>
            </w:r>
          </w:p>
        </w:tc>
        <w:tc>
          <w:tcPr>
            <w:tcW w:w="3515" w:type="pct"/>
          </w:tcPr>
          <w:p w14:paraId="7FA59749"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České dráhy</w:t>
            </w:r>
          </w:p>
        </w:tc>
      </w:tr>
      <w:tr w:rsidR="00135185" w:rsidRPr="000939E3" w14:paraId="6B8E82CB"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20E861C1"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ČR</w:t>
            </w:r>
          </w:p>
        </w:tc>
        <w:tc>
          <w:tcPr>
            <w:tcW w:w="3515" w:type="pct"/>
          </w:tcPr>
          <w:p w14:paraId="0DFADA1F"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Česká republika</w:t>
            </w:r>
          </w:p>
        </w:tc>
      </w:tr>
      <w:tr w:rsidR="00135185" w:rsidRPr="000939E3" w14:paraId="248763CD"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553C940A"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ČSÚ</w:t>
            </w:r>
          </w:p>
        </w:tc>
        <w:tc>
          <w:tcPr>
            <w:tcW w:w="3515" w:type="pct"/>
          </w:tcPr>
          <w:p w14:paraId="10082BDC"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Český statistický úřad</w:t>
            </w:r>
          </w:p>
        </w:tc>
      </w:tr>
      <w:tr w:rsidR="00135185" w:rsidRPr="000939E3" w14:paraId="37119455"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790C70E2"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DRG</w:t>
            </w:r>
          </w:p>
        </w:tc>
        <w:tc>
          <w:tcPr>
            <w:tcW w:w="3515" w:type="pct"/>
          </w:tcPr>
          <w:p w14:paraId="6D537DE4"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Diagnosis-related Groups - platba za diagnózu</w:t>
            </w:r>
          </w:p>
        </w:tc>
      </w:tr>
      <w:tr w:rsidR="00135185" w:rsidRPr="000939E3" w14:paraId="033B0A76"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38744823"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EK</w:t>
            </w:r>
          </w:p>
        </w:tc>
        <w:tc>
          <w:tcPr>
            <w:tcW w:w="3515" w:type="pct"/>
          </w:tcPr>
          <w:p w14:paraId="60003696"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Európska Komisia</w:t>
            </w:r>
          </w:p>
        </w:tc>
      </w:tr>
      <w:tr w:rsidR="00135185" w:rsidRPr="000939E3" w14:paraId="51B2578B"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B0D0EE9"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EKRK</w:t>
            </w:r>
          </w:p>
        </w:tc>
        <w:tc>
          <w:tcPr>
            <w:tcW w:w="3515" w:type="pct"/>
          </w:tcPr>
          <w:p w14:paraId="0F01C369"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Ekonomická klasifikácia rozpočtovej klasifikácie</w:t>
            </w:r>
          </w:p>
        </w:tc>
      </w:tr>
      <w:tr w:rsidR="00135185" w:rsidRPr="000939E3" w14:paraId="05A155AE"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41D55A3B"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EP</w:t>
            </w:r>
          </w:p>
        </w:tc>
        <w:tc>
          <w:tcPr>
            <w:tcW w:w="3515" w:type="pct"/>
          </w:tcPr>
          <w:p w14:paraId="30F36CCA"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Európsky parlament</w:t>
            </w:r>
          </w:p>
        </w:tc>
      </w:tr>
      <w:tr w:rsidR="00135185" w:rsidRPr="000939E3" w14:paraId="69845CB5"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960B4F4"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ES</w:t>
            </w:r>
          </w:p>
        </w:tc>
        <w:tc>
          <w:tcPr>
            <w:tcW w:w="3515" w:type="pct"/>
          </w:tcPr>
          <w:p w14:paraId="2E0AA5B8"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Európske spoločenstvo</w:t>
            </w:r>
          </w:p>
        </w:tc>
      </w:tr>
      <w:tr w:rsidR="00135185" w:rsidRPr="000939E3" w14:paraId="0F50B563"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5E575EE"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ESA 2010</w:t>
            </w:r>
          </w:p>
        </w:tc>
        <w:tc>
          <w:tcPr>
            <w:tcW w:w="3515" w:type="pct"/>
          </w:tcPr>
          <w:p w14:paraId="1EE9EDB3"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Európsky systém národných a regionálnych účtov</w:t>
            </w:r>
          </w:p>
        </w:tc>
      </w:tr>
      <w:tr w:rsidR="00135185" w:rsidRPr="000939E3" w14:paraId="65BB9C53"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264B43C6"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EÚ</w:t>
            </w:r>
          </w:p>
        </w:tc>
        <w:tc>
          <w:tcPr>
            <w:tcW w:w="3515" w:type="pct"/>
          </w:tcPr>
          <w:p w14:paraId="3073CE3C"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Európska Únia</w:t>
            </w:r>
          </w:p>
        </w:tc>
      </w:tr>
      <w:tr w:rsidR="00135185" w:rsidRPr="000939E3" w14:paraId="39FB98F2"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96915C2"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FSEV UK</w:t>
            </w:r>
          </w:p>
        </w:tc>
        <w:tc>
          <w:tcPr>
            <w:tcW w:w="3515" w:type="pct"/>
          </w:tcPr>
          <w:p w14:paraId="7F74AC1C"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Fakulta sociálnych a ekonomických vied UK</w:t>
            </w:r>
          </w:p>
        </w:tc>
      </w:tr>
      <w:tr w:rsidR="00135185" w:rsidRPr="000939E3" w14:paraId="10777361"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4274F9D"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FTE</w:t>
            </w:r>
          </w:p>
        </w:tc>
        <w:tc>
          <w:tcPr>
            <w:tcW w:w="3515" w:type="pct"/>
          </w:tcPr>
          <w:p w14:paraId="7325E963"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Ekvivalent plného pracovného času</w:t>
            </w:r>
          </w:p>
        </w:tc>
      </w:tr>
      <w:tr w:rsidR="00135185" w:rsidRPr="000939E3" w14:paraId="2073103F"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5191FFD1"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GTSÚ</w:t>
            </w:r>
          </w:p>
        </w:tc>
        <w:tc>
          <w:tcPr>
            <w:tcW w:w="3515" w:type="pct"/>
          </w:tcPr>
          <w:p w14:paraId="690FDBE0"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Generálny tajomník služobného úradu</w:t>
            </w:r>
          </w:p>
        </w:tc>
      </w:tr>
      <w:tr w:rsidR="00135185" w:rsidRPr="000939E3" w14:paraId="64E0325C"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7942FBA1"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HDP</w:t>
            </w:r>
          </w:p>
        </w:tc>
        <w:tc>
          <w:tcPr>
            <w:tcW w:w="3515" w:type="pct"/>
          </w:tcPr>
          <w:p w14:paraId="19BC38EA"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Hrubý domáci produkt</w:t>
            </w:r>
          </w:p>
        </w:tc>
      </w:tr>
      <w:tr w:rsidR="00135185" w:rsidRPr="000939E3" w14:paraId="720E253A"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7F8ECF6"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HZZ</w:t>
            </w:r>
          </w:p>
        </w:tc>
        <w:tc>
          <w:tcPr>
            <w:tcW w:w="3515" w:type="pct"/>
          </w:tcPr>
          <w:p w14:paraId="73A73E4E"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Hasičský a záchranársky zbor</w:t>
            </w:r>
          </w:p>
        </w:tc>
      </w:tr>
      <w:tr w:rsidR="00135185" w:rsidRPr="000939E3" w14:paraId="1CF49D54"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23B71BAE"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IEP</w:t>
            </w:r>
          </w:p>
        </w:tc>
        <w:tc>
          <w:tcPr>
            <w:tcW w:w="3515" w:type="pct"/>
          </w:tcPr>
          <w:p w14:paraId="42ADB48F"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Inštitút environmentálnej politiky</w:t>
            </w:r>
          </w:p>
        </w:tc>
      </w:tr>
      <w:tr w:rsidR="00135185" w:rsidRPr="000939E3" w14:paraId="201FEF6A"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F446F03"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IFP</w:t>
            </w:r>
          </w:p>
        </w:tc>
        <w:tc>
          <w:tcPr>
            <w:tcW w:w="3515" w:type="pct"/>
          </w:tcPr>
          <w:p w14:paraId="2F63BB94"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Inštitút finančnej politiky</w:t>
            </w:r>
          </w:p>
        </w:tc>
      </w:tr>
      <w:tr w:rsidR="00135185" w:rsidRPr="000939E3" w14:paraId="3899112A"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4307666"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IKT</w:t>
            </w:r>
          </w:p>
        </w:tc>
        <w:tc>
          <w:tcPr>
            <w:tcW w:w="3515" w:type="pct"/>
          </w:tcPr>
          <w:p w14:paraId="523AE612"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Informačné a komunikačné technológie</w:t>
            </w:r>
          </w:p>
        </w:tc>
      </w:tr>
      <w:tr w:rsidR="00135185" w:rsidRPr="000939E3" w14:paraId="420EFE8E"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3343CD1"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ILO</w:t>
            </w:r>
          </w:p>
        </w:tc>
        <w:tc>
          <w:tcPr>
            <w:tcW w:w="3515" w:type="pct"/>
          </w:tcPr>
          <w:p w14:paraId="660DFF7B"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Medzinárodná organizácia práce</w:t>
            </w:r>
          </w:p>
        </w:tc>
      </w:tr>
      <w:tr w:rsidR="00135185" w:rsidRPr="000939E3" w14:paraId="75A218B8"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54486480"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IMF</w:t>
            </w:r>
          </w:p>
        </w:tc>
        <w:tc>
          <w:tcPr>
            <w:tcW w:w="3515" w:type="pct"/>
          </w:tcPr>
          <w:p w14:paraId="7844774F"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Medzinárodný menový fond</w:t>
            </w:r>
          </w:p>
        </w:tc>
      </w:tr>
      <w:tr w:rsidR="00135185" w:rsidRPr="000939E3" w14:paraId="5E694337"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69B30F8"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ISCO</w:t>
            </w:r>
          </w:p>
        </w:tc>
        <w:tc>
          <w:tcPr>
            <w:tcW w:w="3515" w:type="pct"/>
          </w:tcPr>
          <w:p w14:paraId="6AB28A1C"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Medzinárodná štatistická klasifikácia zamestnaní</w:t>
            </w:r>
          </w:p>
        </w:tc>
      </w:tr>
      <w:tr w:rsidR="00135185" w:rsidRPr="000939E3" w14:paraId="1003230B"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744762B"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ISCP</w:t>
            </w:r>
          </w:p>
        </w:tc>
        <w:tc>
          <w:tcPr>
            <w:tcW w:w="3515" w:type="pct"/>
          </w:tcPr>
          <w:p w14:paraId="6875F349"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Informačný systém o cene práce</w:t>
            </w:r>
          </w:p>
        </w:tc>
      </w:tr>
      <w:tr w:rsidR="00135185" w:rsidRPr="000939E3" w14:paraId="34FA6240"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3642992"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IT</w:t>
            </w:r>
          </w:p>
        </w:tc>
        <w:tc>
          <w:tcPr>
            <w:tcW w:w="3515" w:type="pct"/>
          </w:tcPr>
          <w:p w14:paraId="149BB84F"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Informačné technológie</w:t>
            </w:r>
          </w:p>
        </w:tc>
      </w:tr>
      <w:tr w:rsidR="00135185" w:rsidRPr="000939E3" w14:paraId="06279EB0"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49809E5"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IVP</w:t>
            </w:r>
          </w:p>
        </w:tc>
        <w:tc>
          <w:tcPr>
            <w:tcW w:w="3515" w:type="pct"/>
          </w:tcPr>
          <w:p w14:paraId="57C04518"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Inštitút vzdelávacej politiky</w:t>
            </w:r>
          </w:p>
        </w:tc>
      </w:tr>
      <w:tr w:rsidR="00135185" w:rsidRPr="000939E3" w14:paraId="2080EECC"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38FF67CE"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IZP</w:t>
            </w:r>
          </w:p>
        </w:tc>
        <w:tc>
          <w:tcPr>
            <w:tcW w:w="3515" w:type="pct"/>
          </w:tcPr>
          <w:p w14:paraId="393E2792"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Inštitút zdravotnej politiky</w:t>
            </w:r>
          </w:p>
        </w:tc>
      </w:tr>
      <w:tr w:rsidR="00135185" w:rsidRPr="000939E3" w14:paraId="3935C920"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D55CB06"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KOZ</w:t>
            </w:r>
          </w:p>
        </w:tc>
        <w:tc>
          <w:tcPr>
            <w:tcW w:w="3515" w:type="pct"/>
          </w:tcPr>
          <w:p w14:paraId="2F5A6086"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Konfederácia odborových zväzov</w:t>
            </w:r>
          </w:p>
        </w:tc>
      </w:tr>
      <w:tr w:rsidR="00135185" w:rsidRPr="000939E3" w14:paraId="03BA9D9A"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5F719F4C"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MDaV SR</w:t>
            </w:r>
          </w:p>
        </w:tc>
        <w:tc>
          <w:tcPr>
            <w:tcW w:w="3515" w:type="pct"/>
          </w:tcPr>
          <w:p w14:paraId="24F91C2D"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Ministerstvo dopravy a výstavby Slovenskej republiky</w:t>
            </w:r>
          </w:p>
        </w:tc>
      </w:tr>
      <w:tr w:rsidR="00135185" w:rsidRPr="000939E3" w14:paraId="2323381D"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293CD9B7"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MF SR</w:t>
            </w:r>
          </w:p>
        </w:tc>
        <w:tc>
          <w:tcPr>
            <w:tcW w:w="3515" w:type="pct"/>
          </w:tcPr>
          <w:p w14:paraId="1E7900DF"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Ministerstvo financií Slovenskej republiky</w:t>
            </w:r>
          </w:p>
        </w:tc>
      </w:tr>
      <w:tr w:rsidR="00135185" w:rsidRPr="000939E3" w14:paraId="5AA8A163"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92C86DB"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MH SR</w:t>
            </w:r>
          </w:p>
        </w:tc>
        <w:tc>
          <w:tcPr>
            <w:tcW w:w="3515" w:type="pct"/>
          </w:tcPr>
          <w:p w14:paraId="5C3E3CA0"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Ministerstvo hospodárstva Slovenskej republiky</w:t>
            </w:r>
          </w:p>
        </w:tc>
      </w:tr>
      <w:tr w:rsidR="00135185" w:rsidRPr="000939E3" w14:paraId="03B04748"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24435F3"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MK SR</w:t>
            </w:r>
          </w:p>
        </w:tc>
        <w:tc>
          <w:tcPr>
            <w:tcW w:w="3515" w:type="pct"/>
          </w:tcPr>
          <w:p w14:paraId="5DD65CBB"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Ministerstvo kultúry Slovenskej republiky</w:t>
            </w:r>
          </w:p>
        </w:tc>
      </w:tr>
      <w:tr w:rsidR="00135185" w:rsidRPr="000939E3" w14:paraId="1A209A4E"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CAB445D"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MMN</w:t>
            </w:r>
          </w:p>
        </w:tc>
        <w:tc>
          <w:tcPr>
            <w:tcW w:w="3515" w:type="pct"/>
          </w:tcPr>
          <w:p w14:paraId="716A67E4"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Minimálne mzdové nároky</w:t>
            </w:r>
          </w:p>
        </w:tc>
      </w:tr>
      <w:tr w:rsidR="00135185" w:rsidRPr="000939E3" w14:paraId="129C4578"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FCC5B34"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MO SR</w:t>
            </w:r>
          </w:p>
        </w:tc>
        <w:tc>
          <w:tcPr>
            <w:tcW w:w="3515" w:type="pct"/>
          </w:tcPr>
          <w:p w14:paraId="0DD3D4ED"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Ministerstvo obrany Slovenskej republiky</w:t>
            </w:r>
          </w:p>
        </w:tc>
      </w:tr>
      <w:tr w:rsidR="00135185" w:rsidRPr="000939E3" w14:paraId="7347983C"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021B702"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MPRV SR</w:t>
            </w:r>
          </w:p>
        </w:tc>
        <w:tc>
          <w:tcPr>
            <w:tcW w:w="3515" w:type="pct"/>
          </w:tcPr>
          <w:p w14:paraId="787673DB"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Ministerstvo pôdohospodárstva a rozvoja vidieka Slovenskej republiky</w:t>
            </w:r>
          </w:p>
        </w:tc>
      </w:tr>
      <w:tr w:rsidR="00135185" w:rsidRPr="000939E3" w14:paraId="7B913DDB"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CA8236B"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MPSVaR SR</w:t>
            </w:r>
          </w:p>
        </w:tc>
        <w:tc>
          <w:tcPr>
            <w:tcW w:w="3515" w:type="pct"/>
          </w:tcPr>
          <w:p w14:paraId="79638FD1"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Ministerstvo práce, sociálnych vecí a rodiny Slovenskej republiky</w:t>
            </w:r>
          </w:p>
        </w:tc>
      </w:tr>
      <w:tr w:rsidR="00135185" w:rsidRPr="000939E3" w14:paraId="60DDAD3A"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DFF015C"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MS SR</w:t>
            </w:r>
          </w:p>
        </w:tc>
        <w:tc>
          <w:tcPr>
            <w:tcW w:w="3515" w:type="pct"/>
          </w:tcPr>
          <w:p w14:paraId="0AE3D136"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Ministerstvo spravodlivosti Slovenskej republiky</w:t>
            </w:r>
          </w:p>
        </w:tc>
      </w:tr>
      <w:tr w:rsidR="00135185" w:rsidRPr="000939E3" w14:paraId="6FE326AA"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334B7525"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MŠ</w:t>
            </w:r>
          </w:p>
        </w:tc>
        <w:tc>
          <w:tcPr>
            <w:tcW w:w="3515" w:type="pct"/>
          </w:tcPr>
          <w:p w14:paraId="70D9D592"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Materská škola</w:t>
            </w:r>
          </w:p>
        </w:tc>
      </w:tr>
      <w:tr w:rsidR="00135185" w:rsidRPr="000939E3" w14:paraId="430DF608"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784F45DC"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MŠVVaŠ SR</w:t>
            </w:r>
          </w:p>
        </w:tc>
        <w:tc>
          <w:tcPr>
            <w:tcW w:w="3515" w:type="pct"/>
          </w:tcPr>
          <w:p w14:paraId="1437FDBD"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Ministerstvo školstva, vedy, výskumu a športu Slovenskej republiky</w:t>
            </w:r>
          </w:p>
        </w:tc>
      </w:tr>
      <w:tr w:rsidR="00135185" w:rsidRPr="000939E3" w14:paraId="758C11EF"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9A4577E"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MV SR</w:t>
            </w:r>
          </w:p>
        </w:tc>
        <w:tc>
          <w:tcPr>
            <w:tcW w:w="3515" w:type="pct"/>
          </w:tcPr>
          <w:p w14:paraId="00BD344D"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Ministerstvo vnútra Slovenskej republiky</w:t>
            </w:r>
          </w:p>
        </w:tc>
      </w:tr>
      <w:tr w:rsidR="00135185" w:rsidRPr="000939E3" w14:paraId="68DD6CD3"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9990539"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MZ SR</w:t>
            </w:r>
          </w:p>
        </w:tc>
        <w:tc>
          <w:tcPr>
            <w:tcW w:w="3515" w:type="pct"/>
          </w:tcPr>
          <w:p w14:paraId="1E6A236A"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Ministerstvo zdravotníctva Slovenskej republiky</w:t>
            </w:r>
          </w:p>
        </w:tc>
      </w:tr>
      <w:tr w:rsidR="00135185" w:rsidRPr="000939E3" w14:paraId="0409C2B4"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1A4DA42"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MZVaEU SR</w:t>
            </w:r>
          </w:p>
        </w:tc>
        <w:tc>
          <w:tcPr>
            <w:tcW w:w="3515" w:type="pct"/>
          </w:tcPr>
          <w:p w14:paraId="7C55D643"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 xml:space="preserve">Ministerstvo zahraničných vecí a európskych záležitostí Slovenskej republiky </w:t>
            </w:r>
          </w:p>
        </w:tc>
      </w:tr>
      <w:tr w:rsidR="00135185" w:rsidRPr="000939E3" w14:paraId="4AA1B864"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57F1856"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MŽP SR</w:t>
            </w:r>
          </w:p>
        </w:tc>
        <w:tc>
          <w:tcPr>
            <w:tcW w:w="3515" w:type="pct"/>
          </w:tcPr>
          <w:p w14:paraId="77D53D68"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Ministerstvo životného prostredia Slovenskej republiky</w:t>
            </w:r>
          </w:p>
        </w:tc>
      </w:tr>
      <w:tr w:rsidR="00135185" w:rsidRPr="000939E3" w14:paraId="2E49AE92"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392BA6AD"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NACE</w:t>
            </w:r>
          </w:p>
        </w:tc>
        <w:tc>
          <w:tcPr>
            <w:tcW w:w="3515" w:type="pct"/>
          </w:tcPr>
          <w:p w14:paraId="5AA60639"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Štatistická klasifikácia ekonomických činností</w:t>
            </w:r>
          </w:p>
        </w:tc>
      </w:tr>
      <w:tr w:rsidR="00135185" w:rsidRPr="000939E3" w14:paraId="62FBA42B"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5BBAE629"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NASES</w:t>
            </w:r>
          </w:p>
        </w:tc>
        <w:tc>
          <w:tcPr>
            <w:tcW w:w="3515" w:type="pct"/>
          </w:tcPr>
          <w:p w14:paraId="2C1CABE8"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Národná agentúra pre sieťové a elektronické služby</w:t>
            </w:r>
          </w:p>
        </w:tc>
      </w:tr>
      <w:tr w:rsidR="00135185" w:rsidRPr="000939E3" w14:paraId="7B20D1AE"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AD5EAFF"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NATO</w:t>
            </w:r>
          </w:p>
        </w:tc>
        <w:tc>
          <w:tcPr>
            <w:tcW w:w="3515" w:type="pct"/>
          </w:tcPr>
          <w:p w14:paraId="2BA52FA0"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t>Severo-atlantická aliancia</w:t>
            </w:r>
          </w:p>
        </w:tc>
      </w:tr>
      <w:tr w:rsidR="00135185" w:rsidRPr="000939E3" w14:paraId="3B347C95"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35190822"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NBS</w:t>
            </w:r>
          </w:p>
        </w:tc>
        <w:tc>
          <w:tcPr>
            <w:tcW w:w="3515" w:type="pct"/>
          </w:tcPr>
          <w:p w14:paraId="1C59C703"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Národná banka Slovenska</w:t>
            </w:r>
          </w:p>
        </w:tc>
      </w:tr>
      <w:tr w:rsidR="00135185" w:rsidRPr="000939E3" w14:paraId="4241C93D"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79C2656"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NCZI</w:t>
            </w:r>
          </w:p>
        </w:tc>
        <w:tc>
          <w:tcPr>
            <w:tcW w:w="3515" w:type="pct"/>
          </w:tcPr>
          <w:p w14:paraId="6C7792A6"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Národné centrum zdravotníckych informácií</w:t>
            </w:r>
          </w:p>
        </w:tc>
      </w:tr>
      <w:tr w:rsidR="00135185" w:rsidRPr="000939E3" w14:paraId="37BDB027"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70D20864"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NIP</w:t>
            </w:r>
          </w:p>
        </w:tc>
        <w:tc>
          <w:tcPr>
            <w:tcW w:w="3515" w:type="pct"/>
          </w:tcPr>
          <w:p w14:paraId="4498DF5C"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Národný inšpektorát práce</w:t>
            </w:r>
          </w:p>
        </w:tc>
      </w:tr>
      <w:tr w:rsidR="00135185" w:rsidRPr="000939E3" w14:paraId="77582DAC"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31B98F2"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NPRVaV</w:t>
            </w:r>
          </w:p>
        </w:tc>
        <w:tc>
          <w:tcPr>
            <w:tcW w:w="3515" w:type="pct"/>
          </w:tcPr>
          <w:p w14:paraId="54C7280C"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Národný program výchovy a vzdelávania</w:t>
            </w:r>
          </w:p>
        </w:tc>
      </w:tr>
      <w:tr w:rsidR="00135185" w:rsidRPr="000939E3" w14:paraId="2E67855A"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CDD241C"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NR SR</w:t>
            </w:r>
          </w:p>
        </w:tc>
        <w:tc>
          <w:tcPr>
            <w:tcW w:w="3515" w:type="pct"/>
          </w:tcPr>
          <w:p w14:paraId="1ABF0D22"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Národná rada Slovenskej republiky</w:t>
            </w:r>
          </w:p>
        </w:tc>
      </w:tr>
      <w:tr w:rsidR="00135185" w:rsidRPr="000939E3" w14:paraId="1FCAA52A"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5473A9C8"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OECD</w:t>
            </w:r>
          </w:p>
        </w:tc>
        <w:tc>
          <w:tcPr>
            <w:tcW w:w="3515" w:type="pct"/>
          </w:tcPr>
          <w:p w14:paraId="7445408F"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Organizácia pre hospodársku spoluprácu a rozvoj</w:t>
            </w:r>
          </w:p>
        </w:tc>
      </w:tr>
      <w:tr w:rsidR="00135185" w:rsidRPr="000939E3" w14:paraId="0DD6EBED"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3C2EEF6F"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ONS</w:t>
            </w:r>
          </w:p>
        </w:tc>
        <w:tc>
          <w:tcPr>
            <w:tcW w:w="3515" w:type="pct"/>
          </w:tcPr>
          <w:p w14:paraId="6FA4517C"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 xml:space="preserve">Britský štatistický úrad </w:t>
            </w:r>
          </w:p>
        </w:tc>
      </w:tr>
      <w:tr w:rsidR="00135185" w:rsidRPr="000939E3" w14:paraId="07535452"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925898A"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OP II</w:t>
            </w:r>
          </w:p>
        </w:tc>
        <w:tc>
          <w:tcPr>
            <w:tcW w:w="3515" w:type="pct"/>
          </w:tcPr>
          <w:p w14:paraId="001A2D95"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Operačný program Integrovaná infraštruktúra</w:t>
            </w:r>
          </w:p>
        </w:tc>
      </w:tr>
      <w:tr w:rsidR="00135185" w:rsidRPr="000939E3" w14:paraId="674C6091"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22D68132"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OS</w:t>
            </w:r>
          </w:p>
        </w:tc>
        <w:tc>
          <w:tcPr>
            <w:tcW w:w="3515" w:type="pct"/>
          </w:tcPr>
          <w:p w14:paraId="1A270DE2"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Očakávaná skutočnosť</w:t>
            </w:r>
          </w:p>
        </w:tc>
      </w:tr>
      <w:tr w:rsidR="00135185" w:rsidRPr="000939E3" w14:paraId="64E6D437"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78218B7A"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PIAAC</w:t>
            </w:r>
          </w:p>
        </w:tc>
        <w:tc>
          <w:tcPr>
            <w:tcW w:w="3515" w:type="pct"/>
          </w:tcPr>
          <w:p w14:paraId="39F0C5F3"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Program medzinárodného hodnotenia kompetencií dospelých</w:t>
            </w:r>
          </w:p>
        </w:tc>
      </w:tr>
      <w:tr w:rsidR="00135185" w:rsidRPr="000939E3" w14:paraId="0D5512C2"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6683320"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PISA</w:t>
            </w:r>
          </w:p>
        </w:tc>
        <w:tc>
          <w:tcPr>
            <w:tcW w:w="3515" w:type="pct"/>
          </w:tcPr>
          <w:p w14:paraId="667E10BD"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Program medzinárodného hodnotenia žiakov</w:t>
            </w:r>
          </w:p>
        </w:tc>
      </w:tr>
      <w:tr w:rsidR="00135185" w:rsidRPr="000939E3" w14:paraId="6F233652"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3BD45C4"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PN</w:t>
            </w:r>
          </w:p>
        </w:tc>
        <w:tc>
          <w:tcPr>
            <w:tcW w:w="3515" w:type="pct"/>
          </w:tcPr>
          <w:p w14:paraId="5F2A26E6"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Práceneschopnosť</w:t>
            </w:r>
          </w:p>
        </w:tc>
      </w:tr>
      <w:tr w:rsidR="00135185" w:rsidRPr="000939E3" w14:paraId="7FDA9E9E"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34E7CFCA"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PRO</w:t>
            </w:r>
          </w:p>
        </w:tc>
        <w:tc>
          <w:tcPr>
            <w:tcW w:w="3515" w:type="pct"/>
          </w:tcPr>
          <w:p w14:paraId="3C1B56B8"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Príspevkové a rozpočtové organizácie</w:t>
            </w:r>
          </w:p>
        </w:tc>
      </w:tr>
      <w:tr w:rsidR="00135185" w:rsidRPr="000939E3" w14:paraId="7A0CB83E"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1040212"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RIS</w:t>
            </w:r>
          </w:p>
        </w:tc>
        <w:tc>
          <w:tcPr>
            <w:tcW w:w="3515" w:type="pct"/>
          </w:tcPr>
          <w:p w14:paraId="11D02AF5"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Rozpočtový a informačný systém</w:t>
            </w:r>
          </w:p>
        </w:tc>
      </w:tr>
      <w:tr w:rsidR="00135185" w:rsidRPr="000939E3" w14:paraId="3197AFDC"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5505138D"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RŠ</w:t>
            </w:r>
          </w:p>
        </w:tc>
        <w:tc>
          <w:tcPr>
            <w:tcW w:w="3515" w:type="pct"/>
          </w:tcPr>
          <w:p w14:paraId="3ECBF58B"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Regionálne školstvo</w:t>
            </w:r>
          </w:p>
        </w:tc>
      </w:tr>
      <w:tr w:rsidR="00135185" w:rsidRPr="000939E3" w14:paraId="721709B2"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23426703"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SAV</w:t>
            </w:r>
          </w:p>
        </w:tc>
        <w:tc>
          <w:tcPr>
            <w:tcW w:w="3515" w:type="pct"/>
          </w:tcPr>
          <w:p w14:paraId="45769AA2"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Slovenská Akadémia Vied</w:t>
            </w:r>
          </w:p>
        </w:tc>
      </w:tr>
      <w:tr w:rsidR="00135185" w:rsidRPr="000939E3" w14:paraId="3F5E088B"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78DBF17D"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SES</w:t>
            </w:r>
          </w:p>
        </w:tc>
        <w:tc>
          <w:tcPr>
            <w:tcW w:w="3515" w:type="pct"/>
          </w:tcPr>
          <w:p w14:paraId="28CC441E"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Prieskum o štruktúre miezd</w:t>
            </w:r>
          </w:p>
        </w:tc>
      </w:tr>
      <w:tr w:rsidR="00135185" w:rsidRPr="000939E3" w14:paraId="300C97F0"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57A8794"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SK</w:t>
            </w:r>
          </w:p>
        </w:tc>
        <w:tc>
          <w:tcPr>
            <w:tcW w:w="3515" w:type="pct"/>
          </w:tcPr>
          <w:p w14:paraId="18AFEC65"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Slovensko</w:t>
            </w:r>
          </w:p>
        </w:tc>
      </w:tr>
      <w:tr w:rsidR="00135185" w:rsidRPr="000939E3" w14:paraId="1402CE35"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E2DA355"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SKU</w:t>
            </w:r>
          </w:p>
        </w:tc>
        <w:tc>
          <w:tcPr>
            <w:tcW w:w="3515" w:type="pct"/>
          </w:tcPr>
          <w:p w14:paraId="67DFE937"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Slovenská komora učiteľov</w:t>
            </w:r>
          </w:p>
        </w:tc>
      </w:tr>
      <w:tr w:rsidR="00135185" w:rsidRPr="000939E3" w14:paraId="53FDAABE"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4AAD77F5"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SOŠ</w:t>
            </w:r>
          </w:p>
        </w:tc>
        <w:tc>
          <w:tcPr>
            <w:tcW w:w="3515" w:type="pct"/>
          </w:tcPr>
          <w:p w14:paraId="7BDFCE63"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Stredné odborné školy</w:t>
            </w:r>
          </w:p>
        </w:tc>
      </w:tr>
      <w:tr w:rsidR="00135185" w:rsidRPr="000939E3" w14:paraId="556A3C96"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458C21C0"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SP</w:t>
            </w:r>
          </w:p>
        </w:tc>
        <w:tc>
          <w:tcPr>
            <w:tcW w:w="3515" w:type="pct"/>
          </w:tcPr>
          <w:p w14:paraId="2BF79DB7"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Sociálna poisťovňa</w:t>
            </w:r>
          </w:p>
        </w:tc>
      </w:tr>
      <w:tr w:rsidR="00135185" w:rsidRPr="000939E3" w14:paraId="0F488583"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7A32ECA"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SR</w:t>
            </w:r>
          </w:p>
        </w:tc>
        <w:tc>
          <w:tcPr>
            <w:tcW w:w="3515" w:type="pct"/>
          </w:tcPr>
          <w:p w14:paraId="7A46F596"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Slovenská republika</w:t>
            </w:r>
          </w:p>
        </w:tc>
      </w:tr>
      <w:tr w:rsidR="00135185" w:rsidRPr="000939E3" w14:paraId="1B8A9493"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C36BC8B"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SRP</w:t>
            </w:r>
          </w:p>
        </w:tc>
        <w:tc>
          <w:tcPr>
            <w:tcW w:w="3515" w:type="pct"/>
          </w:tcPr>
          <w:p w14:paraId="0AEC050E"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Sekcia rozpočtovej politiky MF SR</w:t>
            </w:r>
          </w:p>
        </w:tc>
      </w:tr>
      <w:tr w:rsidR="00135185" w:rsidRPr="000939E3" w14:paraId="3CE53715"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2E727E81"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SŠ</w:t>
            </w:r>
          </w:p>
        </w:tc>
        <w:tc>
          <w:tcPr>
            <w:tcW w:w="3515" w:type="pct"/>
          </w:tcPr>
          <w:p w14:paraId="796BF00E"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Stredná škola</w:t>
            </w:r>
          </w:p>
        </w:tc>
      </w:tr>
      <w:tr w:rsidR="00135185" w:rsidRPr="000939E3" w14:paraId="667758C5"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407EECFB"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SSŠaŠZ</w:t>
            </w:r>
          </w:p>
        </w:tc>
        <w:tc>
          <w:tcPr>
            <w:tcW w:w="3515" w:type="pct"/>
          </w:tcPr>
          <w:p w14:paraId="6056368B"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sk-SK"/>
              </w:rPr>
            </w:pPr>
            <w:r w:rsidRPr="000939E3">
              <w:rPr>
                <w:color w:val="000000"/>
              </w:rPr>
              <w:t>Strediská služieb školám a školským zariadeniam</w:t>
            </w:r>
          </w:p>
        </w:tc>
      </w:tr>
      <w:tr w:rsidR="00135185" w:rsidRPr="000939E3" w14:paraId="2082EAF1"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B957B73" w14:textId="77777777" w:rsidR="00135185" w:rsidRPr="000939E3" w:rsidRDefault="00135185" w:rsidP="00135185">
            <w:pPr>
              <w:spacing w:after="0"/>
              <w:contextualSpacing/>
              <w:rPr>
                <w:rFonts w:eastAsia="Times New Roman" w:cs="Times New Roman"/>
                <w:b w:val="0"/>
                <w:bCs w:val="0"/>
                <w:color w:val="000000"/>
                <w:lang w:eastAsia="sk-SK"/>
              </w:rPr>
            </w:pPr>
            <w:r w:rsidRPr="000939E3">
              <w:rPr>
                <w:b w:val="0"/>
                <w:color w:val="000000"/>
              </w:rPr>
              <w:t>SVP</w:t>
            </w:r>
          </w:p>
        </w:tc>
        <w:tc>
          <w:tcPr>
            <w:tcW w:w="3515" w:type="pct"/>
          </w:tcPr>
          <w:p w14:paraId="00ADA440"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sk-SK"/>
              </w:rPr>
            </w:pPr>
            <w:r w:rsidRPr="000939E3">
              <w:rPr>
                <w:color w:val="000000"/>
              </w:rPr>
              <w:t>Slovenský vodohospodársky podnik</w:t>
            </w:r>
          </w:p>
        </w:tc>
      </w:tr>
      <w:tr w:rsidR="00135185" w:rsidRPr="000939E3" w14:paraId="1D5B3266"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597BE229" w14:textId="77777777" w:rsidR="00135185" w:rsidRPr="000939E3" w:rsidRDefault="00135185" w:rsidP="00135185">
            <w:pPr>
              <w:spacing w:after="0"/>
              <w:contextualSpacing/>
              <w:rPr>
                <w:b w:val="0"/>
                <w:color w:val="000000"/>
              </w:rPr>
            </w:pPr>
            <w:r w:rsidRPr="000939E3">
              <w:rPr>
                <w:b w:val="0"/>
                <w:color w:val="000000"/>
              </w:rPr>
              <w:t>ŠR</w:t>
            </w:r>
          </w:p>
        </w:tc>
        <w:tc>
          <w:tcPr>
            <w:tcW w:w="3515" w:type="pct"/>
          </w:tcPr>
          <w:p w14:paraId="00A03699"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color w:val="000000"/>
              </w:rPr>
            </w:pPr>
            <w:r w:rsidRPr="000939E3">
              <w:rPr>
                <w:color w:val="000000"/>
              </w:rPr>
              <w:t>Štátny rozpočet</w:t>
            </w:r>
          </w:p>
        </w:tc>
      </w:tr>
      <w:tr w:rsidR="00135185" w:rsidRPr="000939E3" w14:paraId="33EE78BD"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4EA929FA" w14:textId="77777777" w:rsidR="00135185" w:rsidRPr="000939E3" w:rsidRDefault="00135185" w:rsidP="00135185">
            <w:pPr>
              <w:spacing w:after="0"/>
              <w:contextualSpacing/>
              <w:rPr>
                <w:b w:val="0"/>
                <w:color w:val="000000"/>
              </w:rPr>
            </w:pPr>
            <w:r w:rsidRPr="000939E3">
              <w:rPr>
                <w:b w:val="0"/>
                <w:color w:val="000000"/>
              </w:rPr>
              <w:t>ŠT</w:t>
            </w:r>
          </w:p>
        </w:tc>
        <w:tc>
          <w:tcPr>
            <w:tcW w:w="3515" w:type="pct"/>
          </w:tcPr>
          <w:p w14:paraId="4ABC46A1"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color w:val="000000"/>
              </w:rPr>
            </w:pPr>
            <w:r w:rsidRPr="000939E3">
              <w:rPr>
                <w:color w:val="000000"/>
              </w:rPr>
              <w:t>Štátny tajomník</w:t>
            </w:r>
          </w:p>
        </w:tc>
      </w:tr>
      <w:tr w:rsidR="00135185" w:rsidRPr="000939E3" w14:paraId="5ADB81A5"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5E9AB3DD" w14:textId="77777777" w:rsidR="00135185" w:rsidRPr="000939E3" w:rsidRDefault="00135185" w:rsidP="00135185">
            <w:pPr>
              <w:spacing w:after="0"/>
              <w:contextualSpacing/>
              <w:rPr>
                <w:b w:val="0"/>
                <w:color w:val="000000"/>
              </w:rPr>
            </w:pPr>
            <w:r w:rsidRPr="000939E3">
              <w:rPr>
                <w:b w:val="0"/>
                <w:color w:val="000000"/>
              </w:rPr>
              <w:t>ŠÚ SR</w:t>
            </w:r>
          </w:p>
        </w:tc>
        <w:tc>
          <w:tcPr>
            <w:tcW w:w="3515" w:type="pct"/>
          </w:tcPr>
          <w:p w14:paraId="6FF310E1"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color w:val="000000"/>
              </w:rPr>
            </w:pPr>
            <w:r w:rsidRPr="000939E3">
              <w:rPr>
                <w:color w:val="000000"/>
              </w:rPr>
              <w:t>Štatistický úrad Slovenskej republiky</w:t>
            </w:r>
          </w:p>
        </w:tc>
      </w:tr>
      <w:tr w:rsidR="00135185" w:rsidRPr="000939E3" w14:paraId="4F8A442A"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32098529" w14:textId="77777777" w:rsidR="00135185" w:rsidRPr="000939E3" w:rsidRDefault="00135185" w:rsidP="00135185">
            <w:pPr>
              <w:spacing w:after="0"/>
              <w:contextualSpacing/>
              <w:rPr>
                <w:b w:val="0"/>
                <w:color w:val="000000"/>
              </w:rPr>
            </w:pPr>
            <w:r w:rsidRPr="000939E3">
              <w:rPr>
                <w:b w:val="0"/>
                <w:color w:val="000000"/>
              </w:rPr>
              <w:t>TIS</w:t>
            </w:r>
          </w:p>
        </w:tc>
        <w:tc>
          <w:tcPr>
            <w:tcW w:w="3515" w:type="pct"/>
          </w:tcPr>
          <w:p w14:paraId="32465727"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color w:val="000000"/>
              </w:rPr>
            </w:pPr>
            <w:r w:rsidRPr="000939E3">
              <w:rPr>
                <w:color w:val="000000"/>
              </w:rPr>
              <w:t>Transparency International Slovensko</w:t>
            </w:r>
          </w:p>
        </w:tc>
      </w:tr>
      <w:tr w:rsidR="00135185" w:rsidRPr="000939E3" w14:paraId="7B8354B6"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665E6AA" w14:textId="77777777" w:rsidR="00135185" w:rsidRPr="000939E3" w:rsidRDefault="00135185" w:rsidP="00135185">
            <w:pPr>
              <w:spacing w:after="0"/>
              <w:contextualSpacing/>
              <w:rPr>
                <w:b w:val="0"/>
                <w:color w:val="000000"/>
              </w:rPr>
            </w:pPr>
            <w:r w:rsidRPr="000939E3">
              <w:rPr>
                <w:b w:val="0"/>
                <w:color w:val="000000"/>
              </w:rPr>
              <w:t>UK</w:t>
            </w:r>
          </w:p>
        </w:tc>
        <w:tc>
          <w:tcPr>
            <w:tcW w:w="3515" w:type="pct"/>
          </w:tcPr>
          <w:p w14:paraId="0E4EAE59"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color w:val="000000"/>
              </w:rPr>
            </w:pPr>
            <w:r w:rsidRPr="000939E3">
              <w:rPr>
                <w:color w:val="000000"/>
              </w:rPr>
              <w:t>Spojené kráľovstvo Veľkej Británie a Severného Írska</w:t>
            </w:r>
          </w:p>
        </w:tc>
      </w:tr>
      <w:tr w:rsidR="00135185" w:rsidRPr="000939E3" w14:paraId="2D627B29"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7855B5C9" w14:textId="77777777" w:rsidR="00135185" w:rsidRPr="000939E3" w:rsidRDefault="00135185" w:rsidP="00135185">
            <w:pPr>
              <w:spacing w:after="0"/>
              <w:contextualSpacing/>
              <w:rPr>
                <w:b w:val="0"/>
                <w:color w:val="000000"/>
              </w:rPr>
            </w:pPr>
            <w:r w:rsidRPr="000939E3">
              <w:rPr>
                <w:b w:val="0"/>
                <w:color w:val="000000"/>
              </w:rPr>
              <w:t>ÚHP</w:t>
            </w:r>
          </w:p>
        </w:tc>
        <w:tc>
          <w:tcPr>
            <w:tcW w:w="3515" w:type="pct"/>
          </w:tcPr>
          <w:p w14:paraId="0B2BE0FA"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color w:val="000000"/>
              </w:rPr>
            </w:pPr>
            <w:r w:rsidRPr="000939E3">
              <w:rPr>
                <w:color w:val="000000"/>
              </w:rPr>
              <w:t>Útvar hodnoty za peniaze</w:t>
            </w:r>
          </w:p>
        </w:tc>
      </w:tr>
      <w:tr w:rsidR="00135185" w:rsidRPr="000939E3" w14:paraId="27920621"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361BB168" w14:textId="77777777" w:rsidR="00135185" w:rsidRPr="000939E3" w:rsidRDefault="00135185" w:rsidP="00135185">
            <w:pPr>
              <w:spacing w:after="0"/>
              <w:contextualSpacing/>
              <w:rPr>
                <w:b w:val="0"/>
                <w:color w:val="000000"/>
              </w:rPr>
            </w:pPr>
            <w:r w:rsidRPr="000939E3">
              <w:rPr>
                <w:b w:val="0"/>
                <w:color w:val="000000"/>
              </w:rPr>
              <w:t>ÚPVII</w:t>
            </w:r>
          </w:p>
        </w:tc>
        <w:tc>
          <w:tcPr>
            <w:tcW w:w="3515" w:type="pct"/>
          </w:tcPr>
          <w:p w14:paraId="5F71B0A1"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color w:val="000000"/>
              </w:rPr>
            </w:pPr>
            <w:r w:rsidRPr="000939E3">
              <w:rPr>
                <w:color w:val="000000"/>
              </w:rPr>
              <w:t>Úrad podpredsedu vlády SR pre investície a informatizáciu</w:t>
            </w:r>
          </w:p>
        </w:tc>
      </w:tr>
      <w:tr w:rsidR="00135185" w:rsidRPr="000939E3" w14:paraId="75ECAA77"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2801DA36" w14:textId="281F0A97" w:rsidR="00135185" w:rsidRPr="000939E3" w:rsidRDefault="00590779" w:rsidP="00135185">
            <w:pPr>
              <w:spacing w:after="0"/>
              <w:contextualSpacing/>
              <w:rPr>
                <w:b w:val="0"/>
                <w:color w:val="000000"/>
              </w:rPr>
            </w:pPr>
            <w:r w:rsidRPr="000939E3">
              <w:rPr>
                <w:b w:val="0"/>
                <w:color w:val="000000"/>
              </w:rPr>
              <w:t>Ú</w:t>
            </w:r>
            <w:r w:rsidR="00135185" w:rsidRPr="000939E3">
              <w:rPr>
                <w:b w:val="0"/>
                <w:color w:val="000000"/>
              </w:rPr>
              <w:t>PREKaPS</w:t>
            </w:r>
          </w:p>
        </w:tc>
        <w:tc>
          <w:tcPr>
            <w:tcW w:w="3515" w:type="pct"/>
          </w:tcPr>
          <w:p w14:paraId="6A1D0243"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color w:val="000000"/>
              </w:rPr>
            </w:pPr>
            <w:r w:rsidRPr="000939E3">
              <w:rPr>
                <w:color w:val="000000"/>
              </w:rPr>
              <w:t>Úrad pre reguláciu elektronických komunikácií a poštových služieb</w:t>
            </w:r>
          </w:p>
        </w:tc>
      </w:tr>
      <w:tr w:rsidR="00135185" w:rsidRPr="000939E3" w14:paraId="2433637F"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354872D" w14:textId="77777777" w:rsidR="00135185" w:rsidRPr="000939E3" w:rsidRDefault="00135185" w:rsidP="00135185">
            <w:pPr>
              <w:spacing w:after="0"/>
              <w:contextualSpacing/>
              <w:rPr>
                <w:b w:val="0"/>
                <w:color w:val="000000"/>
              </w:rPr>
            </w:pPr>
            <w:r w:rsidRPr="000939E3">
              <w:rPr>
                <w:b w:val="0"/>
                <w:color w:val="000000"/>
              </w:rPr>
              <w:t>ÚV SR</w:t>
            </w:r>
          </w:p>
        </w:tc>
        <w:tc>
          <w:tcPr>
            <w:tcW w:w="3515" w:type="pct"/>
          </w:tcPr>
          <w:p w14:paraId="2CD28B36"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color w:val="000000"/>
              </w:rPr>
            </w:pPr>
            <w:r w:rsidRPr="000939E3">
              <w:rPr>
                <w:color w:val="000000"/>
              </w:rPr>
              <w:t>Úrad vlády</w:t>
            </w:r>
          </w:p>
        </w:tc>
      </w:tr>
      <w:tr w:rsidR="00135185" w:rsidRPr="000939E3" w14:paraId="2CE6A2CF"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27CC08C" w14:textId="77777777" w:rsidR="00135185" w:rsidRPr="000939E3" w:rsidRDefault="00135185" w:rsidP="00135185">
            <w:pPr>
              <w:spacing w:after="0"/>
              <w:contextualSpacing/>
              <w:rPr>
                <w:b w:val="0"/>
                <w:color w:val="000000"/>
              </w:rPr>
            </w:pPr>
            <w:r w:rsidRPr="000939E3">
              <w:rPr>
                <w:b w:val="0"/>
                <w:color w:val="000000"/>
              </w:rPr>
              <w:t>ÚVO</w:t>
            </w:r>
          </w:p>
        </w:tc>
        <w:tc>
          <w:tcPr>
            <w:tcW w:w="3515" w:type="pct"/>
          </w:tcPr>
          <w:p w14:paraId="66F3AAA6"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color w:val="000000"/>
              </w:rPr>
            </w:pPr>
            <w:r w:rsidRPr="000939E3">
              <w:rPr>
                <w:color w:val="000000"/>
              </w:rPr>
              <w:t>Úrad pre verejné obstarávanie</w:t>
            </w:r>
          </w:p>
        </w:tc>
      </w:tr>
      <w:tr w:rsidR="00135185" w:rsidRPr="000939E3" w14:paraId="7BFB38F2"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2700A662" w14:textId="77777777" w:rsidR="00135185" w:rsidRPr="000939E3" w:rsidRDefault="00135185" w:rsidP="00135185">
            <w:pPr>
              <w:spacing w:after="0"/>
              <w:contextualSpacing/>
              <w:rPr>
                <w:b w:val="0"/>
                <w:color w:val="000000"/>
              </w:rPr>
            </w:pPr>
            <w:r w:rsidRPr="000939E3">
              <w:rPr>
                <w:b w:val="0"/>
                <w:color w:val="000000"/>
              </w:rPr>
              <w:t>ÚVZ SR</w:t>
            </w:r>
          </w:p>
        </w:tc>
        <w:tc>
          <w:tcPr>
            <w:tcW w:w="3515" w:type="pct"/>
          </w:tcPr>
          <w:p w14:paraId="5EFBC681"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color w:val="000000"/>
              </w:rPr>
            </w:pPr>
            <w:r w:rsidRPr="000939E3">
              <w:rPr>
                <w:color w:val="000000"/>
              </w:rPr>
              <w:t>Úrad verejného zdravotníctva Slovenskej republiky</w:t>
            </w:r>
          </w:p>
        </w:tc>
      </w:tr>
      <w:tr w:rsidR="00135185" w:rsidRPr="000939E3" w14:paraId="64426781"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FC4A64E" w14:textId="77777777" w:rsidR="00135185" w:rsidRPr="000939E3" w:rsidRDefault="00135185" w:rsidP="00135185">
            <w:pPr>
              <w:spacing w:after="0"/>
              <w:contextualSpacing/>
              <w:rPr>
                <w:b w:val="0"/>
                <w:color w:val="000000"/>
              </w:rPr>
            </w:pPr>
            <w:r w:rsidRPr="000939E3">
              <w:rPr>
                <w:b w:val="0"/>
                <w:color w:val="000000"/>
              </w:rPr>
              <w:t>VPM</w:t>
            </w:r>
          </w:p>
        </w:tc>
        <w:tc>
          <w:tcPr>
            <w:tcW w:w="3515" w:type="pct"/>
          </w:tcPr>
          <w:p w14:paraId="662CEB0E"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color w:val="000000"/>
              </w:rPr>
            </w:pPr>
            <w:r w:rsidRPr="000939E3">
              <w:rPr>
                <w:color w:val="000000"/>
              </w:rPr>
              <w:t>Voľné pracovné miesta</w:t>
            </w:r>
          </w:p>
        </w:tc>
      </w:tr>
      <w:tr w:rsidR="00135185" w:rsidRPr="000939E3" w14:paraId="73AB379F"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2899D86" w14:textId="77777777" w:rsidR="00135185" w:rsidRPr="000939E3" w:rsidRDefault="00135185" w:rsidP="00135185">
            <w:pPr>
              <w:spacing w:after="0"/>
              <w:contextualSpacing/>
              <w:rPr>
                <w:b w:val="0"/>
                <w:color w:val="000000"/>
              </w:rPr>
            </w:pPr>
            <w:r w:rsidRPr="000939E3">
              <w:rPr>
                <w:b w:val="0"/>
                <w:color w:val="000000"/>
              </w:rPr>
              <w:t>VS</w:t>
            </w:r>
          </w:p>
        </w:tc>
        <w:tc>
          <w:tcPr>
            <w:tcW w:w="3515" w:type="pct"/>
          </w:tcPr>
          <w:p w14:paraId="546CF977"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color w:val="000000"/>
              </w:rPr>
            </w:pPr>
            <w:r w:rsidRPr="000939E3">
              <w:rPr>
                <w:color w:val="000000"/>
              </w:rPr>
              <w:t>Verejný sektor</w:t>
            </w:r>
          </w:p>
        </w:tc>
      </w:tr>
      <w:tr w:rsidR="00135185" w:rsidRPr="000939E3" w14:paraId="3C59A4BF"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0A81D676" w14:textId="77777777" w:rsidR="00135185" w:rsidRPr="000939E3" w:rsidRDefault="00135185" w:rsidP="00135185">
            <w:pPr>
              <w:spacing w:after="0"/>
              <w:contextualSpacing/>
              <w:rPr>
                <w:b w:val="0"/>
                <w:color w:val="000000"/>
              </w:rPr>
            </w:pPr>
            <w:r w:rsidRPr="000939E3">
              <w:rPr>
                <w:b w:val="0"/>
                <w:color w:val="000000"/>
              </w:rPr>
              <w:t>VŠ</w:t>
            </w:r>
          </w:p>
        </w:tc>
        <w:tc>
          <w:tcPr>
            <w:tcW w:w="3515" w:type="pct"/>
          </w:tcPr>
          <w:p w14:paraId="320D1E8C"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color w:val="000000"/>
              </w:rPr>
            </w:pPr>
            <w:r w:rsidRPr="000939E3">
              <w:rPr>
                <w:color w:val="000000"/>
              </w:rPr>
              <w:t>Vysoká škola</w:t>
            </w:r>
          </w:p>
        </w:tc>
      </w:tr>
      <w:tr w:rsidR="00135185" w:rsidRPr="000939E3" w14:paraId="1CFAEDB0"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5611FC97" w14:textId="77777777" w:rsidR="00135185" w:rsidRPr="000939E3" w:rsidRDefault="00135185" w:rsidP="00135185">
            <w:pPr>
              <w:spacing w:after="0"/>
              <w:contextualSpacing/>
              <w:rPr>
                <w:b w:val="0"/>
                <w:color w:val="000000"/>
              </w:rPr>
            </w:pPr>
            <w:r w:rsidRPr="000939E3">
              <w:rPr>
                <w:b w:val="0"/>
                <w:color w:val="000000"/>
              </w:rPr>
              <w:t>VVŠ</w:t>
            </w:r>
          </w:p>
        </w:tc>
        <w:tc>
          <w:tcPr>
            <w:tcW w:w="3515" w:type="pct"/>
          </w:tcPr>
          <w:p w14:paraId="0B141875"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color w:val="000000"/>
              </w:rPr>
            </w:pPr>
            <w:r w:rsidRPr="000939E3">
              <w:rPr>
                <w:color w:val="000000"/>
              </w:rPr>
              <w:t>Verejná vysoká škola</w:t>
            </w:r>
          </w:p>
        </w:tc>
      </w:tr>
      <w:tr w:rsidR="00135185" w:rsidRPr="000939E3" w14:paraId="3C86C678"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17D40B8" w14:textId="77777777" w:rsidR="00135185" w:rsidRPr="000939E3" w:rsidRDefault="00135185" w:rsidP="00135185">
            <w:pPr>
              <w:spacing w:after="0"/>
              <w:contextualSpacing/>
              <w:rPr>
                <w:b w:val="0"/>
                <w:color w:val="000000"/>
              </w:rPr>
            </w:pPr>
            <w:r w:rsidRPr="000939E3">
              <w:rPr>
                <w:b w:val="0"/>
                <w:color w:val="000000"/>
              </w:rPr>
              <w:t>VZ</w:t>
            </w:r>
          </w:p>
        </w:tc>
        <w:tc>
          <w:tcPr>
            <w:tcW w:w="3515" w:type="pct"/>
          </w:tcPr>
          <w:p w14:paraId="1D28AD23"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color w:val="000000"/>
              </w:rPr>
            </w:pPr>
            <w:r w:rsidRPr="000939E3">
              <w:rPr>
                <w:color w:val="000000"/>
              </w:rPr>
              <w:t>Verejný záujem</w:t>
            </w:r>
          </w:p>
        </w:tc>
      </w:tr>
      <w:tr w:rsidR="00135185" w:rsidRPr="000939E3" w14:paraId="6C6E664C"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3B2BE875" w14:textId="77777777" w:rsidR="00135185" w:rsidRPr="000939E3" w:rsidRDefault="00135185" w:rsidP="00135185">
            <w:pPr>
              <w:spacing w:after="0"/>
              <w:contextualSpacing/>
              <w:rPr>
                <w:b w:val="0"/>
                <w:color w:val="000000"/>
              </w:rPr>
            </w:pPr>
            <w:r w:rsidRPr="000939E3">
              <w:rPr>
                <w:b w:val="0"/>
                <w:color w:val="000000"/>
              </w:rPr>
              <w:t>V3</w:t>
            </w:r>
          </w:p>
        </w:tc>
        <w:tc>
          <w:tcPr>
            <w:tcW w:w="3515" w:type="pct"/>
          </w:tcPr>
          <w:p w14:paraId="1E819644"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color w:val="000000"/>
              </w:rPr>
            </w:pPr>
            <w:r w:rsidRPr="000939E3">
              <w:rPr>
                <w:color w:val="000000"/>
              </w:rPr>
              <w:t>Krajiny Vyšehradskej štvorky bez SR</w:t>
            </w:r>
          </w:p>
        </w:tc>
      </w:tr>
      <w:tr w:rsidR="00135185" w:rsidRPr="000939E3" w14:paraId="7A5B3185"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62576945" w14:textId="77777777" w:rsidR="00135185" w:rsidRPr="000939E3" w:rsidRDefault="00135185" w:rsidP="00135185">
            <w:pPr>
              <w:spacing w:after="0"/>
              <w:contextualSpacing/>
              <w:rPr>
                <w:b w:val="0"/>
                <w:color w:val="000000"/>
              </w:rPr>
            </w:pPr>
            <w:r w:rsidRPr="000939E3">
              <w:rPr>
                <w:b w:val="0"/>
                <w:color w:val="000000"/>
              </w:rPr>
              <w:t>ZP</w:t>
            </w:r>
          </w:p>
        </w:tc>
        <w:tc>
          <w:tcPr>
            <w:tcW w:w="3515" w:type="pct"/>
          </w:tcPr>
          <w:p w14:paraId="4E6E590D"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color w:val="000000"/>
              </w:rPr>
            </w:pPr>
            <w:r w:rsidRPr="000939E3">
              <w:rPr>
                <w:color w:val="000000"/>
              </w:rPr>
              <w:t>Zákonník práce</w:t>
            </w:r>
          </w:p>
        </w:tc>
      </w:tr>
      <w:tr w:rsidR="00135185" w:rsidRPr="000939E3" w14:paraId="145EFE7A"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787A771" w14:textId="77777777" w:rsidR="00135185" w:rsidRPr="000939E3" w:rsidRDefault="00135185" w:rsidP="00135185">
            <w:pPr>
              <w:spacing w:after="0"/>
              <w:contextualSpacing/>
              <w:rPr>
                <w:b w:val="0"/>
                <w:color w:val="000000"/>
              </w:rPr>
            </w:pPr>
            <w:r w:rsidRPr="000939E3">
              <w:rPr>
                <w:b w:val="0"/>
                <w:color w:val="000000"/>
              </w:rPr>
              <w:t>ZSSK</w:t>
            </w:r>
          </w:p>
        </w:tc>
        <w:tc>
          <w:tcPr>
            <w:tcW w:w="3515" w:type="pct"/>
          </w:tcPr>
          <w:p w14:paraId="4A2F51B9"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color w:val="000000"/>
              </w:rPr>
            </w:pPr>
            <w:r w:rsidRPr="000939E3">
              <w:rPr>
                <w:color w:val="000000"/>
              </w:rPr>
              <w:t>Železničná spoločnosť Slovensko</w:t>
            </w:r>
          </w:p>
        </w:tc>
      </w:tr>
      <w:tr w:rsidR="00135185" w:rsidRPr="000939E3" w14:paraId="48B30794"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B5540C0" w14:textId="77777777" w:rsidR="00135185" w:rsidRPr="000939E3" w:rsidRDefault="00135185" w:rsidP="00135185">
            <w:pPr>
              <w:spacing w:after="0"/>
              <w:contextualSpacing/>
              <w:rPr>
                <w:b w:val="0"/>
                <w:color w:val="000000"/>
              </w:rPr>
            </w:pPr>
            <w:r w:rsidRPr="000939E3">
              <w:rPr>
                <w:b w:val="0"/>
                <w:color w:val="000000"/>
              </w:rPr>
              <w:t>ZVJS</w:t>
            </w:r>
          </w:p>
        </w:tc>
        <w:tc>
          <w:tcPr>
            <w:tcW w:w="3515" w:type="pct"/>
          </w:tcPr>
          <w:p w14:paraId="30A1C298" w14:textId="77777777" w:rsidR="00135185" w:rsidRPr="000939E3"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color w:val="000000"/>
              </w:rPr>
            </w:pPr>
            <w:r w:rsidRPr="000939E3">
              <w:rPr>
                <w:color w:val="000000"/>
              </w:rPr>
              <w:t>Zbor väzenskej a justičnej stráže</w:t>
            </w:r>
          </w:p>
        </w:tc>
      </w:tr>
      <w:tr w:rsidR="00135185" w:rsidRPr="000939E3" w14:paraId="56AC062C" w14:textId="77777777" w:rsidTr="001D4C20">
        <w:trPr>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173681C0" w14:textId="77777777" w:rsidR="00135185" w:rsidRPr="000939E3" w:rsidRDefault="00135185" w:rsidP="00135185">
            <w:pPr>
              <w:spacing w:after="0"/>
              <w:contextualSpacing/>
              <w:rPr>
                <w:b w:val="0"/>
                <w:color w:val="000000"/>
              </w:rPr>
            </w:pPr>
            <w:r w:rsidRPr="000939E3">
              <w:rPr>
                <w:b w:val="0"/>
                <w:color w:val="000000"/>
              </w:rPr>
              <w:t>ZS</w:t>
            </w:r>
          </w:p>
        </w:tc>
        <w:tc>
          <w:tcPr>
            <w:tcW w:w="3515" w:type="pct"/>
          </w:tcPr>
          <w:p w14:paraId="211C5315" w14:textId="77777777" w:rsidR="00135185" w:rsidRPr="000939E3" w:rsidRDefault="00135185" w:rsidP="00135185">
            <w:pPr>
              <w:spacing w:after="0"/>
              <w:contextualSpacing/>
              <w:cnfStyle w:val="000000000000" w:firstRow="0" w:lastRow="0" w:firstColumn="0" w:lastColumn="0" w:oddVBand="0" w:evenVBand="0" w:oddHBand="0" w:evenHBand="0" w:firstRowFirstColumn="0" w:firstRowLastColumn="0" w:lastRowFirstColumn="0" w:lastRowLastColumn="0"/>
              <w:rPr>
                <w:color w:val="000000"/>
              </w:rPr>
            </w:pPr>
            <w:r w:rsidRPr="000939E3">
              <w:rPr>
                <w:color w:val="000000"/>
              </w:rPr>
              <w:t>Základný scenár</w:t>
            </w:r>
          </w:p>
        </w:tc>
      </w:tr>
      <w:tr w:rsidR="00135185" w:rsidRPr="00135185" w14:paraId="4D04B48D" w14:textId="77777777" w:rsidTr="001D4C2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85" w:type="pct"/>
            <w:noWrap/>
          </w:tcPr>
          <w:p w14:paraId="2075B302" w14:textId="77777777" w:rsidR="00135185" w:rsidRPr="000939E3" w:rsidRDefault="00135185" w:rsidP="00135185">
            <w:pPr>
              <w:spacing w:after="0"/>
              <w:contextualSpacing/>
              <w:rPr>
                <w:b w:val="0"/>
                <w:color w:val="000000"/>
              </w:rPr>
            </w:pPr>
            <w:r w:rsidRPr="000939E3">
              <w:rPr>
                <w:b w:val="0"/>
                <w:color w:val="000000"/>
              </w:rPr>
              <w:t>ZŠ</w:t>
            </w:r>
          </w:p>
        </w:tc>
        <w:tc>
          <w:tcPr>
            <w:tcW w:w="3515" w:type="pct"/>
          </w:tcPr>
          <w:p w14:paraId="5E611237" w14:textId="77777777" w:rsidR="00135185" w:rsidRPr="00135185" w:rsidRDefault="00135185" w:rsidP="00135185">
            <w:pPr>
              <w:spacing w:after="0"/>
              <w:contextualSpacing/>
              <w:cnfStyle w:val="000000100000" w:firstRow="0" w:lastRow="0" w:firstColumn="0" w:lastColumn="0" w:oddVBand="0" w:evenVBand="0" w:oddHBand="1" w:evenHBand="0" w:firstRowFirstColumn="0" w:firstRowLastColumn="0" w:lastRowFirstColumn="0" w:lastRowLastColumn="0"/>
              <w:rPr>
                <w:color w:val="000000"/>
              </w:rPr>
            </w:pPr>
            <w:r w:rsidRPr="000939E3">
              <w:rPr>
                <w:color w:val="000000"/>
              </w:rPr>
              <w:t>Základná škola</w:t>
            </w:r>
          </w:p>
        </w:tc>
      </w:tr>
    </w:tbl>
    <w:p w14:paraId="50E3EF91" w14:textId="77777777" w:rsidR="00F15D0B" w:rsidRPr="00BD3472" w:rsidRDefault="00F15D0B" w:rsidP="003945F4"/>
    <w:p w14:paraId="536A6FAE" w14:textId="77777777" w:rsidR="00522851" w:rsidRPr="00522851" w:rsidRDefault="00522851" w:rsidP="002072B4">
      <w:pPr>
        <w:rPr>
          <w:b/>
        </w:rPr>
      </w:pPr>
    </w:p>
    <w:sectPr w:rsidR="00522851" w:rsidRPr="00522851" w:rsidSect="00CF6E4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88DB4" w14:textId="77777777" w:rsidR="00373CAE" w:rsidRDefault="00373CAE" w:rsidP="006C7B5F">
      <w:pPr>
        <w:spacing w:after="0" w:line="240" w:lineRule="auto"/>
      </w:pPr>
      <w:r>
        <w:separator/>
      </w:r>
    </w:p>
  </w:endnote>
  <w:endnote w:type="continuationSeparator" w:id="0">
    <w:p w14:paraId="44ACA19D" w14:textId="77777777" w:rsidR="00373CAE" w:rsidRDefault="00373CAE" w:rsidP="006C7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Helvetica Neue">
    <w:altName w:val="Times New Roman"/>
    <w:charset w:val="00"/>
    <w:family w:val="auto"/>
    <w:pitch w:val="variable"/>
    <w:sig w:usb0="00000003" w:usb1="500079DB" w:usb2="00000010" w:usb3="00000000" w:csb0="00000001" w:csb1="00000000"/>
  </w:font>
  <w:font w:name="Palatino">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EE"/>
    <w:family w:val="roman"/>
    <w:pitch w:val="variable"/>
    <w:sig w:usb0="E00002FF" w:usb1="420024FF" w:usb2="00000000" w:usb3="00000000" w:csb0="0000019F" w:csb1="00000000"/>
  </w:font>
  <w:font w:name="SegoeUI">
    <w:altName w:val="Arial"/>
    <w:panose1 w:val="00000000000000000000"/>
    <w:charset w:val="00"/>
    <w:family w:val="swiss"/>
    <w:notTrueType/>
    <w:pitch w:val="default"/>
    <w:sig w:usb0="00000003" w:usb1="00000000" w:usb2="00000000" w:usb3="00000000" w:csb0="00000001" w:csb1="00000000"/>
  </w:font>
  <w:font w:name="CaeciliaLTStd-Italic">
    <w:altName w:val="Arial"/>
    <w:panose1 w:val="00000000000000000000"/>
    <w:charset w:val="00"/>
    <w:family w:val="swiss"/>
    <w:notTrueType/>
    <w:pitch w:val="default"/>
    <w:sig w:usb0="00000007" w:usb1="00000000" w:usb2="00000000" w:usb3="00000000" w:csb0="00000003" w:csb1="00000000"/>
  </w:font>
  <w:font w:name="SegoeUI-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813518"/>
      <w:docPartObj>
        <w:docPartGallery w:val="Page Numbers (Bottom of Page)"/>
        <w:docPartUnique/>
      </w:docPartObj>
    </w:sdtPr>
    <w:sdtEndPr/>
    <w:sdtContent>
      <w:p w14:paraId="2B72289D" w14:textId="77777777" w:rsidR="00373CAE" w:rsidRDefault="00D62879">
        <w:pPr>
          <w:pStyle w:val="Pta"/>
          <w:jc w:val="center"/>
        </w:pPr>
      </w:p>
    </w:sdtContent>
  </w:sdt>
  <w:p w14:paraId="558CE74D" w14:textId="77777777" w:rsidR="00373CAE" w:rsidRDefault="00373CAE">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972646"/>
      <w:docPartObj>
        <w:docPartGallery w:val="Page Numbers (Bottom of Page)"/>
        <w:docPartUnique/>
      </w:docPartObj>
    </w:sdtPr>
    <w:sdtEndPr/>
    <w:sdtContent>
      <w:p w14:paraId="1CBE150C" w14:textId="4F1C2E10" w:rsidR="00373CAE" w:rsidRDefault="00373CAE" w:rsidP="00533150">
        <w:pPr>
          <w:pStyle w:val="Pta"/>
          <w:jc w:val="right"/>
        </w:pPr>
        <w:r>
          <w:fldChar w:fldCharType="begin"/>
        </w:r>
        <w:r>
          <w:instrText xml:space="preserve"> PAGE    \* MERGEFORMAT </w:instrText>
        </w:r>
        <w:r>
          <w:fldChar w:fldCharType="separate"/>
        </w:r>
        <w:r w:rsidR="00D62879">
          <w:rPr>
            <w:noProof/>
          </w:rPr>
          <w:t>82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17E0A" w14:textId="77777777" w:rsidR="00373CAE" w:rsidRDefault="00373CAE" w:rsidP="006C7B5F">
      <w:pPr>
        <w:spacing w:after="0" w:line="240" w:lineRule="auto"/>
      </w:pPr>
      <w:r>
        <w:separator/>
      </w:r>
    </w:p>
  </w:footnote>
  <w:footnote w:type="continuationSeparator" w:id="0">
    <w:p w14:paraId="7F028464" w14:textId="77777777" w:rsidR="00373CAE" w:rsidRDefault="00373CAE" w:rsidP="006C7B5F">
      <w:pPr>
        <w:spacing w:after="0" w:line="240" w:lineRule="auto"/>
      </w:pPr>
      <w:r>
        <w:continuationSeparator/>
      </w:r>
    </w:p>
  </w:footnote>
  <w:footnote w:id="1">
    <w:p w14:paraId="36614BD6" w14:textId="77777777" w:rsidR="00373CAE" w:rsidRDefault="00373CAE" w:rsidP="00A1412E">
      <w:pPr>
        <w:pStyle w:val="Textpoznmkypodiarou"/>
      </w:pPr>
      <w:r>
        <w:rPr>
          <w:rStyle w:val="Odkaznapoznmkupodiarou"/>
        </w:rPr>
        <w:footnoteRef/>
      </w:r>
      <w:r>
        <w:t xml:space="preserve"> Učiteľom v regionálnom školstve a zamestnancom vykonávajúcim prácu vo verejnom záujme bola predĺžená doba zohľadňovania praxe na 40 rokov. Maximálny rast tarifných platov učiteľov je po 40 rokoch 28 % a pre zamestnancov vo verejnom záujme 20 %. </w:t>
      </w:r>
    </w:p>
  </w:footnote>
  <w:footnote w:id="2">
    <w:p w14:paraId="62A17492" w14:textId="7FB592C3" w:rsidR="00373CAE" w:rsidRDefault="00373CAE" w:rsidP="00644598">
      <w:pPr>
        <w:pStyle w:val="Textpoznmkypodiarou"/>
      </w:pPr>
      <w:r>
        <w:rPr>
          <w:rStyle w:val="Odkaznapoznmkupodiarou"/>
        </w:rPr>
        <w:footnoteRef/>
      </w:r>
      <w:r>
        <w:t xml:space="preserve"> </w:t>
      </w:r>
      <w:r w:rsidRPr="000B102F">
        <w:t>Pokiaľ nie je pri konkrétnom opatrení uvedené inak, kvantifikácia dodatočných výdavkov alebo úspor z</w:t>
      </w:r>
      <w:r>
        <w:t>ohľadňuje iba osobné výdavky na </w:t>
      </w:r>
      <w:r w:rsidRPr="000B102F">
        <w:t>zamestnancov, a nie iné výdavky s nimi spojené (kancelárske priestory, počítačové vybavenie a podobne).</w:t>
      </w:r>
    </w:p>
  </w:footnote>
  <w:footnote w:id="3">
    <w:p w14:paraId="4AB73E79" w14:textId="313A9425" w:rsidR="00373CAE" w:rsidRDefault="00373CAE" w:rsidP="00A41E58">
      <w:pPr>
        <w:pStyle w:val="Textpoznmkypodiarou"/>
      </w:pPr>
      <w:r>
        <w:rPr>
          <w:rStyle w:val="Odkaznapoznmkupodiarou"/>
        </w:rPr>
        <w:footnoteRef/>
      </w:r>
      <w:r>
        <w:t xml:space="preserve"> </w:t>
      </w:r>
      <w:r w:rsidRPr="00FC083A">
        <w:t xml:space="preserve">Potenciál úsporných opatrení je </w:t>
      </w:r>
      <w:r w:rsidRPr="00C428D8">
        <w:t>v prípade naplnenia v trojročnom horizonte valorizovaný očakávaný</w:t>
      </w:r>
      <w:r>
        <w:t>m</w:t>
      </w:r>
      <w:r w:rsidRPr="00C428D8">
        <w:t xml:space="preserve"> rastom miezd</w:t>
      </w:r>
      <w:r w:rsidRPr="00FC083A">
        <w:t>.</w:t>
      </w:r>
      <w:r>
        <w:t xml:space="preserve"> Väčšina z úsporných opatrení je plne realizovateľná v horizonte 4 rokov, okrem úspor z IT projektov, zníženia počtu policajtov a reformy samospráv.</w:t>
      </w:r>
    </w:p>
  </w:footnote>
  <w:footnote w:id="4">
    <w:p w14:paraId="2DF04EC0" w14:textId="6256D537" w:rsidR="00373CAE" w:rsidRPr="00663C41" w:rsidRDefault="00373CAE" w:rsidP="00445104">
      <w:pPr>
        <w:pStyle w:val="Textpoznmkypodiarou"/>
      </w:pPr>
      <w:r>
        <w:rPr>
          <w:rStyle w:val="Odkaznapoznmkupodiarou"/>
        </w:rPr>
        <w:footnoteRef/>
      </w:r>
      <w:r>
        <w:t xml:space="preserve"> Eurostat, </w:t>
      </w:r>
      <w:r w:rsidRPr="00663C41">
        <w:t>SES, prieskum o štruktúre miezd. Podrobnosti na</w:t>
      </w:r>
      <w:r>
        <w:t xml:space="preserve"> </w:t>
      </w:r>
      <w:hyperlink r:id="rId1" w:history="1">
        <w:r w:rsidRPr="008177B9">
          <w:rPr>
            <w:rStyle w:val="Hypertextovprepojenie"/>
          </w:rPr>
          <w:t>https://ec.europa.eu/eurostat/web/microdata/structure-of-earnings-survey</w:t>
        </w:r>
      </w:hyperlink>
    </w:p>
  </w:footnote>
  <w:footnote w:id="5">
    <w:p w14:paraId="0F529C5B" w14:textId="383E8183" w:rsidR="00373CAE" w:rsidRDefault="00373CAE" w:rsidP="00663031">
      <w:pPr>
        <w:pStyle w:val="Textpoznmkypodiarou"/>
      </w:pPr>
      <w:r>
        <w:rPr>
          <w:rStyle w:val="Odkaznapoznmkupodiarou"/>
        </w:rPr>
        <w:footnoteRef/>
      </w:r>
      <w:r>
        <w:t xml:space="preserve"> </w:t>
      </w:r>
      <w:r w:rsidRPr="00663C41">
        <w:t>SES, prieskum o štruktúre miezd. Podrobnosti na</w:t>
      </w:r>
      <w:r>
        <w:t xml:space="preserve"> </w:t>
      </w:r>
      <w:hyperlink r:id="rId2" w:history="1">
        <w:r w:rsidRPr="008177B9">
          <w:rPr>
            <w:rStyle w:val="Hypertextovprepojenie"/>
          </w:rPr>
          <w:t>https://ec.europa.eu/eurostat/web/microdata/structure-of-earnings-survey</w:t>
        </w:r>
      </w:hyperlink>
    </w:p>
  </w:footnote>
  <w:footnote w:id="6">
    <w:p w14:paraId="3175C52A" w14:textId="3047BA9F" w:rsidR="00373CAE" w:rsidRDefault="00373CAE" w:rsidP="00DB2BDE">
      <w:pPr>
        <w:pStyle w:val="Textpoznmkypodiarou"/>
      </w:pPr>
      <w:r>
        <w:rPr>
          <w:rStyle w:val="Odkaznapoznmkupodiarou"/>
        </w:rPr>
        <w:footnoteRef/>
      </w:r>
      <w:r>
        <w:t xml:space="preserve"> Osobný plat definuje § 129 zákona č. 55/2017 Z. z. a §7a zákona č 553/2003. </w:t>
      </w:r>
    </w:p>
  </w:footnote>
  <w:footnote w:id="7">
    <w:p w14:paraId="0D44C90C" w14:textId="733A32DA" w:rsidR="00373CAE" w:rsidRDefault="00373CAE" w:rsidP="002742E2">
      <w:pPr>
        <w:pStyle w:val="Textpoznmkypodiarou"/>
      </w:pPr>
      <w:r>
        <w:rPr>
          <w:rStyle w:val="Odkaznapoznmkupodiarou"/>
        </w:rPr>
        <w:footnoteRef/>
      </w:r>
      <w:r>
        <w:t xml:space="preserve"> </w:t>
      </w:r>
      <w:r w:rsidRPr="004C5DFB">
        <w:t xml:space="preserve">Podrobnosti ku kvantifikácii potenciálnej </w:t>
      </w:r>
      <w:r w:rsidRPr="00DE4FF1">
        <w:t>úspory sa nachádzajú v</w:t>
      </w:r>
      <w:r>
        <w:t> </w:t>
      </w:r>
      <w:r w:rsidRPr="007F515E">
        <w:fldChar w:fldCharType="begin"/>
      </w:r>
      <w:r w:rsidRPr="007F515E">
        <w:instrText xml:space="preserve"> REF _Ref11754505 \h  \* MERGEFORMAT </w:instrText>
      </w:r>
      <w:r w:rsidRPr="007F515E">
        <w:fldChar w:fldCharType="separate"/>
      </w:r>
      <w:r w:rsidRPr="00BF69CA">
        <w:rPr>
          <w:sz w:val="20"/>
        </w:rPr>
        <w:t xml:space="preserve">Príloha </w:t>
      </w:r>
      <w:r w:rsidRPr="00BF69CA">
        <w:rPr>
          <w:noProof/>
        </w:rPr>
        <w:t>1</w:t>
      </w:r>
      <w:r w:rsidRPr="007F515E">
        <w:fldChar w:fldCharType="end"/>
      </w:r>
      <w:r>
        <w:t xml:space="preserve">. </w:t>
      </w:r>
    </w:p>
  </w:footnote>
  <w:footnote w:id="8">
    <w:p w14:paraId="51E8FFEF" w14:textId="7A2A468A" w:rsidR="00373CAE" w:rsidRPr="00104705" w:rsidRDefault="00373CAE" w:rsidP="00891BA0">
      <w:pPr>
        <w:pStyle w:val="Textpoznmkypodiarou"/>
      </w:pPr>
      <w:r>
        <w:rPr>
          <w:rStyle w:val="Odkaznapoznmkupodiarou"/>
        </w:rPr>
        <w:footnoteRef/>
      </w:r>
      <w:r>
        <w:t xml:space="preserve"> </w:t>
      </w:r>
      <w:r w:rsidRPr="00DF3EDE">
        <w:t xml:space="preserve">S výnimkou </w:t>
      </w:r>
      <w:r>
        <w:t>MV SR</w:t>
      </w:r>
      <w:r w:rsidRPr="00DF3EDE">
        <w:t xml:space="preserve">, Finančnej správy, </w:t>
      </w:r>
      <w:r>
        <w:t xml:space="preserve">UPSVR, </w:t>
      </w:r>
      <w:r w:rsidRPr="00DF3EDE">
        <w:t>zdravotníckych zariadení a kapitol, ktorých zamestna</w:t>
      </w:r>
      <w:r>
        <w:t>nci požívajú osobitnú ochranu z </w:t>
      </w:r>
      <w:r w:rsidRPr="00DF3EDE">
        <w:t xml:space="preserve">dôvodu zákona alebo </w:t>
      </w:r>
      <w:r>
        <w:t>politickej kultúry.</w:t>
      </w:r>
    </w:p>
  </w:footnote>
  <w:footnote w:id="9">
    <w:p w14:paraId="74725A28" w14:textId="77777777" w:rsidR="00373CAE" w:rsidRPr="00C11998" w:rsidRDefault="00373CAE" w:rsidP="008A5973">
      <w:pPr>
        <w:pStyle w:val="Textpoznmkypodiarou"/>
      </w:pPr>
      <w:r w:rsidRPr="005F4457">
        <w:rPr>
          <w:rStyle w:val="Odkaznapoznmkupodiarou"/>
        </w:rPr>
        <w:footnoteRef/>
      </w:r>
      <w:r w:rsidRPr="005F4457">
        <w:t xml:space="preserve"> Podiel zamestnancov pracujúcich v podporných činnostiach sa líši v závislosti od veľkosti organizácie.</w:t>
      </w:r>
    </w:p>
  </w:footnote>
  <w:footnote w:id="10">
    <w:p w14:paraId="417F9F52" w14:textId="1ABDD088" w:rsidR="00373CAE" w:rsidRPr="00EB129F" w:rsidRDefault="00373CAE" w:rsidP="008A5973">
      <w:pPr>
        <w:pStyle w:val="Textpoznmkypodiarou"/>
      </w:pPr>
      <w:r w:rsidRPr="00EB129F">
        <w:rPr>
          <w:rStyle w:val="Odkaznapoznmkupodiarou"/>
        </w:rPr>
        <w:footnoteRef/>
      </w:r>
      <w:r w:rsidRPr="00EB129F">
        <w:t xml:space="preserve"> Napr. Štátne centrum zdieľaných služieb v</w:t>
      </w:r>
      <w:r>
        <w:t> </w:t>
      </w:r>
      <w:r w:rsidRPr="00EB129F">
        <w:t>Bulharsku</w:t>
      </w:r>
      <w:r>
        <w:t>.</w:t>
      </w:r>
    </w:p>
  </w:footnote>
  <w:footnote w:id="11">
    <w:p w14:paraId="580FD8C4" w14:textId="1696C61F" w:rsidR="00373CAE" w:rsidRPr="005F4457" w:rsidRDefault="00373CAE" w:rsidP="008A5973">
      <w:pPr>
        <w:pStyle w:val="Textpoznmkypodiarou"/>
      </w:pPr>
      <w:r w:rsidRPr="00EB129F">
        <w:rPr>
          <w:rStyle w:val="Odkaznapoznmkupodiarou"/>
        </w:rPr>
        <w:footnoteRef/>
      </w:r>
      <w:r w:rsidRPr="00EB129F">
        <w:t xml:space="preserve"> Štátne centrum zdieľaných služieb v Estónsku; ÚPSVaR; Optimalizácia podporných činností MV SR; P</w:t>
      </w:r>
      <w:r>
        <w:t>w</w:t>
      </w:r>
      <w:r w:rsidRPr="00EB129F">
        <w:t xml:space="preserve">C. 2019. </w:t>
      </w:r>
      <w:r w:rsidRPr="00EB129F">
        <w:rPr>
          <w:i/>
        </w:rPr>
        <w:t>Review of DataCentrum Budget Unit in Slovakia</w:t>
      </w:r>
      <w:r>
        <w:rPr>
          <w:i/>
        </w:rPr>
        <w:t>.</w:t>
      </w:r>
    </w:p>
  </w:footnote>
  <w:footnote w:id="12">
    <w:p w14:paraId="72FBB815" w14:textId="7EF5A447" w:rsidR="00373CAE" w:rsidRPr="008A5973" w:rsidRDefault="00373CAE" w:rsidP="008A5973">
      <w:pPr>
        <w:pStyle w:val="Textpoznmkypodiarou"/>
      </w:pPr>
      <w:r w:rsidRPr="005F4457">
        <w:rPr>
          <w:rStyle w:val="Odkaznapoznmkupodiarou"/>
        </w:rPr>
        <w:footnoteRef/>
      </w:r>
      <w:r w:rsidRPr="005F4457">
        <w:t xml:space="preserve"> Štátne centrum zdieľaných služieb v</w:t>
      </w:r>
      <w:r>
        <w:t> </w:t>
      </w:r>
      <w:r w:rsidRPr="005F4457">
        <w:t>Estónsku</w:t>
      </w:r>
      <w:r>
        <w:t>.</w:t>
      </w:r>
    </w:p>
  </w:footnote>
  <w:footnote w:id="13">
    <w:p w14:paraId="3DD1F883" w14:textId="77777777" w:rsidR="00373CAE" w:rsidRPr="008A5973" w:rsidRDefault="00373CAE" w:rsidP="008A5973">
      <w:pPr>
        <w:pStyle w:val="Textpoznmkypodiarou"/>
      </w:pPr>
      <w:r w:rsidRPr="008A5973">
        <w:rPr>
          <w:rStyle w:val="Odkaznapoznmkupodiarou"/>
        </w:rPr>
        <w:footnoteRef/>
      </w:r>
      <w:r w:rsidRPr="008A5973">
        <w:t xml:space="preserve"> MF SR už v súčasnosti podporuje výkon podporných a prierezových činností vybraných organizácii Ekonomickým informačným systémom a pre ÚPVII zabezpečuje napr. mzdové účtovníctvo. V budúcnosti tak bude robiť Centrálnym ekonomickým systémom.</w:t>
      </w:r>
    </w:p>
  </w:footnote>
  <w:footnote w:id="14">
    <w:p w14:paraId="55E50832" w14:textId="77777777" w:rsidR="00373CAE" w:rsidRPr="006C12BD" w:rsidRDefault="00373CAE" w:rsidP="000969DB">
      <w:pPr>
        <w:pStyle w:val="Textpoznmkypodiarou"/>
        <w:rPr>
          <w:rFonts w:cs="Times New Roman"/>
          <w:sz w:val="20"/>
        </w:rPr>
      </w:pPr>
      <w:r w:rsidRPr="006C12BD">
        <w:rPr>
          <w:rStyle w:val="Odkaznapoznmkupodiarou"/>
          <w:rFonts w:cs="Times New Roman"/>
          <w:sz w:val="20"/>
        </w:rPr>
        <w:footnoteRef/>
      </w:r>
      <w:r w:rsidRPr="006C12BD">
        <w:rPr>
          <w:rFonts w:cs="Times New Roman"/>
          <w:sz w:val="20"/>
        </w:rPr>
        <w:t xml:space="preserve"> </w:t>
      </w:r>
      <w:r w:rsidRPr="00D81DB4">
        <w:rPr>
          <w:rFonts w:cs="Times New Roman"/>
        </w:rPr>
        <w:t xml:space="preserve">Pojem audit je pre potreby tohto materiálu odlišný od legislatívne ukotvených auditov – auditu účtovníctva, vládneho auditu alebo finančnej kontroly. </w:t>
      </w:r>
    </w:p>
  </w:footnote>
  <w:footnote w:id="15">
    <w:p w14:paraId="53318B54" w14:textId="77777777" w:rsidR="00373CAE" w:rsidRDefault="00373CAE" w:rsidP="000969DB">
      <w:pPr>
        <w:pStyle w:val="Textpoznmkypodiarou"/>
      </w:pPr>
      <w:r>
        <w:rPr>
          <w:rStyle w:val="Odkaznapoznmkupodiarou"/>
        </w:rPr>
        <w:footnoteRef/>
      </w:r>
      <w:r>
        <w:t xml:space="preserve"> </w:t>
      </w:r>
      <w:r w:rsidRPr="000444B3">
        <w:t>Národný projekt Optimalizácia procesov vo verejnej správe</w:t>
      </w:r>
      <w:r>
        <w:t xml:space="preserve">. Dostupné online: </w:t>
      </w:r>
      <w:hyperlink r:id="rId3" w:history="1">
        <w:r w:rsidRPr="007744EE">
          <w:rPr>
            <w:rStyle w:val="Hypertextovprepojenie"/>
          </w:rPr>
          <w:t>http://www.minv.sk/?np-optimalizacia-procesov-vo-verejnej-sprave</w:t>
        </w:r>
      </w:hyperlink>
      <w:r>
        <w:rPr>
          <w:rStyle w:val="Hypertextovprepojenie"/>
        </w:rPr>
        <w:t>.</w:t>
      </w:r>
      <w:r>
        <w:t xml:space="preserve"> </w:t>
      </w:r>
    </w:p>
  </w:footnote>
  <w:footnote w:id="16">
    <w:p w14:paraId="40F03CE1" w14:textId="2DE17E8B" w:rsidR="00373CAE" w:rsidRDefault="00373CAE" w:rsidP="00116ECB">
      <w:pPr>
        <w:pStyle w:val="Textpoznmkypodiarou"/>
      </w:pPr>
      <w:r>
        <w:rPr>
          <w:rStyle w:val="Odkaznapoznmkupodiarou"/>
        </w:rPr>
        <w:footnoteRef/>
      </w:r>
      <w:r>
        <w:t xml:space="preserve"> AKOS – administratívne kapacity EÚ projektov, ktoré sú plne refundované z EÚ fondov (kód zdroja 11EU).</w:t>
      </w:r>
    </w:p>
  </w:footnote>
  <w:footnote w:id="17">
    <w:p w14:paraId="5EB4876B" w14:textId="77777777" w:rsidR="00373CAE" w:rsidRPr="00226311" w:rsidRDefault="00373CAE" w:rsidP="007F392B">
      <w:pPr>
        <w:pStyle w:val="Textpoznmkypodiarou"/>
      </w:pPr>
      <w:r w:rsidRPr="00226311">
        <w:rPr>
          <w:rStyle w:val="Odkaznapoznmkupodiarou"/>
        </w:rPr>
        <w:footnoteRef/>
      </w:r>
      <w:r w:rsidRPr="00226311">
        <w:t xml:space="preserve"> Novela zákona o odmeňovaní vo verejnom záujme schválená v roku 2018 čiastočne zjednodušila systém, nepriniesla však zmenu filozofie odmeňovania. Znížil sa počet platových tabuliek, nezanedbateľný vplyv na mzdu majú naďalej odpracované roky.</w:t>
      </w:r>
    </w:p>
  </w:footnote>
  <w:footnote w:id="18">
    <w:p w14:paraId="742A2BF8" w14:textId="77777777" w:rsidR="00373CAE" w:rsidRDefault="00373CAE" w:rsidP="00C666AA">
      <w:pPr>
        <w:pStyle w:val="Textpoznmkypodiarou"/>
      </w:pPr>
      <w:r>
        <w:rPr>
          <w:rStyle w:val="Odkaznapoznmkupodiarou"/>
        </w:rPr>
        <w:footnoteRef/>
      </w:r>
      <w:r>
        <w:t xml:space="preserve"> V súčasnosti si zbery údajov o zamestnanosti a mzdách robia niektoré rezorty individuálne</w:t>
      </w:r>
      <w:r>
        <w:rPr>
          <w:rStyle w:val="Odkaznapoznmkupodiarou"/>
        </w:rPr>
        <w:footnoteRef/>
      </w:r>
      <w:r>
        <w:t>, štruktúra a úroveň detailu v nich sa však líši, čo sťažuje súbežné použitie dát.</w:t>
      </w:r>
    </w:p>
  </w:footnote>
  <w:footnote w:id="19">
    <w:p w14:paraId="3518E26E" w14:textId="7A491394" w:rsidR="00373CAE" w:rsidRPr="00C76D3E" w:rsidRDefault="00373CAE" w:rsidP="001948DF">
      <w:pPr>
        <w:pStyle w:val="Bezriadkovania"/>
        <w:rPr>
          <w:sz w:val="18"/>
          <w:szCs w:val="18"/>
        </w:rPr>
      </w:pPr>
      <w:r w:rsidRPr="008C2E2A">
        <w:rPr>
          <w:rStyle w:val="Odkaznapoznmkupodiarou"/>
          <w:sz w:val="20"/>
          <w:szCs w:val="20"/>
        </w:rPr>
        <w:footnoteRef/>
      </w:r>
      <w:r w:rsidRPr="008C2E2A">
        <w:rPr>
          <w:sz w:val="20"/>
          <w:szCs w:val="20"/>
        </w:rPr>
        <w:t xml:space="preserve"> </w:t>
      </w:r>
      <w:r w:rsidRPr="00393035">
        <w:rPr>
          <w:sz w:val="18"/>
          <w:szCs w:val="20"/>
        </w:rPr>
        <w:t xml:space="preserve">Medzi ďalšie dôležité faktory patria reputácia organizácie, kvalita </w:t>
      </w:r>
      <w:r>
        <w:rPr>
          <w:sz w:val="18"/>
          <w:szCs w:val="20"/>
        </w:rPr>
        <w:t>manažmentu</w:t>
      </w:r>
      <w:r w:rsidRPr="00393035">
        <w:rPr>
          <w:sz w:val="18"/>
          <w:szCs w:val="20"/>
        </w:rPr>
        <w:t>, benefity ako napríklad penzie, flexibilné nastavenie práce, prístup k ďalšiemu vzdelávaniu a kvalita dopravnej infraštruktúry.</w:t>
      </w:r>
    </w:p>
  </w:footnote>
  <w:footnote w:id="20">
    <w:p w14:paraId="1D4722B1" w14:textId="1DB34223" w:rsidR="00373CAE" w:rsidRDefault="00373CAE">
      <w:pPr>
        <w:pStyle w:val="Textpoznmkypodiarou"/>
      </w:pPr>
      <w:r>
        <w:rPr>
          <w:rStyle w:val="Odkaznapoznmkupodiarou"/>
        </w:rPr>
        <w:footnoteRef/>
      </w:r>
      <w:r>
        <w:t xml:space="preserve"> Kompenzácie sú určené podľa metodiky ESA 2010 a zahŕňajú mzdy, poistné, časť cestovných náhrad a vybrané položky zo služieb (napr. stravovanie) a transferov (napr. odstupné). Viac informácii o metodike obsahuje </w:t>
      </w:r>
      <w:r>
        <w:fldChar w:fldCharType="begin"/>
      </w:r>
      <w:r>
        <w:instrText xml:space="preserve"> REF _Ref13492023 \h  \* MERGEFORMAT </w:instrText>
      </w:r>
      <w:r>
        <w:fldChar w:fldCharType="separate"/>
      </w:r>
      <w:r w:rsidRPr="00BF69CA">
        <w:t>Príloha 3</w:t>
      </w:r>
      <w:r>
        <w:fldChar w:fldCharType="end"/>
      </w:r>
      <w:r>
        <w:t>.</w:t>
      </w:r>
    </w:p>
  </w:footnote>
  <w:footnote w:id="21">
    <w:p w14:paraId="473B31C8" w14:textId="02DE1B64" w:rsidR="00373CAE" w:rsidRDefault="00373CAE">
      <w:pPr>
        <w:pStyle w:val="Textpoznmkypodiarou"/>
      </w:pPr>
      <w:r>
        <w:rPr>
          <w:rStyle w:val="Odkaznapoznmkupodiarou"/>
        </w:rPr>
        <w:footnoteRef/>
      </w:r>
      <w:r>
        <w:t xml:space="preserve"> S.13 Eurostat – pre vymedzenie pozri </w:t>
      </w:r>
      <w:r>
        <w:fldChar w:fldCharType="begin"/>
      </w:r>
      <w:r>
        <w:instrText xml:space="preserve"> REF _Ref5870330 \h  \* MERGEFORMAT </w:instrText>
      </w:r>
      <w:r>
        <w:fldChar w:fldCharType="separate"/>
      </w:r>
      <w:r w:rsidRPr="00BF69CA">
        <w:t>Box 3</w:t>
      </w:r>
      <w:r>
        <w:fldChar w:fldCharType="end"/>
      </w:r>
      <w:r>
        <w:t>.</w:t>
      </w:r>
    </w:p>
  </w:footnote>
  <w:footnote w:id="22">
    <w:p w14:paraId="4B8A5691" w14:textId="434B7B6F" w:rsidR="00373CAE" w:rsidRDefault="00373CAE" w:rsidP="000B3697">
      <w:pPr>
        <w:pStyle w:val="Textpoznmkypodiarou"/>
      </w:pPr>
      <w:r w:rsidRPr="00C427D2">
        <w:rPr>
          <w:rStyle w:val="Odkaznapoznmkupodiarou"/>
        </w:rPr>
        <w:footnoteRef/>
      </w:r>
      <w:r w:rsidRPr="00C427D2">
        <w:t xml:space="preserve"> </w:t>
      </w:r>
      <w:r w:rsidRPr="005C4BBD">
        <w:t>Detailný</w:t>
      </w:r>
      <w:r>
        <w:t xml:space="preserve"> vývoj zobrazuje </w:t>
      </w:r>
      <w:r>
        <w:fldChar w:fldCharType="begin"/>
      </w:r>
      <w:r>
        <w:instrText xml:space="preserve"> REF _Ref34227362 \h  \* MERGEFORMAT </w:instrText>
      </w:r>
      <w:r>
        <w:fldChar w:fldCharType="separate"/>
      </w:r>
      <w:r w:rsidRPr="00BF69CA">
        <w:t>Príloha 4</w:t>
      </w:r>
      <w:r>
        <w:fldChar w:fldCharType="end"/>
      </w:r>
      <w:r>
        <w:t>.</w:t>
      </w:r>
    </w:p>
  </w:footnote>
  <w:footnote w:id="23">
    <w:p w14:paraId="1527D417" w14:textId="5F7C91FC" w:rsidR="00373CAE" w:rsidRDefault="00373CAE" w:rsidP="000B3697">
      <w:pPr>
        <w:pStyle w:val="Textpoznmkypodiarou"/>
      </w:pPr>
      <w:r>
        <w:rPr>
          <w:rStyle w:val="Odkaznapoznmkupodiarou"/>
        </w:rPr>
        <w:footnoteRef/>
      </w:r>
      <w:r>
        <w:t xml:space="preserve"> V podiele zamestnanosti VS na celkovej zamestnanosti sa Slovensko nachádza mierne nad priemerom krajín EÚ (</w:t>
      </w:r>
      <w:r>
        <w:fldChar w:fldCharType="begin"/>
      </w:r>
      <w:r>
        <w:instrText xml:space="preserve"> REF _Ref11754583 \h  \* MERGEFORMAT </w:instrText>
      </w:r>
      <w:r>
        <w:fldChar w:fldCharType="separate"/>
      </w:r>
      <w:r w:rsidRPr="00BF69CA">
        <w:t>Príloha 5</w:t>
      </w:r>
      <w:r>
        <w:fldChar w:fldCharType="end"/>
      </w:r>
      <w:r>
        <w:t>). Rozdiel v pozícii Slovenska v týchto dvoch ukazovateľoch možno vysvetliť relatívne nižšou mierou zamestnanosti na Slovensku.</w:t>
      </w:r>
    </w:p>
  </w:footnote>
  <w:footnote w:id="24">
    <w:p w14:paraId="340040E9" w14:textId="77777777" w:rsidR="00373CAE" w:rsidRPr="002C6229" w:rsidRDefault="00373CAE" w:rsidP="000B3697">
      <w:pPr>
        <w:pStyle w:val="Textpoznmkypodiarou"/>
      </w:pPr>
      <w:r>
        <w:rPr>
          <w:rStyle w:val="Odkaznapoznmkupodiarou"/>
        </w:rPr>
        <w:footnoteRef/>
      </w:r>
      <w:r>
        <w:t xml:space="preserve"> </w:t>
      </w:r>
      <w:r w:rsidRPr="002C6229">
        <w:t xml:space="preserve">Definícia produkčných nákladov verejného sektora je dostupná </w:t>
      </w:r>
      <w:r>
        <w:t>online</w:t>
      </w:r>
      <w:r w:rsidRPr="002C6229">
        <w:t xml:space="preserve">: </w:t>
      </w:r>
      <w:hyperlink r:id="rId4" w:history="1">
        <w:r w:rsidRPr="00A449B8">
          <w:rPr>
            <w:rStyle w:val="Hypertextovprepojenie"/>
          </w:rPr>
          <w:t>https://data.oecd.org/gga/government-production-costs.htm</w:t>
        </w:r>
      </w:hyperlink>
      <w:r w:rsidRPr="00764AB3">
        <w:rPr>
          <w:rStyle w:val="Hypertextovprepojenie"/>
          <w:color w:val="auto"/>
        </w:rPr>
        <w:t>.</w:t>
      </w:r>
    </w:p>
  </w:footnote>
  <w:footnote w:id="25">
    <w:p w14:paraId="08C6FA39" w14:textId="77777777" w:rsidR="00373CAE" w:rsidRDefault="00373CAE" w:rsidP="000B3697">
      <w:pPr>
        <w:pStyle w:val="Textpoznmkypodiarou"/>
      </w:pPr>
      <w:r w:rsidRPr="002C6229">
        <w:rPr>
          <w:rStyle w:val="Odkaznapoznmkupodiarou"/>
        </w:rPr>
        <w:footnoteRef/>
      </w:r>
      <w:r w:rsidRPr="002C6229">
        <w:t xml:space="preserve"> Dáta neumožňujú určiť</w:t>
      </w:r>
      <w:r>
        <w:t>,</w:t>
      </w:r>
      <w:r w:rsidRPr="002C6229">
        <w:t xml:space="preserve"> koľko zamestnancov je zamestnaných v produkcii tovarov a služieb súkromnými firmami pre štát</w:t>
      </w:r>
      <w:r>
        <w:t>,</w:t>
      </w:r>
      <w:r w:rsidRPr="002C6229">
        <w:t xml:space="preserve"> a teda porovnať zamestnanosť v celej verejnej oblasti (sektor VS plus outsourcing). Vyšší podiel výdavkov na outsourcing na HDP na Slovensku ešte nemusí znamenať, že zamestnanosť v sektore VS by mala byť </w:t>
      </w:r>
      <w:r>
        <w:t>nižšia</w:t>
      </w:r>
      <w:r w:rsidRPr="002C6229">
        <w:t>. Toto ovplyvňuje aj priemerná kompenzácia v rámci outsourcovaných pozícií</w:t>
      </w:r>
      <w:r w:rsidRPr="00E60F96">
        <w:t xml:space="preserve">. Za zjednodušujúceho predpokladu, že všetky výdavky na outsourcing idú na kompenzáciu zamestnancov, celkový objem kompenzácií zamestnancov vo verejnej oblasti (sektor VS plus outsourcing) </w:t>
      </w:r>
      <w:r>
        <w:t xml:space="preserve">v roku 2016 </w:t>
      </w:r>
      <w:r w:rsidRPr="00E60F96">
        <w:t>by na Slovensku (21,1 %</w:t>
      </w:r>
      <w:r>
        <w:t xml:space="preserve"> HDP</w:t>
      </w:r>
      <w:r w:rsidRPr="00E60F96">
        <w:t>) stále bol pod priemerom EÚ (21,7 %</w:t>
      </w:r>
      <w:r>
        <w:t xml:space="preserve"> HDP</w:t>
      </w:r>
      <w:r w:rsidRPr="00E60F96">
        <w:t>).</w:t>
      </w:r>
      <w:r w:rsidRPr="002C6229">
        <w:t xml:space="preserve"> V skutočnosti časť výdavkov ide na kompenzáciu ostatných výrobných faktorov, najmä kapitálu. Ak by sme predpokladali, že rozdelenie príjmov medzi prácu a kapitál v oblasti outsourcingu je podobné ako rozdelenie v celkovej ekonomike, skutočná medzera vo</w:t>
      </w:r>
      <w:r>
        <w:t> </w:t>
      </w:r>
      <w:r w:rsidRPr="002C6229">
        <w:t>výdavkoch na kompenzáciu zamestnancov vo verejnej oblasti oproti priemeru EÚ by pravdepodobne bola väčšia ako uvedených 0,6 % HDP, keďže na Slovensku je podiel kompenzácie práce na HDP relatívne nízky.</w:t>
      </w:r>
    </w:p>
  </w:footnote>
  <w:footnote w:id="26">
    <w:p w14:paraId="547A0C6F" w14:textId="77777777" w:rsidR="00373CAE" w:rsidRDefault="00373CAE" w:rsidP="000B3697">
      <w:pPr>
        <w:pStyle w:val="Textpoznmkypodiarou"/>
      </w:pPr>
      <w:r>
        <w:rPr>
          <w:rStyle w:val="Odkaznapoznmkupodiarou"/>
        </w:rPr>
        <w:footnoteRef/>
      </w:r>
      <w:r>
        <w:t xml:space="preserve"> Predpokladaný rast mzdy podľa prognózy IFP, dostupná online: </w:t>
      </w:r>
      <w:hyperlink r:id="rId5" w:history="1">
        <w:r w:rsidRPr="00A178D4">
          <w:rPr>
            <w:rStyle w:val="Hypertextovprepojenie"/>
          </w:rPr>
          <w:t>http://www.finance.gov.sk/Default.aspx?CatID=11839</w:t>
        </w:r>
      </w:hyperlink>
      <w:r>
        <w:t>.</w:t>
      </w:r>
    </w:p>
  </w:footnote>
  <w:footnote w:id="27">
    <w:p w14:paraId="20C5B069" w14:textId="4224863F" w:rsidR="00373CAE" w:rsidRPr="004F22F5" w:rsidRDefault="00373CAE">
      <w:pPr>
        <w:pStyle w:val="Textpoznmkypodiarou"/>
      </w:pPr>
      <w:r w:rsidRPr="00B632F2">
        <w:rPr>
          <w:rStyle w:val="Odkaznapoznmkupodiarou"/>
        </w:rPr>
        <w:footnoteRef/>
      </w:r>
      <w:r w:rsidRPr="00B632F2">
        <w:t xml:space="preserve"> Veľká časť zamestnancov samospráv vykonáva úlohy tzv. prenesených kompetencií – činností, ktoré si štát </w:t>
      </w:r>
      <w:r>
        <w:t>od</w:t>
      </w:r>
      <w:r w:rsidRPr="00B632F2">
        <w:t xml:space="preserve"> samospráv „objednal“, naďalej ich však financuje a má rozsiahle kontrolné právomoci – napríklad základné a stredné školstvo, niektoré zdravotnícke zariadenia a zariadenia sociálnych služieb, stavebné konanie či matriky. Prechod pôsobností z ministerstiev, krajský</w:t>
      </w:r>
      <w:r>
        <w:t>ch úradov a okresných úradov na </w:t>
      </w:r>
      <w:r w:rsidRPr="00B632F2">
        <w:t>obce a na vyššie územné celky upravuje zákon č. 416/2001 Z. z.</w:t>
      </w:r>
    </w:p>
  </w:footnote>
  <w:footnote w:id="28">
    <w:p w14:paraId="769CD128" w14:textId="74E26907" w:rsidR="00373CAE" w:rsidRDefault="00373CAE" w:rsidP="00DC4AA7">
      <w:pPr>
        <w:pStyle w:val="Textpoznmkypodiarou"/>
      </w:pPr>
      <w:r>
        <w:rPr>
          <w:rStyle w:val="Odkaznapoznmkupodiarou"/>
        </w:rPr>
        <w:footnoteRef/>
      </w:r>
      <w:r>
        <w:t xml:space="preserve"> Kritéria pre zaradenie do sektora verejnej </w:t>
      </w:r>
      <w:r w:rsidRPr="00F10BC3">
        <w:t xml:space="preserve">správy uvádza </w:t>
      </w:r>
      <w:r w:rsidRPr="00F10BC3">
        <w:fldChar w:fldCharType="begin"/>
      </w:r>
      <w:r w:rsidRPr="00F10BC3">
        <w:instrText xml:space="preserve"> REF _Ref5870330 \h  \* MERGEFORMAT </w:instrText>
      </w:r>
      <w:r w:rsidRPr="00F10BC3">
        <w:fldChar w:fldCharType="separate"/>
      </w:r>
      <w:r w:rsidRPr="00BF69CA">
        <w:t xml:space="preserve">Box </w:t>
      </w:r>
      <w:r w:rsidRPr="00BF69CA">
        <w:rPr>
          <w:noProof/>
        </w:rPr>
        <w:t>3</w:t>
      </w:r>
      <w:r w:rsidRPr="00F10BC3">
        <w:fldChar w:fldCharType="end"/>
      </w:r>
      <w:r w:rsidRPr="00F10BC3">
        <w:t>.</w:t>
      </w:r>
      <w:r>
        <w:t xml:space="preserve"> </w:t>
      </w:r>
    </w:p>
  </w:footnote>
  <w:footnote w:id="29">
    <w:p w14:paraId="46DC11A8" w14:textId="77777777" w:rsidR="00373CAE" w:rsidRDefault="00373CAE">
      <w:pPr>
        <w:pStyle w:val="Textpoznmkypodiarou"/>
      </w:pPr>
      <w:r>
        <w:rPr>
          <w:rStyle w:val="Odkaznapoznmkupodiarou"/>
        </w:rPr>
        <w:footnoteRef/>
      </w:r>
      <w:r>
        <w:t xml:space="preserve"> Bez zamestnancov štátnych stredných a vysokých škôl, ktorí sú zahrnutí pod ústrednou štátnou správou.</w:t>
      </w:r>
    </w:p>
  </w:footnote>
  <w:footnote w:id="30">
    <w:p w14:paraId="039E245D" w14:textId="2CCBECB3" w:rsidR="00373CAE" w:rsidRDefault="00373CAE" w:rsidP="007F3839">
      <w:pPr>
        <w:pStyle w:val="Textpoznmkypodiarou"/>
      </w:pPr>
      <w:r>
        <w:rPr>
          <w:rStyle w:val="Odkaznapoznmkupodiarou"/>
        </w:rPr>
        <w:footnoteRef/>
      </w:r>
      <w:r>
        <w:t xml:space="preserve"> Zahŕňa iba zamestnancov subjektov zaradených do sektora VS, nie všetkých zamestnancov pôsobiacich v zdravotníctve.</w:t>
      </w:r>
    </w:p>
  </w:footnote>
  <w:footnote w:id="31">
    <w:p w14:paraId="5C8F9C85" w14:textId="77777777" w:rsidR="00373CAE" w:rsidRDefault="00373CAE" w:rsidP="00E24FBF">
      <w:pPr>
        <w:pStyle w:val="Textpoznmkypodiarou"/>
      </w:pPr>
      <w:r>
        <w:rPr>
          <w:rStyle w:val="Odkaznapoznmkupodiarou"/>
        </w:rPr>
        <w:footnoteRef/>
      </w:r>
      <w:r>
        <w:t xml:space="preserve"> Bez zamestnancov štátnych stredných a vysokých škôl, ktorí sú zahrnutí pod ústrednou štátnou správou.</w:t>
      </w:r>
    </w:p>
  </w:footnote>
  <w:footnote w:id="32">
    <w:p w14:paraId="3260583E" w14:textId="77777777" w:rsidR="00373CAE" w:rsidRDefault="00373CAE" w:rsidP="00004B41">
      <w:pPr>
        <w:pStyle w:val="Textpoznmkypodiarou"/>
      </w:pPr>
      <w:r w:rsidRPr="00666361">
        <w:rPr>
          <w:rStyle w:val="Odkaznapoznmkupodiarou"/>
        </w:rPr>
        <w:footnoteRef/>
      </w:r>
      <w:r w:rsidRPr="00666361">
        <w:t xml:space="preserve"> </w:t>
      </w:r>
      <w:r w:rsidRPr="00736480">
        <w:t>Podľa klasifikácie povolaní ISCO</w:t>
      </w:r>
      <w:r>
        <w:t>. Metodika je dostupná online:</w:t>
      </w:r>
      <w:r w:rsidRPr="00736480">
        <w:t xml:space="preserve"> </w:t>
      </w:r>
      <w:hyperlink r:id="rId6" w:history="1">
        <w:r w:rsidRPr="001256A4">
          <w:rPr>
            <w:rStyle w:val="Hypertextovprepojenie"/>
          </w:rPr>
          <w:t>https://www.ilo.org/public/english/bureau/stat/isco/isco08/index.htm</w:t>
        </w:r>
      </w:hyperlink>
      <w:r>
        <w:t>.</w:t>
      </w:r>
    </w:p>
  </w:footnote>
  <w:footnote w:id="33">
    <w:p w14:paraId="00EFFE71" w14:textId="4A68845E" w:rsidR="00373CAE" w:rsidRDefault="00373CAE">
      <w:pPr>
        <w:pStyle w:val="Textpoznmkypodiarou"/>
      </w:pPr>
      <w:r>
        <w:rPr>
          <w:rStyle w:val="Odkaznapoznmkupodiarou"/>
        </w:rPr>
        <w:footnoteRef/>
      </w:r>
      <w:r>
        <w:t xml:space="preserve"> Z uvedeného dôvodu nie je možné porovnávať počet zamestnancov verejného sektora v kapitolách </w:t>
      </w:r>
      <w:r>
        <w:fldChar w:fldCharType="begin"/>
      </w:r>
      <w:r>
        <w:instrText xml:space="preserve"> REF _Ref532832177 \r \h </w:instrText>
      </w:r>
      <w:r>
        <w:fldChar w:fldCharType="separate"/>
      </w:r>
      <w:r>
        <w:t>2.1</w:t>
      </w:r>
      <w:r>
        <w:fldChar w:fldCharType="end"/>
      </w:r>
      <w:r>
        <w:t xml:space="preserve"> a </w:t>
      </w:r>
      <w:r>
        <w:fldChar w:fldCharType="begin"/>
      </w:r>
      <w:r>
        <w:instrText xml:space="preserve"> REF _Ref526699329 \r \h </w:instrText>
      </w:r>
      <w:r>
        <w:fldChar w:fldCharType="separate"/>
      </w:r>
      <w:r>
        <w:t>2.3</w:t>
      </w:r>
      <w:r>
        <w:fldChar w:fldCharType="end"/>
      </w:r>
      <w:r>
        <w:t xml:space="preserve">. </w:t>
      </w:r>
    </w:p>
  </w:footnote>
  <w:footnote w:id="34">
    <w:p w14:paraId="32AD3B60" w14:textId="2E91FA00" w:rsidR="00373CAE" w:rsidRDefault="00373CAE" w:rsidP="006B29CE">
      <w:pPr>
        <w:pStyle w:val="Textpoznmkypodiarou"/>
      </w:pPr>
      <w:r w:rsidRPr="00C532BD">
        <w:rPr>
          <w:rStyle w:val="Odkaznapoznmkupodiarou"/>
        </w:rPr>
        <w:footnoteRef/>
      </w:r>
      <w:r w:rsidRPr="00C532BD">
        <w:t xml:space="preserve"> </w:t>
      </w:r>
      <w:r w:rsidRPr="00736480">
        <w:t>Systém národných účtov (</w:t>
      </w:r>
      <w:r>
        <w:t>Nariadenie Európskeho parlamentu a Rady EÚ č. 549/2013</w:t>
      </w:r>
      <w:r w:rsidRPr="00736480">
        <w:t>) neumožňuje identifikovať, či je zamestnávateľ verejný alebo súkromný.</w:t>
      </w:r>
      <w:r>
        <w:t xml:space="preserve"> Dostupné online: </w:t>
      </w:r>
      <w:hyperlink r:id="rId7" w:history="1">
        <w:r w:rsidRPr="00A449B8">
          <w:rPr>
            <w:rStyle w:val="Hypertextovprepojenie"/>
          </w:rPr>
          <w:t>http://www.nbs.sk/_img/Documents/_Statistika/manual_ESA_2010_SK.pdf</w:t>
        </w:r>
      </w:hyperlink>
      <w:r>
        <w:t xml:space="preserve">. </w:t>
      </w:r>
    </w:p>
  </w:footnote>
  <w:footnote w:id="35">
    <w:p w14:paraId="3ACBA4D2" w14:textId="139FEEF8" w:rsidR="00373CAE" w:rsidRPr="00736480" w:rsidRDefault="00373CAE" w:rsidP="006B29CE">
      <w:pPr>
        <w:pStyle w:val="Textpoznmkypodiarou"/>
        <w:rPr>
          <w:b/>
        </w:rPr>
      </w:pPr>
      <w:r>
        <w:rPr>
          <w:rStyle w:val="Odkaznapoznmkupodiarou"/>
        </w:rPr>
        <w:footnoteRef/>
      </w:r>
      <w:r>
        <w:t xml:space="preserve"> </w:t>
      </w:r>
      <w:r w:rsidRPr="00736480">
        <w:t>Štatistickú klasifikáciu ekonomických činností v Európskom spoločenstve NACE Revision 2 pre krajiny Európskeho Spoločenstva stanovuje Nariadenie Európskeho Parlamentu a Rady (ES) č. 1893/2006 z 20. decembra 2006. Je záväzná pre všetky členské štáty.</w:t>
      </w:r>
      <w:r w:rsidRPr="00FB605D">
        <w:t xml:space="preserve"> Dostupné online: </w:t>
      </w:r>
      <w:hyperlink r:id="rId8" w:history="1">
        <w:r w:rsidRPr="00FB605D">
          <w:rPr>
            <w:rStyle w:val="Hypertextovprepojenie"/>
          </w:rPr>
          <w:t>https://eur-lex.europa.eu/legal-content/SK/TXT/PDF/?uri=CELEX:32006R1893&amp;from=SK</w:t>
        </w:r>
      </w:hyperlink>
      <w:r w:rsidRPr="00FB605D">
        <w:t>.</w:t>
      </w:r>
      <w:r>
        <w:rPr>
          <w:b/>
        </w:rPr>
        <w:t xml:space="preserve"> </w:t>
      </w:r>
    </w:p>
  </w:footnote>
  <w:footnote w:id="36">
    <w:p w14:paraId="68EA53A1" w14:textId="25E76586" w:rsidR="00373CAE" w:rsidRDefault="00373CAE">
      <w:pPr>
        <w:pStyle w:val="Textpoznmkypodiarou"/>
      </w:pPr>
      <w:r>
        <w:rPr>
          <w:rStyle w:val="Odkaznapoznmkupodiarou"/>
        </w:rPr>
        <w:footnoteRef/>
      </w:r>
      <w:r>
        <w:t xml:space="preserve"> </w:t>
      </w:r>
      <w:r w:rsidRPr="00E54D82">
        <w:t xml:space="preserve">Napríklad v prípade počtu prokurátorov (CEPEJ) niektoré krajiny, vrátane Slovenska, poskytli údaje o počte fyzických osôb, niektoré ich prepočítali na úväzky. </w:t>
      </w:r>
      <w:r>
        <w:t>Komisia Rady E</w:t>
      </w:r>
      <w:r w:rsidRPr="00A860C8">
        <w:t>urópy pre hodnotenie efektívnosti justície</w:t>
      </w:r>
      <w:r>
        <w:t xml:space="preserve">. Dostupné online: </w:t>
      </w:r>
      <w:hyperlink r:id="rId9" w:history="1">
        <w:r w:rsidRPr="00A06ADD">
          <w:rPr>
            <w:rStyle w:val="Hypertextovprepojenie"/>
          </w:rPr>
          <w:t>https://www.coe.int/en/web/cepej</w:t>
        </w:r>
      </w:hyperlink>
      <w:r>
        <w:t>.</w:t>
      </w:r>
    </w:p>
  </w:footnote>
  <w:footnote w:id="37">
    <w:p w14:paraId="06B6BB86" w14:textId="77777777" w:rsidR="00373CAE" w:rsidRPr="00A410D6" w:rsidRDefault="00373CAE">
      <w:pPr>
        <w:pStyle w:val="Textpoznmkypodiarou"/>
      </w:pPr>
      <w:r>
        <w:rPr>
          <w:rStyle w:val="Odkaznapoznmkupodiarou"/>
        </w:rPr>
        <w:footnoteRef/>
      </w:r>
      <w:r>
        <w:t xml:space="preserve"> Prepočet ÚHP na základe dát </w:t>
      </w:r>
      <w:r w:rsidRPr="00A410D6">
        <w:t>z prieskumov Štruktúra miezd v SR 2017 a Struktura mezd zaměstnanců (ČR)</w:t>
      </w:r>
      <w:r>
        <w:t>.</w:t>
      </w:r>
    </w:p>
  </w:footnote>
  <w:footnote w:id="38">
    <w:p w14:paraId="2B44BA27" w14:textId="77777777" w:rsidR="00373CAE" w:rsidRPr="00A410D6" w:rsidRDefault="00373CAE" w:rsidP="00F9716F">
      <w:pPr>
        <w:pStyle w:val="Textpoznmkypodiarou"/>
      </w:pPr>
      <w:r w:rsidRPr="00A410D6">
        <w:rPr>
          <w:rStyle w:val="Odkaznapoznmkupodiarou"/>
        </w:rPr>
        <w:footnoteRef/>
      </w:r>
      <w:r w:rsidRPr="00A410D6">
        <w:t xml:space="preserve"> Napríklad z dôvodu rôzneho zaraďovania miestnej polície, železničnej polície a iných zložiek v rôznych krajinách. </w:t>
      </w:r>
    </w:p>
  </w:footnote>
  <w:footnote w:id="39">
    <w:p w14:paraId="7369D883" w14:textId="77777777" w:rsidR="00373CAE" w:rsidRDefault="00373CAE" w:rsidP="00D07A01">
      <w:pPr>
        <w:pStyle w:val="Textpoznmkypodiarou"/>
      </w:pPr>
      <w:r>
        <w:rPr>
          <w:rStyle w:val="Odkaznapoznmkupodiarou"/>
        </w:rPr>
        <w:footnoteRef/>
      </w:r>
      <w:r>
        <w:t xml:space="preserve"> Viď napr. </w:t>
      </w:r>
      <w:hyperlink r:id="rId10" w:history="1">
        <w:r w:rsidRPr="001A01E0">
          <w:rPr>
            <w:rStyle w:val="Hypertextovprepojenie"/>
          </w:rPr>
          <w:t>http://www.oecd.org/sdd/labour-stats/Job-quality-OECD.pdf</w:t>
        </w:r>
      </w:hyperlink>
      <w:r>
        <w:t xml:space="preserve">, </w:t>
      </w:r>
      <w:hyperlink r:id="rId11" w:history="1">
        <w:r w:rsidRPr="001A01E0">
          <w:rPr>
            <w:rStyle w:val="Hypertextovprepojenie"/>
          </w:rPr>
          <w:t>https://ec.europa.eu/eurostat/web/labour-market/quality-of-employment</w:t>
        </w:r>
      </w:hyperlink>
      <w:r>
        <w:t xml:space="preserve">, </w:t>
      </w:r>
      <w:hyperlink r:id="rId12" w:history="1">
        <w:r w:rsidRPr="001A01E0">
          <w:rPr>
            <w:rStyle w:val="Hypertextovprepojenie"/>
          </w:rPr>
          <w:t>https://ec.europa.eu/eurostat/documents/341520/8195276/Quality_of_employment.pdf</w:t>
        </w:r>
      </w:hyperlink>
    </w:p>
  </w:footnote>
  <w:footnote w:id="40">
    <w:p w14:paraId="3EA3FFA5" w14:textId="77777777" w:rsidR="00373CAE" w:rsidRPr="00EC03D4" w:rsidRDefault="00373CAE" w:rsidP="00D07A01">
      <w:pPr>
        <w:pStyle w:val="Textpoznmkypodiarou"/>
      </w:pPr>
      <w:r>
        <w:rPr>
          <w:rStyle w:val="Odkaznapoznmkupodiarou"/>
        </w:rPr>
        <w:footnoteRef/>
      </w:r>
      <w:r>
        <w:t xml:space="preserve"> </w:t>
      </w:r>
      <w:r w:rsidRPr="000F3DA9">
        <w:t>Počet odpracovaných hodín či dní dovolenky podľa dát Prieskumu o štruktúre miezd.</w:t>
      </w:r>
    </w:p>
  </w:footnote>
  <w:footnote w:id="41">
    <w:p w14:paraId="06A64609" w14:textId="77777777" w:rsidR="00373CAE" w:rsidRPr="00006243" w:rsidRDefault="00373CAE" w:rsidP="0003292A">
      <w:pPr>
        <w:pStyle w:val="Textkomentra"/>
        <w:spacing w:after="0"/>
      </w:pPr>
      <w:r w:rsidRPr="00A410D6">
        <w:rPr>
          <w:rStyle w:val="Odkaznapoznmkupodiarou"/>
        </w:rPr>
        <w:footnoteRef/>
      </w:r>
      <w:r w:rsidRPr="00A410D6">
        <w:t xml:space="preserve"> Na </w:t>
      </w:r>
      <w:r w:rsidRPr="00A410D6">
        <w:rPr>
          <w:sz w:val="18"/>
        </w:rPr>
        <w:t>Slovensku majú prokurátori rovnaké platové podmienky ako sudcovia, v krajinách EÚ zarobia v priemere o 20 % menej.</w:t>
      </w:r>
    </w:p>
  </w:footnote>
  <w:footnote w:id="42">
    <w:p w14:paraId="6549BD8A" w14:textId="7DACC16D" w:rsidR="00373CAE" w:rsidRDefault="00373CAE" w:rsidP="003F5143">
      <w:pPr>
        <w:pStyle w:val="Textpoznmkypodiarou"/>
      </w:pPr>
      <w:r>
        <w:rPr>
          <w:rStyle w:val="Odkaznapoznmkupodiarou"/>
        </w:rPr>
        <w:footnoteRef/>
      </w:r>
      <w:r>
        <w:t xml:space="preserve"> Prieskum realizovaný</w:t>
      </w:r>
      <w:r w:rsidRPr="00055B9C">
        <w:t xml:space="preserve"> </w:t>
      </w:r>
      <w:r>
        <w:t>v krajinách OECD za rok 2015 na vzorke šiestich ministerstiev (vnútro, financie, spravodlivosť, školstvo, zdravotníctvo a životné prostredie). Definícia povolaní založená na ISCO-08 klasifikácii. Kompenzácie obsahujú mzdy a platy, ako aj sociálne príspevky zamestnávateľov, prepočítané paritou kúpnej sily. Pre lepšiu porovnateľnosť medzi krajinami boli kompenzácie upravené o priemerný počet dní štátnych sviatkov.</w:t>
      </w:r>
    </w:p>
  </w:footnote>
  <w:footnote w:id="43">
    <w:p w14:paraId="58F95529" w14:textId="77777777" w:rsidR="00373CAE" w:rsidRDefault="00373CAE" w:rsidP="003F5143">
      <w:pPr>
        <w:pStyle w:val="Textpoznmkypodiarou"/>
      </w:pPr>
      <w:r w:rsidRPr="00174C67">
        <w:rPr>
          <w:rStyle w:val="Odkaznapoznmkupodiarou"/>
        </w:rPr>
        <w:footnoteRef/>
      </w:r>
      <w:r w:rsidRPr="00174C67">
        <w:t xml:space="preserve"> Najmä sekretárky a iní administratívni pracovníci z kancelárií riadiacich pracovníkov, prípadne zamestnanci vo verejnom záujme.</w:t>
      </w:r>
    </w:p>
  </w:footnote>
  <w:footnote w:id="44">
    <w:p w14:paraId="46F0ABC3" w14:textId="1E638B63" w:rsidR="00373CAE" w:rsidRDefault="00373CAE" w:rsidP="00A87E26">
      <w:pPr>
        <w:pStyle w:val="Textpoznmkypodiarou"/>
      </w:pPr>
      <w:r>
        <w:rPr>
          <w:rStyle w:val="Odkaznapoznmkupodiarou"/>
        </w:rPr>
        <w:footnoteRef/>
      </w:r>
      <w:r>
        <w:t xml:space="preserve"> Prepočty SAV pre Revíziu výdavkov.</w:t>
      </w:r>
      <w:r w:rsidRPr="00C84B63">
        <w:t xml:space="preserve"> Odhady boli realizované v rámci projektu Tvorba vedeckých informácii na podporu politík trhu práce, podporeného Agentúrou na podporu výskumu a vývoja na z</w:t>
      </w:r>
      <w:r>
        <w:t xml:space="preserve">áklade Zmluvy č. APVV-17-0329. </w:t>
      </w:r>
    </w:p>
  </w:footnote>
  <w:footnote w:id="45">
    <w:p w14:paraId="2AD80C8A" w14:textId="1E582E54" w:rsidR="00373CAE" w:rsidRDefault="00373CAE" w:rsidP="007F42CC">
      <w:pPr>
        <w:pStyle w:val="Textpoznmkypodiarou"/>
      </w:pPr>
      <w:r>
        <w:rPr>
          <w:rStyle w:val="Odkaznapoznmkupodiarou"/>
        </w:rPr>
        <w:footnoteRef/>
      </w:r>
      <w:r>
        <w:t xml:space="preserve"> Metodológia prognóz trhu práce spoločnosti Trexima je opísaná na nasledovnej stránke: </w:t>
      </w:r>
      <w:hyperlink r:id="rId13" w:history="1">
        <w:r w:rsidRPr="00FB66D8">
          <w:rPr>
            <w:rStyle w:val="Hypertextovprepojenie"/>
          </w:rPr>
          <w:t>https://www.trendyprace.sk/sk/metodika</w:t>
        </w:r>
      </w:hyperlink>
      <w:r>
        <w:t>. Od metodiky SAV sa líši hlavne tým, že nezohľadňuje</w:t>
      </w:r>
      <w:r w:rsidRPr="00057672">
        <w:t xml:space="preserve"> dopad demografických zmien na počet užívateľov danej služby (napr. žiakov alebo pacientov).</w:t>
      </w:r>
      <w:r>
        <w:t xml:space="preserve"> Zohľadňuje však</w:t>
      </w:r>
      <w:r w:rsidRPr="00057672">
        <w:t> predpokladaný rast ekono</w:t>
      </w:r>
      <w:r>
        <w:t xml:space="preserve">miky, t.j. predpokladanú zmenu </w:t>
      </w:r>
      <w:r w:rsidRPr="00057672">
        <w:t>zamestnanosti v dôsledku ekonomického aj demografického vývoja</w:t>
      </w:r>
      <w:r>
        <w:t xml:space="preserve">, ako aj príliv absolventov na trh práce (vrátane odchodov absolventov do zahraničia). </w:t>
      </w:r>
      <w:r w:rsidRPr="00057672">
        <w:t>Odhady nepomeru medzi ponukou a dopytom na trhu práce sú robené pre zhluky vzdelávacích odborov a zamestnaní, nakoľko jeden odbor vzdelania je optimálnym k viacerým zamestnaniam a v jednom zamestnaní sa môžu optimálne uplatni</w:t>
      </w:r>
      <w:r w:rsidRPr="00057672">
        <w:rPr>
          <w:rFonts w:hint="eastAsia"/>
        </w:rPr>
        <w:t>ť</w:t>
      </w:r>
      <w:r w:rsidRPr="00057672">
        <w:t xml:space="preserve"> absolventi viacerých odborov vzdelania.</w:t>
      </w:r>
      <w:r>
        <w:t xml:space="preserve"> Autori revízie nemali prístup k vstupným dátam a postupom a nebolo preto možné metodiku zvalidovať. </w:t>
      </w:r>
    </w:p>
  </w:footnote>
  <w:footnote w:id="46">
    <w:p w14:paraId="243031C8" w14:textId="2A5ABA0F" w:rsidR="00373CAE" w:rsidRDefault="00373CAE" w:rsidP="0004409E">
      <w:pPr>
        <w:pStyle w:val="Textpoznmkypodiarou"/>
      </w:pPr>
      <w:r>
        <w:rPr>
          <w:rStyle w:val="Odkaznapoznmkupodiarou"/>
        </w:rPr>
        <w:footnoteRef/>
      </w:r>
      <w:r>
        <w:t xml:space="preserve"> V tejto kapitole sú za zamestnancov verejného sektora považovaní zamestnanci organizácii so štátnym a samosprávnym vlastníctvom, bez ohľadu na formálnu príslušnosť v sektore verejnej správy, Box 3</w:t>
      </w:r>
      <w:r w:rsidRPr="00E85B24">
        <w:t>.</w:t>
      </w:r>
    </w:p>
  </w:footnote>
  <w:footnote w:id="47">
    <w:p w14:paraId="4EC6CE2E" w14:textId="0EFE5892" w:rsidR="00373CAE" w:rsidRPr="00EB5F6F" w:rsidRDefault="00373CAE" w:rsidP="005918FD">
      <w:pPr>
        <w:pStyle w:val="Textpoznmkypodiarou"/>
      </w:pPr>
      <w:r>
        <w:rPr>
          <w:rStyle w:val="Odkaznapoznmkupodiarou"/>
        </w:rPr>
        <w:footnoteRef/>
      </w:r>
      <w:r>
        <w:t xml:space="preserve"> Metodika ISCO-</w:t>
      </w:r>
      <w:r w:rsidRPr="00BE246F">
        <w:t>08</w:t>
      </w:r>
      <w:r>
        <w:t xml:space="preserve"> organizácie ILO definuje štyri kategórie zručností na základe povahy vykonávanej práce a úrovne vzdelania či množstva skúseností potrebných na kompetentné vykonávanie práce. Zamestnania v nižších kategóriách zručností si často vyžadujú výkon jednoduchej a rutinnej práce, obsluhu a nastavovanie strojov či jednoduchú prácu s informáciami. Zamestnania vo vyšších kategóriách zručností si vyžadujú vyššiu gramotnosť, viac samostatnej a kreatívnej práce a rozsiahle a podrobné znalosti v odbore. Z pracovníkov v najvyššej kategórii boli pre lepšiu porovnateľnosť ešte oddelení riadiaci pracovníci. Zamestnancov do jednotlivých kategórií zaraďujú zamestnávatelia. </w:t>
      </w:r>
      <w:r w:rsidRPr="00E54D82">
        <w:t>Napriek tomu, že obsah práce zamestnancov v rovnakom povolaní vo verejnom a súkromnom sektore môže byť odlišný, pri začlenení zamestnancov v tomto detaile vyžadovaných zručností by zásadné rozdiely byť nemali.</w:t>
      </w:r>
    </w:p>
  </w:footnote>
  <w:footnote w:id="48">
    <w:p w14:paraId="222AB25D" w14:textId="57CAB040" w:rsidR="00373CAE" w:rsidRDefault="00373CAE" w:rsidP="00783F9C">
      <w:pPr>
        <w:pStyle w:val="Popis"/>
      </w:pPr>
      <w:r w:rsidRPr="00783F9C">
        <w:rPr>
          <w:rStyle w:val="Odkaznapoznmkupodiarou"/>
          <w:b w:val="0"/>
        </w:rPr>
        <w:footnoteRef/>
      </w:r>
      <w:r>
        <w:t xml:space="preserve"> </w:t>
      </w:r>
      <w:r w:rsidRPr="00783F9C">
        <w:rPr>
          <w:b w:val="0"/>
          <w:sz w:val="18"/>
          <w:lang w:eastAsia="en-US"/>
        </w:rPr>
        <w:t>Zozna</w:t>
      </w:r>
      <w:r>
        <w:rPr>
          <w:b w:val="0"/>
          <w:sz w:val="18"/>
          <w:lang w:eastAsia="en-US"/>
        </w:rPr>
        <w:t xml:space="preserve">m odmeňovacích predpisov uvádza </w:t>
      </w:r>
      <w:r>
        <w:rPr>
          <w:b w:val="0"/>
          <w:sz w:val="18"/>
          <w:lang w:eastAsia="en-US"/>
        </w:rPr>
        <w:fldChar w:fldCharType="begin"/>
      </w:r>
      <w:r>
        <w:rPr>
          <w:b w:val="0"/>
          <w:sz w:val="18"/>
          <w:lang w:eastAsia="en-US"/>
        </w:rPr>
        <w:instrText xml:space="preserve"> REF _Ref34210163 \h  \* MERGEFORMAT </w:instrText>
      </w:r>
      <w:r>
        <w:rPr>
          <w:b w:val="0"/>
          <w:sz w:val="18"/>
          <w:lang w:eastAsia="en-US"/>
        </w:rPr>
      </w:r>
      <w:r>
        <w:rPr>
          <w:b w:val="0"/>
          <w:sz w:val="18"/>
          <w:lang w:eastAsia="en-US"/>
        </w:rPr>
        <w:fldChar w:fldCharType="separate"/>
      </w:r>
      <w:r w:rsidRPr="00BF69CA">
        <w:rPr>
          <w:b w:val="0"/>
          <w:sz w:val="18"/>
          <w:lang w:eastAsia="en-US"/>
        </w:rPr>
        <w:t>Príloha 8</w:t>
      </w:r>
      <w:r>
        <w:rPr>
          <w:b w:val="0"/>
          <w:sz w:val="18"/>
          <w:lang w:eastAsia="en-US"/>
        </w:rPr>
        <w:fldChar w:fldCharType="end"/>
      </w:r>
      <w:r>
        <w:rPr>
          <w:b w:val="0"/>
          <w:sz w:val="18"/>
          <w:lang w:eastAsia="en-US"/>
        </w:rPr>
        <w:t xml:space="preserve">. </w:t>
      </w:r>
    </w:p>
  </w:footnote>
  <w:footnote w:id="49">
    <w:p w14:paraId="3F22A980" w14:textId="34A9D295" w:rsidR="00373CAE" w:rsidRPr="005245BD" w:rsidRDefault="00373CAE" w:rsidP="00F778F9">
      <w:pPr>
        <w:pStyle w:val="Textpoznmkypodiarou"/>
      </w:pPr>
      <w:r w:rsidRPr="009854BB">
        <w:rPr>
          <w:rStyle w:val="Odkaznapoznmkupodiarou"/>
        </w:rPr>
        <w:footnoteRef/>
      </w:r>
      <w:r w:rsidRPr="009854BB">
        <w:t xml:space="preserve"> Zahŕňa základnú či tarifnú mzdu</w:t>
      </w:r>
      <w:r>
        <w:t xml:space="preserve"> a </w:t>
      </w:r>
      <w:r w:rsidRPr="009854BB">
        <w:t xml:space="preserve">náhrady vyplácané za neodpracované dni – dovolenky </w:t>
      </w:r>
      <w:r>
        <w:t>a</w:t>
      </w:r>
      <w:r w:rsidRPr="009854BB">
        <w:t xml:space="preserve"> štátne sviatky.</w:t>
      </w:r>
    </w:p>
  </w:footnote>
  <w:footnote w:id="50">
    <w:p w14:paraId="2FCD610D" w14:textId="77777777" w:rsidR="00373CAE" w:rsidRDefault="00373CAE" w:rsidP="00F778F9">
      <w:pPr>
        <w:pStyle w:val="Textpoznmkypodiarou"/>
      </w:pPr>
      <w:r>
        <w:rPr>
          <w:rStyle w:val="Odkaznapoznmkupodiarou"/>
        </w:rPr>
        <w:footnoteRef/>
      </w:r>
      <w:r>
        <w:t xml:space="preserve"> Ide o </w:t>
      </w:r>
      <w:r w:rsidRPr="00296212">
        <w:t>riadiacich pracovníkov, špecialistov a odborných a technických zamestnancov</w:t>
      </w:r>
      <w:r>
        <w:t xml:space="preserve"> podľa ISCO klasifikácie. </w:t>
      </w:r>
    </w:p>
  </w:footnote>
  <w:footnote w:id="51">
    <w:p w14:paraId="1F702A1F" w14:textId="77777777" w:rsidR="00373CAE" w:rsidRDefault="00373CAE" w:rsidP="002D293F">
      <w:pPr>
        <w:pStyle w:val="Textpoznmkypodiarou"/>
      </w:pPr>
      <w:r>
        <w:rPr>
          <w:rStyle w:val="Odkaznapoznmkupodiarou"/>
        </w:rPr>
        <w:footnoteRef/>
      </w:r>
      <w:r>
        <w:t xml:space="preserve"> </w:t>
      </w:r>
      <w:r w:rsidRPr="0016438B">
        <w:t xml:space="preserve">Kvantifikácie na základe dát </w:t>
      </w:r>
      <w:r>
        <w:t>od SRP</w:t>
      </w:r>
      <w:r w:rsidRPr="0016438B">
        <w:t xml:space="preserve"> MF SR</w:t>
      </w:r>
      <w:r>
        <w:t xml:space="preserve"> a Informačného systému o cene práce.</w:t>
      </w:r>
    </w:p>
  </w:footnote>
  <w:footnote w:id="52">
    <w:p w14:paraId="2D0CB843" w14:textId="77777777" w:rsidR="00373CAE" w:rsidRPr="00226311" w:rsidRDefault="00373CAE" w:rsidP="002D293F">
      <w:pPr>
        <w:pStyle w:val="Textpoznmkypodiarou"/>
      </w:pPr>
      <w:r>
        <w:rPr>
          <w:rStyle w:val="Odkaznapoznmkupodiarou"/>
        </w:rPr>
        <w:footnoteRef/>
      </w:r>
      <w:r>
        <w:t xml:space="preserve"> Učiteľom v regionálnom školstve a zamestnancom vykonávajúcim prácu vo verejnom záujme bola predĺžená doba zohľadňovania praxe na </w:t>
      </w:r>
      <w:r w:rsidRPr="00226311">
        <w:t xml:space="preserve">40 rokov. Maximálny rast učiteľov je po 40 rokoch 28 % a vo verejnom záujme 20 %. </w:t>
      </w:r>
    </w:p>
  </w:footnote>
  <w:footnote w:id="53">
    <w:p w14:paraId="1109E718" w14:textId="77777777" w:rsidR="00373CAE" w:rsidRDefault="00373CAE" w:rsidP="00AD08A3">
      <w:pPr>
        <w:pStyle w:val="Textpoznmkypodiarou"/>
      </w:pPr>
      <w:r>
        <w:rPr>
          <w:rStyle w:val="Odkaznapoznmkupodiarou"/>
        </w:rPr>
        <w:footnoteRef/>
      </w:r>
      <w:r>
        <w:t xml:space="preserve"> </w:t>
      </w:r>
      <w:r w:rsidRPr="00F22E7F">
        <w:t>Potrebu zavedenia platových pásiem definoval aj ÚV SR - ako centrálny koordinačný orgán pre ľudské zdroje v štátnej správe, ktorý sa v Stratégii riadenia ľudských zdrojov v štátnej služb</w:t>
      </w:r>
      <w:r>
        <w:t xml:space="preserve">e na roky 2015 - 2020 zaviazal </w:t>
      </w:r>
      <w:r w:rsidRPr="00F22E7F">
        <w:t>do roku 2020 vypracovať Koncepciou odmeňovania vrátane platových pásiem.</w:t>
      </w:r>
    </w:p>
  </w:footnote>
  <w:footnote w:id="54">
    <w:p w14:paraId="0C8DEF17" w14:textId="77777777" w:rsidR="00373CAE" w:rsidRDefault="00373CAE" w:rsidP="00F41E6F">
      <w:pPr>
        <w:pStyle w:val="Textpoznmkypodiarou"/>
      </w:pPr>
      <w:r w:rsidRPr="00B9594E">
        <w:rPr>
          <w:rStyle w:val="Odkaznapoznmkupodiarou"/>
        </w:rPr>
        <w:footnoteRef/>
      </w:r>
      <w:r w:rsidRPr="00B9594E">
        <w:t xml:space="preserve"> Okrem zdravotníckych pracovníkov majú automatickú valorizáciu aj sudcovia, prokurátori a ústavní činitelia.</w:t>
      </w:r>
      <w:r>
        <w:t xml:space="preserve"> </w:t>
      </w:r>
    </w:p>
  </w:footnote>
  <w:footnote w:id="55">
    <w:p w14:paraId="3C19F768" w14:textId="77777777" w:rsidR="00373CAE" w:rsidRDefault="00373CAE" w:rsidP="00F41E6F">
      <w:pPr>
        <w:pStyle w:val="Textpoznmkypodiarou"/>
      </w:pPr>
      <w:r w:rsidRPr="006D4019">
        <w:rPr>
          <w:rStyle w:val="Odkaznapoznmkupodiarou"/>
        </w:rPr>
        <w:footnoteRef/>
      </w:r>
      <w:r w:rsidRPr="006D4019">
        <w:t xml:space="preserve"> Napríklad lekár pred ukončením špecializovaného vzdelávania má garantovanú základnú mzdu vo výške najmenej 1,25 násobku priemernej mzdy spred dvoch rokov, lekár špecialista až 2,3-násobok. Iné povolania a špecializácie majú vlastné koeficienty.</w:t>
      </w:r>
    </w:p>
  </w:footnote>
  <w:footnote w:id="56">
    <w:p w14:paraId="64ADB22D" w14:textId="77777777" w:rsidR="00373CAE" w:rsidRDefault="00373CAE">
      <w:pPr>
        <w:pStyle w:val="Textpoznmkypodiarou"/>
      </w:pPr>
      <w:r w:rsidRPr="00191308">
        <w:rPr>
          <w:rStyle w:val="Odkaznapoznmkupodiarou"/>
        </w:rPr>
        <w:footnoteRef/>
      </w:r>
      <w:r w:rsidRPr="00191308">
        <w:t xml:space="preserve"> </w:t>
      </w:r>
      <w:r w:rsidRPr="00191308">
        <w:rPr>
          <w:rFonts w:eastAsiaTheme="majorEastAsia" w:cstheme="majorBidi"/>
        </w:rPr>
        <w:t xml:space="preserve">Porovnanie hodinových miezd je pritom ovplyvnené nižším priemerným počtom odpracovaných hodín vo verejnom sektore, vďaka čomu pri rovnakej mesačnej mzde je ich hodinová mzda oproti súkromnému sektoru zväčša vyššia. Pri zohľadnení mesačných miezd je pomer pracovníkov verejného sektora nad a pod mediánom v súkromnom sektore 50 % : 50 %. </w:t>
      </w:r>
    </w:p>
  </w:footnote>
  <w:footnote w:id="57">
    <w:p w14:paraId="3EC3265F" w14:textId="77777777" w:rsidR="00373CAE" w:rsidRDefault="00373CAE" w:rsidP="005918FD">
      <w:pPr>
        <w:pStyle w:val="Textpoznmkypodiarou"/>
      </w:pPr>
      <w:r>
        <w:rPr>
          <w:rStyle w:val="Odkaznapoznmkupodiarou"/>
        </w:rPr>
        <w:footnoteRef/>
      </w:r>
      <w:r>
        <w:t xml:space="preserve"> </w:t>
      </w:r>
      <w:r w:rsidRPr="0059535F">
        <w:t xml:space="preserve">Klasifikácia </w:t>
      </w:r>
      <w:r>
        <w:t>zamestnaní</w:t>
      </w:r>
      <w:r w:rsidRPr="0059535F">
        <w:t xml:space="preserve"> podľa ISCO, metodika dostupná</w:t>
      </w:r>
      <w:r>
        <w:t xml:space="preserve"> online</w:t>
      </w:r>
      <w:r w:rsidRPr="0059535F">
        <w:t xml:space="preserve">: </w:t>
      </w:r>
      <w:hyperlink r:id="rId14" w:history="1">
        <w:r w:rsidRPr="00EF6A32">
          <w:rPr>
            <w:rStyle w:val="Hypertextovprepojenie"/>
          </w:rPr>
          <w:t>http://jaspi.justice.gov.sk/jaspidd/vzory/011516Pr.pdf</w:t>
        </w:r>
      </w:hyperlink>
      <w:r>
        <w:t>.</w:t>
      </w:r>
    </w:p>
  </w:footnote>
  <w:footnote w:id="58">
    <w:p w14:paraId="06850B2E" w14:textId="77777777" w:rsidR="00373CAE" w:rsidRDefault="00373CAE" w:rsidP="00AB3CA0">
      <w:pPr>
        <w:pStyle w:val="Textpoznmkypodiarou"/>
      </w:pPr>
      <w:r w:rsidRPr="00BC5AC0">
        <w:rPr>
          <w:rStyle w:val="Odkaznapoznmkupodiarou"/>
        </w:rPr>
        <w:footnoteRef/>
      </w:r>
      <w:r w:rsidRPr="00BC5AC0">
        <w:t xml:space="preserve"> Analýza sa zamerala na profesie, ktorých priemerná hodinová mzda v súkromnom sektore je nad 90. percentilom (12 eur).</w:t>
      </w:r>
    </w:p>
  </w:footnote>
  <w:footnote w:id="59">
    <w:p w14:paraId="5183C5EA" w14:textId="77777777" w:rsidR="00373CAE" w:rsidRDefault="00373CAE" w:rsidP="00563E5A">
      <w:pPr>
        <w:pStyle w:val="Textpoznmkypodiarou"/>
      </w:pPr>
      <w:r>
        <w:rPr>
          <w:rStyle w:val="Odkaznapoznmkupodiarou"/>
        </w:rPr>
        <w:footnoteRef/>
      </w:r>
      <w:r>
        <w:t xml:space="preserve"> Zamestnanie je definované 4-cifernýcm ISCO kódom.</w:t>
      </w:r>
    </w:p>
  </w:footnote>
  <w:footnote w:id="60">
    <w:p w14:paraId="553AAAC3" w14:textId="40B700AB" w:rsidR="00373CAE" w:rsidRDefault="00373CAE">
      <w:pPr>
        <w:pStyle w:val="Textpoznmkypodiarou"/>
      </w:pPr>
      <w:r>
        <w:rPr>
          <w:rStyle w:val="Odkaznapoznmkupodiarou"/>
        </w:rPr>
        <w:footnoteRef/>
      </w:r>
      <w:r>
        <w:t xml:space="preserve"> Severozápad a stred Talianska. </w:t>
      </w:r>
    </w:p>
  </w:footnote>
  <w:footnote w:id="61">
    <w:p w14:paraId="434BB9FB" w14:textId="77777777" w:rsidR="00373CAE" w:rsidRPr="008C2E2A" w:rsidRDefault="00373CAE" w:rsidP="00B94B92">
      <w:pPr>
        <w:pStyle w:val="Bezriadkovania"/>
        <w:rPr>
          <w:sz w:val="20"/>
          <w:szCs w:val="20"/>
        </w:rPr>
      </w:pPr>
      <w:r w:rsidRPr="008651BD">
        <w:rPr>
          <w:rStyle w:val="Odkaznapoznmkupodiarou"/>
          <w:sz w:val="18"/>
          <w:szCs w:val="20"/>
        </w:rPr>
        <w:footnoteRef/>
      </w:r>
      <w:r w:rsidRPr="008651BD">
        <w:rPr>
          <w:sz w:val="18"/>
          <w:szCs w:val="20"/>
        </w:rPr>
        <w:t xml:space="preserve"> A</w:t>
      </w:r>
      <w:r w:rsidRPr="008651BD">
        <w:rPr>
          <w:bCs/>
          <w:sz w:val="18"/>
          <w:szCs w:val="20"/>
        </w:rPr>
        <w:t>j v ich prípade je regionálna diferenciácia miezd obmedzená. Firmy riadia pracovné podmienky centrálne kvôli potrebe kontroly nákladov. Určitá diferenciácia je umožnená buď prostredníctvom regionálnych mzdových pásiem (typicky štyri) alebo príplatku za Londýn, ale žiadna firma sa nesnaží zohľadniť malé rozdiely medzi lokálnymi trhmi práce. Vnútorné faktory, ako napríklad potreba konzistentných rozhodnutí ohľadom miezd alebo pragmatický odpor voči krátkodobej fluktuácii sú často považované za dôležitejšie ako vonkajšie faktory.</w:t>
      </w:r>
    </w:p>
  </w:footnote>
  <w:footnote w:id="62">
    <w:p w14:paraId="1C6D6823" w14:textId="3CB4925B" w:rsidR="00373CAE" w:rsidRDefault="00373CAE" w:rsidP="009C6133">
      <w:pPr>
        <w:pStyle w:val="Textpoznmkypodiarou"/>
      </w:pPr>
      <w:r>
        <w:rPr>
          <w:rStyle w:val="Odkaznapoznmkupodiarou"/>
        </w:rPr>
        <w:footnoteRef/>
      </w:r>
      <w:r>
        <w:t xml:space="preserve"> Vybrat</w:t>
      </w:r>
      <w:r w:rsidRPr="00EE685E">
        <w:t>é</w:t>
      </w:r>
      <w:r>
        <w:t xml:space="preserve"> boli</w:t>
      </w:r>
      <w:r w:rsidRPr="00EE685E">
        <w:t xml:space="preserve"> ISCO3 kategórie, ktoré najbližšie korešpondujú s povolaniami v štátnej a verejne</w:t>
      </w:r>
      <w:r>
        <w:t>j správe (mimo zdravotníckych a </w:t>
      </w:r>
      <w:r w:rsidRPr="00EE685E">
        <w:t>pedagogických zamestnancov)</w:t>
      </w:r>
      <w:r>
        <w:t>. Porovnanie teda nezohľadňuje rozdielnu štruktúru zamestnancov naprieč úradmi.</w:t>
      </w:r>
    </w:p>
  </w:footnote>
  <w:footnote w:id="63">
    <w:p w14:paraId="0E821B39" w14:textId="77777777" w:rsidR="00373CAE" w:rsidRDefault="00373CAE" w:rsidP="00FD152D">
      <w:pPr>
        <w:pStyle w:val="Textpoznmkypodiarou"/>
      </w:pPr>
      <w:r>
        <w:rPr>
          <w:rStyle w:val="Odkaznapoznmkupodiarou"/>
        </w:rPr>
        <w:footnoteRef/>
      </w:r>
      <w:r>
        <w:t xml:space="preserve"> Hrubá mzda v eur tri mesiace pred mesiacom, v ktorom nastala zmena. </w:t>
      </w:r>
    </w:p>
  </w:footnote>
  <w:footnote w:id="64">
    <w:p w14:paraId="305B23D0" w14:textId="77777777" w:rsidR="00373CAE" w:rsidRDefault="00373CAE" w:rsidP="00FD152D">
      <w:pPr>
        <w:pStyle w:val="Textpoznmkypodiarou"/>
      </w:pPr>
      <w:r>
        <w:rPr>
          <w:rStyle w:val="Odkaznapoznmkupodiarou"/>
        </w:rPr>
        <w:footnoteRef/>
      </w:r>
      <w:r>
        <w:t xml:space="preserve"> </w:t>
      </w:r>
      <w:r w:rsidRPr="00487F32">
        <w:t xml:space="preserve">Pri predĺžení intervalu na rok pred a rok po zmene zamestnania bola mzda pri prestupe </w:t>
      </w:r>
      <w:r>
        <w:t xml:space="preserve">zo súkromného </w:t>
      </w:r>
      <w:r w:rsidRPr="00487F32">
        <w:t>do verejného sektora vyššia o cca.</w:t>
      </w:r>
      <w:r>
        <w:t> </w:t>
      </w:r>
      <w:r w:rsidRPr="00487F32">
        <w:t xml:space="preserve">21 % ako rok pred prestupom, pri opačnom smere vyššia o cca. </w:t>
      </w:r>
      <w:r w:rsidRPr="004578E0">
        <w:t>23 %. Výsledky pre jednotlivé skupiny však kvalitatívne nelíšila.</w:t>
      </w:r>
    </w:p>
  </w:footnote>
  <w:footnote w:id="65">
    <w:p w14:paraId="41EEDFEB" w14:textId="77777777" w:rsidR="00373CAE" w:rsidRDefault="00373CAE" w:rsidP="00D055AF">
      <w:pPr>
        <w:pStyle w:val="Textpoznmkypodiarou"/>
      </w:pPr>
      <w:r>
        <w:rPr>
          <w:rStyle w:val="Odkaznapoznmkupodiarou"/>
        </w:rPr>
        <w:footnoteRef/>
      </w:r>
      <w:r>
        <w:t xml:space="preserve"> Charakteristikami alebo životnými okolnosťami. </w:t>
      </w:r>
    </w:p>
  </w:footnote>
  <w:footnote w:id="66">
    <w:p w14:paraId="566D8B8D" w14:textId="77777777" w:rsidR="00373CAE" w:rsidRDefault="00373CAE" w:rsidP="005918FD">
      <w:pPr>
        <w:pStyle w:val="Textpoznmkypodiarou"/>
      </w:pPr>
      <w:r>
        <w:rPr>
          <w:rStyle w:val="Odkaznapoznmkupodiarou"/>
        </w:rPr>
        <w:footnoteRef/>
      </w:r>
      <w:r>
        <w:t xml:space="preserve"> Rozdelenie sa týka mzdy pred prestupom. Vysoký priemerný nárast mzdy pri prestupe u ľudí s nízkou počiatočnou mzdou môže byť dôsledkom nárastu v počte odpracovaných hodín za deň. Analýza porovnáva denné mzdy, keďže počet odpracovaných hodín nie je možné v použitých administratívnych dátach zistiť.</w:t>
      </w:r>
    </w:p>
  </w:footnote>
  <w:footnote w:id="67">
    <w:p w14:paraId="438F909D" w14:textId="71A984DC" w:rsidR="00373CAE" w:rsidRDefault="00373CAE" w:rsidP="005918FD">
      <w:pPr>
        <w:pStyle w:val="Textpoznmkypodiarou"/>
      </w:pPr>
      <w:r w:rsidRPr="004578E0">
        <w:rPr>
          <w:rStyle w:val="Odkaznapoznmkupodiarou"/>
        </w:rPr>
        <w:footnoteRef/>
      </w:r>
      <w:r w:rsidRPr="004578E0">
        <w:t xml:space="preserve"> Výsledky na základe Probit regresie</w:t>
      </w:r>
      <w:r>
        <w:t xml:space="preserve"> (</w:t>
      </w:r>
      <w:r>
        <w:fldChar w:fldCharType="begin"/>
      </w:r>
      <w:r>
        <w:instrText xml:space="preserve"> REF _Ref528317027 \h </w:instrText>
      </w:r>
      <w:r>
        <w:fldChar w:fldCharType="separate"/>
      </w:r>
      <w:r w:rsidRPr="000939E3">
        <w:rPr>
          <w:sz w:val="22"/>
        </w:rPr>
        <w:t xml:space="preserve">Príloha </w:t>
      </w:r>
      <w:r>
        <w:rPr>
          <w:noProof/>
          <w:sz w:val="22"/>
        </w:rPr>
        <w:t>10</w:t>
      </w:r>
      <w:r>
        <w:fldChar w:fldCharType="end"/>
      </w:r>
      <w:r>
        <w:t>).</w:t>
      </w:r>
      <w:r w:rsidRPr="004578E0">
        <w:t xml:space="preserve"> </w:t>
      </w:r>
    </w:p>
  </w:footnote>
  <w:footnote w:id="68">
    <w:p w14:paraId="22E5C54F" w14:textId="77777777" w:rsidR="00373CAE" w:rsidRDefault="00373CAE" w:rsidP="00F778F9">
      <w:pPr>
        <w:pStyle w:val="Textpoznmkypodiarou"/>
      </w:pPr>
      <w:r>
        <w:rPr>
          <w:rStyle w:val="Odkaznapoznmkupodiarou"/>
        </w:rPr>
        <w:footnoteRef/>
      </w:r>
      <w:r>
        <w:t xml:space="preserve"> Zákon č. 55/2017 Z. z. o štátnej službe.</w:t>
      </w:r>
    </w:p>
  </w:footnote>
  <w:footnote w:id="69">
    <w:p w14:paraId="63CF21C4" w14:textId="77777777" w:rsidR="00373CAE" w:rsidRDefault="00373CAE" w:rsidP="00F778F9">
      <w:pPr>
        <w:pStyle w:val="Textpoznmkypodiarou"/>
      </w:pPr>
      <w:r>
        <w:rPr>
          <w:rStyle w:val="Odkaznapoznmkupodiarou"/>
        </w:rPr>
        <w:footnoteRef/>
      </w:r>
      <w:r>
        <w:t xml:space="preserve"> Zákon č. 552/2003 Z. z. o výkone práce vo verejnom záujme.</w:t>
      </w:r>
    </w:p>
  </w:footnote>
  <w:footnote w:id="70">
    <w:p w14:paraId="31CF359B" w14:textId="77777777" w:rsidR="00373CAE" w:rsidRDefault="00373CAE" w:rsidP="00597C83">
      <w:pPr>
        <w:pStyle w:val="Textpoznmkypodiarou"/>
      </w:pPr>
      <w:r>
        <w:rPr>
          <w:rStyle w:val="Odkaznapoznmkupodiarou"/>
        </w:rPr>
        <w:footnoteRef/>
      </w:r>
      <w:r>
        <w:t xml:space="preserve"> Vplyv vlády na zamestnanosť v samosprávach tvorí predovšetkým určovanie minimálnych mzdových nárokov v platovej stupnici. </w:t>
      </w:r>
    </w:p>
  </w:footnote>
  <w:footnote w:id="71">
    <w:p w14:paraId="3E295C07" w14:textId="77777777" w:rsidR="00373CAE" w:rsidRDefault="00373CAE" w:rsidP="00C80A36">
      <w:pPr>
        <w:pStyle w:val="Textpoznmkypodiarou"/>
      </w:pPr>
      <w:r>
        <w:rPr>
          <w:rStyle w:val="Odkaznapoznmkupodiarou"/>
        </w:rPr>
        <w:footnoteRef/>
      </w:r>
      <w:r>
        <w:t xml:space="preserve"> Nariadenie vlády č. 113/2017 Z. z. určuje odbory štátnej služby, v ktorých vykonávajú činnosť zamestnanci podľa štátnej služby. </w:t>
      </w:r>
    </w:p>
  </w:footnote>
  <w:footnote w:id="72">
    <w:p w14:paraId="53BC566D" w14:textId="0438EB24" w:rsidR="00373CAE" w:rsidRDefault="00373CAE" w:rsidP="00C80A36">
      <w:pPr>
        <w:pStyle w:val="Textpoznmkypodiarou"/>
      </w:pPr>
      <w:r>
        <w:rPr>
          <w:rStyle w:val="Odkaznapoznmkupodiarou"/>
        </w:rPr>
        <w:footnoteRef/>
      </w:r>
      <w:r>
        <w:t xml:space="preserve"> Určenie orgánov, na ktorých pracujú zamestnanci podľa zákona o štátnej službe, je definované v § 15 zákona č. 55/2017 Z. z.</w:t>
      </w:r>
    </w:p>
  </w:footnote>
  <w:footnote w:id="73">
    <w:p w14:paraId="417BEBEA" w14:textId="77777777" w:rsidR="00373CAE" w:rsidRDefault="00373CAE" w:rsidP="00C80A36">
      <w:pPr>
        <w:pStyle w:val="Textpoznmkypodiarou"/>
      </w:pPr>
      <w:r>
        <w:rPr>
          <w:rStyle w:val="Odkaznapoznmkupodiarou"/>
        </w:rPr>
        <w:footnoteRef/>
      </w:r>
      <w:r>
        <w:t xml:space="preserve"> Upravené v § 1, ods. 3 zákona č. 553/2003 Z. z. o odmeňovaní niektorých zamestnancov pri výkone práce vo verejnom záujme. </w:t>
      </w:r>
    </w:p>
  </w:footnote>
  <w:footnote w:id="74">
    <w:p w14:paraId="65881DF5" w14:textId="77777777" w:rsidR="00373CAE" w:rsidRDefault="00373CAE" w:rsidP="00C80A36">
      <w:pPr>
        <w:pStyle w:val="Textpoznmkypodiarou"/>
      </w:pPr>
      <w:r>
        <w:rPr>
          <w:rStyle w:val="Odkaznapoznmkupodiarou"/>
        </w:rPr>
        <w:footnoteRef/>
      </w:r>
      <w:r>
        <w:t xml:space="preserve"> Napr. sudcovia, prokurátori, policajti, vojaci. </w:t>
      </w:r>
    </w:p>
  </w:footnote>
  <w:footnote w:id="75">
    <w:p w14:paraId="31F22C6D" w14:textId="77777777" w:rsidR="00373CAE" w:rsidRDefault="00373CAE" w:rsidP="00C80A36">
      <w:pPr>
        <w:pStyle w:val="Textpoznmkypodiarou"/>
      </w:pPr>
      <w:r>
        <w:rPr>
          <w:rStyle w:val="Odkaznapoznmkupodiarou"/>
        </w:rPr>
        <w:footnoteRef/>
      </w:r>
      <w:r>
        <w:t xml:space="preserve"> Právoplatné odsúdenie za trestný čin, zánik voliteľnosti do NR SR a iné.</w:t>
      </w:r>
    </w:p>
  </w:footnote>
  <w:footnote w:id="76">
    <w:p w14:paraId="329F2512" w14:textId="77777777" w:rsidR="00373CAE" w:rsidRDefault="00373CAE" w:rsidP="00C80A36">
      <w:pPr>
        <w:pStyle w:val="Textpoznmkypodiarou"/>
      </w:pPr>
      <w:r>
        <w:rPr>
          <w:rStyle w:val="Odkaznapoznmkupodiarou"/>
        </w:rPr>
        <w:footnoteRef/>
      </w:r>
      <w:r>
        <w:t xml:space="preserve"> Prokurátora môže generálny prokurátor odvolať po dosiahnutí 65 rokov. Sudcu môže odvolať prezident po dosiahnutí 65 rokov. </w:t>
      </w:r>
    </w:p>
  </w:footnote>
  <w:footnote w:id="77">
    <w:p w14:paraId="1E5DE45B" w14:textId="77777777" w:rsidR="00373CAE" w:rsidRDefault="00373CAE" w:rsidP="00C80A36">
      <w:pPr>
        <w:pStyle w:val="Textpoznmkypodiarou"/>
      </w:pPr>
      <w:r>
        <w:rPr>
          <w:rStyle w:val="Odkaznapoznmkupodiarou"/>
        </w:rPr>
        <w:footnoteRef/>
      </w:r>
      <w:r>
        <w:t xml:space="preserve"> Pri prepustení z dôvodu organizačnej zmeny alebo straty pozície vedúceho zamestnanca. Prešetrenie výpovede má odporúčací charakter.</w:t>
      </w:r>
    </w:p>
  </w:footnote>
  <w:footnote w:id="78">
    <w:p w14:paraId="148E425B" w14:textId="77777777" w:rsidR="00373CAE" w:rsidRDefault="00373CAE" w:rsidP="00F778F9">
      <w:pPr>
        <w:pStyle w:val="Textpoznmkypodiarou"/>
      </w:pPr>
      <w:r>
        <w:rPr>
          <w:rStyle w:val="Odkaznapoznmkupodiarou"/>
        </w:rPr>
        <w:footnoteRef/>
      </w:r>
      <w:r>
        <w:t xml:space="preserve"> Ide o kolektívnu zmluvu vyššieho stupňa, ktorá sa dohaduje</w:t>
      </w:r>
      <w:r w:rsidRPr="00E06C9B">
        <w:t xml:space="preserve"> pre jednotlivé hospodárske odvetvia v celoštátnom alebo regionálnom meradle.</w:t>
      </w:r>
    </w:p>
  </w:footnote>
  <w:footnote w:id="79">
    <w:p w14:paraId="1B0A4DF8" w14:textId="77777777" w:rsidR="00373CAE" w:rsidRDefault="00373CAE" w:rsidP="00F778F9">
      <w:pPr>
        <w:pStyle w:val="Textpoznmkypodiarou"/>
      </w:pPr>
      <w:r>
        <w:rPr>
          <w:rStyle w:val="Odkaznapoznmkupodiarou"/>
        </w:rPr>
        <w:footnoteRef/>
      </w:r>
      <w:r>
        <w:t xml:space="preserve"> V roku 2014 bola valorizácia platov o 16 eur. V grafe je zohľadnený priemerný nárast naprieč odmeňovacími predpismi. </w:t>
      </w:r>
    </w:p>
  </w:footnote>
  <w:footnote w:id="80">
    <w:p w14:paraId="7ACD4583" w14:textId="77777777" w:rsidR="00373CAE" w:rsidRDefault="00373CAE" w:rsidP="00DA30C9">
      <w:pPr>
        <w:pStyle w:val="Textpoznmkypodiarou"/>
      </w:pPr>
      <w:r>
        <w:rPr>
          <w:rStyle w:val="Odkaznapoznmkupodiarou"/>
        </w:rPr>
        <w:footnoteRef/>
      </w:r>
      <w:r>
        <w:t xml:space="preserve"> Do kolektívneho vyjednávania od roku 2019 budú vstupovať iba 4 platové tabuľky. </w:t>
      </w:r>
    </w:p>
  </w:footnote>
  <w:footnote w:id="81">
    <w:p w14:paraId="6E879A26" w14:textId="77777777" w:rsidR="00373CAE" w:rsidRDefault="00373CAE" w:rsidP="005B2A4B">
      <w:pPr>
        <w:pStyle w:val="Textpoznmkypodiarou"/>
      </w:pPr>
      <w:r>
        <w:rPr>
          <w:rStyle w:val="Odkaznapoznmkupodiarou"/>
        </w:rPr>
        <w:footnoteRef/>
      </w:r>
      <w:r>
        <w:t xml:space="preserve"> Vo verejnom záujme v roku 2019 je valorizácia platov vykonaná zmenou systému odmeňovania. V priemere je valorizácia taktiež 10 %.</w:t>
      </w:r>
    </w:p>
  </w:footnote>
  <w:footnote w:id="82">
    <w:p w14:paraId="74CE199C" w14:textId="0014A5A4" w:rsidR="00373CAE" w:rsidRDefault="00373CAE" w:rsidP="00F778F9">
      <w:pPr>
        <w:pStyle w:val="Textpoznmkypodiarou"/>
      </w:pPr>
      <w:r>
        <w:rPr>
          <w:rStyle w:val="Odkaznapoznmkupodiarou"/>
        </w:rPr>
        <w:footnoteRef/>
      </w:r>
      <w:r>
        <w:t xml:space="preserve"> Počty zamestnancov a mzdových výdavkov kapitol rozpočtu sú uvedené v </w:t>
      </w:r>
      <w:r>
        <w:fldChar w:fldCharType="begin"/>
      </w:r>
      <w:r>
        <w:instrText xml:space="preserve"> REF _Ref528316909 \h  \* MERGEFORMAT </w:instrText>
      </w:r>
      <w:r>
        <w:fldChar w:fldCharType="separate"/>
      </w:r>
      <w:r w:rsidRPr="00BF69CA">
        <w:t>Príloha 14</w:t>
      </w:r>
      <w:r>
        <w:fldChar w:fldCharType="end"/>
      </w:r>
      <w:r>
        <w:t>.</w:t>
      </w:r>
    </w:p>
  </w:footnote>
  <w:footnote w:id="83">
    <w:p w14:paraId="21B972BB" w14:textId="42843906" w:rsidR="00373CAE" w:rsidRDefault="00373CAE" w:rsidP="00F778F9">
      <w:pPr>
        <w:pStyle w:val="Textpoznmkypodiarou"/>
      </w:pPr>
      <w:r>
        <w:rPr>
          <w:rStyle w:val="Odkaznapoznmkupodiarou"/>
        </w:rPr>
        <w:footnoteRef/>
      </w:r>
      <w:r w:rsidRPr="00544070">
        <w:rPr>
          <w:lang w:val="en-GB"/>
        </w:rPr>
        <w:t xml:space="preserve"> Labour Force Survey, Job Vacancy Statistics</w:t>
      </w:r>
      <w:r>
        <w:rPr>
          <w:lang w:val="en-GB"/>
        </w:rPr>
        <w:t xml:space="preserve">, </w:t>
      </w:r>
      <w:r>
        <w:t>D</w:t>
      </w:r>
      <w:r w:rsidRPr="001202C6">
        <w:t xml:space="preserve">ostupné </w:t>
      </w:r>
      <w:r>
        <w:t>online</w:t>
      </w:r>
      <w:r>
        <w:rPr>
          <w:lang w:val="en-GB"/>
        </w:rPr>
        <w:t xml:space="preserve">: </w:t>
      </w:r>
      <w:hyperlink r:id="rId15" w:history="1">
        <w:r w:rsidRPr="00A449B8">
          <w:rPr>
            <w:rStyle w:val="Hypertextovprepojenie"/>
            <w:lang w:val="en-GB"/>
          </w:rPr>
          <w:t>https://ec.europa.eu/eurostat/web/labour-market/job-vacancies/database</w:t>
        </w:r>
      </w:hyperlink>
      <w:r>
        <w:rPr>
          <w:lang w:val="en-GB"/>
        </w:rPr>
        <w:t xml:space="preserve"> </w:t>
      </w:r>
    </w:p>
  </w:footnote>
  <w:footnote w:id="84">
    <w:p w14:paraId="6273298D" w14:textId="7B434943" w:rsidR="00373CAE" w:rsidRDefault="00373CAE" w:rsidP="00F778F9">
      <w:pPr>
        <w:pStyle w:val="Textpoznmkypodiarou"/>
      </w:pPr>
      <w:r w:rsidRPr="00E01CB6">
        <w:rPr>
          <w:rStyle w:val="Odkaznapoznmkupodiarou"/>
        </w:rPr>
        <w:footnoteRef/>
      </w:r>
      <w:r w:rsidRPr="00E01CB6">
        <w:t xml:space="preserve"> Verejná správa ako podkategória NACE je užší pojem ako je definícia sektora verejnej správy podľa </w:t>
      </w:r>
      <w:r>
        <w:t>ESA 2010</w:t>
      </w:r>
      <w:r w:rsidRPr="00E01CB6">
        <w:t xml:space="preserve"> (</w:t>
      </w:r>
      <w:r w:rsidRPr="005F7D60">
        <w:t>definované v </w:t>
      </w:r>
      <w:r w:rsidRPr="005F7D60">
        <w:fldChar w:fldCharType="begin"/>
      </w:r>
      <w:r w:rsidRPr="005F7D60">
        <w:instrText xml:space="preserve"> REF _Ref5870330 \h  \* MERGEFORMAT </w:instrText>
      </w:r>
      <w:r w:rsidRPr="005F7D60">
        <w:fldChar w:fldCharType="separate"/>
      </w:r>
      <w:r w:rsidRPr="00BF69CA">
        <w:t xml:space="preserve">Box </w:t>
      </w:r>
      <w:r w:rsidRPr="00BF69CA">
        <w:rPr>
          <w:noProof/>
        </w:rPr>
        <w:t>3</w:t>
      </w:r>
      <w:r w:rsidRPr="005F7D60">
        <w:fldChar w:fldCharType="end"/>
      </w:r>
      <w:r w:rsidRPr="005F7D60">
        <w:t>),</w:t>
      </w:r>
      <w:r w:rsidRPr="00E01CB6">
        <w:t xml:space="preserve"> zahŕňa najmä úradníkov a ozbrojené zložky, nezahŕňa školstvo a zdravotníctvo.</w:t>
      </w:r>
      <w:r>
        <w:t xml:space="preserve"> </w:t>
      </w:r>
    </w:p>
  </w:footnote>
  <w:footnote w:id="85">
    <w:p w14:paraId="770DFA35" w14:textId="5F5E886C" w:rsidR="00373CAE" w:rsidRDefault="00373CAE" w:rsidP="00F778F9">
      <w:pPr>
        <w:pStyle w:val="Textpoznmkypodiarou"/>
      </w:pPr>
      <w:r w:rsidRPr="00E01CB6">
        <w:rPr>
          <w:rStyle w:val="Odkaznapoznmkupodiarou"/>
        </w:rPr>
        <w:footnoteRef/>
      </w:r>
      <w:r w:rsidRPr="00E01CB6">
        <w:t xml:space="preserve"> Miera neobsadenosti vo verejnej správe bola v rokoch 2011-201</w:t>
      </w:r>
      <w:r>
        <w:t>8</w:t>
      </w:r>
      <w:r w:rsidRPr="00E01CB6">
        <w:t xml:space="preserve"> najvyššia zo všetkých sektorov hospodárstva na Slovensku. Priemerne prevyšovala mieru neobsadenosti v celej ekonomike 4,8 násobne, mediánovo 5,2 násobne.</w:t>
      </w:r>
    </w:p>
  </w:footnote>
  <w:footnote w:id="86">
    <w:p w14:paraId="6D1B9F4D" w14:textId="5178801F" w:rsidR="00373CAE" w:rsidRDefault="00373CAE">
      <w:pPr>
        <w:pStyle w:val="Textpoznmkypodiarou"/>
      </w:pPr>
      <w:r>
        <w:rPr>
          <w:rStyle w:val="Odkaznapoznmkupodiarou"/>
        </w:rPr>
        <w:footnoteRef/>
      </w:r>
      <w:r>
        <w:t xml:space="preserve"> Položky EKRK vstupujúce do kompenzácií zamestnancov podľa ESA 2010. Podrobné rozdelenie uvádza</w:t>
      </w:r>
      <w:r w:rsidRPr="00DC3679">
        <w:rPr>
          <w:szCs w:val="18"/>
        </w:rPr>
        <w:t xml:space="preserve"> </w:t>
      </w:r>
      <w:r w:rsidRPr="00DC3679">
        <w:rPr>
          <w:szCs w:val="18"/>
        </w:rPr>
        <w:fldChar w:fldCharType="begin"/>
      </w:r>
      <w:r w:rsidRPr="00DC3679">
        <w:rPr>
          <w:szCs w:val="18"/>
        </w:rPr>
        <w:instrText xml:space="preserve"> REF _Ref13492023 \h </w:instrText>
      </w:r>
      <w:r>
        <w:rPr>
          <w:szCs w:val="18"/>
        </w:rPr>
        <w:instrText xml:space="preserve"> \* MERGEFORMAT </w:instrText>
      </w:r>
      <w:r w:rsidRPr="00DC3679">
        <w:rPr>
          <w:szCs w:val="18"/>
        </w:rPr>
      </w:r>
      <w:r w:rsidRPr="00DC3679">
        <w:rPr>
          <w:szCs w:val="18"/>
        </w:rPr>
        <w:fldChar w:fldCharType="separate"/>
      </w:r>
      <w:r w:rsidRPr="00BF69CA">
        <w:rPr>
          <w:szCs w:val="18"/>
        </w:rPr>
        <w:t xml:space="preserve">Príloha </w:t>
      </w:r>
      <w:r w:rsidRPr="00BF69CA">
        <w:rPr>
          <w:noProof/>
          <w:szCs w:val="18"/>
        </w:rPr>
        <w:t>3</w:t>
      </w:r>
      <w:r w:rsidRPr="00DC3679">
        <w:rPr>
          <w:szCs w:val="18"/>
        </w:rPr>
        <w:fldChar w:fldCharType="end"/>
      </w:r>
      <w:r w:rsidRPr="00DC3679">
        <w:rPr>
          <w:szCs w:val="18"/>
        </w:rPr>
        <w:t>.</w:t>
      </w:r>
    </w:p>
  </w:footnote>
  <w:footnote w:id="87">
    <w:p w14:paraId="695D914D" w14:textId="77777777" w:rsidR="00373CAE" w:rsidRDefault="00373CAE" w:rsidP="00F778F9">
      <w:pPr>
        <w:pStyle w:val="Textpoznmkypodiarou"/>
      </w:pPr>
      <w:r>
        <w:rPr>
          <w:rStyle w:val="Odkaznapoznmkupodiarou"/>
        </w:rPr>
        <w:footnoteRef/>
      </w:r>
      <w:r>
        <w:t xml:space="preserve"> </w:t>
      </w:r>
      <w:r w:rsidRPr="00C82FDB">
        <w:t>Väčšinu nárastu vysvetľuje valorizácia, ktorá sa v schválenom rozpočte nac</w:t>
      </w:r>
      <w:r>
        <w:t xml:space="preserve">hádza na nemzdových položkách. </w:t>
      </w:r>
      <w:r>
        <w:rPr>
          <w:rFonts w:eastAsia="Calibri" w:cs="Times New Roman"/>
          <w:color w:val="000000"/>
        </w:rPr>
        <w:t xml:space="preserve">Zahraničné štandardy </w:t>
      </w:r>
      <w:r w:rsidRPr="00F835BF">
        <w:rPr>
          <w:rFonts w:eastAsia="Calibri" w:cs="Times New Roman"/>
          <w:color w:val="000000"/>
        </w:rPr>
        <w:t>(</w:t>
      </w:r>
      <w:r w:rsidRPr="00F835BF">
        <w:t xml:space="preserve">PEFA </w:t>
      </w:r>
      <w:r w:rsidRPr="007B245F">
        <w:t xml:space="preserve">Framework for </w:t>
      </w:r>
      <w:r>
        <w:t>A</w:t>
      </w:r>
      <w:r w:rsidRPr="007B245F">
        <w:t xml:space="preserve">ssessing </w:t>
      </w:r>
      <w:r>
        <w:t>P</w:t>
      </w:r>
      <w:r w:rsidRPr="007B245F">
        <w:t xml:space="preserve">ublic </w:t>
      </w:r>
      <w:r>
        <w:t>F</w:t>
      </w:r>
      <w:r w:rsidRPr="007B245F">
        <w:t xml:space="preserve">inancial </w:t>
      </w:r>
      <w:r>
        <w:t>M</w:t>
      </w:r>
      <w:r w:rsidRPr="007B245F">
        <w:t>anagement)</w:t>
      </w:r>
      <w:r>
        <w:rPr>
          <w:rFonts w:eastAsia="Calibri" w:cs="Times New Roman"/>
          <w:color w:val="000000"/>
        </w:rPr>
        <w:t xml:space="preserve"> považujú 5 % odchýlku skutočných výdavkov od rozpočtu v súlade so spoľahlivým rozpočtom. </w:t>
      </w:r>
    </w:p>
  </w:footnote>
  <w:footnote w:id="88">
    <w:p w14:paraId="459C1469" w14:textId="77777777" w:rsidR="00373CAE" w:rsidRDefault="00373CAE" w:rsidP="00F778F9">
      <w:pPr>
        <w:pStyle w:val="Textpoznmkypodiarou"/>
      </w:pPr>
      <w:r>
        <w:rPr>
          <w:rStyle w:val="Odkaznapoznmkupodiarou"/>
        </w:rPr>
        <w:footnoteRef/>
      </w:r>
      <w:r>
        <w:t xml:space="preserve"> Výdavky zo zdroja ŠR, bez eurofondov, spolufinancovania a iných zdrojov.</w:t>
      </w:r>
    </w:p>
  </w:footnote>
  <w:footnote w:id="89">
    <w:p w14:paraId="0FC7C708" w14:textId="77777777" w:rsidR="00373CAE" w:rsidRPr="00696449" w:rsidRDefault="00373CAE" w:rsidP="00F778F9">
      <w:pPr>
        <w:pStyle w:val="Textpoznmkypodiarou"/>
      </w:pPr>
      <w:r w:rsidRPr="00696449">
        <w:rPr>
          <w:rStyle w:val="Odkaznapoznmkupodiarou"/>
        </w:rPr>
        <w:footnoteRef/>
      </w:r>
      <w:r w:rsidRPr="00696449">
        <w:t xml:space="preserve"> Napriek výraznému vplyvu na úrovni ústredí majú eurofondy len malý podiel na celkovej mzdovej obálke (priemerne 3 %) v štátnom rozpočte. Ich presné rozpočtovanie by mohlo neúmerne zvýšiť administratívnu náročnosť tvorby rozpočtu oproti relatívne malým prínosom</w:t>
      </w:r>
      <w:r>
        <w:t>,</w:t>
      </w:r>
      <w:r w:rsidRPr="00696449">
        <w:t xml:space="preserve"> ktoré by z toho plynuli.</w:t>
      </w:r>
    </w:p>
  </w:footnote>
  <w:footnote w:id="90">
    <w:p w14:paraId="591B1965" w14:textId="77777777" w:rsidR="00373CAE" w:rsidRDefault="00373CAE" w:rsidP="00F778F9">
      <w:pPr>
        <w:pStyle w:val="Textpoznmkypodiarou"/>
      </w:pPr>
      <w:r w:rsidRPr="00696449">
        <w:rPr>
          <w:rStyle w:val="Odkaznapoznmkupodiarou"/>
        </w:rPr>
        <w:footnoteRef/>
      </w:r>
      <w:r w:rsidRPr="00696449">
        <w:t xml:space="preserve"> Prostriedky určené na udržanie existujúcich pracovníkov, t.j. na odmeny a osobný príplatok.</w:t>
      </w:r>
    </w:p>
  </w:footnote>
  <w:footnote w:id="91">
    <w:p w14:paraId="50A3252E" w14:textId="6BDD2BDA" w:rsidR="00373CAE" w:rsidRDefault="00373CAE" w:rsidP="00D91320">
      <w:pPr>
        <w:pStyle w:val="Textpoznmkypodiarou"/>
        <w:rPr>
          <w:rFonts w:asciiTheme="minorHAnsi" w:hAnsiTheme="minorHAnsi"/>
        </w:rPr>
      </w:pPr>
      <w:r>
        <w:rPr>
          <w:rStyle w:val="Odkaznapoznmkupodiarou"/>
          <w:szCs w:val="18"/>
        </w:rPr>
        <w:footnoteRef/>
      </w:r>
      <w:r>
        <w:rPr>
          <w:szCs w:val="18"/>
        </w:rPr>
        <w:t xml:space="preserve"> Dáta predstavujú výsledky výskumu OECD, realizovaného za roky 2010 - 2016, pričom pre tieto účely bol použitý vybraný prehľad krajín. OECD vo výskume nerozlišovalo medzi štátnou a verejnou službou.</w:t>
      </w:r>
      <w:r>
        <w:t xml:space="preserve"> Dáta reprezentujú stav z</w:t>
      </w:r>
      <w:r>
        <w:rPr>
          <w:szCs w:val="18"/>
        </w:rPr>
        <w:t> obdobia, kedy bol v platnosti zákon č. 400/2009 </w:t>
      </w:r>
      <w:r w:rsidRPr="007F7BD1">
        <w:rPr>
          <w:szCs w:val="18"/>
        </w:rPr>
        <w:t xml:space="preserve">Z. z. o štátnej službe, </w:t>
      </w:r>
      <w:r>
        <w:rPr>
          <w:szCs w:val="18"/>
        </w:rPr>
        <w:t>ktorý ponechával</w:t>
      </w:r>
      <w:r>
        <w:t xml:space="preserve"> kompetencie a veľkú mieru voľnosti rozhodovania služobným úradom. V roku 2017 priniesla nová legislatíva prísnejšie pravidlá a možno predpokladať, že Slovensko by v porovnaní s ostatnými krajinami v súčasnosti, nevykazovalo až takú vysokú mieru delegovania. </w:t>
      </w:r>
    </w:p>
  </w:footnote>
  <w:footnote w:id="92">
    <w:p w14:paraId="43817E1E" w14:textId="1EE8465B" w:rsidR="00373CAE" w:rsidRDefault="00373CAE" w:rsidP="00D91320">
      <w:pPr>
        <w:pStyle w:val="Textpoznmkypodiarou"/>
      </w:pPr>
      <w:r>
        <w:rPr>
          <w:rStyle w:val="Odkaznapoznmkupodiarou"/>
        </w:rPr>
        <w:footnoteRef/>
      </w:r>
      <w:r>
        <w:t xml:space="preserve"> </w:t>
      </w:r>
      <w:r w:rsidRPr="002F78D8">
        <w:t>Autonómnosť úradov sa znížila napr. v spôsobe organizácie výberové konan</w:t>
      </w:r>
      <w:r>
        <w:t xml:space="preserve">ia, služobných hodnotení alebo </w:t>
      </w:r>
      <w:r w:rsidRPr="002F78D8">
        <w:t>disciplinárnych konaní</w:t>
      </w:r>
      <w:r>
        <w:t xml:space="preserve">. </w:t>
      </w:r>
    </w:p>
  </w:footnote>
  <w:footnote w:id="93">
    <w:p w14:paraId="79DCB6D6" w14:textId="45ACE9F2" w:rsidR="00373CAE" w:rsidRPr="00C86B49" w:rsidRDefault="00373CAE" w:rsidP="006D1557">
      <w:pPr>
        <w:pStyle w:val="Textpoznmkypodiarou"/>
      </w:pPr>
      <w:r>
        <w:rPr>
          <w:rStyle w:val="Odkaznapoznmkupodiarou"/>
        </w:rPr>
        <w:footnoteRef/>
      </w:r>
      <w:r>
        <w:t xml:space="preserve"> </w:t>
      </w:r>
      <w:r w:rsidRPr="00C86B49">
        <w:t>Úspory v tejto kapitole sú uvádzané v</w:t>
      </w:r>
      <w:r>
        <w:t xml:space="preserve"> cenách / nákladoch roku 2017. </w:t>
      </w:r>
    </w:p>
  </w:footnote>
  <w:footnote w:id="94">
    <w:p w14:paraId="14213B49" w14:textId="637A0C1F" w:rsidR="00373CAE" w:rsidRPr="00C86B49" w:rsidRDefault="00373CAE">
      <w:pPr>
        <w:pStyle w:val="Textpoznmkypodiarou"/>
      </w:pPr>
      <w:r w:rsidRPr="00C86B49">
        <w:rPr>
          <w:rStyle w:val="Odkaznapoznmkupodiarou"/>
        </w:rPr>
        <w:footnoteRef/>
      </w:r>
      <w:r w:rsidRPr="00C86B49">
        <w:t xml:space="preserve"> V cenách / nákladoch roku </w:t>
      </w:r>
      <w:r>
        <w:t xml:space="preserve">2020, </w:t>
      </w:r>
      <w:r w:rsidRPr="00C86B49">
        <w:t>približne 1</w:t>
      </w:r>
      <w:r>
        <w:t>4</w:t>
      </w:r>
      <w:r w:rsidRPr="00C86B49">
        <w:t xml:space="preserve"> mil. eur v cenách roku </w:t>
      </w:r>
      <w:r>
        <w:t>2017</w:t>
      </w:r>
      <w:r w:rsidRPr="00C86B49">
        <w:t>.</w:t>
      </w:r>
    </w:p>
  </w:footnote>
  <w:footnote w:id="95">
    <w:p w14:paraId="2A84362A" w14:textId="218D9681" w:rsidR="00373CAE" w:rsidRDefault="00373CAE">
      <w:pPr>
        <w:pStyle w:val="Textpoznmkypodiarou"/>
      </w:pPr>
      <w:r w:rsidRPr="00C86B49">
        <w:rPr>
          <w:rStyle w:val="Odkaznapoznmkupodiarou"/>
        </w:rPr>
        <w:footnoteRef/>
      </w:r>
      <w:r w:rsidRPr="00C86B49">
        <w:t xml:space="preserve"> V cenách / nákladoch roku 20</w:t>
      </w:r>
      <w:r>
        <w:t>20</w:t>
      </w:r>
      <w:r w:rsidRPr="00C86B49">
        <w:t xml:space="preserve">, približne </w:t>
      </w:r>
      <w:r>
        <w:t>8,5</w:t>
      </w:r>
      <w:r w:rsidRPr="00C86B49">
        <w:t xml:space="preserve"> mil. eur v cenách roku 20</w:t>
      </w:r>
      <w:r>
        <w:t>17</w:t>
      </w:r>
      <w:r w:rsidRPr="00C86B49">
        <w:t>.</w:t>
      </w:r>
    </w:p>
  </w:footnote>
  <w:footnote w:id="96">
    <w:p w14:paraId="1C745218" w14:textId="2B127D83" w:rsidR="00373CAE" w:rsidRPr="005F4457" w:rsidRDefault="00373CAE" w:rsidP="008A5973">
      <w:pPr>
        <w:pStyle w:val="Textpoznmkypodiarou"/>
      </w:pPr>
      <w:r w:rsidRPr="005F4457">
        <w:rPr>
          <w:rStyle w:val="Odkaznapoznmkupodiarou"/>
        </w:rPr>
        <w:footnoteRef/>
      </w:r>
      <w:r w:rsidRPr="005F4457">
        <w:t xml:space="preserve"> Prehľad podporných a prierezových činností </w:t>
      </w:r>
      <w:r w:rsidRPr="00CB63D0">
        <w:t xml:space="preserve">uvádza </w:t>
      </w:r>
      <w:r w:rsidRPr="004B6324">
        <w:rPr>
          <w:szCs w:val="18"/>
        </w:rPr>
        <w:fldChar w:fldCharType="begin"/>
      </w:r>
      <w:r w:rsidRPr="004B6324">
        <w:rPr>
          <w:szCs w:val="18"/>
        </w:rPr>
        <w:instrText xml:space="preserve"> REF _Ref532839944 \h  \* MERGEFORMAT </w:instrText>
      </w:r>
      <w:r w:rsidRPr="004B6324">
        <w:rPr>
          <w:szCs w:val="18"/>
        </w:rPr>
      </w:r>
      <w:r w:rsidRPr="004B6324">
        <w:rPr>
          <w:szCs w:val="18"/>
        </w:rPr>
        <w:fldChar w:fldCharType="separate"/>
      </w:r>
      <w:r w:rsidRPr="00BF69CA">
        <w:rPr>
          <w:szCs w:val="18"/>
        </w:rPr>
        <w:t xml:space="preserve">Príloha </w:t>
      </w:r>
      <w:r w:rsidRPr="00BF69CA">
        <w:rPr>
          <w:noProof/>
          <w:szCs w:val="18"/>
        </w:rPr>
        <w:t>15</w:t>
      </w:r>
      <w:r w:rsidRPr="004B6324">
        <w:rPr>
          <w:szCs w:val="18"/>
        </w:rPr>
        <w:fldChar w:fldCharType="end"/>
      </w:r>
      <w:r w:rsidRPr="00CB63D0">
        <w:t>.</w:t>
      </w:r>
    </w:p>
  </w:footnote>
  <w:footnote w:id="97">
    <w:p w14:paraId="357E2B7A" w14:textId="77777777" w:rsidR="00373CAE" w:rsidRPr="005F4457" w:rsidRDefault="00373CAE" w:rsidP="008A5973">
      <w:pPr>
        <w:pStyle w:val="Textpoznmkypodiarou"/>
      </w:pPr>
      <w:r w:rsidRPr="005F4457">
        <w:rPr>
          <w:rStyle w:val="Odkaznapoznmkupodiarou"/>
        </w:rPr>
        <w:footnoteRef/>
      </w:r>
      <w:r w:rsidRPr="005F4457">
        <w:t xml:space="preserve"> Činností týkajúce sa ľudských zdrojov, IT, vnútornej správy, verejného obstarávania, financovania a rozpočtovania, práva a legislatívy, medzinárodných vzťahov, verejného obstarávania, či kancelárie štátnych tajomníkov a ministrov. </w:t>
      </w:r>
    </w:p>
  </w:footnote>
  <w:footnote w:id="98">
    <w:p w14:paraId="05DE7A2D" w14:textId="4FDFC3C9" w:rsidR="00373CAE" w:rsidRPr="00C11998" w:rsidRDefault="00373CAE" w:rsidP="006012A3">
      <w:pPr>
        <w:pStyle w:val="Textpoznmkypodiarou"/>
      </w:pPr>
      <w:r w:rsidRPr="005F4457">
        <w:rPr>
          <w:rStyle w:val="Odkaznapoznmkupodiarou"/>
        </w:rPr>
        <w:footnoteRef/>
      </w:r>
      <w:r w:rsidRPr="005F4457">
        <w:t xml:space="preserve"> Ide o analýzu vykonanú Útvarom hodnoty za peniaze na základe zberu dát uskutočneného v období od apríla 2018 do septembra 2018. Predmetom analýzy boli ministerstvá a Úrad vlády SR spolu s ich podriadenými organizáciami</w:t>
      </w:r>
      <w:r>
        <w:t>.</w:t>
      </w:r>
    </w:p>
  </w:footnote>
  <w:footnote w:id="99">
    <w:p w14:paraId="4456A91B" w14:textId="5666CEBC" w:rsidR="00373CAE" w:rsidRPr="008A5973" w:rsidRDefault="00373CAE" w:rsidP="008A5973">
      <w:pPr>
        <w:pStyle w:val="Textpoznmkypodiarou"/>
      </w:pPr>
      <w:r w:rsidRPr="005F4457">
        <w:rPr>
          <w:rStyle w:val="Odkaznapoznmkupodiarou"/>
        </w:rPr>
        <w:footnoteRef/>
      </w:r>
      <w:r w:rsidRPr="005F4457">
        <w:t xml:space="preserve"> Prehľad vylúčených činností uvádza </w:t>
      </w:r>
      <w:r w:rsidRPr="004B6324">
        <w:rPr>
          <w:szCs w:val="18"/>
        </w:rPr>
        <w:fldChar w:fldCharType="begin"/>
      </w:r>
      <w:r w:rsidRPr="004B6324">
        <w:rPr>
          <w:szCs w:val="18"/>
        </w:rPr>
        <w:instrText xml:space="preserve"> REF _Ref532839944 \h </w:instrText>
      </w:r>
      <w:r>
        <w:rPr>
          <w:szCs w:val="18"/>
        </w:rPr>
        <w:instrText xml:space="preserve"> \* MERGEFORMAT </w:instrText>
      </w:r>
      <w:r w:rsidRPr="004B6324">
        <w:rPr>
          <w:szCs w:val="18"/>
        </w:rPr>
      </w:r>
      <w:r w:rsidRPr="004B6324">
        <w:rPr>
          <w:szCs w:val="18"/>
        </w:rPr>
        <w:fldChar w:fldCharType="separate"/>
      </w:r>
      <w:r w:rsidRPr="00BF69CA">
        <w:rPr>
          <w:szCs w:val="18"/>
        </w:rPr>
        <w:t xml:space="preserve">Príloha </w:t>
      </w:r>
      <w:r w:rsidRPr="00BF69CA">
        <w:rPr>
          <w:noProof/>
          <w:szCs w:val="18"/>
        </w:rPr>
        <w:t>15</w:t>
      </w:r>
      <w:r w:rsidRPr="004B6324">
        <w:rPr>
          <w:szCs w:val="18"/>
        </w:rPr>
        <w:fldChar w:fldCharType="end"/>
      </w:r>
      <w:r>
        <w:rPr>
          <w:szCs w:val="18"/>
        </w:rPr>
        <w:t>.</w:t>
      </w:r>
      <w:r w:rsidRPr="004B6324">
        <w:rPr>
          <w:szCs w:val="18"/>
        </w:rPr>
        <w:t xml:space="preserve"> </w:t>
      </w:r>
    </w:p>
  </w:footnote>
  <w:footnote w:id="100">
    <w:p w14:paraId="20952FA1" w14:textId="5F5DDD4B" w:rsidR="00373CAE" w:rsidRDefault="00373CAE">
      <w:pPr>
        <w:pStyle w:val="Textpoznmkypodiarou"/>
      </w:pPr>
      <w:r>
        <w:rPr>
          <w:rStyle w:val="Odkaznapoznmkupodiarou"/>
        </w:rPr>
        <w:footnoteRef/>
      </w:r>
      <w:r>
        <w:t xml:space="preserve"> Bude predmetom nadchádzajúcej Revízie výdavkov Ministerstva vnútra SR, ktorá sa bude venovať aj efektivite v rezorte.</w:t>
      </w:r>
    </w:p>
  </w:footnote>
  <w:footnote w:id="101">
    <w:p w14:paraId="2ED9B42A" w14:textId="77777777" w:rsidR="00373CAE" w:rsidRPr="008A5973" w:rsidRDefault="00373CAE" w:rsidP="008A5973">
      <w:pPr>
        <w:pStyle w:val="Textpoznmkypodiarou"/>
      </w:pPr>
      <w:r w:rsidRPr="008A5973">
        <w:rPr>
          <w:rStyle w:val="Odkaznapoznmkupodiarou"/>
        </w:rPr>
        <w:footnoteRef/>
      </w:r>
      <w:r w:rsidRPr="008A5973">
        <w:t xml:space="preserve"> Faktory, ktoré vplývajú na nákladovosť, no nie sú zohľadnené v tejto analýze sú komplexnosť procesov na úrade, vyšší dopyt po službách v niektorých oblastiach (napr.: vyššia mediálna aktivita úradu), či kvalita poskytovaných služieb. Zároveň však toto porovnanie nezahŕňa súkromný sektor a za cieľové hodnoty (benchmark) boli zvolené už dosiahnuté hodnoty v rámci verejného sektora, bez predpokladu akéhokoľvek dodatočného zlepšenia.</w:t>
      </w:r>
    </w:p>
  </w:footnote>
  <w:footnote w:id="102">
    <w:p w14:paraId="6B89CF08" w14:textId="0FB2A018" w:rsidR="00373CAE" w:rsidRDefault="00373CAE">
      <w:pPr>
        <w:pStyle w:val="Textpoznmkypodiarou"/>
      </w:pPr>
      <w:r>
        <w:rPr>
          <w:rStyle w:val="Odkaznapoznmkupodiarou"/>
        </w:rPr>
        <w:footnoteRef/>
      </w:r>
      <w:r>
        <w:t xml:space="preserve"> </w:t>
      </w:r>
      <w:r w:rsidRPr="00C86B49">
        <w:t xml:space="preserve">V cenách / nákladoch roku </w:t>
      </w:r>
      <w:r>
        <w:t xml:space="preserve">2020, </w:t>
      </w:r>
      <w:r w:rsidRPr="00C86B49">
        <w:t xml:space="preserve">približne </w:t>
      </w:r>
      <w:r>
        <w:t>6,5</w:t>
      </w:r>
      <w:r w:rsidRPr="00C86B49">
        <w:t xml:space="preserve"> mil. eur v cenách roku </w:t>
      </w:r>
      <w:r>
        <w:t>2017.</w:t>
      </w:r>
    </w:p>
  </w:footnote>
  <w:footnote w:id="103">
    <w:p w14:paraId="67C90F83" w14:textId="70D19048" w:rsidR="00373CAE" w:rsidRDefault="00373CAE">
      <w:pPr>
        <w:pStyle w:val="Textpoznmkypodiarou"/>
      </w:pPr>
      <w:r>
        <w:rPr>
          <w:rStyle w:val="Odkaznapoznmkupodiarou"/>
        </w:rPr>
        <w:footnoteRef/>
      </w:r>
      <w:r>
        <w:t xml:space="preserve"> </w:t>
      </w:r>
      <w:r w:rsidRPr="00C86B49">
        <w:t xml:space="preserve">V cenách / nákladoch roku </w:t>
      </w:r>
      <w:r>
        <w:t xml:space="preserve">2020, </w:t>
      </w:r>
      <w:r w:rsidRPr="00C86B49">
        <w:t xml:space="preserve">približne </w:t>
      </w:r>
      <w:r>
        <w:t>8,5</w:t>
      </w:r>
      <w:r w:rsidRPr="00C86B49">
        <w:t xml:space="preserve"> mil. eur v cenách roku </w:t>
      </w:r>
      <w:r>
        <w:t>2017.</w:t>
      </w:r>
    </w:p>
  </w:footnote>
  <w:footnote w:id="104">
    <w:p w14:paraId="70E1784F" w14:textId="2A9C6A89" w:rsidR="00373CAE" w:rsidRPr="008A5973" w:rsidRDefault="00373CAE" w:rsidP="008A5973">
      <w:pPr>
        <w:pStyle w:val="Textpoznmkypodiarou"/>
        <w:rPr>
          <w:szCs w:val="18"/>
        </w:rPr>
      </w:pPr>
      <w:r w:rsidRPr="008A5973">
        <w:rPr>
          <w:rStyle w:val="Odkaznapoznmkupodiarou"/>
          <w:szCs w:val="18"/>
        </w:rPr>
        <w:footnoteRef/>
      </w:r>
      <w:r w:rsidRPr="008A5973">
        <w:rPr>
          <w:szCs w:val="18"/>
        </w:rPr>
        <w:t xml:space="preserve"> Do analýzy boli zahrnuté podriadené organizácie Úradu vlády a všetkých ministerstiev s výnimkou podriadených organizácií MV SR a MŽP SR a PRO s rozvetvenou štruktúrou</w:t>
      </w:r>
      <w:r>
        <w:rPr>
          <w:szCs w:val="18"/>
        </w:rPr>
        <w:t>.</w:t>
      </w:r>
      <w:r w:rsidRPr="008A5973">
        <w:rPr>
          <w:szCs w:val="18"/>
        </w:rPr>
        <w:t xml:space="preserve"> </w:t>
      </w:r>
    </w:p>
  </w:footnote>
  <w:footnote w:id="105">
    <w:p w14:paraId="14D172BA" w14:textId="77777777" w:rsidR="00373CAE" w:rsidRPr="008A5973" w:rsidRDefault="00373CAE" w:rsidP="008A5973">
      <w:pPr>
        <w:pStyle w:val="Textpoznmkypodiarou"/>
      </w:pPr>
      <w:r w:rsidRPr="008A5973">
        <w:rPr>
          <w:rStyle w:val="Odkaznapoznmkupodiarou"/>
        </w:rPr>
        <w:footnoteRef/>
      </w:r>
      <w:r w:rsidRPr="008A5973">
        <w:t xml:space="preserve"> Informácie vyplývajúce z analýzy vykonanej Útvarom hodnoty za peniaze na základe zberu dát uskutočnenom v období od apríla 2018 do septembra 2018. </w:t>
      </w:r>
    </w:p>
  </w:footnote>
  <w:footnote w:id="106">
    <w:p w14:paraId="422AFF25" w14:textId="62BCB37A" w:rsidR="00373CAE" w:rsidRPr="008A5973" w:rsidRDefault="00373CAE" w:rsidP="008A5973">
      <w:pPr>
        <w:pStyle w:val="Textpoznmkypodiarou"/>
      </w:pPr>
      <w:r w:rsidRPr="008A5973">
        <w:rPr>
          <w:rStyle w:val="Odkaznapoznmkupodiarou"/>
        </w:rPr>
        <w:footnoteRef/>
      </w:r>
      <w:r w:rsidRPr="008A5973">
        <w:t xml:space="preserve"> Postup výpočtu úspory bol obdobný ako </w:t>
      </w:r>
      <w:r>
        <w:t>pri</w:t>
      </w:r>
      <w:r w:rsidRPr="008A5973">
        <w:t> ústredných orgáno</w:t>
      </w:r>
      <w:r>
        <w:t>ch</w:t>
      </w:r>
      <w:r w:rsidRPr="008A5973">
        <w:t xml:space="preserve"> štátnej správy (Box 11). Organizácie boli v závislosti zachovania porovnateľnosti segmentované do troch skupín v závislosti od počtu zamestnancov (menej ako 50, 50-249, viac ako 250 zamestnancov).</w:t>
      </w:r>
    </w:p>
  </w:footnote>
  <w:footnote w:id="107">
    <w:p w14:paraId="068B036A" w14:textId="7C14DB6F" w:rsidR="00373CAE" w:rsidRPr="008A5973" w:rsidRDefault="00373CAE" w:rsidP="008A5973">
      <w:pPr>
        <w:pStyle w:val="Textpoznmkypodiarou"/>
      </w:pPr>
      <w:r w:rsidRPr="008A5973">
        <w:rPr>
          <w:rStyle w:val="Odkaznapoznmkupodiarou"/>
        </w:rPr>
        <w:footnoteRef/>
      </w:r>
      <w:r w:rsidRPr="008A5973">
        <w:t xml:space="preserve"> Štátne centrum zdieľaných služieb v</w:t>
      </w:r>
      <w:r>
        <w:t> </w:t>
      </w:r>
      <w:r w:rsidRPr="008A5973">
        <w:t>Bulharsku</w:t>
      </w:r>
      <w:r>
        <w:t>.</w:t>
      </w:r>
    </w:p>
  </w:footnote>
  <w:footnote w:id="108">
    <w:p w14:paraId="1E0EAC3D" w14:textId="4DAFD107" w:rsidR="00373CAE" w:rsidRPr="008A5973" w:rsidRDefault="00373CAE" w:rsidP="008A5973">
      <w:pPr>
        <w:pStyle w:val="Textpoznmkypodiarou"/>
      </w:pPr>
      <w:r w:rsidRPr="008A5973">
        <w:rPr>
          <w:rStyle w:val="Odkaznapoznmkupodiarou"/>
        </w:rPr>
        <w:footnoteRef/>
      </w:r>
      <w:r w:rsidRPr="008A5973">
        <w:t xml:space="preserve"> PwC.2014. Shared service centres 2014 – Moving towards Centres of Excellence</w:t>
      </w:r>
      <w:r>
        <w:t>.</w:t>
      </w:r>
    </w:p>
  </w:footnote>
  <w:footnote w:id="109">
    <w:p w14:paraId="33F25283" w14:textId="4733216B" w:rsidR="00373CAE" w:rsidRPr="008A5973" w:rsidRDefault="00373CAE" w:rsidP="008A5973">
      <w:pPr>
        <w:pStyle w:val="Textpoznmkypodiarou"/>
      </w:pPr>
      <w:r w:rsidRPr="008A5973">
        <w:rPr>
          <w:rStyle w:val="Odkaznapoznmkupodiarou"/>
        </w:rPr>
        <w:footnoteRef/>
      </w:r>
      <w:r w:rsidRPr="008A5973">
        <w:t xml:space="preserve"> Štátne centrum zdieľaných služieb v Estónsku; ÚPSVaR; Optimalizácia podporných činností MV SR; P</w:t>
      </w:r>
      <w:r>
        <w:t>w</w:t>
      </w:r>
      <w:r w:rsidRPr="008A5973">
        <w:t>C. 2019. Review of DataCentrum Budget Unit in Slovakia</w:t>
      </w:r>
      <w:r>
        <w:t>.</w:t>
      </w:r>
    </w:p>
  </w:footnote>
  <w:footnote w:id="110">
    <w:p w14:paraId="725447D3" w14:textId="1A0C4FA5" w:rsidR="00373CAE" w:rsidRPr="008A5973" w:rsidRDefault="00373CAE" w:rsidP="008A5973">
      <w:pPr>
        <w:pStyle w:val="Textpoznmkypodiarou"/>
      </w:pPr>
      <w:r w:rsidRPr="008A5973">
        <w:rPr>
          <w:rStyle w:val="Odkaznapoznmkupodiarou"/>
        </w:rPr>
        <w:footnoteRef/>
      </w:r>
      <w:r w:rsidRPr="008A5973">
        <w:t xml:space="preserve"> Štátne centrum zdieľaných služieb v</w:t>
      </w:r>
      <w:r>
        <w:t> </w:t>
      </w:r>
      <w:r w:rsidRPr="008A5973">
        <w:t>Estónsku</w:t>
      </w:r>
      <w:r>
        <w:t>.</w:t>
      </w:r>
    </w:p>
  </w:footnote>
  <w:footnote w:id="111">
    <w:p w14:paraId="3B967FDC" w14:textId="6958FFCE" w:rsidR="00373CAE" w:rsidRPr="003D414F" w:rsidRDefault="00373CAE">
      <w:pPr>
        <w:pStyle w:val="Textpoznmkypodiarou"/>
        <w:rPr>
          <w:lang w:val="en-US"/>
        </w:rPr>
      </w:pPr>
      <w:r>
        <w:rPr>
          <w:rStyle w:val="Odkaznapoznmkupodiarou"/>
        </w:rPr>
        <w:footnoteRef/>
      </w:r>
      <w:r>
        <w:t xml:space="preserve"> </w:t>
      </w:r>
      <w:r w:rsidRPr="003D414F">
        <w:t xml:space="preserve">Prevencia a manažment právnych sporov proti SR </w:t>
      </w:r>
      <w:r>
        <w:t>–</w:t>
      </w:r>
      <w:r w:rsidRPr="003D414F">
        <w:t xml:space="preserve"> východiská</w:t>
      </w:r>
      <w:r>
        <w:t>, dostupné online:</w:t>
      </w:r>
      <w:r w:rsidRPr="003D414F">
        <w:t xml:space="preserve"> </w:t>
      </w:r>
      <w:hyperlink r:id="rId16" w:history="1">
        <w:r w:rsidRPr="003D414F">
          <w:rPr>
            <w:rStyle w:val="Hypertextovprepojenie"/>
            <w:color w:val="auto"/>
          </w:rPr>
          <w:t>https://rokovania.gov.sk/RVL/Material/22980/1</w:t>
        </w:r>
      </w:hyperlink>
      <w:r w:rsidRPr="003D414F">
        <w:t xml:space="preserve">. </w:t>
      </w:r>
    </w:p>
  </w:footnote>
  <w:footnote w:id="112">
    <w:p w14:paraId="26545A7F" w14:textId="77777777" w:rsidR="00373CAE" w:rsidRPr="008A5973" w:rsidRDefault="00373CAE" w:rsidP="008A5973">
      <w:pPr>
        <w:pStyle w:val="Textpoznmkypodiarou"/>
      </w:pPr>
      <w:r w:rsidRPr="008A5973">
        <w:rPr>
          <w:rStyle w:val="Odkaznapoznmkupodiarou"/>
        </w:rPr>
        <w:footnoteRef/>
      </w:r>
      <w:r w:rsidRPr="008A5973">
        <w:t xml:space="preserve"> Informácie poskytnuté Centrom štátnych zdieľaných služieb v Estónsku (State Shared Service Center).</w:t>
      </w:r>
    </w:p>
  </w:footnote>
  <w:footnote w:id="113">
    <w:p w14:paraId="4945B8EE" w14:textId="4450DD54" w:rsidR="00373CAE" w:rsidRDefault="00373CAE" w:rsidP="00241879">
      <w:pPr>
        <w:pStyle w:val="Textpoznmkypodiarou"/>
      </w:pPr>
      <w:r>
        <w:rPr>
          <w:rStyle w:val="Odkaznapoznmkupodiarou"/>
        </w:rPr>
        <w:footnoteRef/>
      </w:r>
      <w:r>
        <w:t xml:space="preserve"> V prieskume bolo zapojených 1 060 respondentov z radov študentov končiacich ročníkov stredných odborných škôl a gymnázií a 962 respondentov z radov vysokoškolských študentov učiteľských programov a 1 075 študentov neučiteľských študijných programov.</w:t>
      </w:r>
      <w:r w:rsidRPr="004949D8">
        <w:t xml:space="preserve"> </w:t>
      </w:r>
      <w:r>
        <w:t xml:space="preserve">Podrobnejšiu analýzu atraktivity učiteľského povolania a výsledkov prieskumu pripravuje </w:t>
      </w:r>
      <w:r w:rsidRPr="009B5F28">
        <w:t>IVP</w:t>
      </w:r>
      <w:r>
        <w:t>.</w:t>
      </w:r>
    </w:p>
  </w:footnote>
  <w:footnote w:id="114">
    <w:p w14:paraId="7AA69094" w14:textId="72007C03" w:rsidR="00373CAE" w:rsidRPr="0098167E" w:rsidRDefault="00373CAE" w:rsidP="00C41D81">
      <w:pPr>
        <w:pStyle w:val="Textpoznmkypodiarou"/>
      </w:pPr>
      <w:r w:rsidRPr="0098167E">
        <w:rPr>
          <w:rStyle w:val="Odkaznapoznmkupodiarou"/>
        </w:rPr>
        <w:footnoteRef/>
      </w:r>
      <w:r w:rsidRPr="0098167E">
        <w:t xml:space="preserve"> Ministerstvu školstva dáva § 16 ods. 7 zákona č. 596/2003 o štátnej správe v školstve a školskej samospráve </w:t>
      </w:r>
      <w:r>
        <w:t xml:space="preserve">možnosť </w:t>
      </w:r>
      <w:r w:rsidRPr="0098167E">
        <w:t>pri zaraďovaní školy do siete prihliadať na účelné a komplexné rozmiestnenie škôl a školských zariadení.</w:t>
      </w:r>
    </w:p>
  </w:footnote>
  <w:footnote w:id="115">
    <w:p w14:paraId="63057C3E" w14:textId="04AEC5D1" w:rsidR="00373CAE" w:rsidRPr="00341A7D" w:rsidRDefault="00373CAE" w:rsidP="00C41D81">
      <w:pPr>
        <w:pStyle w:val="Textpoznmkypodiarou"/>
        <w:rPr>
          <w:szCs w:val="18"/>
        </w:rPr>
      </w:pPr>
      <w:r w:rsidRPr="0098167E">
        <w:rPr>
          <w:rStyle w:val="Odkaznapoznmkupodiarou"/>
          <w:szCs w:val="18"/>
        </w:rPr>
        <w:footnoteRef/>
      </w:r>
      <w:r w:rsidRPr="0098167E">
        <w:rPr>
          <w:szCs w:val="18"/>
        </w:rPr>
        <w:t xml:space="preserve"> Podľa prognózy ŠÚ SR bude populácia žiakov vo veku 6 až 14 rokov v nasledujúcich rokoch mierne rásť. S miernym oneskorením sa pridá aj populácia žiakov vo veku 15 až 18 rokov. Tento pozitívny demografický vývoj sa už prejavil</w:t>
      </w:r>
      <w:r w:rsidRPr="00341A7D">
        <w:rPr>
          <w:szCs w:val="18"/>
        </w:rPr>
        <w:t xml:space="preserve"> na pr</w:t>
      </w:r>
      <w:r>
        <w:rPr>
          <w:szCs w:val="18"/>
        </w:rPr>
        <w:t>vom stupni základných škôl a </w:t>
      </w:r>
      <w:r w:rsidRPr="0081546B">
        <w:t>do</w:t>
      </w:r>
      <w:r>
        <w:t> </w:t>
      </w:r>
      <w:r w:rsidRPr="0081546B">
        <w:t>roku</w:t>
      </w:r>
      <w:r w:rsidRPr="00341A7D">
        <w:rPr>
          <w:szCs w:val="18"/>
        </w:rPr>
        <w:t xml:space="preserve"> 2023 by sa priemerná veľkosť základných škôl mala zvýšiť zo súčasných 211 na 222 žiakov. Priemerná veľkosť triedy na základných školách by mala do roku 2023 vzrásť z 18,5 na 19,4 žiakov a počet žiakov na učiteľa z 13,9 na 14,5.</w:t>
      </w:r>
    </w:p>
  </w:footnote>
  <w:footnote w:id="116">
    <w:p w14:paraId="44373831" w14:textId="77777777" w:rsidR="00373CAE" w:rsidRDefault="00373CAE" w:rsidP="00800F89">
      <w:pPr>
        <w:pStyle w:val="Textpoznmkypodiarou"/>
      </w:pPr>
      <w:r>
        <w:rPr>
          <w:rStyle w:val="Odkaznapoznmkupodiarou"/>
        </w:rPr>
        <w:footnoteRef/>
      </w:r>
      <w:r>
        <w:t xml:space="preserve"> Za malé školy sú pre účely kvantifikácie považované školy do 50 žiakov.</w:t>
      </w:r>
    </w:p>
  </w:footnote>
  <w:footnote w:id="117">
    <w:p w14:paraId="62869421" w14:textId="77777777" w:rsidR="00373CAE" w:rsidRDefault="00373CAE" w:rsidP="00581643">
      <w:pPr>
        <w:pStyle w:val="Textpoznmkypodiarou"/>
      </w:pPr>
      <w:r w:rsidRPr="00825404">
        <w:rPr>
          <w:rStyle w:val="Odkaznapoznmkupodiarou"/>
        </w:rPr>
        <w:footnoteRef/>
      </w:r>
      <w:r w:rsidRPr="00825404">
        <w:t xml:space="preserve"> Testovania PISA sa za Slovensko v roku 2015 zúčastnilo 6 350 žiakov z 292 škôl. </w:t>
      </w:r>
      <w:r>
        <w:t>Viac informácii o testovaní PISA je dostupných online:</w:t>
      </w:r>
      <w:r w:rsidRPr="00825404">
        <w:t xml:space="preserve"> </w:t>
      </w:r>
      <w:hyperlink r:id="rId17" w:history="1">
        <w:r w:rsidRPr="001256A4">
          <w:rPr>
            <w:rStyle w:val="Hypertextovprepojenie"/>
          </w:rPr>
          <w:t>http://www.nucem.sk/sk/medzinarodne_merania/project/5</w:t>
        </w:r>
      </w:hyperlink>
      <w:r>
        <w:t>.</w:t>
      </w:r>
    </w:p>
  </w:footnote>
  <w:footnote w:id="118">
    <w:p w14:paraId="100B94AF" w14:textId="77777777" w:rsidR="00373CAE" w:rsidRPr="00341A7D" w:rsidRDefault="00373CAE" w:rsidP="004E731B">
      <w:pPr>
        <w:pStyle w:val="Textpoznmkypodiarou"/>
        <w:ind w:firstLine="1"/>
        <w:rPr>
          <w:szCs w:val="18"/>
        </w:rPr>
      </w:pPr>
      <w:r w:rsidRPr="00341A7D">
        <w:rPr>
          <w:rStyle w:val="Odkaznapoznmkupodiarou"/>
          <w:szCs w:val="18"/>
        </w:rPr>
        <w:footnoteRef/>
      </w:r>
      <w:r w:rsidRPr="00341A7D">
        <w:rPr>
          <w:szCs w:val="18"/>
        </w:rPr>
        <w:t xml:space="preserve"> Svedčia</w:t>
      </w:r>
      <w:r>
        <w:rPr>
          <w:szCs w:val="18"/>
        </w:rPr>
        <w:t xml:space="preserve"> o tom</w:t>
      </w:r>
      <w:r w:rsidRPr="00341A7D">
        <w:rPr>
          <w:szCs w:val="18"/>
        </w:rPr>
        <w:t xml:space="preserve"> napríklad hodnotenia Akreditačnej komisie, či Akademickej rankingovej a ratingovej agentúry.</w:t>
      </w:r>
    </w:p>
  </w:footnote>
  <w:footnote w:id="119">
    <w:p w14:paraId="2753B0C1" w14:textId="77777777" w:rsidR="00373CAE" w:rsidRPr="002C3DAB" w:rsidRDefault="00373CAE" w:rsidP="004E731B">
      <w:pPr>
        <w:pStyle w:val="Textpoznmkypodiarou"/>
        <w:rPr>
          <w:szCs w:val="18"/>
        </w:rPr>
      </w:pPr>
      <w:r>
        <w:rPr>
          <w:rStyle w:val="Odkaznapoznmkupodiarou"/>
        </w:rPr>
        <w:footnoteRef/>
      </w:r>
      <w:r>
        <w:t xml:space="preserve"> získať sa dá </w:t>
      </w:r>
      <w:r w:rsidRPr="009B1542">
        <w:t xml:space="preserve">za absolvovanie akreditovaných programov kontinuálneho vzdelávania, </w:t>
      </w:r>
      <w:r>
        <w:t xml:space="preserve">ale aj za </w:t>
      </w:r>
      <w:r w:rsidRPr="009B1542">
        <w:t xml:space="preserve">vykonanie </w:t>
      </w:r>
      <w:r>
        <w:t xml:space="preserve">rigoróznej skúšky či </w:t>
      </w:r>
      <w:r w:rsidRPr="009B1542">
        <w:t>štátnej</w:t>
      </w:r>
      <w:r>
        <w:t xml:space="preserve"> skúšky</w:t>
      </w:r>
      <w:r w:rsidRPr="009B1542">
        <w:t xml:space="preserve"> z cudzieho jazyka, vzdelávanie v zahraničí, či autorstvo alebo spoluautorstvo schválených alebo odporúčaných učebníc a pracovných </w:t>
      </w:r>
      <w:r w:rsidRPr="002C3DAB">
        <w:rPr>
          <w:szCs w:val="18"/>
        </w:rPr>
        <w:t>zošitov</w:t>
      </w:r>
      <w:r>
        <w:rPr>
          <w:szCs w:val="18"/>
        </w:rPr>
        <w:t>.</w:t>
      </w:r>
    </w:p>
  </w:footnote>
  <w:footnote w:id="120">
    <w:p w14:paraId="50B091E9" w14:textId="727227E9" w:rsidR="00373CAE" w:rsidRDefault="00373CAE" w:rsidP="004E731B">
      <w:pPr>
        <w:pStyle w:val="Textpoznmkypodiarou"/>
      </w:pPr>
      <w:r>
        <w:rPr>
          <w:rStyle w:val="Odkaznapoznmkupodiarou"/>
        </w:rPr>
        <w:footnoteRef/>
      </w:r>
      <w:r>
        <w:t xml:space="preserve"> Zložky mzdy pracovníkov v školstve uvádza </w:t>
      </w:r>
      <w:r w:rsidRPr="002257F2">
        <w:rPr>
          <w:szCs w:val="18"/>
        </w:rPr>
        <w:fldChar w:fldCharType="begin"/>
      </w:r>
      <w:r w:rsidRPr="002257F2">
        <w:rPr>
          <w:szCs w:val="18"/>
        </w:rPr>
        <w:instrText xml:space="preserve"> REF _Ref532840717 \h  \* MERGEFORMAT </w:instrText>
      </w:r>
      <w:r w:rsidRPr="002257F2">
        <w:rPr>
          <w:szCs w:val="18"/>
        </w:rPr>
      </w:r>
      <w:r w:rsidRPr="002257F2">
        <w:rPr>
          <w:szCs w:val="18"/>
        </w:rPr>
        <w:fldChar w:fldCharType="separate"/>
      </w:r>
      <w:r w:rsidRPr="00BF69CA">
        <w:rPr>
          <w:szCs w:val="18"/>
        </w:rPr>
        <w:t xml:space="preserve">Príloha </w:t>
      </w:r>
      <w:r w:rsidRPr="00BF69CA">
        <w:rPr>
          <w:noProof/>
          <w:szCs w:val="18"/>
        </w:rPr>
        <w:t>17</w:t>
      </w:r>
      <w:r w:rsidRPr="002257F2">
        <w:rPr>
          <w:szCs w:val="18"/>
        </w:rPr>
        <w:fldChar w:fldCharType="end"/>
      </w:r>
      <w:r>
        <w:t>.</w:t>
      </w:r>
    </w:p>
  </w:footnote>
  <w:footnote w:id="121">
    <w:p w14:paraId="20DA8185" w14:textId="126C1966" w:rsidR="00373CAE" w:rsidRDefault="00373CAE" w:rsidP="004E731B">
      <w:pPr>
        <w:pStyle w:val="Textpoznmkypodiarou"/>
      </w:pPr>
      <w:r>
        <w:rPr>
          <w:rStyle w:val="Odkaznapoznmkupodiarou"/>
        </w:rPr>
        <w:footnoteRef/>
      </w:r>
      <w:r>
        <w:t xml:space="preserve"> Viac o kontinuálnom vzdelávaní v komentári Bez kreditov neodídem (IVP, 2016a). </w:t>
      </w:r>
    </w:p>
  </w:footnote>
  <w:footnote w:id="122">
    <w:p w14:paraId="3108A555" w14:textId="6237035F" w:rsidR="00373CAE" w:rsidRDefault="00373CAE">
      <w:pPr>
        <w:pStyle w:val="Textpoznmkypodiarou"/>
      </w:pPr>
      <w:r>
        <w:rPr>
          <w:rStyle w:val="Odkaznapoznmkupodiarou"/>
        </w:rPr>
        <w:footnoteRef/>
      </w:r>
      <w:r>
        <w:t xml:space="preserve"> Zákonom č. 138/2019 Z. z. </w:t>
      </w:r>
      <w:r w:rsidRPr="00E37FE5">
        <w:t>o pedagogických zamestnancoch a odborných zamestnancoch</w:t>
      </w:r>
      <w:r>
        <w:t>.</w:t>
      </w:r>
    </w:p>
  </w:footnote>
  <w:footnote w:id="123">
    <w:p w14:paraId="5A9F48E5" w14:textId="54BCCBFE" w:rsidR="00373CAE" w:rsidRDefault="00373CAE">
      <w:pPr>
        <w:pStyle w:val="Textpoznmkypodiarou"/>
      </w:pPr>
      <w:r>
        <w:rPr>
          <w:rStyle w:val="Odkaznapoznmkupodiarou"/>
        </w:rPr>
        <w:footnoteRef/>
      </w:r>
      <w:r>
        <w:t xml:space="preserve"> Platnosť už získaných kreditov bola predĺžená do roku 2026.</w:t>
      </w:r>
    </w:p>
  </w:footnote>
  <w:footnote w:id="124">
    <w:p w14:paraId="2D80B7D6" w14:textId="169215ED" w:rsidR="00373CAE" w:rsidRPr="002C3DAB" w:rsidRDefault="00373CAE" w:rsidP="00C41D81">
      <w:pPr>
        <w:spacing w:after="0" w:line="23" w:lineRule="atLeast"/>
        <w:contextualSpacing/>
        <w:rPr>
          <w:sz w:val="18"/>
          <w:szCs w:val="18"/>
        </w:rPr>
      </w:pPr>
      <w:r w:rsidRPr="002C3DAB">
        <w:rPr>
          <w:rStyle w:val="Odkaznapoznmkupodiarou"/>
          <w:sz w:val="18"/>
          <w:szCs w:val="18"/>
        </w:rPr>
        <w:footnoteRef/>
      </w:r>
      <w:r w:rsidRPr="002C3DAB">
        <w:rPr>
          <w:sz w:val="18"/>
          <w:szCs w:val="18"/>
        </w:rPr>
        <w:t xml:space="preserve"> Na Slovensku pôsobia štyri druhy VŠ, verejné, štátne, súkromné a zahraničné. Súkromné a zahraničné však nedostávajú na svoju vyučovaciu činnosť žiadne verejné prostriedky a ich zamestnanci nie sú zamestnancami vo verejnej správe. Tri štátne VŠ sú </w:t>
      </w:r>
      <w:r>
        <w:rPr>
          <w:sz w:val="18"/>
          <w:szCs w:val="18"/>
        </w:rPr>
        <w:t xml:space="preserve">formálne </w:t>
      </w:r>
      <w:r w:rsidRPr="002C3DAB">
        <w:rPr>
          <w:sz w:val="18"/>
          <w:szCs w:val="18"/>
        </w:rPr>
        <w:t>rozpočtové či príspevkové organizácie príslušných rezortov</w:t>
      </w:r>
      <w:r>
        <w:rPr>
          <w:sz w:val="18"/>
          <w:szCs w:val="18"/>
        </w:rPr>
        <w:t>, tvoria malý podiel zo sektora VŠ (približne 3%).V</w:t>
      </w:r>
      <w:r w:rsidRPr="002C3DAB">
        <w:rPr>
          <w:sz w:val="18"/>
          <w:szCs w:val="18"/>
        </w:rPr>
        <w:t>erejné vysoké školy zriaďuje zákonom NR SR a v roku 2018 ich na Slovensku pôsobí 20.</w:t>
      </w:r>
    </w:p>
  </w:footnote>
  <w:footnote w:id="125">
    <w:p w14:paraId="3E195E7D" w14:textId="77777777" w:rsidR="00373CAE" w:rsidRDefault="00373CAE" w:rsidP="00C41D81">
      <w:pPr>
        <w:pStyle w:val="Textpoznmkypodiarou"/>
      </w:pPr>
      <w:r>
        <w:rPr>
          <w:rStyle w:val="Odkaznapoznmkupodiarou"/>
        </w:rPr>
        <w:footnoteRef/>
      </w:r>
      <w:r>
        <w:t xml:space="preserve"> V novších vydaniach publikácie Education at a Glance sa táto štatistika nenachádza.</w:t>
      </w:r>
    </w:p>
  </w:footnote>
  <w:footnote w:id="126">
    <w:p w14:paraId="6E4AC1C4" w14:textId="6CDC12E2" w:rsidR="00373CAE" w:rsidRDefault="00373CAE" w:rsidP="00C41D81">
      <w:pPr>
        <w:pStyle w:val="Textpoznmkypodiarou"/>
      </w:pPr>
      <w:r>
        <w:rPr>
          <w:rStyle w:val="Odkaznapoznmkupodiarou"/>
        </w:rPr>
        <w:footnoteRef/>
      </w:r>
      <w:r>
        <w:t xml:space="preserve"> Podľa medzinárodnej metodiky, v ktorej sa odhaduje rozsah štúdia externých študentov. </w:t>
      </w:r>
      <w:r>
        <w:fldChar w:fldCharType="begin"/>
      </w:r>
      <w:r>
        <w:instrText xml:space="preserve"> REF _Ref532898187 \h  \* MERGEFORMAT </w:instrText>
      </w:r>
      <w:r>
        <w:fldChar w:fldCharType="separate"/>
      </w:r>
      <w:r w:rsidRPr="00BF69CA">
        <w:t>Tabuľka 13</w:t>
      </w:r>
      <w:r>
        <w:fldChar w:fldCharType="end"/>
      </w:r>
      <w:r>
        <w:t xml:space="preserve"> zarátava externých študentov rovnakou váhou ako denných študentov, preto je výsledok za rok 2016 v tabuľke 12,6 žiakov na učiteľa.</w:t>
      </w:r>
    </w:p>
  </w:footnote>
  <w:footnote w:id="127">
    <w:p w14:paraId="21FE7A0D" w14:textId="77777777" w:rsidR="00373CAE" w:rsidRDefault="00373CAE" w:rsidP="001D69CC">
      <w:pPr>
        <w:pStyle w:val="Textpoznmkypodiarou"/>
      </w:pPr>
      <w:r>
        <w:rPr>
          <w:rStyle w:val="Odkaznapoznmkupodiarou"/>
        </w:rPr>
        <w:footnoteRef/>
      </w:r>
      <w:r>
        <w:t xml:space="preserve"> Výskumní pracovníci VŠ nie sú v prepočte zohľadnení, a teda sa ráta so zachovaním ich počtu.</w:t>
      </w:r>
    </w:p>
  </w:footnote>
  <w:footnote w:id="128">
    <w:p w14:paraId="3A9CFE91" w14:textId="77777777" w:rsidR="00373CAE" w:rsidRPr="002652EC" w:rsidRDefault="00373CAE" w:rsidP="001D69CC">
      <w:pPr>
        <w:pStyle w:val="Textpoznmkypodiarou"/>
      </w:pPr>
      <w:r>
        <w:rPr>
          <w:rStyle w:val="Odkaznapoznmkupodiarou"/>
        </w:rPr>
        <w:footnoteRef/>
      </w:r>
      <w:r>
        <w:t xml:space="preserve"> Kvantifikácia nezohľadňuje jednorazové náklady spojené s rušením pracovného miesta.</w:t>
      </w:r>
    </w:p>
  </w:footnote>
  <w:footnote w:id="129">
    <w:p w14:paraId="33DEE335" w14:textId="7DFD0D5C" w:rsidR="00373CAE" w:rsidRDefault="00373CAE" w:rsidP="001D69CC">
      <w:pPr>
        <w:pStyle w:val="Textpoznmkypodiarou"/>
      </w:pPr>
      <w:r>
        <w:rPr>
          <w:rStyle w:val="Odkaznapoznmkupodiarou"/>
        </w:rPr>
        <w:footnoteRef/>
      </w:r>
      <w:r>
        <w:t xml:space="preserve"> </w:t>
      </w:r>
      <w:r w:rsidRPr="00DF7019">
        <w:t>P</w:t>
      </w:r>
      <w:r>
        <w:t xml:space="preserve">odrobnosti prepočtu - </w:t>
      </w:r>
      <w:r w:rsidRPr="002257F2">
        <w:rPr>
          <w:szCs w:val="18"/>
        </w:rPr>
        <w:fldChar w:fldCharType="begin"/>
      </w:r>
      <w:r w:rsidRPr="002257F2">
        <w:rPr>
          <w:szCs w:val="18"/>
        </w:rPr>
        <w:instrText xml:space="preserve"> REF _Ref531768063 \h </w:instrText>
      </w:r>
      <w:r>
        <w:rPr>
          <w:szCs w:val="18"/>
        </w:rPr>
        <w:instrText xml:space="preserve"> \* MERGEFORMAT </w:instrText>
      </w:r>
      <w:r w:rsidRPr="002257F2">
        <w:rPr>
          <w:szCs w:val="18"/>
        </w:rPr>
      </w:r>
      <w:r w:rsidRPr="002257F2">
        <w:rPr>
          <w:szCs w:val="18"/>
        </w:rPr>
        <w:fldChar w:fldCharType="separate"/>
      </w:r>
      <w:r w:rsidRPr="00BF69CA">
        <w:rPr>
          <w:szCs w:val="18"/>
        </w:rPr>
        <w:t xml:space="preserve">Príloha </w:t>
      </w:r>
      <w:r w:rsidRPr="00BF69CA">
        <w:rPr>
          <w:noProof/>
          <w:szCs w:val="18"/>
        </w:rPr>
        <w:t>18</w:t>
      </w:r>
      <w:r w:rsidRPr="002257F2">
        <w:rPr>
          <w:szCs w:val="18"/>
        </w:rPr>
        <w:fldChar w:fldCharType="end"/>
      </w:r>
      <w:r w:rsidRPr="002257F2">
        <w:rPr>
          <w:szCs w:val="18"/>
        </w:rPr>
        <w:t xml:space="preserve">. </w:t>
      </w:r>
    </w:p>
  </w:footnote>
  <w:footnote w:id="130">
    <w:p w14:paraId="04B6F229" w14:textId="7625EBD2" w:rsidR="00373CAE" w:rsidRPr="00AE3E57" w:rsidRDefault="00373CAE" w:rsidP="00A27C40">
      <w:pPr>
        <w:pStyle w:val="Textpoznmkypodiarou"/>
        <w:rPr>
          <w:sz w:val="16"/>
        </w:rPr>
      </w:pPr>
      <w:r w:rsidRPr="00AE3E57">
        <w:rPr>
          <w:rStyle w:val="Odkaznapoznmkupodiarou"/>
          <w:sz w:val="16"/>
        </w:rPr>
        <w:footnoteRef/>
      </w:r>
      <w:r w:rsidRPr="00AE3E57">
        <w:rPr>
          <w:sz w:val="16"/>
        </w:rPr>
        <w:t xml:space="preserve"> </w:t>
      </w:r>
      <w:r w:rsidRPr="00903C62">
        <w:t>Do súčtu sú zaradené všetky právne formy spoločností. Viac o metod</w:t>
      </w:r>
      <w:r>
        <w:t>ike</w:t>
      </w:r>
      <w:r w:rsidRPr="00903C62">
        <w:t xml:space="preserve"> ur</w:t>
      </w:r>
      <w:r>
        <w:t xml:space="preserve">čenia štátnych podnikov </w:t>
      </w:r>
      <w:r w:rsidRPr="006A7AEC">
        <w:t xml:space="preserve">v </w:t>
      </w:r>
      <w:r w:rsidRPr="006A7AEC">
        <w:fldChar w:fldCharType="begin"/>
      </w:r>
      <w:r w:rsidRPr="006A7AEC">
        <w:instrText xml:space="preserve"> REF _Ref532830968 \h  \* MERGEFORMAT </w:instrText>
      </w:r>
      <w:r w:rsidRPr="006A7AEC">
        <w:fldChar w:fldCharType="separate"/>
      </w:r>
      <w:r w:rsidRPr="00BF69CA">
        <w:t xml:space="preserve">Box </w:t>
      </w:r>
      <w:r w:rsidRPr="00BF69CA">
        <w:rPr>
          <w:noProof/>
        </w:rPr>
        <w:t>15</w:t>
      </w:r>
      <w:r w:rsidRPr="006A7AEC">
        <w:fldChar w:fldCharType="end"/>
      </w:r>
      <w:r w:rsidRPr="00903C62">
        <w:t>.</w:t>
      </w:r>
      <w:r w:rsidRPr="00AE3E57">
        <w:rPr>
          <w:sz w:val="16"/>
        </w:rPr>
        <w:t xml:space="preserve"> </w:t>
      </w:r>
    </w:p>
  </w:footnote>
  <w:footnote w:id="131">
    <w:p w14:paraId="7974CFA1" w14:textId="77777777" w:rsidR="00373CAE" w:rsidRPr="00903C62" w:rsidRDefault="00373CAE" w:rsidP="00A27C40">
      <w:pPr>
        <w:pStyle w:val="Textpoznmkypodiarou"/>
      </w:pPr>
      <w:r w:rsidRPr="00AE3E57">
        <w:rPr>
          <w:rStyle w:val="Odkaznapoznmkupodiarou"/>
          <w:sz w:val="16"/>
        </w:rPr>
        <w:footnoteRef/>
      </w:r>
      <w:r w:rsidRPr="00AE3E57">
        <w:rPr>
          <w:sz w:val="16"/>
        </w:rPr>
        <w:t xml:space="preserve"> </w:t>
      </w:r>
      <w:r w:rsidRPr="00903C62">
        <w:t xml:space="preserve">Ide o údaj </w:t>
      </w:r>
      <w:r>
        <w:t xml:space="preserve">o počte </w:t>
      </w:r>
      <w:r w:rsidRPr="00903C62">
        <w:t>zamestnancov v organizáciách vlastnených štátom podľa Registra organizácii.</w:t>
      </w:r>
    </w:p>
  </w:footnote>
  <w:footnote w:id="132">
    <w:p w14:paraId="18EB6708" w14:textId="77777777" w:rsidR="00373CAE" w:rsidRPr="00116CFF" w:rsidRDefault="00373CAE" w:rsidP="002927F5">
      <w:pPr>
        <w:pStyle w:val="Textpoznmkypodiarou"/>
      </w:pPr>
      <w:r w:rsidRPr="00AE3E57">
        <w:rPr>
          <w:rStyle w:val="Odkaznapoznmkupodiarou"/>
          <w:sz w:val="16"/>
        </w:rPr>
        <w:footnoteRef/>
      </w:r>
      <w:r w:rsidRPr="00AE3E57">
        <w:rPr>
          <w:sz w:val="16"/>
        </w:rPr>
        <w:t xml:space="preserve"> Napr. v prípade ŽSR ide o Kompenzáciu v zmysle Uznesenia vlády SR č. 390/2013, ktorá uhrádza časť nákladov spojených s prepravou osôb spoločnosťou ZSSK. </w:t>
      </w:r>
    </w:p>
  </w:footnote>
  <w:footnote w:id="133">
    <w:p w14:paraId="57C76B6C" w14:textId="22E034A8" w:rsidR="00373CAE" w:rsidRPr="000F3298" w:rsidRDefault="00373CAE" w:rsidP="00207047">
      <w:pPr>
        <w:spacing w:line="240" w:lineRule="auto"/>
        <w:rPr>
          <w:sz w:val="18"/>
          <w:szCs w:val="20"/>
        </w:rPr>
      </w:pPr>
      <w:r w:rsidRPr="00AE3E57">
        <w:rPr>
          <w:rStyle w:val="Odkaznapoznmkupodiarou"/>
          <w:sz w:val="16"/>
          <w:szCs w:val="20"/>
        </w:rPr>
        <w:footnoteRef/>
      </w:r>
      <w:r w:rsidRPr="00AE3E57">
        <w:rPr>
          <w:sz w:val="16"/>
          <w:szCs w:val="20"/>
        </w:rPr>
        <w:t xml:space="preserve"> </w:t>
      </w:r>
      <w:r w:rsidRPr="00344C56">
        <w:rPr>
          <w:sz w:val="18"/>
          <w:szCs w:val="20"/>
        </w:rPr>
        <w:t xml:space="preserve">Až 66 % zamestnancov s priemerne náročnými činnosťami poberá mzdu v štátnych podnikoch od 4,75 po 7,25 eur, v súkromnom sektore je </w:t>
      </w:r>
      <w:r>
        <w:rPr>
          <w:sz w:val="18"/>
          <w:szCs w:val="20"/>
        </w:rPr>
        <w:t xml:space="preserve">to približne polovica . Rovnako má menší rozptyl </w:t>
      </w:r>
      <w:r w:rsidRPr="00344C56">
        <w:rPr>
          <w:sz w:val="18"/>
          <w:szCs w:val="20"/>
        </w:rPr>
        <w:t xml:space="preserve">aj odmena expertných </w:t>
      </w:r>
      <w:r>
        <w:rPr>
          <w:sz w:val="18"/>
          <w:szCs w:val="20"/>
        </w:rPr>
        <w:t xml:space="preserve">zamestnancov v štátnych podnikoch </w:t>
      </w:r>
      <w:r w:rsidRPr="00344C56">
        <w:rPr>
          <w:sz w:val="18"/>
          <w:szCs w:val="20"/>
        </w:rPr>
        <w:t>– až 60 % zamestnancov poberá mzdu od 6,25 po 11,25 eura, rovnakú mzdu poberá 41 % zamestnancov súkromného sektora.</w:t>
      </w:r>
    </w:p>
  </w:footnote>
  <w:footnote w:id="134">
    <w:p w14:paraId="3D8602B8" w14:textId="4DA72CB0" w:rsidR="00373CAE" w:rsidRDefault="00373CAE" w:rsidP="00D61CAD">
      <w:pPr>
        <w:pStyle w:val="Textpoznmkypodiarou"/>
      </w:pPr>
      <w:r>
        <w:rPr>
          <w:rStyle w:val="Odkaznapoznmkupodiarou"/>
        </w:rPr>
        <w:footnoteRef/>
      </w:r>
      <w:r>
        <w:t xml:space="preserve"> SES – Structure of Earnings Survey – Prieskum o štruktúre miezd. Analýza využíva dáta zo štatistického zisťovania SES 2014. Sú to posledné dostupné dáta z tohto prieskumu, ktorý sa celoeurópsky realizuje iba každé 4 roky. Novšie dáta z prieskumu SES 2018 neboli počas prípravy materiálu dostupné.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690F"/>
    <w:multiLevelType w:val="hybridMultilevel"/>
    <w:tmpl w:val="3B408D10"/>
    <w:lvl w:ilvl="0" w:tplc="4956D6D2">
      <w:start w:val="1"/>
      <w:numFmt w:val="decimal"/>
      <w:pStyle w:val="Opatrenie9"/>
      <w:lvlText w:val="%1."/>
      <w:lvlJc w:val="left"/>
      <w:pPr>
        <w:ind w:left="786" w:hanging="360"/>
      </w:pPr>
      <w:rPr>
        <w:b/>
      </w:rPr>
    </w:lvl>
    <w:lvl w:ilvl="1" w:tplc="041B0019" w:tentative="1">
      <w:start w:val="1"/>
      <w:numFmt w:val="lowerLetter"/>
      <w:lvlText w:val="%2."/>
      <w:lvlJc w:val="left"/>
      <w:pPr>
        <w:ind w:left="-1254" w:hanging="360"/>
      </w:pPr>
    </w:lvl>
    <w:lvl w:ilvl="2" w:tplc="041B001B" w:tentative="1">
      <w:start w:val="1"/>
      <w:numFmt w:val="lowerRoman"/>
      <w:lvlText w:val="%3."/>
      <w:lvlJc w:val="right"/>
      <w:pPr>
        <w:ind w:left="-534" w:hanging="180"/>
      </w:pPr>
    </w:lvl>
    <w:lvl w:ilvl="3" w:tplc="041B000F" w:tentative="1">
      <w:start w:val="1"/>
      <w:numFmt w:val="decimal"/>
      <w:lvlText w:val="%4."/>
      <w:lvlJc w:val="left"/>
      <w:pPr>
        <w:ind w:left="186" w:hanging="360"/>
      </w:pPr>
    </w:lvl>
    <w:lvl w:ilvl="4" w:tplc="041B0019" w:tentative="1">
      <w:start w:val="1"/>
      <w:numFmt w:val="lowerLetter"/>
      <w:lvlText w:val="%5."/>
      <w:lvlJc w:val="left"/>
      <w:pPr>
        <w:ind w:left="906" w:hanging="360"/>
      </w:pPr>
    </w:lvl>
    <w:lvl w:ilvl="5" w:tplc="041B001B" w:tentative="1">
      <w:start w:val="1"/>
      <w:numFmt w:val="lowerRoman"/>
      <w:lvlText w:val="%6."/>
      <w:lvlJc w:val="right"/>
      <w:pPr>
        <w:ind w:left="1626" w:hanging="180"/>
      </w:pPr>
    </w:lvl>
    <w:lvl w:ilvl="6" w:tplc="041B000F" w:tentative="1">
      <w:start w:val="1"/>
      <w:numFmt w:val="decimal"/>
      <w:lvlText w:val="%7."/>
      <w:lvlJc w:val="left"/>
      <w:pPr>
        <w:ind w:left="2346" w:hanging="360"/>
      </w:pPr>
    </w:lvl>
    <w:lvl w:ilvl="7" w:tplc="041B0019" w:tentative="1">
      <w:start w:val="1"/>
      <w:numFmt w:val="lowerLetter"/>
      <w:lvlText w:val="%8."/>
      <w:lvlJc w:val="left"/>
      <w:pPr>
        <w:ind w:left="3066" w:hanging="360"/>
      </w:pPr>
    </w:lvl>
    <w:lvl w:ilvl="8" w:tplc="041B001B" w:tentative="1">
      <w:start w:val="1"/>
      <w:numFmt w:val="lowerRoman"/>
      <w:lvlText w:val="%9."/>
      <w:lvlJc w:val="right"/>
      <w:pPr>
        <w:ind w:left="3786" w:hanging="180"/>
      </w:pPr>
    </w:lvl>
  </w:abstractNum>
  <w:abstractNum w:abstractNumId="1" w15:restartNumberingAfterBreak="0">
    <w:nsid w:val="058904D5"/>
    <w:multiLevelType w:val="hybridMultilevel"/>
    <w:tmpl w:val="BAF25B62"/>
    <w:lvl w:ilvl="0" w:tplc="29EE15DA">
      <w:start w:val="51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8D159CF"/>
    <w:multiLevelType w:val="hybridMultilevel"/>
    <w:tmpl w:val="38C2F79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BA865E5"/>
    <w:multiLevelType w:val="hybridMultilevel"/>
    <w:tmpl w:val="9500C4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FE92326"/>
    <w:multiLevelType w:val="hybridMultilevel"/>
    <w:tmpl w:val="1CE28B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154760D"/>
    <w:multiLevelType w:val="hybridMultilevel"/>
    <w:tmpl w:val="7E5E6B0E"/>
    <w:lvl w:ilvl="0" w:tplc="041B0001">
      <w:start w:val="1"/>
      <w:numFmt w:val="bullet"/>
      <w:lvlText w:val=""/>
      <w:lvlJc w:val="left"/>
      <w:pPr>
        <w:ind w:left="294" w:hanging="360"/>
      </w:pPr>
      <w:rPr>
        <w:rFonts w:ascii="Symbol" w:hAnsi="Symbol" w:hint="default"/>
      </w:rPr>
    </w:lvl>
    <w:lvl w:ilvl="1" w:tplc="041B0003">
      <w:start w:val="1"/>
      <w:numFmt w:val="bullet"/>
      <w:lvlText w:val="o"/>
      <w:lvlJc w:val="left"/>
      <w:pPr>
        <w:ind w:left="1014" w:hanging="360"/>
      </w:pPr>
      <w:rPr>
        <w:rFonts w:ascii="Courier New" w:hAnsi="Courier New" w:cs="Courier New" w:hint="default"/>
      </w:rPr>
    </w:lvl>
    <w:lvl w:ilvl="2" w:tplc="041B0005">
      <w:start w:val="1"/>
      <w:numFmt w:val="bullet"/>
      <w:lvlText w:val=""/>
      <w:lvlJc w:val="left"/>
      <w:pPr>
        <w:ind w:left="1734" w:hanging="360"/>
      </w:pPr>
      <w:rPr>
        <w:rFonts w:ascii="Wingdings" w:hAnsi="Wingdings" w:hint="default"/>
      </w:rPr>
    </w:lvl>
    <w:lvl w:ilvl="3" w:tplc="041B0001">
      <w:start w:val="1"/>
      <w:numFmt w:val="bullet"/>
      <w:lvlText w:val=""/>
      <w:lvlJc w:val="left"/>
      <w:pPr>
        <w:ind w:left="2454" w:hanging="360"/>
      </w:pPr>
      <w:rPr>
        <w:rFonts w:ascii="Symbol" w:hAnsi="Symbol" w:hint="default"/>
      </w:rPr>
    </w:lvl>
    <w:lvl w:ilvl="4" w:tplc="041B0003">
      <w:start w:val="1"/>
      <w:numFmt w:val="bullet"/>
      <w:lvlText w:val="o"/>
      <w:lvlJc w:val="left"/>
      <w:pPr>
        <w:ind w:left="3174" w:hanging="360"/>
      </w:pPr>
      <w:rPr>
        <w:rFonts w:ascii="Courier New" w:hAnsi="Courier New" w:cs="Courier New" w:hint="default"/>
      </w:rPr>
    </w:lvl>
    <w:lvl w:ilvl="5" w:tplc="041B0005">
      <w:start w:val="1"/>
      <w:numFmt w:val="bullet"/>
      <w:lvlText w:val=""/>
      <w:lvlJc w:val="left"/>
      <w:pPr>
        <w:ind w:left="3894" w:hanging="360"/>
      </w:pPr>
      <w:rPr>
        <w:rFonts w:ascii="Wingdings" w:hAnsi="Wingdings" w:hint="default"/>
      </w:rPr>
    </w:lvl>
    <w:lvl w:ilvl="6" w:tplc="041B0001">
      <w:start w:val="1"/>
      <w:numFmt w:val="bullet"/>
      <w:lvlText w:val=""/>
      <w:lvlJc w:val="left"/>
      <w:pPr>
        <w:ind w:left="4614" w:hanging="360"/>
      </w:pPr>
      <w:rPr>
        <w:rFonts w:ascii="Symbol" w:hAnsi="Symbol" w:hint="default"/>
      </w:rPr>
    </w:lvl>
    <w:lvl w:ilvl="7" w:tplc="041B0003">
      <w:start w:val="1"/>
      <w:numFmt w:val="bullet"/>
      <w:lvlText w:val="o"/>
      <w:lvlJc w:val="left"/>
      <w:pPr>
        <w:ind w:left="5334" w:hanging="360"/>
      </w:pPr>
      <w:rPr>
        <w:rFonts w:ascii="Courier New" w:hAnsi="Courier New" w:cs="Courier New" w:hint="default"/>
      </w:rPr>
    </w:lvl>
    <w:lvl w:ilvl="8" w:tplc="041B0005">
      <w:start w:val="1"/>
      <w:numFmt w:val="bullet"/>
      <w:lvlText w:val=""/>
      <w:lvlJc w:val="left"/>
      <w:pPr>
        <w:ind w:left="6054" w:hanging="360"/>
      </w:pPr>
      <w:rPr>
        <w:rFonts w:ascii="Wingdings" w:hAnsi="Wingdings" w:hint="default"/>
      </w:rPr>
    </w:lvl>
  </w:abstractNum>
  <w:abstractNum w:abstractNumId="6" w15:restartNumberingAfterBreak="0">
    <w:nsid w:val="12207E5E"/>
    <w:multiLevelType w:val="hybridMultilevel"/>
    <w:tmpl w:val="8B40AF3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1AF558EA"/>
    <w:multiLevelType w:val="hybridMultilevel"/>
    <w:tmpl w:val="8BCA2F72"/>
    <w:lvl w:ilvl="0" w:tplc="E828FB98">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B0139DD"/>
    <w:multiLevelType w:val="hybridMultilevel"/>
    <w:tmpl w:val="0E60C8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C632593"/>
    <w:multiLevelType w:val="hybridMultilevel"/>
    <w:tmpl w:val="6DA6D50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1F6E03D1"/>
    <w:multiLevelType w:val="hybridMultilevel"/>
    <w:tmpl w:val="177669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1404B16"/>
    <w:multiLevelType w:val="hybridMultilevel"/>
    <w:tmpl w:val="F0FA31BC"/>
    <w:lvl w:ilvl="0" w:tplc="0AFE0F16">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35078AD"/>
    <w:multiLevelType w:val="multilevel"/>
    <w:tmpl w:val="5B54153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272E57EA"/>
    <w:multiLevelType w:val="hybridMultilevel"/>
    <w:tmpl w:val="099629C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DD45ED5"/>
    <w:multiLevelType w:val="hybridMultilevel"/>
    <w:tmpl w:val="9E0812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2E3B45C4"/>
    <w:multiLevelType w:val="hybridMultilevel"/>
    <w:tmpl w:val="74CEA0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37F5F09"/>
    <w:multiLevelType w:val="hybridMultilevel"/>
    <w:tmpl w:val="464666A4"/>
    <w:lvl w:ilvl="0" w:tplc="02AA7554">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17" w15:restartNumberingAfterBreak="0">
    <w:nsid w:val="34350EFF"/>
    <w:multiLevelType w:val="hybridMultilevel"/>
    <w:tmpl w:val="3738DD70"/>
    <w:lvl w:ilvl="0" w:tplc="56B82250">
      <w:start w:val="1"/>
      <w:numFmt w:val="decimal"/>
      <w:lvlText w:val="%1."/>
      <w:lvlJc w:val="left"/>
      <w:pPr>
        <w:ind w:left="360" w:hanging="360"/>
      </w:pPr>
      <w:rPr>
        <w:b/>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8" w15:restartNumberingAfterBreak="0">
    <w:nsid w:val="37AA42E8"/>
    <w:multiLevelType w:val="hybridMultilevel"/>
    <w:tmpl w:val="E206C09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9" w15:restartNumberingAfterBreak="0">
    <w:nsid w:val="382C28B4"/>
    <w:multiLevelType w:val="hybridMultilevel"/>
    <w:tmpl w:val="AA38D00E"/>
    <w:lvl w:ilvl="0" w:tplc="56B82250">
      <w:start w:val="1"/>
      <w:numFmt w:val="decimal"/>
      <w:lvlText w:val="%1."/>
      <w:lvlJc w:val="left"/>
      <w:pPr>
        <w:ind w:left="1004" w:hanging="360"/>
      </w:pPr>
      <w:rPr>
        <w:b/>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20" w15:restartNumberingAfterBreak="0">
    <w:nsid w:val="3A5F7BB2"/>
    <w:multiLevelType w:val="hybridMultilevel"/>
    <w:tmpl w:val="ED9E81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3BBC6136"/>
    <w:multiLevelType w:val="hybridMultilevel"/>
    <w:tmpl w:val="32BCDA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F9C7AD7"/>
    <w:multiLevelType w:val="multilevel"/>
    <w:tmpl w:val="E5325C3A"/>
    <w:lvl w:ilvl="0">
      <w:start w:val="1"/>
      <w:numFmt w:val="decimal"/>
      <w:pStyle w:val="Nadpis1"/>
      <w:lvlText w:val="%1"/>
      <w:lvlJc w:val="left"/>
      <w:pPr>
        <w:ind w:left="432" w:hanging="432"/>
      </w:pPr>
      <w:rPr>
        <w:i w:val="0"/>
        <w:color w:val="0070C0"/>
      </w:rPr>
    </w:lvl>
    <w:lvl w:ilvl="1">
      <w:start w:val="1"/>
      <w:numFmt w:val="decimal"/>
      <w:pStyle w:val="Nadpis2"/>
      <w:lvlText w:val="%1.%2"/>
      <w:lvlJc w:val="left"/>
      <w:pPr>
        <w:ind w:left="1144"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3" w15:restartNumberingAfterBreak="0">
    <w:nsid w:val="40E26B31"/>
    <w:multiLevelType w:val="hybridMultilevel"/>
    <w:tmpl w:val="C7EEA80E"/>
    <w:styleLink w:val="tl13"/>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59710A4A"/>
    <w:multiLevelType w:val="hybridMultilevel"/>
    <w:tmpl w:val="D4542792"/>
    <w:lvl w:ilvl="0" w:tplc="041B0001">
      <w:start w:val="1"/>
      <w:numFmt w:val="bullet"/>
      <w:lvlText w:val=""/>
      <w:lvlJc w:val="left"/>
      <w:pPr>
        <w:ind w:left="405" w:hanging="360"/>
      </w:pPr>
      <w:rPr>
        <w:rFonts w:ascii="Symbol" w:hAnsi="Symbol" w:hint="default"/>
      </w:rPr>
    </w:lvl>
    <w:lvl w:ilvl="1" w:tplc="041B0001">
      <w:start w:val="1"/>
      <w:numFmt w:val="bullet"/>
      <w:lvlText w:val=""/>
      <w:lvlJc w:val="left"/>
      <w:pPr>
        <w:ind w:left="1125" w:hanging="360"/>
      </w:pPr>
      <w:rPr>
        <w:rFonts w:ascii="Symbol" w:hAnsi="Symbol"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25" w15:restartNumberingAfterBreak="0">
    <w:nsid w:val="63894BCB"/>
    <w:multiLevelType w:val="multilevel"/>
    <w:tmpl w:val="BA481164"/>
    <w:styleLink w:val="tl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657036D5"/>
    <w:multiLevelType w:val="hybridMultilevel"/>
    <w:tmpl w:val="AE381AE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732F154F"/>
    <w:multiLevelType w:val="hybridMultilevel"/>
    <w:tmpl w:val="FEDAAE8C"/>
    <w:lvl w:ilvl="0" w:tplc="041B000F">
      <w:start w:val="1"/>
      <w:numFmt w:val="decimal"/>
      <w:lvlText w:val="%1."/>
      <w:lvlJc w:val="left"/>
      <w:pPr>
        <w:ind w:left="1080" w:hanging="360"/>
      </w:pPr>
    </w:lvl>
    <w:lvl w:ilvl="1" w:tplc="041B0019">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8" w15:restartNumberingAfterBreak="0">
    <w:nsid w:val="77BA5EF6"/>
    <w:multiLevelType w:val="hybridMultilevel"/>
    <w:tmpl w:val="0B029F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79A5048A"/>
    <w:multiLevelType w:val="hybridMultilevel"/>
    <w:tmpl w:val="A954A1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7D336C98"/>
    <w:multiLevelType w:val="hybridMultilevel"/>
    <w:tmpl w:val="7DD0F58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DCD039D"/>
    <w:multiLevelType w:val="hybridMultilevel"/>
    <w:tmpl w:val="7D98B08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FA82AB9"/>
    <w:multiLevelType w:val="hybridMultilevel"/>
    <w:tmpl w:val="F5B81F16"/>
    <w:lvl w:ilvl="0" w:tplc="D05CEC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3"/>
  </w:num>
  <w:num w:numId="3">
    <w:abstractNumId w:val="22"/>
  </w:num>
  <w:num w:numId="4">
    <w:abstractNumId w:val="28"/>
  </w:num>
  <w:num w:numId="5">
    <w:abstractNumId w:val="18"/>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26"/>
  </w:num>
  <w:num w:numId="10">
    <w:abstractNumId w:val="9"/>
  </w:num>
  <w:num w:numId="11">
    <w:abstractNumId w:val="24"/>
  </w:num>
  <w:num w:numId="12">
    <w:abstractNumId w:val="15"/>
  </w:num>
  <w:num w:numId="13">
    <w:abstractNumId w:val="30"/>
  </w:num>
  <w:num w:numId="14">
    <w:abstractNumId w:val="2"/>
  </w:num>
  <w:num w:numId="15">
    <w:abstractNumId w:val="19"/>
  </w:num>
  <w:num w:numId="16">
    <w:abstractNumId w:val="21"/>
  </w:num>
  <w:num w:numId="17">
    <w:abstractNumId w:val="17"/>
  </w:num>
  <w:num w:numId="18">
    <w:abstractNumId w:val="4"/>
  </w:num>
  <w:num w:numId="19">
    <w:abstractNumId w:val="27"/>
  </w:num>
  <w:num w:numId="20">
    <w:abstractNumId w:val="8"/>
  </w:num>
  <w:num w:numId="21">
    <w:abstractNumId w:val="10"/>
  </w:num>
  <w:num w:numId="22">
    <w:abstractNumId w:val="0"/>
  </w:num>
  <w:num w:numId="23">
    <w:abstractNumId w:val="31"/>
  </w:num>
  <w:num w:numId="24">
    <w:abstractNumId w:val="29"/>
  </w:num>
  <w:num w:numId="25">
    <w:abstractNumId w:val="3"/>
  </w:num>
  <w:num w:numId="26">
    <w:abstractNumId w:val="14"/>
  </w:num>
  <w:num w:numId="27">
    <w:abstractNumId w:val="1"/>
  </w:num>
  <w:num w:numId="28">
    <w:abstractNumId w:val="20"/>
  </w:num>
  <w:num w:numId="29">
    <w:abstractNumId w:val="16"/>
  </w:num>
  <w:num w:numId="30">
    <w:abstractNumId w:val="11"/>
  </w:num>
  <w:num w:numId="31">
    <w:abstractNumId w:val="12"/>
  </w:num>
  <w:num w:numId="32">
    <w:abstractNumId w:val="7"/>
  </w:num>
  <w:num w:numId="33">
    <w:abstractNumId w:val="32"/>
  </w:num>
  <w:num w:numId="34">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GrammaticalErrors/>
  <w:defaultTabStop w:val="708"/>
  <w:hyphenationZone w:val="425"/>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8DE"/>
    <w:rsid w:val="0000032A"/>
    <w:rsid w:val="00000497"/>
    <w:rsid w:val="00000B4D"/>
    <w:rsid w:val="0000188F"/>
    <w:rsid w:val="000019A9"/>
    <w:rsid w:val="00003028"/>
    <w:rsid w:val="00003372"/>
    <w:rsid w:val="00003642"/>
    <w:rsid w:val="000039FB"/>
    <w:rsid w:val="00003B60"/>
    <w:rsid w:val="000041BE"/>
    <w:rsid w:val="00004389"/>
    <w:rsid w:val="000048AA"/>
    <w:rsid w:val="000048BE"/>
    <w:rsid w:val="00004B41"/>
    <w:rsid w:val="00004FAA"/>
    <w:rsid w:val="0000512B"/>
    <w:rsid w:val="000052C7"/>
    <w:rsid w:val="00005723"/>
    <w:rsid w:val="00005D9D"/>
    <w:rsid w:val="00005DC1"/>
    <w:rsid w:val="00005F7B"/>
    <w:rsid w:val="0000621A"/>
    <w:rsid w:val="00006243"/>
    <w:rsid w:val="000062C8"/>
    <w:rsid w:val="00006ABA"/>
    <w:rsid w:val="000072CC"/>
    <w:rsid w:val="00007467"/>
    <w:rsid w:val="000075AA"/>
    <w:rsid w:val="000076A2"/>
    <w:rsid w:val="00007A8D"/>
    <w:rsid w:val="00010746"/>
    <w:rsid w:val="00011AC9"/>
    <w:rsid w:val="00011E35"/>
    <w:rsid w:val="0001213C"/>
    <w:rsid w:val="0001271D"/>
    <w:rsid w:val="000127C3"/>
    <w:rsid w:val="00012851"/>
    <w:rsid w:val="00012E38"/>
    <w:rsid w:val="00013026"/>
    <w:rsid w:val="000136C6"/>
    <w:rsid w:val="0001384E"/>
    <w:rsid w:val="00013B4B"/>
    <w:rsid w:val="00013DE3"/>
    <w:rsid w:val="00014119"/>
    <w:rsid w:val="000145E6"/>
    <w:rsid w:val="000146EE"/>
    <w:rsid w:val="00014A11"/>
    <w:rsid w:val="00014E50"/>
    <w:rsid w:val="00015108"/>
    <w:rsid w:val="000159AD"/>
    <w:rsid w:val="000168DE"/>
    <w:rsid w:val="00016C4E"/>
    <w:rsid w:val="00016D0B"/>
    <w:rsid w:val="00017122"/>
    <w:rsid w:val="000178AB"/>
    <w:rsid w:val="000178D6"/>
    <w:rsid w:val="00017D8C"/>
    <w:rsid w:val="000207DB"/>
    <w:rsid w:val="000209BF"/>
    <w:rsid w:val="00020C45"/>
    <w:rsid w:val="00021252"/>
    <w:rsid w:val="000216FD"/>
    <w:rsid w:val="00021D09"/>
    <w:rsid w:val="00021DFA"/>
    <w:rsid w:val="0002250E"/>
    <w:rsid w:val="000228AE"/>
    <w:rsid w:val="000233F9"/>
    <w:rsid w:val="0002347B"/>
    <w:rsid w:val="0002361D"/>
    <w:rsid w:val="00023B97"/>
    <w:rsid w:val="000247C7"/>
    <w:rsid w:val="00024EA0"/>
    <w:rsid w:val="00024EC3"/>
    <w:rsid w:val="00025390"/>
    <w:rsid w:val="00025A5B"/>
    <w:rsid w:val="00025BA3"/>
    <w:rsid w:val="00025DA1"/>
    <w:rsid w:val="00025F69"/>
    <w:rsid w:val="00026299"/>
    <w:rsid w:val="00026932"/>
    <w:rsid w:val="00026A2B"/>
    <w:rsid w:val="00026A82"/>
    <w:rsid w:val="0002727E"/>
    <w:rsid w:val="0002773D"/>
    <w:rsid w:val="00027D00"/>
    <w:rsid w:val="000301E7"/>
    <w:rsid w:val="0003024D"/>
    <w:rsid w:val="0003075C"/>
    <w:rsid w:val="00030BEC"/>
    <w:rsid w:val="00031220"/>
    <w:rsid w:val="0003145C"/>
    <w:rsid w:val="00031CF2"/>
    <w:rsid w:val="00031F57"/>
    <w:rsid w:val="0003292A"/>
    <w:rsid w:val="000332AB"/>
    <w:rsid w:val="0003385A"/>
    <w:rsid w:val="00033951"/>
    <w:rsid w:val="00033ABE"/>
    <w:rsid w:val="00033AFA"/>
    <w:rsid w:val="00033B06"/>
    <w:rsid w:val="000343E7"/>
    <w:rsid w:val="00034DDD"/>
    <w:rsid w:val="00034EB1"/>
    <w:rsid w:val="0003505E"/>
    <w:rsid w:val="00035077"/>
    <w:rsid w:val="0003521D"/>
    <w:rsid w:val="00035426"/>
    <w:rsid w:val="000358D7"/>
    <w:rsid w:val="00035A65"/>
    <w:rsid w:val="0003642B"/>
    <w:rsid w:val="00036685"/>
    <w:rsid w:val="00036B1D"/>
    <w:rsid w:val="00036D25"/>
    <w:rsid w:val="00036DA1"/>
    <w:rsid w:val="0004037F"/>
    <w:rsid w:val="00040C9C"/>
    <w:rsid w:val="00040CE9"/>
    <w:rsid w:val="0004220D"/>
    <w:rsid w:val="000426BB"/>
    <w:rsid w:val="00042C89"/>
    <w:rsid w:val="0004312D"/>
    <w:rsid w:val="00043271"/>
    <w:rsid w:val="00043C08"/>
    <w:rsid w:val="0004409E"/>
    <w:rsid w:val="000440DF"/>
    <w:rsid w:val="000443D7"/>
    <w:rsid w:val="000444B3"/>
    <w:rsid w:val="00044B8F"/>
    <w:rsid w:val="00045304"/>
    <w:rsid w:val="000453C6"/>
    <w:rsid w:val="0004590D"/>
    <w:rsid w:val="00045956"/>
    <w:rsid w:val="00045A69"/>
    <w:rsid w:val="00045B04"/>
    <w:rsid w:val="00045BC0"/>
    <w:rsid w:val="00046337"/>
    <w:rsid w:val="00046959"/>
    <w:rsid w:val="00046D0E"/>
    <w:rsid w:val="00046EA7"/>
    <w:rsid w:val="00046F7C"/>
    <w:rsid w:val="000470D8"/>
    <w:rsid w:val="0004726E"/>
    <w:rsid w:val="00047559"/>
    <w:rsid w:val="0004773A"/>
    <w:rsid w:val="00047A20"/>
    <w:rsid w:val="00047A39"/>
    <w:rsid w:val="00047B0C"/>
    <w:rsid w:val="00047CDB"/>
    <w:rsid w:val="0005039B"/>
    <w:rsid w:val="00050F79"/>
    <w:rsid w:val="0005175C"/>
    <w:rsid w:val="00051C02"/>
    <w:rsid w:val="00052309"/>
    <w:rsid w:val="0005310C"/>
    <w:rsid w:val="00053231"/>
    <w:rsid w:val="00053456"/>
    <w:rsid w:val="00053633"/>
    <w:rsid w:val="00053643"/>
    <w:rsid w:val="00053715"/>
    <w:rsid w:val="0005385C"/>
    <w:rsid w:val="00053C8B"/>
    <w:rsid w:val="00053C9C"/>
    <w:rsid w:val="000542D0"/>
    <w:rsid w:val="0005436B"/>
    <w:rsid w:val="0005454B"/>
    <w:rsid w:val="000546DF"/>
    <w:rsid w:val="0005479A"/>
    <w:rsid w:val="00054DF2"/>
    <w:rsid w:val="00055908"/>
    <w:rsid w:val="00055AA5"/>
    <w:rsid w:val="00056736"/>
    <w:rsid w:val="00056AD2"/>
    <w:rsid w:val="00056F69"/>
    <w:rsid w:val="000576BC"/>
    <w:rsid w:val="00057C5C"/>
    <w:rsid w:val="00057E84"/>
    <w:rsid w:val="00060642"/>
    <w:rsid w:val="00060831"/>
    <w:rsid w:val="000608A7"/>
    <w:rsid w:val="00061131"/>
    <w:rsid w:val="00061658"/>
    <w:rsid w:val="00061A20"/>
    <w:rsid w:val="000628D2"/>
    <w:rsid w:val="00062D29"/>
    <w:rsid w:val="000631E0"/>
    <w:rsid w:val="00063515"/>
    <w:rsid w:val="00063CCC"/>
    <w:rsid w:val="000644EF"/>
    <w:rsid w:val="0006467B"/>
    <w:rsid w:val="000647E2"/>
    <w:rsid w:val="00064854"/>
    <w:rsid w:val="00064DB4"/>
    <w:rsid w:val="00065EB6"/>
    <w:rsid w:val="000662CC"/>
    <w:rsid w:val="0006678C"/>
    <w:rsid w:val="00066836"/>
    <w:rsid w:val="000668E3"/>
    <w:rsid w:val="000672FC"/>
    <w:rsid w:val="00067844"/>
    <w:rsid w:val="0007063F"/>
    <w:rsid w:val="00070A33"/>
    <w:rsid w:val="00070B82"/>
    <w:rsid w:val="00070D78"/>
    <w:rsid w:val="00070DAD"/>
    <w:rsid w:val="00070F4A"/>
    <w:rsid w:val="00072431"/>
    <w:rsid w:val="000728FB"/>
    <w:rsid w:val="00072A14"/>
    <w:rsid w:val="00072DEA"/>
    <w:rsid w:val="00072F13"/>
    <w:rsid w:val="000738EE"/>
    <w:rsid w:val="00073AB8"/>
    <w:rsid w:val="0007443E"/>
    <w:rsid w:val="00074AE6"/>
    <w:rsid w:val="00074F9B"/>
    <w:rsid w:val="00075A90"/>
    <w:rsid w:val="00077156"/>
    <w:rsid w:val="00077339"/>
    <w:rsid w:val="0007738D"/>
    <w:rsid w:val="00077783"/>
    <w:rsid w:val="00077804"/>
    <w:rsid w:val="00077D8F"/>
    <w:rsid w:val="00077E5D"/>
    <w:rsid w:val="000800C3"/>
    <w:rsid w:val="00080C12"/>
    <w:rsid w:val="00080D4D"/>
    <w:rsid w:val="00082FC5"/>
    <w:rsid w:val="00083282"/>
    <w:rsid w:val="0008336F"/>
    <w:rsid w:val="00083467"/>
    <w:rsid w:val="00083BA2"/>
    <w:rsid w:val="00083F86"/>
    <w:rsid w:val="00083FBD"/>
    <w:rsid w:val="0008408A"/>
    <w:rsid w:val="00084403"/>
    <w:rsid w:val="00084E80"/>
    <w:rsid w:val="00085368"/>
    <w:rsid w:val="00085EA6"/>
    <w:rsid w:val="00085F69"/>
    <w:rsid w:val="00086401"/>
    <w:rsid w:val="00086849"/>
    <w:rsid w:val="00086A7B"/>
    <w:rsid w:val="00086F79"/>
    <w:rsid w:val="00087064"/>
    <w:rsid w:val="00087377"/>
    <w:rsid w:val="00087C56"/>
    <w:rsid w:val="00087CA8"/>
    <w:rsid w:val="000906F3"/>
    <w:rsid w:val="00090803"/>
    <w:rsid w:val="00090DD2"/>
    <w:rsid w:val="0009112A"/>
    <w:rsid w:val="00091F02"/>
    <w:rsid w:val="000926EA"/>
    <w:rsid w:val="000930B7"/>
    <w:rsid w:val="0009320C"/>
    <w:rsid w:val="0009322C"/>
    <w:rsid w:val="0009335F"/>
    <w:rsid w:val="0009340E"/>
    <w:rsid w:val="00093832"/>
    <w:rsid w:val="000939E3"/>
    <w:rsid w:val="00093B51"/>
    <w:rsid w:val="00093F7D"/>
    <w:rsid w:val="00094529"/>
    <w:rsid w:val="00094763"/>
    <w:rsid w:val="00094888"/>
    <w:rsid w:val="00094A1C"/>
    <w:rsid w:val="00094C50"/>
    <w:rsid w:val="00095491"/>
    <w:rsid w:val="0009566C"/>
    <w:rsid w:val="00095C56"/>
    <w:rsid w:val="00096819"/>
    <w:rsid w:val="000969DB"/>
    <w:rsid w:val="00096AC1"/>
    <w:rsid w:val="00096F6A"/>
    <w:rsid w:val="00097244"/>
    <w:rsid w:val="000975C5"/>
    <w:rsid w:val="00097A94"/>
    <w:rsid w:val="000A10CD"/>
    <w:rsid w:val="000A12B4"/>
    <w:rsid w:val="000A12EA"/>
    <w:rsid w:val="000A1427"/>
    <w:rsid w:val="000A1A48"/>
    <w:rsid w:val="000A1B3B"/>
    <w:rsid w:val="000A216C"/>
    <w:rsid w:val="000A235F"/>
    <w:rsid w:val="000A3660"/>
    <w:rsid w:val="000A3B3E"/>
    <w:rsid w:val="000A3C55"/>
    <w:rsid w:val="000A3F06"/>
    <w:rsid w:val="000A41E7"/>
    <w:rsid w:val="000A499A"/>
    <w:rsid w:val="000A57FA"/>
    <w:rsid w:val="000A60D5"/>
    <w:rsid w:val="000A68BD"/>
    <w:rsid w:val="000A7442"/>
    <w:rsid w:val="000A7E97"/>
    <w:rsid w:val="000B034B"/>
    <w:rsid w:val="000B03AC"/>
    <w:rsid w:val="000B0ED0"/>
    <w:rsid w:val="000B0EF7"/>
    <w:rsid w:val="000B18D4"/>
    <w:rsid w:val="000B1A98"/>
    <w:rsid w:val="000B202C"/>
    <w:rsid w:val="000B258D"/>
    <w:rsid w:val="000B292A"/>
    <w:rsid w:val="000B2D96"/>
    <w:rsid w:val="000B2EC2"/>
    <w:rsid w:val="000B3523"/>
    <w:rsid w:val="000B3697"/>
    <w:rsid w:val="000B39FB"/>
    <w:rsid w:val="000B3A07"/>
    <w:rsid w:val="000B3A2E"/>
    <w:rsid w:val="000B415B"/>
    <w:rsid w:val="000B485A"/>
    <w:rsid w:val="000B4A56"/>
    <w:rsid w:val="000B4DF9"/>
    <w:rsid w:val="000B52FD"/>
    <w:rsid w:val="000B5780"/>
    <w:rsid w:val="000B5CAD"/>
    <w:rsid w:val="000B5D03"/>
    <w:rsid w:val="000B602B"/>
    <w:rsid w:val="000B6457"/>
    <w:rsid w:val="000B6664"/>
    <w:rsid w:val="000B6E31"/>
    <w:rsid w:val="000B705A"/>
    <w:rsid w:val="000B72F8"/>
    <w:rsid w:val="000B7977"/>
    <w:rsid w:val="000B7A40"/>
    <w:rsid w:val="000C00F9"/>
    <w:rsid w:val="000C030D"/>
    <w:rsid w:val="000C07A8"/>
    <w:rsid w:val="000C0EB5"/>
    <w:rsid w:val="000C148F"/>
    <w:rsid w:val="000C18FF"/>
    <w:rsid w:val="000C194A"/>
    <w:rsid w:val="000C1D6A"/>
    <w:rsid w:val="000C1DC8"/>
    <w:rsid w:val="000C1FE9"/>
    <w:rsid w:val="000C2644"/>
    <w:rsid w:val="000C2895"/>
    <w:rsid w:val="000C2A51"/>
    <w:rsid w:val="000C34ED"/>
    <w:rsid w:val="000C35A8"/>
    <w:rsid w:val="000C3786"/>
    <w:rsid w:val="000C3927"/>
    <w:rsid w:val="000C3E10"/>
    <w:rsid w:val="000C4022"/>
    <w:rsid w:val="000C42B1"/>
    <w:rsid w:val="000C42B7"/>
    <w:rsid w:val="000C481E"/>
    <w:rsid w:val="000C4F87"/>
    <w:rsid w:val="000C5477"/>
    <w:rsid w:val="000C5757"/>
    <w:rsid w:val="000C586A"/>
    <w:rsid w:val="000C5F44"/>
    <w:rsid w:val="000C7274"/>
    <w:rsid w:val="000C75F7"/>
    <w:rsid w:val="000C76F7"/>
    <w:rsid w:val="000C7EEF"/>
    <w:rsid w:val="000D0040"/>
    <w:rsid w:val="000D0380"/>
    <w:rsid w:val="000D0554"/>
    <w:rsid w:val="000D06BC"/>
    <w:rsid w:val="000D1502"/>
    <w:rsid w:val="000D16A9"/>
    <w:rsid w:val="000D1979"/>
    <w:rsid w:val="000D1ABC"/>
    <w:rsid w:val="000D23B6"/>
    <w:rsid w:val="000D268D"/>
    <w:rsid w:val="000D2E24"/>
    <w:rsid w:val="000D317C"/>
    <w:rsid w:val="000D35E4"/>
    <w:rsid w:val="000D3828"/>
    <w:rsid w:val="000D38DB"/>
    <w:rsid w:val="000D3CD9"/>
    <w:rsid w:val="000D421B"/>
    <w:rsid w:val="000D4AC6"/>
    <w:rsid w:val="000D4C9F"/>
    <w:rsid w:val="000D4D26"/>
    <w:rsid w:val="000D5075"/>
    <w:rsid w:val="000D60E0"/>
    <w:rsid w:val="000D619F"/>
    <w:rsid w:val="000D656A"/>
    <w:rsid w:val="000D6914"/>
    <w:rsid w:val="000D6969"/>
    <w:rsid w:val="000D6D33"/>
    <w:rsid w:val="000E05CF"/>
    <w:rsid w:val="000E0F36"/>
    <w:rsid w:val="000E14D2"/>
    <w:rsid w:val="000E196A"/>
    <w:rsid w:val="000E1D2A"/>
    <w:rsid w:val="000E1E14"/>
    <w:rsid w:val="000E1E61"/>
    <w:rsid w:val="000E24EC"/>
    <w:rsid w:val="000E2653"/>
    <w:rsid w:val="000E2B96"/>
    <w:rsid w:val="000E2C7F"/>
    <w:rsid w:val="000E302E"/>
    <w:rsid w:val="000E33DA"/>
    <w:rsid w:val="000E3972"/>
    <w:rsid w:val="000E3D20"/>
    <w:rsid w:val="000E4181"/>
    <w:rsid w:val="000E4337"/>
    <w:rsid w:val="000E4437"/>
    <w:rsid w:val="000E44A1"/>
    <w:rsid w:val="000E4528"/>
    <w:rsid w:val="000E4B60"/>
    <w:rsid w:val="000E51A4"/>
    <w:rsid w:val="000E5705"/>
    <w:rsid w:val="000E5824"/>
    <w:rsid w:val="000E6140"/>
    <w:rsid w:val="000E62CE"/>
    <w:rsid w:val="000E63B1"/>
    <w:rsid w:val="000E6703"/>
    <w:rsid w:val="000E7169"/>
    <w:rsid w:val="000E792B"/>
    <w:rsid w:val="000E7D9E"/>
    <w:rsid w:val="000E7E51"/>
    <w:rsid w:val="000E7F54"/>
    <w:rsid w:val="000F0147"/>
    <w:rsid w:val="000F04F8"/>
    <w:rsid w:val="000F079A"/>
    <w:rsid w:val="000F0B82"/>
    <w:rsid w:val="000F0D35"/>
    <w:rsid w:val="000F150B"/>
    <w:rsid w:val="000F1B03"/>
    <w:rsid w:val="000F2167"/>
    <w:rsid w:val="000F21A7"/>
    <w:rsid w:val="000F2309"/>
    <w:rsid w:val="000F2441"/>
    <w:rsid w:val="000F2A01"/>
    <w:rsid w:val="000F2B02"/>
    <w:rsid w:val="000F2B96"/>
    <w:rsid w:val="000F2E76"/>
    <w:rsid w:val="000F3109"/>
    <w:rsid w:val="000F3116"/>
    <w:rsid w:val="000F341D"/>
    <w:rsid w:val="000F35C5"/>
    <w:rsid w:val="000F3A4F"/>
    <w:rsid w:val="000F3DA9"/>
    <w:rsid w:val="000F4BC3"/>
    <w:rsid w:val="000F52C3"/>
    <w:rsid w:val="000F56BF"/>
    <w:rsid w:val="000F5E36"/>
    <w:rsid w:val="000F64A8"/>
    <w:rsid w:val="000F64FA"/>
    <w:rsid w:val="000F6622"/>
    <w:rsid w:val="000F6CA4"/>
    <w:rsid w:val="000F712E"/>
    <w:rsid w:val="000F7B25"/>
    <w:rsid w:val="001002D6"/>
    <w:rsid w:val="001003F4"/>
    <w:rsid w:val="001004DD"/>
    <w:rsid w:val="0010057D"/>
    <w:rsid w:val="001009EB"/>
    <w:rsid w:val="00100D89"/>
    <w:rsid w:val="0010126F"/>
    <w:rsid w:val="00101903"/>
    <w:rsid w:val="00101A49"/>
    <w:rsid w:val="00101D32"/>
    <w:rsid w:val="00101E90"/>
    <w:rsid w:val="001020BD"/>
    <w:rsid w:val="001020D5"/>
    <w:rsid w:val="00102B68"/>
    <w:rsid w:val="00103104"/>
    <w:rsid w:val="0010319E"/>
    <w:rsid w:val="0010390C"/>
    <w:rsid w:val="00103A1B"/>
    <w:rsid w:val="00103F16"/>
    <w:rsid w:val="001044A5"/>
    <w:rsid w:val="00104641"/>
    <w:rsid w:val="001046C4"/>
    <w:rsid w:val="00104705"/>
    <w:rsid w:val="00104BD2"/>
    <w:rsid w:val="0010519D"/>
    <w:rsid w:val="0010578C"/>
    <w:rsid w:val="00105EF1"/>
    <w:rsid w:val="001062C1"/>
    <w:rsid w:val="0010634C"/>
    <w:rsid w:val="001065DB"/>
    <w:rsid w:val="0010662A"/>
    <w:rsid w:val="00106941"/>
    <w:rsid w:val="0010715F"/>
    <w:rsid w:val="0011001C"/>
    <w:rsid w:val="001105C3"/>
    <w:rsid w:val="0011120C"/>
    <w:rsid w:val="001116A9"/>
    <w:rsid w:val="00111758"/>
    <w:rsid w:val="001124D6"/>
    <w:rsid w:val="001126D6"/>
    <w:rsid w:val="001127B1"/>
    <w:rsid w:val="00112917"/>
    <w:rsid w:val="0011293D"/>
    <w:rsid w:val="001129C2"/>
    <w:rsid w:val="00112ACE"/>
    <w:rsid w:val="00112BCD"/>
    <w:rsid w:val="00112DAA"/>
    <w:rsid w:val="0011312B"/>
    <w:rsid w:val="001139C6"/>
    <w:rsid w:val="00113AE6"/>
    <w:rsid w:val="00113C10"/>
    <w:rsid w:val="00113DEE"/>
    <w:rsid w:val="00113EA3"/>
    <w:rsid w:val="001142B1"/>
    <w:rsid w:val="00114C2C"/>
    <w:rsid w:val="00114C9B"/>
    <w:rsid w:val="0011521A"/>
    <w:rsid w:val="001153B5"/>
    <w:rsid w:val="001158DF"/>
    <w:rsid w:val="00115DBF"/>
    <w:rsid w:val="00115FC9"/>
    <w:rsid w:val="001164A7"/>
    <w:rsid w:val="00116513"/>
    <w:rsid w:val="00116734"/>
    <w:rsid w:val="00116ECB"/>
    <w:rsid w:val="0011702E"/>
    <w:rsid w:val="001175A4"/>
    <w:rsid w:val="0011766F"/>
    <w:rsid w:val="001202C6"/>
    <w:rsid w:val="0012034B"/>
    <w:rsid w:val="001204E9"/>
    <w:rsid w:val="00120784"/>
    <w:rsid w:val="00120B8C"/>
    <w:rsid w:val="00120DAA"/>
    <w:rsid w:val="001214BE"/>
    <w:rsid w:val="00121BCF"/>
    <w:rsid w:val="00122138"/>
    <w:rsid w:val="0012246E"/>
    <w:rsid w:val="00122777"/>
    <w:rsid w:val="00122805"/>
    <w:rsid w:val="00122E32"/>
    <w:rsid w:val="001237DA"/>
    <w:rsid w:val="00123E34"/>
    <w:rsid w:val="00124639"/>
    <w:rsid w:val="00124C58"/>
    <w:rsid w:val="00125382"/>
    <w:rsid w:val="00125619"/>
    <w:rsid w:val="001257F3"/>
    <w:rsid w:val="00125B22"/>
    <w:rsid w:val="00126308"/>
    <w:rsid w:val="00126350"/>
    <w:rsid w:val="00126B8D"/>
    <w:rsid w:val="00127143"/>
    <w:rsid w:val="001275BF"/>
    <w:rsid w:val="00127850"/>
    <w:rsid w:val="0012797B"/>
    <w:rsid w:val="0013028C"/>
    <w:rsid w:val="00130449"/>
    <w:rsid w:val="00130618"/>
    <w:rsid w:val="00130726"/>
    <w:rsid w:val="00130A4C"/>
    <w:rsid w:val="00130A52"/>
    <w:rsid w:val="00130A6D"/>
    <w:rsid w:val="00131005"/>
    <w:rsid w:val="00131420"/>
    <w:rsid w:val="00131CE2"/>
    <w:rsid w:val="00132014"/>
    <w:rsid w:val="001324D0"/>
    <w:rsid w:val="00132738"/>
    <w:rsid w:val="0013312B"/>
    <w:rsid w:val="00133939"/>
    <w:rsid w:val="00133B33"/>
    <w:rsid w:val="00133D85"/>
    <w:rsid w:val="00134392"/>
    <w:rsid w:val="00134454"/>
    <w:rsid w:val="001348A1"/>
    <w:rsid w:val="00134C3C"/>
    <w:rsid w:val="00135185"/>
    <w:rsid w:val="00135BDC"/>
    <w:rsid w:val="001363C4"/>
    <w:rsid w:val="00136508"/>
    <w:rsid w:val="00136899"/>
    <w:rsid w:val="00136DB0"/>
    <w:rsid w:val="00136E60"/>
    <w:rsid w:val="001372A6"/>
    <w:rsid w:val="001372C4"/>
    <w:rsid w:val="001373D7"/>
    <w:rsid w:val="001377D0"/>
    <w:rsid w:val="001377F4"/>
    <w:rsid w:val="00137877"/>
    <w:rsid w:val="0013796E"/>
    <w:rsid w:val="00137B6D"/>
    <w:rsid w:val="00137C16"/>
    <w:rsid w:val="001401D6"/>
    <w:rsid w:val="0014034E"/>
    <w:rsid w:val="00140363"/>
    <w:rsid w:val="001405F9"/>
    <w:rsid w:val="00140814"/>
    <w:rsid w:val="00140B22"/>
    <w:rsid w:val="00140DDA"/>
    <w:rsid w:val="00141520"/>
    <w:rsid w:val="00141923"/>
    <w:rsid w:val="001419E9"/>
    <w:rsid w:val="00141E9E"/>
    <w:rsid w:val="00142A1A"/>
    <w:rsid w:val="001436B2"/>
    <w:rsid w:val="001438B6"/>
    <w:rsid w:val="00143911"/>
    <w:rsid w:val="00143DAF"/>
    <w:rsid w:val="00144890"/>
    <w:rsid w:val="001448E6"/>
    <w:rsid w:val="001449DA"/>
    <w:rsid w:val="00144A8E"/>
    <w:rsid w:val="00144B79"/>
    <w:rsid w:val="00144E91"/>
    <w:rsid w:val="0014557B"/>
    <w:rsid w:val="0014563E"/>
    <w:rsid w:val="001461CD"/>
    <w:rsid w:val="00146D17"/>
    <w:rsid w:val="00146E17"/>
    <w:rsid w:val="001478FE"/>
    <w:rsid w:val="00147F56"/>
    <w:rsid w:val="00150E0E"/>
    <w:rsid w:val="00150F22"/>
    <w:rsid w:val="001512B4"/>
    <w:rsid w:val="00151BF3"/>
    <w:rsid w:val="00151F2A"/>
    <w:rsid w:val="0015218C"/>
    <w:rsid w:val="001523DC"/>
    <w:rsid w:val="0015284C"/>
    <w:rsid w:val="00152AE6"/>
    <w:rsid w:val="001538BB"/>
    <w:rsid w:val="00153994"/>
    <w:rsid w:val="00153CDE"/>
    <w:rsid w:val="00154044"/>
    <w:rsid w:val="001540E5"/>
    <w:rsid w:val="00154294"/>
    <w:rsid w:val="0015457B"/>
    <w:rsid w:val="00155552"/>
    <w:rsid w:val="00155FA3"/>
    <w:rsid w:val="001563FF"/>
    <w:rsid w:val="0015752A"/>
    <w:rsid w:val="001575B1"/>
    <w:rsid w:val="00157831"/>
    <w:rsid w:val="00157E9A"/>
    <w:rsid w:val="00157EDE"/>
    <w:rsid w:val="00160196"/>
    <w:rsid w:val="00160509"/>
    <w:rsid w:val="00160BA3"/>
    <w:rsid w:val="001610F4"/>
    <w:rsid w:val="00161189"/>
    <w:rsid w:val="001615DC"/>
    <w:rsid w:val="0016170C"/>
    <w:rsid w:val="00161E7E"/>
    <w:rsid w:val="0016215C"/>
    <w:rsid w:val="00162DC8"/>
    <w:rsid w:val="00163688"/>
    <w:rsid w:val="00163A92"/>
    <w:rsid w:val="0016438B"/>
    <w:rsid w:val="0016460D"/>
    <w:rsid w:val="0016488E"/>
    <w:rsid w:val="00164F2F"/>
    <w:rsid w:val="001660CA"/>
    <w:rsid w:val="001661DE"/>
    <w:rsid w:val="001662E3"/>
    <w:rsid w:val="001663E6"/>
    <w:rsid w:val="001666BC"/>
    <w:rsid w:val="00166E8C"/>
    <w:rsid w:val="001672E7"/>
    <w:rsid w:val="001673CD"/>
    <w:rsid w:val="00167F9C"/>
    <w:rsid w:val="00170083"/>
    <w:rsid w:val="00170D97"/>
    <w:rsid w:val="0017112A"/>
    <w:rsid w:val="001712DB"/>
    <w:rsid w:val="00171378"/>
    <w:rsid w:val="001717AE"/>
    <w:rsid w:val="001717EA"/>
    <w:rsid w:val="001719F2"/>
    <w:rsid w:val="00172014"/>
    <w:rsid w:val="00172223"/>
    <w:rsid w:val="00172AC1"/>
    <w:rsid w:val="00172B4A"/>
    <w:rsid w:val="001734DB"/>
    <w:rsid w:val="001738CF"/>
    <w:rsid w:val="00173D45"/>
    <w:rsid w:val="00174216"/>
    <w:rsid w:val="0017426F"/>
    <w:rsid w:val="00174C67"/>
    <w:rsid w:val="00174E5C"/>
    <w:rsid w:val="00174EA3"/>
    <w:rsid w:val="0017546D"/>
    <w:rsid w:val="0017556F"/>
    <w:rsid w:val="0017580B"/>
    <w:rsid w:val="00175AF6"/>
    <w:rsid w:val="0017619F"/>
    <w:rsid w:val="001761B7"/>
    <w:rsid w:val="001763FD"/>
    <w:rsid w:val="001764E9"/>
    <w:rsid w:val="001769C4"/>
    <w:rsid w:val="0017751F"/>
    <w:rsid w:val="0017779C"/>
    <w:rsid w:val="0017780D"/>
    <w:rsid w:val="00180057"/>
    <w:rsid w:val="001800A5"/>
    <w:rsid w:val="00180762"/>
    <w:rsid w:val="001809BA"/>
    <w:rsid w:val="00180CF0"/>
    <w:rsid w:val="00180D3F"/>
    <w:rsid w:val="00181348"/>
    <w:rsid w:val="0018182A"/>
    <w:rsid w:val="00181BF1"/>
    <w:rsid w:val="00181C0D"/>
    <w:rsid w:val="001820EA"/>
    <w:rsid w:val="0018220B"/>
    <w:rsid w:val="001823D4"/>
    <w:rsid w:val="00182530"/>
    <w:rsid w:val="001825A5"/>
    <w:rsid w:val="001825F4"/>
    <w:rsid w:val="0018282F"/>
    <w:rsid w:val="00182B38"/>
    <w:rsid w:val="00182C43"/>
    <w:rsid w:val="00183078"/>
    <w:rsid w:val="001834D8"/>
    <w:rsid w:val="00183D63"/>
    <w:rsid w:val="00183F08"/>
    <w:rsid w:val="001845C0"/>
    <w:rsid w:val="001849C1"/>
    <w:rsid w:val="00184AC5"/>
    <w:rsid w:val="00184B00"/>
    <w:rsid w:val="00184C49"/>
    <w:rsid w:val="001855FB"/>
    <w:rsid w:val="00185B6D"/>
    <w:rsid w:val="00185BFF"/>
    <w:rsid w:val="001860E7"/>
    <w:rsid w:val="0018686E"/>
    <w:rsid w:val="00186B7A"/>
    <w:rsid w:val="001871D8"/>
    <w:rsid w:val="00187499"/>
    <w:rsid w:val="00190139"/>
    <w:rsid w:val="00190721"/>
    <w:rsid w:val="00190914"/>
    <w:rsid w:val="00190B85"/>
    <w:rsid w:val="00190F5F"/>
    <w:rsid w:val="00191308"/>
    <w:rsid w:val="00191338"/>
    <w:rsid w:val="0019137E"/>
    <w:rsid w:val="001918D6"/>
    <w:rsid w:val="00191FAB"/>
    <w:rsid w:val="001927AE"/>
    <w:rsid w:val="00192A23"/>
    <w:rsid w:val="0019315C"/>
    <w:rsid w:val="001935C2"/>
    <w:rsid w:val="001937AD"/>
    <w:rsid w:val="00193CA0"/>
    <w:rsid w:val="00193F64"/>
    <w:rsid w:val="00193FC8"/>
    <w:rsid w:val="001948DF"/>
    <w:rsid w:val="00194C38"/>
    <w:rsid w:val="00194D26"/>
    <w:rsid w:val="00194D6C"/>
    <w:rsid w:val="0019511D"/>
    <w:rsid w:val="00195155"/>
    <w:rsid w:val="00195E83"/>
    <w:rsid w:val="00195F7B"/>
    <w:rsid w:val="00196ADA"/>
    <w:rsid w:val="00197E62"/>
    <w:rsid w:val="001A1373"/>
    <w:rsid w:val="001A1BEB"/>
    <w:rsid w:val="001A1E12"/>
    <w:rsid w:val="001A1F04"/>
    <w:rsid w:val="001A2265"/>
    <w:rsid w:val="001A24DF"/>
    <w:rsid w:val="001A28B3"/>
    <w:rsid w:val="001A2B48"/>
    <w:rsid w:val="001A2BDE"/>
    <w:rsid w:val="001A3151"/>
    <w:rsid w:val="001A3985"/>
    <w:rsid w:val="001A4182"/>
    <w:rsid w:val="001A4808"/>
    <w:rsid w:val="001A486E"/>
    <w:rsid w:val="001A73E2"/>
    <w:rsid w:val="001A7516"/>
    <w:rsid w:val="001A7B6C"/>
    <w:rsid w:val="001B02C7"/>
    <w:rsid w:val="001B057E"/>
    <w:rsid w:val="001B11C6"/>
    <w:rsid w:val="001B139B"/>
    <w:rsid w:val="001B1BF1"/>
    <w:rsid w:val="001B28BE"/>
    <w:rsid w:val="001B2AB8"/>
    <w:rsid w:val="001B34F6"/>
    <w:rsid w:val="001B3584"/>
    <w:rsid w:val="001B43E7"/>
    <w:rsid w:val="001B4F21"/>
    <w:rsid w:val="001B500D"/>
    <w:rsid w:val="001B56FE"/>
    <w:rsid w:val="001B592B"/>
    <w:rsid w:val="001B5DCD"/>
    <w:rsid w:val="001B6DA0"/>
    <w:rsid w:val="001B722A"/>
    <w:rsid w:val="001B75F7"/>
    <w:rsid w:val="001B7AA6"/>
    <w:rsid w:val="001B7CF8"/>
    <w:rsid w:val="001C005D"/>
    <w:rsid w:val="001C0564"/>
    <w:rsid w:val="001C08DA"/>
    <w:rsid w:val="001C08F4"/>
    <w:rsid w:val="001C0B95"/>
    <w:rsid w:val="001C10B7"/>
    <w:rsid w:val="001C122E"/>
    <w:rsid w:val="001C18B9"/>
    <w:rsid w:val="001C1A1B"/>
    <w:rsid w:val="001C1D2C"/>
    <w:rsid w:val="001C217F"/>
    <w:rsid w:val="001C2440"/>
    <w:rsid w:val="001C24FA"/>
    <w:rsid w:val="001C2E5A"/>
    <w:rsid w:val="001C3366"/>
    <w:rsid w:val="001C33BD"/>
    <w:rsid w:val="001C3751"/>
    <w:rsid w:val="001C3B0F"/>
    <w:rsid w:val="001C3B1E"/>
    <w:rsid w:val="001C3DE8"/>
    <w:rsid w:val="001C40E4"/>
    <w:rsid w:val="001C43A8"/>
    <w:rsid w:val="001C43B9"/>
    <w:rsid w:val="001C4564"/>
    <w:rsid w:val="001C4787"/>
    <w:rsid w:val="001C4A92"/>
    <w:rsid w:val="001C55EA"/>
    <w:rsid w:val="001C576E"/>
    <w:rsid w:val="001C5B10"/>
    <w:rsid w:val="001C5FEF"/>
    <w:rsid w:val="001C609A"/>
    <w:rsid w:val="001C614B"/>
    <w:rsid w:val="001C62D0"/>
    <w:rsid w:val="001C6352"/>
    <w:rsid w:val="001C67FB"/>
    <w:rsid w:val="001C727F"/>
    <w:rsid w:val="001C7289"/>
    <w:rsid w:val="001C72E3"/>
    <w:rsid w:val="001C79CD"/>
    <w:rsid w:val="001D014A"/>
    <w:rsid w:val="001D04CB"/>
    <w:rsid w:val="001D0FFC"/>
    <w:rsid w:val="001D1A01"/>
    <w:rsid w:val="001D1DD8"/>
    <w:rsid w:val="001D2F49"/>
    <w:rsid w:val="001D34F1"/>
    <w:rsid w:val="001D3A08"/>
    <w:rsid w:val="001D470E"/>
    <w:rsid w:val="001D4A28"/>
    <w:rsid w:val="001D4BB9"/>
    <w:rsid w:val="001D4C20"/>
    <w:rsid w:val="001D4CE6"/>
    <w:rsid w:val="001D5872"/>
    <w:rsid w:val="001D6370"/>
    <w:rsid w:val="001D63C0"/>
    <w:rsid w:val="001D69CC"/>
    <w:rsid w:val="001D6AA7"/>
    <w:rsid w:val="001D6EEC"/>
    <w:rsid w:val="001D7632"/>
    <w:rsid w:val="001E0552"/>
    <w:rsid w:val="001E0815"/>
    <w:rsid w:val="001E08E8"/>
    <w:rsid w:val="001E0C6B"/>
    <w:rsid w:val="001E0CCC"/>
    <w:rsid w:val="001E135D"/>
    <w:rsid w:val="001E13EA"/>
    <w:rsid w:val="001E1A6D"/>
    <w:rsid w:val="001E1D11"/>
    <w:rsid w:val="001E24BE"/>
    <w:rsid w:val="001E2F91"/>
    <w:rsid w:val="001E332B"/>
    <w:rsid w:val="001E3FC4"/>
    <w:rsid w:val="001E4C1C"/>
    <w:rsid w:val="001E4FE2"/>
    <w:rsid w:val="001E5258"/>
    <w:rsid w:val="001E52C9"/>
    <w:rsid w:val="001E5AD5"/>
    <w:rsid w:val="001E5D1C"/>
    <w:rsid w:val="001E5EA4"/>
    <w:rsid w:val="001E6479"/>
    <w:rsid w:val="001E6706"/>
    <w:rsid w:val="001E67EE"/>
    <w:rsid w:val="001E688D"/>
    <w:rsid w:val="001E696F"/>
    <w:rsid w:val="001E6E39"/>
    <w:rsid w:val="001E6F94"/>
    <w:rsid w:val="001E7979"/>
    <w:rsid w:val="001E7E1B"/>
    <w:rsid w:val="001F0675"/>
    <w:rsid w:val="001F0C03"/>
    <w:rsid w:val="001F172E"/>
    <w:rsid w:val="001F17A4"/>
    <w:rsid w:val="001F186B"/>
    <w:rsid w:val="001F1B48"/>
    <w:rsid w:val="001F1D3C"/>
    <w:rsid w:val="001F2D4F"/>
    <w:rsid w:val="001F333C"/>
    <w:rsid w:val="001F3421"/>
    <w:rsid w:val="001F3FAD"/>
    <w:rsid w:val="001F4020"/>
    <w:rsid w:val="001F40D3"/>
    <w:rsid w:val="001F4162"/>
    <w:rsid w:val="001F419C"/>
    <w:rsid w:val="001F42C7"/>
    <w:rsid w:val="001F44A7"/>
    <w:rsid w:val="001F4637"/>
    <w:rsid w:val="001F46D4"/>
    <w:rsid w:val="001F52F6"/>
    <w:rsid w:val="001F57F9"/>
    <w:rsid w:val="001F5941"/>
    <w:rsid w:val="001F617C"/>
    <w:rsid w:val="001F6370"/>
    <w:rsid w:val="001F63C9"/>
    <w:rsid w:val="001F6D32"/>
    <w:rsid w:val="001F7A34"/>
    <w:rsid w:val="001F7B72"/>
    <w:rsid w:val="00200656"/>
    <w:rsid w:val="00200F9B"/>
    <w:rsid w:val="0020108B"/>
    <w:rsid w:val="00201356"/>
    <w:rsid w:val="0020143F"/>
    <w:rsid w:val="002014EA"/>
    <w:rsid w:val="002017AA"/>
    <w:rsid w:val="00201C4C"/>
    <w:rsid w:val="00201C4E"/>
    <w:rsid w:val="00201D45"/>
    <w:rsid w:val="00201E4B"/>
    <w:rsid w:val="002021F3"/>
    <w:rsid w:val="00202397"/>
    <w:rsid w:val="00203280"/>
    <w:rsid w:val="00203962"/>
    <w:rsid w:val="00204980"/>
    <w:rsid w:val="00204B48"/>
    <w:rsid w:val="00204C5E"/>
    <w:rsid w:val="00207047"/>
    <w:rsid w:val="002070D1"/>
    <w:rsid w:val="002072B4"/>
    <w:rsid w:val="00207509"/>
    <w:rsid w:val="002077F8"/>
    <w:rsid w:val="002078A1"/>
    <w:rsid w:val="002078F9"/>
    <w:rsid w:val="0020797A"/>
    <w:rsid w:val="00207B39"/>
    <w:rsid w:val="00207B50"/>
    <w:rsid w:val="00207C23"/>
    <w:rsid w:val="00210610"/>
    <w:rsid w:val="002109E4"/>
    <w:rsid w:val="0021197A"/>
    <w:rsid w:val="00211D24"/>
    <w:rsid w:val="002126AC"/>
    <w:rsid w:val="00212BA0"/>
    <w:rsid w:val="00212EF2"/>
    <w:rsid w:val="0021326E"/>
    <w:rsid w:val="0021335D"/>
    <w:rsid w:val="002135A0"/>
    <w:rsid w:val="00213704"/>
    <w:rsid w:val="00214EAA"/>
    <w:rsid w:val="00214F92"/>
    <w:rsid w:val="00215207"/>
    <w:rsid w:val="00215555"/>
    <w:rsid w:val="0021559F"/>
    <w:rsid w:val="00217591"/>
    <w:rsid w:val="002175E8"/>
    <w:rsid w:val="002201F5"/>
    <w:rsid w:val="0022021B"/>
    <w:rsid w:val="002211F8"/>
    <w:rsid w:val="0022120A"/>
    <w:rsid w:val="00221C4A"/>
    <w:rsid w:val="00221E75"/>
    <w:rsid w:val="002227FF"/>
    <w:rsid w:val="00222A19"/>
    <w:rsid w:val="00222BBE"/>
    <w:rsid w:val="002233AD"/>
    <w:rsid w:val="00223567"/>
    <w:rsid w:val="0022366D"/>
    <w:rsid w:val="00223DAB"/>
    <w:rsid w:val="00223E72"/>
    <w:rsid w:val="00224417"/>
    <w:rsid w:val="00224648"/>
    <w:rsid w:val="00224E90"/>
    <w:rsid w:val="00225188"/>
    <w:rsid w:val="002257F2"/>
    <w:rsid w:val="00225BCB"/>
    <w:rsid w:val="002260CB"/>
    <w:rsid w:val="00226311"/>
    <w:rsid w:val="00226669"/>
    <w:rsid w:val="00226907"/>
    <w:rsid w:val="00227404"/>
    <w:rsid w:val="00227565"/>
    <w:rsid w:val="00227C5A"/>
    <w:rsid w:val="00227D00"/>
    <w:rsid w:val="00227D59"/>
    <w:rsid w:val="00227E99"/>
    <w:rsid w:val="00227FC6"/>
    <w:rsid w:val="0023026E"/>
    <w:rsid w:val="00230643"/>
    <w:rsid w:val="00231023"/>
    <w:rsid w:val="0023180C"/>
    <w:rsid w:val="0023186C"/>
    <w:rsid w:val="0023198D"/>
    <w:rsid w:val="00231B4A"/>
    <w:rsid w:val="00232623"/>
    <w:rsid w:val="00232BC5"/>
    <w:rsid w:val="00232E48"/>
    <w:rsid w:val="00233288"/>
    <w:rsid w:val="002332E6"/>
    <w:rsid w:val="00234425"/>
    <w:rsid w:val="00234FD2"/>
    <w:rsid w:val="00235432"/>
    <w:rsid w:val="002359FB"/>
    <w:rsid w:val="00235A91"/>
    <w:rsid w:val="00235E4B"/>
    <w:rsid w:val="002366DF"/>
    <w:rsid w:val="002366F2"/>
    <w:rsid w:val="002372A8"/>
    <w:rsid w:val="00240738"/>
    <w:rsid w:val="002407F4"/>
    <w:rsid w:val="00240DAC"/>
    <w:rsid w:val="002410FA"/>
    <w:rsid w:val="002414C2"/>
    <w:rsid w:val="00241879"/>
    <w:rsid w:val="00241A1E"/>
    <w:rsid w:val="002421A7"/>
    <w:rsid w:val="0024355C"/>
    <w:rsid w:val="0024390E"/>
    <w:rsid w:val="00244526"/>
    <w:rsid w:val="00244AC9"/>
    <w:rsid w:val="00244DE1"/>
    <w:rsid w:val="00244E9B"/>
    <w:rsid w:val="002450A6"/>
    <w:rsid w:val="00245118"/>
    <w:rsid w:val="002451DD"/>
    <w:rsid w:val="00245DDE"/>
    <w:rsid w:val="002462B5"/>
    <w:rsid w:val="00246880"/>
    <w:rsid w:val="00246BD8"/>
    <w:rsid w:val="00246F48"/>
    <w:rsid w:val="002475E0"/>
    <w:rsid w:val="002478C0"/>
    <w:rsid w:val="00247BB6"/>
    <w:rsid w:val="00247E25"/>
    <w:rsid w:val="00250472"/>
    <w:rsid w:val="0025157C"/>
    <w:rsid w:val="00251E04"/>
    <w:rsid w:val="00251E18"/>
    <w:rsid w:val="00252AD9"/>
    <w:rsid w:val="002532A2"/>
    <w:rsid w:val="0025366A"/>
    <w:rsid w:val="00253A11"/>
    <w:rsid w:val="00253D73"/>
    <w:rsid w:val="00253F17"/>
    <w:rsid w:val="00254381"/>
    <w:rsid w:val="002546A0"/>
    <w:rsid w:val="00254AAB"/>
    <w:rsid w:val="002557CB"/>
    <w:rsid w:val="002557D2"/>
    <w:rsid w:val="00255A1D"/>
    <w:rsid w:val="002563C3"/>
    <w:rsid w:val="002564F3"/>
    <w:rsid w:val="0025664D"/>
    <w:rsid w:val="00257988"/>
    <w:rsid w:val="00257B6E"/>
    <w:rsid w:val="0026041F"/>
    <w:rsid w:val="002606E9"/>
    <w:rsid w:val="0026138B"/>
    <w:rsid w:val="00261580"/>
    <w:rsid w:val="00261A6D"/>
    <w:rsid w:val="00262209"/>
    <w:rsid w:val="00262676"/>
    <w:rsid w:val="00262BC9"/>
    <w:rsid w:val="00262D31"/>
    <w:rsid w:val="00262E79"/>
    <w:rsid w:val="00262F4D"/>
    <w:rsid w:val="0026360F"/>
    <w:rsid w:val="0026439F"/>
    <w:rsid w:val="002645AD"/>
    <w:rsid w:val="00264DFC"/>
    <w:rsid w:val="00265303"/>
    <w:rsid w:val="00265837"/>
    <w:rsid w:val="00265A2B"/>
    <w:rsid w:val="00265AB0"/>
    <w:rsid w:val="00266305"/>
    <w:rsid w:val="00266DA3"/>
    <w:rsid w:val="00266DAC"/>
    <w:rsid w:val="002671BF"/>
    <w:rsid w:val="00267354"/>
    <w:rsid w:val="00267403"/>
    <w:rsid w:val="002674DD"/>
    <w:rsid w:val="00267641"/>
    <w:rsid w:val="00270484"/>
    <w:rsid w:val="002706BF"/>
    <w:rsid w:val="00271524"/>
    <w:rsid w:val="0027216D"/>
    <w:rsid w:val="00272362"/>
    <w:rsid w:val="002723A0"/>
    <w:rsid w:val="002724BA"/>
    <w:rsid w:val="002726F1"/>
    <w:rsid w:val="00272844"/>
    <w:rsid w:val="002728ED"/>
    <w:rsid w:val="00272BE3"/>
    <w:rsid w:val="00273177"/>
    <w:rsid w:val="0027338E"/>
    <w:rsid w:val="00273808"/>
    <w:rsid w:val="00273F0F"/>
    <w:rsid w:val="002742E2"/>
    <w:rsid w:val="002745A8"/>
    <w:rsid w:val="00274695"/>
    <w:rsid w:val="002751D3"/>
    <w:rsid w:val="002755B8"/>
    <w:rsid w:val="00275932"/>
    <w:rsid w:val="00275EC7"/>
    <w:rsid w:val="00276320"/>
    <w:rsid w:val="00276A4E"/>
    <w:rsid w:val="00276F8E"/>
    <w:rsid w:val="00277025"/>
    <w:rsid w:val="002772AA"/>
    <w:rsid w:val="00280035"/>
    <w:rsid w:val="002806D2"/>
    <w:rsid w:val="00280BA6"/>
    <w:rsid w:val="00281237"/>
    <w:rsid w:val="002819F0"/>
    <w:rsid w:val="00281E85"/>
    <w:rsid w:val="00281F55"/>
    <w:rsid w:val="002820F7"/>
    <w:rsid w:val="00282497"/>
    <w:rsid w:val="002825FC"/>
    <w:rsid w:val="00282852"/>
    <w:rsid w:val="00282D7C"/>
    <w:rsid w:val="0028334C"/>
    <w:rsid w:val="002837D7"/>
    <w:rsid w:val="00283EEF"/>
    <w:rsid w:val="0028419F"/>
    <w:rsid w:val="00284B0E"/>
    <w:rsid w:val="00284F1D"/>
    <w:rsid w:val="0028572B"/>
    <w:rsid w:val="00285AE3"/>
    <w:rsid w:val="00285EDD"/>
    <w:rsid w:val="00285F35"/>
    <w:rsid w:val="002861C2"/>
    <w:rsid w:val="0028744A"/>
    <w:rsid w:val="002874D6"/>
    <w:rsid w:val="00287AF5"/>
    <w:rsid w:val="002900D6"/>
    <w:rsid w:val="00290F0E"/>
    <w:rsid w:val="00291779"/>
    <w:rsid w:val="002918DE"/>
    <w:rsid w:val="00291E98"/>
    <w:rsid w:val="00292557"/>
    <w:rsid w:val="002927F5"/>
    <w:rsid w:val="00293583"/>
    <w:rsid w:val="002936EA"/>
    <w:rsid w:val="00293826"/>
    <w:rsid w:val="00293C56"/>
    <w:rsid w:val="002941E3"/>
    <w:rsid w:val="00294374"/>
    <w:rsid w:val="00294491"/>
    <w:rsid w:val="00295456"/>
    <w:rsid w:val="00295464"/>
    <w:rsid w:val="0029551E"/>
    <w:rsid w:val="002956AF"/>
    <w:rsid w:val="00295788"/>
    <w:rsid w:val="00295AD4"/>
    <w:rsid w:val="00296212"/>
    <w:rsid w:val="002966CA"/>
    <w:rsid w:val="002967DE"/>
    <w:rsid w:val="002969F8"/>
    <w:rsid w:val="00297115"/>
    <w:rsid w:val="0029738E"/>
    <w:rsid w:val="0029740B"/>
    <w:rsid w:val="00297609"/>
    <w:rsid w:val="002976AD"/>
    <w:rsid w:val="002A1001"/>
    <w:rsid w:val="002A12F8"/>
    <w:rsid w:val="002A1427"/>
    <w:rsid w:val="002A18EF"/>
    <w:rsid w:val="002A24EB"/>
    <w:rsid w:val="002A25A6"/>
    <w:rsid w:val="002A2718"/>
    <w:rsid w:val="002A2C5A"/>
    <w:rsid w:val="002A32B9"/>
    <w:rsid w:val="002A3705"/>
    <w:rsid w:val="002A3BF9"/>
    <w:rsid w:val="002A472C"/>
    <w:rsid w:val="002A4FCF"/>
    <w:rsid w:val="002A5419"/>
    <w:rsid w:val="002A5632"/>
    <w:rsid w:val="002A56B3"/>
    <w:rsid w:val="002A5DCF"/>
    <w:rsid w:val="002A665C"/>
    <w:rsid w:val="002A66AC"/>
    <w:rsid w:val="002A68E0"/>
    <w:rsid w:val="002A6D7C"/>
    <w:rsid w:val="002A6DFD"/>
    <w:rsid w:val="002A7BF5"/>
    <w:rsid w:val="002B0529"/>
    <w:rsid w:val="002B0699"/>
    <w:rsid w:val="002B0793"/>
    <w:rsid w:val="002B0CE7"/>
    <w:rsid w:val="002B110F"/>
    <w:rsid w:val="002B1A95"/>
    <w:rsid w:val="002B1D3D"/>
    <w:rsid w:val="002B21DF"/>
    <w:rsid w:val="002B2260"/>
    <w:rsid w:val="002B24BC"/>
    <w:rsid w:val="002B277D"/>
    <w:rsid w:val="002B2F05"/>
    <w:rsid w:val="002B3723"/>
    <w:rsid w:val="002B3A1A"/>
    <w:rsid w:val="002B3B23"/>
    <w:rsid w:val="002B3DA1"/>
    <w:rsid w:val="002B4AFF"/>
    <w:rsid w:val="002B4CC8"/>
    <w:rsid w:val="002B502F"/>
    <w:rsid w:val="002B5093"/>
    <w:rsid w:val="002B515E"/>
    <w:rsid w:val="002B519B"/>
    <w:rsid w:val="002B5471"/>
    <w:rsid w:val="002B5C1D"/>
    <w:rsid w:val="002B5E32"/>
    <w:rsid w:val="002B5E9E"/>
    <w:rsid w:val="002B5F26"/>
    <w:rsid w:val="002B6010"/>
    <w:rsid w:val="002B613A"/>
    <w:rsid w:val="002B61CB"/>
    <w:rsid w:val="002B69CC"/>
    <w:rsid w:val="002B72BD"/>
    <w:rsid w:val="002B732F"/>
    <w:rsid w:val="002B773B"/>
    <w:rsid w:val="002B77E7"/>
    <w:rsid w:val="002C0C8D"/>
    <w:rsid w:val="002C0D6A"/>
    <w:rsid w:val="002C11CD"/>
    <w:rsid w:val="002C135B"/>
    <w:rsid w:val="002C14EA"/>
    <w:rsid w:val="002C17F3"/>
    <w:rsid w:val="002C180F"/>
    <w:rsid w:val="002C182D"/>
    <w:rsid w:val="002C1E00"/>
    <w:rsid w:val="002C21A6"/>
    <w:rsid w:val="002C25FB"/>
    <w:rsid w:val="002C3533"/>
    <w:rsid w:val="002C3DAB"/>
    <w:rsid w:val="002C3E53"/>
    <w:rsid w:val="002C4541"/>
    <w:rsid w:val="002C46AE"/>
    <w:rsid w:val="002C493A"/>
    <w:rsid w:val="002C4B8F"/>
    <w:rsid w:val="002C511C"/>
    <w:rsid w:val="002C5229"/>
    <w:rsid w:val="002C5726"/>
    <w:rsid w:val="002C59B7"/>
    <w:rsid w:val="002C5A30"/>
    <w:rsid w:val="002C5FC6"/>
    <w:rsid w:val="002C6229"/>
    <w:rsid w:val="002C6241"/>
    <w:rsid w:val="002C6D47"/>
    <w:rsid w:val="002C7311"/>
    <w:rsid w:val="002D02D6"/>
    <w:rsid w:val="002D0846"/>
    <w:rsid w:val="002D0A1D"/>
    <w:rsid w:val="002D0C6A"/>
    <w:rsid w:val="002D0CAC"/>
    <w:rsid w:val="002D116D"/>
    <w:rsid w:val="002D140A"/>
    <w:rsid w:val="002D16F7"/>
    <w:rsid w:val="002D19CD"/>
    <w:rsid w:val="002D1EBD"/>
    <w:rsid w:val="002D2601"/>
    <w:rsid w:val="002D277B"/>
    <w:rsid w:val="002D293F"/>
    <w:rsid w:val="002D2F81"/>
    <w:rsid w:val="002D3030"/>
    <w:rsid w:val="002D3051"/>
    <w:rsid w:val="002D3482"/>
    <w:rsid w:val="002D362A"/>
    <w:rsid w:val="002D3847"/>
    <w:rsid w:val="002D3BBE"/>
    <w:rsid w:val="002D3C26"/>
    <w:rsid w:val="002D3C6D"/>
    <w:rsid w:val="002D4474"/>
    <w:rsid w:val="002D4AF8"/>
    <w:rsid w:val="002D4C31"/>
    <w:rsid w:val="002D4FC0"/>
    <w:rsid w:val="002D4FDB"/>
    <w:rsid w:val="002D5349"/>
    <w:rsid w:val="002D57AC"/>
    <w:rsid w:val="002D5DC4"/>
    <w:rsid w:val="002D6079"/>
    <w:rsid w:val="002D68CE"/>
    <w:rsid w:val="002D7502"/>
    <w:rsid w:val="002D7BA2"/>
    <w:rsid w:val="002E03D1"/>
    <w:rsid w:val="002E071B"/>
    <w:rsid w:val="002E0893"/>
    <w:rsid w:val="002E0CB3"/>
    <w:rsid w:val="002E0D33"/>
    <w:rsid w:val="002E0DC3"/>
    <w:rsid w:val="002E15A4"/>
    <w:rsid w:val="002E18CD"/>
    <w:rsid w:val="002E196C"/>
    <w:rsid w:val="002E1BE6"/>
    <w:rsid w:val="002E1D04"/>
    <w:rsid w:val="002E23CE"/>
    <w:rsid w:val="002E2C03"/>
    <w:rsid w:val="002E45C2"/>
    <w:rsid w:val="002E4C29"/>
    <w:rsid w:val="002E4DAE"/>
    <w:rsid w:val="002E4F49"/>
    <w:rsid w:val="002E524B"/>
    <w:rsid w:val="002E5B3F"/>
    <w:rsid w:val="002E5E6B"/>
    <w:rsid w:val="002E6224"/>
    <w:rsid w:val="002E6407"/>
    <w:rsid w:val="002E66FB"/>
    <w:rsid w:val="002E6A13"/>
    <w:rsid w:val="002E6B22"/>
    <w:rsid w:val="002E6C28"/>
    <w:rsid w:val="002E6DD0"/>
    <w:rsid w:val="002E6FEB"/>
    <w:rsid w:val="002E7079"/>
    <w:rsid w:val="002E7363"/>
    <w:rsid w:val="002E7693"/>
    <w:rsid w:val="002E7773"/>
    <w:rsid w:val="002E7A87"/>
    <w:rsid w:val="002E7BF9"/>
    <w:rsid w:val="002F032B"/>
    <w:rsid w:val="002F0641"/>
    <w:rsid w:val="002F067D"/>
    <w:rsid w:val="002F068E"/>
    <w:rsid w:val="002F079F"/>
    <w:rsid w:val="002F0960"/>
    <w:rsid w:val="002F0971"/>
    <w:rsid w:val="002F0C7A"/>
    <w:rsid w:val="002F127B"/>
    <w:rsid w:val="002F1375"/>
    <w:rsid w:val="002F14AE"/>
    <w:rsid w:val="002F1C4D"/>
    <w:rsid w:val="002F1FEC"/>
    <w:rsid w:val="002F20B8"/>
    <w:rsid w:val="002F2521"/>
    <w:rsid w:val="002F252A"/>
    <w:rsid w:val="002F2AD3"/>
    <w:rsid w:val="002F2AEB"/>
    <w:rsid w:val="002F3A5B"/>
    <w:rsid w:val="002F3A76"/>
    <w:rsid w:val="002F3A88"/>
    <w:rsid w:val="002F3A8E"/>
    <w:rsid w:val="002F4C8F"/>
    <w:rsid w:val="002F4D11"/>
    <w:rsid w:val="002F5161"/>
    <w:rsid w:val="002F58FB"/>
    <w:rsid w:val="002F5A73"/>
    <w:rsid w:val="002F5C05"/>
    <w:rsid w:val="002F669D"/>
    <w:rsid w:val="002F6A90"/>
    <w:rsid w:val="002F6B21"/>
    <w:rsid w:val="002F702E"/>
    <w:rsid w:val="002F771E"/>
    <w:rsid w:val="002F7D8F"/>
    <w:rsid w:val="00300716"/>
    <w:rsid w:val="00300C86"/>
    <w:rsid w:val="003010BD"/>
    <w:rsid w:val="00301420"/>
    <w:rsid w:val="00301636"/>
    <w:rsid w:val="00301AA4"/>
    <w:rsid w:val="00301D4C"/>
    <w:rsid w:val="00302342"/>
    <w:rsid w:val="00302493"/>
    <w:rsid w:val="00302737"/>
    <w:rsid w:val="00302BFD"/>
    <w:rsid w:val="00302F79"/>
    <w:rsid w:val="00303FD7"/>
    <w:rsid w:val="003043A5"/>
    <w:rsid w:val="00304B95"/>
    <w:rsid w:val="00304C25"/>
    <w:rsid w:val="00304C48"/>
    <w:rsid w:val="00304CB5"/>
    <w:rsid w:val="00305407"/>
    <w:rsid w:val="00305415"/>
    <w:rsid w:val="0030555E"/>
    <w:rsid w:val="0030694C"/>
    <w:rsid w:val="00306BA3"/>
    <w:rsid w:val="00306D84"/>
    <w:rsid w:val="00306DEE"/>
    <w:rsid w:val="0030759A"/>
    <w:rsid w:val="00307839"/>
    <w:rsid w:val="003109BC"/>
    <w:rsid w:val="00310B91"/>
    <w:rsid w:val="0031103B"/>
    <w:rsid w:val="00311212"/>
    <w:rsid w:val="00311269"/>
    <w:rsid w:val="0031159D"/>
    <w:rsid w:val="0031173B"/>
    <w:rsid w:val="00311BAB"/>
    <w:rsid w:val="00312ACF"/>
    <w:rsid w:val="00312BF1"/>
    <w:rsid w:val="00312C14"/>
    <w:rsid w:val="00313C9E"/>
    <w:rsid w:val="0031472C"/>
    <w:rsid w:val="003150FF"/>
    <w:rsid w:val="00315263"/>
    <w:rsid w:val="00315D35"/>
    <w:rsid w:val="00315EC1"/>
    <w:rsid w:val="00316261"/>
    <w:rsid w:val="0031673A"/>
    <w:rsid w:val="00317D80"/>
    <w:rsid w:val="00320981"/>
    <w:rsid w:val="00320B17"/>
    <w:rsid w:val="00320CC9"/>
    <w:rsid w:val="00321275"/>
    <w:rsid w:val="003216AA"/>
    <w:rsid w:val="00321CC7"/>
    <w:rsid w:val="00322607"/>
    <w:rsid w:val="0032284C"/>
    <w:rsid w:val="00322925"/>
    <w:rsid w:val="00322AA2"/>
    <w:rsid w:val="0032380F"/>
    <w:rsid w:val="00323A9A"/>
    <w:rsid w:val="00323D03"/>
    <w:rsid w:val="003240CA"/>
    <w:rsid w:val="00324132"/>
    <w:rsid w:val="00324579"/>
    <w:rsid w:val="00324611"/>
    <w:rsid w:val="00324949"/>
    <w:rsid w:val="00324C4E"/>
    <w:rsid w:val="003250A5"/>
    <w:rsid w:val="0032536D"/>
    <w:rsid w:val="0032554F"/>
    <w:rsid w:val="00325A5D"/>
    <w:rsid w:val="00325CBD"/>
    <w:rsid w:val="0032691C"/>
    <w:rsid w:val="00326A37"/>
    <w:rsid w:val="00326AFD"/>
    <w:rsid w:val="00326FAD"/>
    <w:rsid w:val="00327628"/>
    <w:rsid w:val="00327A69"/>
    <w:rsid w:val="00327E48"/>
    <w:rsid w:val="00330E68"/>
    <w:rsid w:val="00330ED7"/>
    <w:rsid w:val="00331065"/>
    <w:rsid w:val="003311A0"/>
    <w:rsid w:val="00331263"/>
    <w:rsid w:val="003312AF"/>
    <w:rsid w:val="0033148D"/>
    <w:rsid w:val="00331901"/>
    <w:rsid w:val="00332206"/>
    <w:rsid w:val="00332729"/>
    <w:rsid w:val="00332A69"/>
    <w:rsid w:val="00332D31"/>
    <w:rsid w:val="0033305F"/>
    <w:rsid w:val="003338BF"/>
    <w:rsid w:val="00333D21"/>
    <w:rsid w:val="00333F76"/>
    <w:rsid w:val="00334528"/>
    <w:rsid w:val="003348DE"/>
    <w:rsid w:val="00334B9D"/>
    <w:rsid w:val="00334EAF"/>
    <w:rsid w:val="00335059"/>
    <w:rsid w:val="00335955"/>
    <w:rsid w:val="00336273"/>
    <w:rsid w:val="00336A21"/>
    <w:rsid w:val="00337031"/>
    <w:rsid w:val="0033756B"/>
    <w:rsid w:val="003405BF"/>
    <w:rsid w:val="00340687"/>
    <w:rsid w:val="00340719"/>
    <w:rsid w:val="00340DB7"/>
    <w:rsid w:val="003412AE"/>
    <w:rsid w:val="00341630"/>
    <w:rsid w:val="0034169E"/>
    <w:rsid w:val="0034189C"/>
    <w:rsid w:val="00341B08"/>
    <w:rsid w:val="00342FD4"/>
    <w:rsid w:val="00343139"/>
    <w:rsid w:val="003431DB"/>
    <w:rsid w:val="003434F2"/>
    <w:rsid w:val="00343786"/>
    <w:rsid w:val="00343789"/>
    <w:rsid w:val="003437DA"/>
    <w:rsid w:val="00343A71"/>
    <w:rsid w:val="00344043"/>
    <w:rsid w:val="0034429D"/>
    <w:rsid w:val="003443D3"/>
    <w:rsid w:val="00344610"/>
    <w:rsid w:val="003449F8"/>
    <w:rsid w:val="00344C56"/>
    <w:rsid w:val="00344F93"/>
    <w:rsid w:val="00345273"/>
    <w:rsid w:val="003457BA"/>
    <w:rsid w:val="00345E40"/>
    <w:rsid w:val="00345E89"/>
    <w:rsid w:val="003465D0"/>
    <w:rsid w:val="00346A60"/>
    <w:rsid w:val="00346C7A"/>
    <w:rsid w:val="00346DE8"/>
    <w:rsid w:val="00347667"/>
    <w:rsid w:val="003476C8"/>
    <w:rsid w:val="00347B09"/>
    <w:rsid w:val="00347C7C"/>
    <w:rsid w:val="00350351"/>
    <w:rsid w:val="00351394"/>
    <w:rsid w:val="003519CB"/>
    <w:rsid w:val="00352145"/>
    <w:rsid w:val="003523B4"/>
    <w:rsid w:val="00352632"/>
    <w:rsid w:val="00352D34"/>
    <w:rsid w:val="00352F4D"/>
    <w:rsid w:val="0035368C"/>
    <w:rsid w:val="00353978"/>
    <w:rsid w:val="00353A74"/>
    <w:rsid w:val="00353FA9"/>
    <w:rsid w:val="00354577"/>
    <w:rsid w:val="003547B4"/>
    <w:rsid w:val="00354B30"/>
    <w:rsid w:val="00354D6A"/>
    <w:rsid w:val="00355039"/>
    <w:rsid w:val="0035605C"/>
    <w:rsid w:val="003561BC"/>
    <w:rsid w:val="00356426"/>
    <w:rsid w:val="0035643A"/>
    <w:rsid w:val="00356922"/>
    <w:rsid w:val="003576D6"/>
    <w:rsid w:val="00357C12"/>
    <w:rsid w:val="00360E05"/>
    <w:rsid w:val="0036105A"/>
    <w:rsid w:val="0036136A"/>
    <w:rsid w:val="003613DC"/>
    <w:rsid w:val="00361754"/>
    <w:rsid w:val="003618D2"/>
    <w:rsid w:val="00361A6F"/>
    <w:rsid w:val="00361B12"/>
    <w:rsid w:val="00362783"/>
    <w:rsid w:val="00362FA6"/>
    <w:rsid w:val="00363159"/>
    <w:rsid w:val="003632F1"/>
    <w:rsid w:val="00363379"/>
    <w:rsid w:val="00363793"/>
    <w:rsid w:val="003637E6"/>
    <w:rsid w:val="00363ADA"/>
    <w:rsid w:val="00364235"/>
    <w:rsid w:val="003647C0"/>
    <w:rsid w:val="00364DC3"/>
    <w:rsid w:val="0036519B"/>
    <w:rsid w:val="00365241"/>
    <w:rsid w:val="00365272"/>
    <w:rsid w:val="0036555D"/>
    <w:rsid w:val="00365679"/>
    <w:rsid w:val="003658B0"/>
    <w:rsid w:val="00365B3F"/>
    <w:rsid w:val="00365F23"/>
    <w:rsid w:val="00366382"/>
    <w:rsid w:val="00366584"/>
    <w:rsid w:val="00367298"/>
    <w:rsid w:val="00367312"/>
    <w:rsid w:val="003673F3"/>
    <w:rsid w:val="0036745C"/>
    <w:rsid w:val="00367B7A"/>
    <w:rsid w:val="00367BE2"/>
    <w:rsid w:val="00367F14"/>
    <w:rsid w:val="003701A6"/>
    <w:rsid w:val="003701B0"/>
    <w:rsid w:val="00370637"/>
    <w:rsid w:val="00370860"/>
    <w:rsid w:val="00370F50"/>
    <w:rsid w:val="003712CA"/>
    <w:rsid w:val="00371B17"/>
    <w:rsid w:val="003722FA"/>
    <w:rsid w:val="003727AD"/>
    <w:rsid w:val="00372B91"/>
    <w:rsid w:val="003730A8"/>
    <w:rsid w:val="0037326F"/>
    <w:rsid w:val="0037327B"/>
    <w:rsid w:val="00373535"/>
    <w:rsid w:val="0037391B"/>
    <w:rsid w:val="00373CAE"/>
    <w:rsid w:val="00374233"/>
    <w:rsid w:val="00374443"/>
    <w:rsid w:val="00374990"/>
    <w:rsid w:val="00374B55"/>
    <w:rsid w:val="00374EC0"/>
    <w:rsid w:val="0037526B"/>
    <w:rsid w:val="003763E0"/>
    <w:rsid w:val="0037663F"/>
    <w:rsid w:val="00376AE0"/>
    <w:rsid w:val="00377398"/>
    <w:rsid w:val="0037748B"/>
    <w:rsid w:val="00377538"/>
    <w:rsid w:val="003776D3"/>
    <w:rsid w:val="00377F47"/>
    <w:rsid w:val="00377FE9"/>
    <w:rsid w:val="003802F7"/>
    <w:rsid w:val="003803C7"/>
    <w:rsid w:val="003805FD"/>
    <w:rsid w:val="0038081E"/>
    <w:rsid w:val="003808D2"/>
    <w:rsid w:val="00380A47"/>
    <w:rsid w:val="00380B12"/>
    <w:rsid w:val="00381018"/>
    <w:rsid w:val="0038123E"/>
    <w:rsid w:val="003816F2"/>
    <w:rsid w:val="00381AFF"/>
    <w:rsid w:val="003822BD"/>
    <w:rsid w:val="00383739"/>
    <w:rsid w:val="00383C5F"/>
    <w:rsid w:val="003842C0"/>
    <w:rsid w:val="00384DD0"/>
    <w:rsid w:val="003854B4"/>
    <w:rsid w:val="003859F6"/>
    <w:rsid w:val="003863ED"/>
    <w:rsid w:val="003864EE"/>
    <w:rsid w:val="00386608"/>
    <w:rsid w:val="00386D80"/>
    <w:rsid w:val="00387102"/>
    <w:rsid w:val="00387945"/>
    <w:rsid w:val="00390348"/>
    <w:rsid w:val="00390467"/>
    <w:rsid w:val="003906ED"/>
    <w:rsid w:val="00390B93"/>
    <w:rsid w:val="00390DF9"/>
    <w:rsid w:val="0039154F"/>
    <w:rsid w:val="00391CDD"/>
    <w:rsid w:val="00391F7F"/>
    <w:rsid w:val="00391FB0"/>
    <w:rsid w:val="0039289C"/>
    <w:rsid w:val="00392A93"/>
    <w:rsid w:val="00392A98"/>
    <w:rsid w:val="00392ABC"/>
    <w:rsid w:val="00392D5B"/>
    <w:rsid w:val="00392ECD"/>
    <w:rsid w:val="00393530"/>
    <w:rsid w:val="003941CA"/>
    <w:rsid w:val="00394337"/>
    <w:rsid w:val="003945F4"/>
    <w:rsid w:val="00394650"/>
    <w:rsid w:val="003946AF"/>
    <w:rsid w:val="00394904"/>
    <w:rsid w:val="00394D07"/>
    <w:rsid w:val="0039532F"/>
    <w:rsid w:val="00395CE6"/>
    <w:rsid w:val="00395D67"/>
    <w:rsid w:val="00396268"/>
    <w:rsid w:val="0039630A"/>
    <w:rsid w:val="0039642A"/>
    <w:rsid w:val="003968B5"/>
    <w:rsid w:val="003968F7"/>
    <w:rsid w:val="00396B3E"/>
    <w:rsid w:val="00397AA7"/>
    <w:rsid w:val="00397ABF"/>
    <w:rsid w:val="00397EA6"/>
    <w:rsid w:val="003A00AB"/>
    <w:rsid w:val="003A0920"/>
    <w:rsid w:val="003A0AF0"/>
    <w:rsid w:val="003A0C03"/>
    <w:rsid w:val="003A0CA1"/>
    <w:rsid w:val="003A21A7"/>
    <w:rsid w:val="003A2536"/>
    <w:rsid w:val="003A2706"/>
    <w:rsid w:val="003A2926"/>
    <w:rsid w:val="003A388A"/>
    <w:rsid w:val="003A426E"/>
    <w:rsid w:val="003A4B3A"/>
    <w:rsid w:val="003A4C68"/>
    <w:rsid w:val="003A5601"/>
    <w:rsid w:val="003A5B11"/>
    <w:rsid w:val="003A5C1B"/>
    <w:rsid w:val="003A62C6"/>
    <w:rsid w:val="003A6EF1"/>
    <w:rsid w:val="003A6F14"/>
    <w:rsid w:val="003A733C"/>
    <w:rsid w:val="003A73FA"/>
    <w:rsid w:val="003A76AB"/>
    <w:rsid w:val="003A772A"/>
    <w:rsid w:val="003A7B84"/>
    <w:rsid w:val="003A7F24"/>
    <w:rsid w:val="003B0DC6"/>
    <w:rsid w:val="003B0E25"/>
    <w:rsid w:val="003B154D"/>
    <w:rsid w:val="003B1BB8"/>
    <w:rsid w:val="003B1E22"/>
    <w:rsid w:val="003B1E24"/>
    <w:rsid w:val="003B1F7C"/>
    <w:rsid w:val="003B275B"/>
    <w:rsid w:val="003B3407"/>
    <w:rsid w:val="003B4518"/>
    <w:rsid w:val="003B453F"/>
    <w:rsid w:val="003B4C57"/>
    <w:rsid w:val="003B540D"/>
    <w:rsid w:val="003B5E76"/>
    <w:rsid w:val="003B622A"/>
    <w:rsid w:val="003B6697"/>
    <w:rsid w:val="003B686F"/>
    <w:rsid w:val="003B6907"/>
    <w:rsid w:val="003B6E23"/>
    <w:rsid w:val="003B71A6"/>
    <w:rsid w:val="003B76B3"/>
    <w:rsid w:val="003B7C2A"/>
    <w:rsid w:val="003B7DDC"/>
    <w:rsid w:val="003C042C"/>
    <w:rsid w:val="003C0493"/>
    <w:rsid w:val="003C0F95"/>
    <w:rsid w:val="003C13D7"/>
    <w:rsid w:val="003C1DA6"/>
    <w:rsid w:val="003C2B2F"/>
    <w:rsid w:val="003C2C6A"/>
    <w:rsid w:val="003C3902"/>
    <w:rsid w:val="003C3A9D"/>
    <w:rsid w:val="003C40A0"/>
    <w:rsid w:val="003C42A6"/>
    <w:rsid w:val="003C42FA"/>
    <w:rsid w:val="003C4D4D"/>
    <w:rsid w:val="003C5C45"/>
    <w:rsid w:val="003C5CCF"/>
    <w:rsid w:val="003C613C"/>
    <w:rsid w:val="003C67D8"/>
    <w:rsid w:val="003C6F14"/>
    <w:rsid w:val="003C74B7"/>
    <w:rsid w:val="003D087B"/>
    <w:rsid w:val="003D0903"/>
    <w:rsid w:val="003D0DA5"/>
    <w:rsid w:val="003D0EB8"/>
    <w:rsid w:val="003D1493"/>
    <w:rsid w:val="003D175D"/>
    <w:rsid w:val="003D224C"/>
    <w:rsid w:val="003D2994"/>
    <w:rsid w:val="003D2DAD"/>
    <w:rsid w:val="003D3EFA"/>
    <w:rsid w:val="003D414F"/>
    <w:rsid w:val="003D4199"/>
    <w:rsid w:val="003D4E39"/>
    <w:rsid w:val="003D502D"/>
    <w:rsid w:val="003D5046"/>
    <w:rsid w:val="003D51D6"/>
    <w:rsid w:val="003D5328"/>
    <w:rsid w:val="003D5E14"/>
    <w:rsid w:val="003D6601"/>
    <w:rsid w:val="003D6B80"/>
    <w:rsid w:val="003D758C"/>
    <w:rsid w:val="003D78CE"/>
    <w:rsid w:val="003D7C86"/>
    <w:rsid w:val="003E016D"/>
    <w:rsid w:val="003E035F"/>
    <w:rsid w:val="003E092A"/>
    <w:rsid w:val="003E0B8A"/>
    <w:rsid w:val="003E0B90"/>
    <w:rsid w:val="003E1091"/>
    <w:rsid w:val="003E1496"/>
    <w:rsid w:val="003E1791"/>
    <w:rsid w:val="003E1E1F"/>
    <w:rsid w:val="003E1EB7"/>
    <w:rsid w:val="003E2A21"/>
    <w:rsid w:val="003E2C23"/>
    <w:rsid w:val="003E304A"/>
    <w:rsid w:val="003E34DD"/>
    <w:rsid w:val="003E3A38"/>
    <w:rsid w:val="003E3A3E"/>
    <w:rsid w:val="003E3FB1"/>
    <w:rsid w:val="003E479C"/>
    <w:rsid w:val="003E4E45"/>
    <w:rsid w:val="003E4F1D"/>
    <w:rsid w:val="003E50F7"/>
    <w:rsid w:val="003E57CF"/>
    <w:rsid w:val="003E655C"/>
    <w:rsid w:val="003E69CF"/>
    <w:rsid w:val="003E6DC8"/>
    <w:rsid w:val="003E70F1"/>
    <w:rsid w:val="003E779B"/>
    <w:rsid w:val="003E7BB7"/>
    <w:rsid w:val="003F005E"/>
    <w:rsid w:val="003F02A8"/>
    <w:rsid w:val="003F041D"/>
    <w:rsid w:val="003F0994"/>
    <w:rsid w:val="003F0F32"/>
    <w:rsid w:val="003F17D8"/>
    <w:rsid w:val="003F228B"/>
    <w:rsid w:val="003F2308"/>
    <w:rsid w:val="003F23F2"/>
    <w:rsid w:val="003F2D33"/>
    <w:rsid w:val="003F360B"/>
    <w:rsid w:val="003F36F5"/>
    <w:rsid w:val="003F383B"/>
    <w:rsid w:val="003F3DCE"/>
    <w:rsid w:val="003F3DEC"/>
    <w:rsid w:val="003F3EFA"/>
    <w:rsid w:val="003F44A5"/>
    <w:rsid w:val="003F4580"/>
    <w:rsid w:val="003F4AD6"/>
    <w:rsid w:val="003F4D53"/>
    <w:rsid w:val="003F4E59"/>
    <w:rsid w:val="003F5143"/>
    <w:rsid w:val="003F56A5"/>
    <w:rsid w:val="003F6D9A"/>
    <w:rsid w:val="003F6EA3"/>
    <w:rsid w:val="003F74BB"/>
    <w:rsid w:val="003F7630"/>
    <w:rsid w:val="003F79D9"/>
    <w:rsid w:val="003F7D5B"/>
    <w:rsid w:val="0040019A"/>
    <w:rsid w:val="00400518"/>
    <w:rsid w:val="00400B1D"/>
    <w:rsid w:val="00400D25"/>
    <w:rsid w:val="00400E18"/>
    <w:rsid w:val="00400EA2"/>
    <w:rsid w:val="00400F63"/>
    <w:rsid w:val="00400FD7"/>
    <w:rsid w:val="00401CE8"/>
    <w:rsid w:val="00401D19"/>
    <w:rsid w:val="00401EF8"/>
    <w:rsid w:val="00402178"/>
    <w:rsid w:val="0040239F"/>
    <w:rsid w:val="004028CA"/>
    <w:rsid w:val="00402B87"/>
    <w:rsid w:val="00402F50"/>
    <w:rsid w:val="00402FFE"/>
    <w:rsid w:val="0040330D"/>
    <w:rsid w:val="004037BB"/>
    <w:rsid w:val="00403BE5"/>
    <w:rsid w:val="00403D68"/>
    <w:rsid w:val="0040409C"/>
    <w:rsid w:val="00404149"/>
    <w:rsid w:val="0040499F"/>
    <w:rsid w:val="00404A1F"/>
    <w:rsid w:val="00404FC9"/>
    <w:rsid w:val="0040537D"/>
    <w:rsid w:val="00405665"/>
    <w:rsid w:val="00406ABA"/>
    <w:rsid w:val="00406B0F"/>
    <w:rsid w:val="0040770C"/>
    <w:rsid w:val="00407B79"/>
    <w:rsid w:val="00407C45"/>
    <w:rsid w:val="004102F4"/>
    <w:rsid w:val="004103A3"/>
    <w:rsid w:val="004106B4"/>
    <w:rsid w:val="00410750"/>
    <w:rsid w:val="00410FD6"/>
    <w:rsid w:val="0041171C"/>
    <w:rsid w:val="004119A0"/>
    <w:rsid w:val="00411B5C"/>
    <w:rsid w:val="00411BEA"/>
    <w:rsid w:val="0041207E"/>
    <w:rsid w:val="00412626"/>
    <w:rsid w:val="004127DE"/>
    <w:rsid w:val="00412F75"/>
    <w:rsid w:val="0041304A"/>
    <w:rsid w:val="00413367"/>
    <w:rsid w:val="0041409C"/>
    <w:rsid w:val="004146B5"/>
    <w:rsid w:val="00414A82"/>
    <w:rsid w:val="00415701"/>
    <w:rsid w:val="00415D36"/>
    <w:rsid w:val="00415F76"/>
    <w:rsid w:val="004165CC"/>
    <w:rsid w:val="00416967"/>
    <w:rsid w:val="00417160"/>
    <w:rsid w:val="004172D1"/>
    <w:rsid w:val="004173FE"/>
    <w:rsid w:val="00417589"/>
    <w:rsid w:val="00420D1B"/>
    <w:rsid w:val="00421D4A"/>
    <w:rsid w:val="0042204B"/>
    <w:rsid w:val="0042211E"/>
    <w:rsid w:val="004224C9"/>
    <w:rsid w:val="00423167"/>
    <w:rsid w:val="00423B54"/>
    <w:rsid w:val="00423B90"/>
    <w:rsid w:val="0042437B"/>
    <w:rsid w:val="0042466B"/>
    <w:rsid w:val="00424C3C"/>
    <w:rsid w:val="00424D01"/>
    <w:rsid w:val="00424F2C"/>
    <w:rsid w:val="00425015"/>
    <w:rsid w:val="00425301"/>
    <w:rsid w:val="00425806"/>
    <w:rsid w:val="00425BE3"/>
    <w:rsid w:val="0042641F"/>
    <w:rsid w:val="0042674B"/>
    <w:rsid w:val="00426C92"/>
    <w:rsid w:val="0042700A"/>
    <w:rsid w:val="00427344"/>
    <w:rsid w:val="00427864"/>
    <w:rsid w:val="004300CF"/>
    <w:rsid w:val="00430410"/>
    <w:rsid w:val="00430509"/>
    <w:rsid w:val="00430A78"/>
    <w:rsid w:val="00430D07"/>
    <w:rsid w:val="004316D6"/>
    <w:rsid w:val="00431748"/>
    <w:rsid w:val="00431C2E"/>
    <w:rsid w:val="00431EF9"/>
    <w:rsid w:val="00431F37"/>
    <w:rsid w:val="00432044"/>
    <w:rsid w:val="0043206C"/>
    <w:rsid w:val="004333C1"/>
    <w:rsid w:val="00433AD7"/>
    <w:rsid w:val="00433B9A"/>
    <w:rsid w:val="00433C06"/>
    <w:rsid w:val="00433DDD"/>
    <w:rsid w:val="004340DE"/>
    <w:rsid w:val="004341F8"/>
    <w:rsid w:val="00435308"/>
    <w:rsid w:val="0043536C"/>
    <w:rsid w:val="00435B5A"/>
    <w:rsid w:val="004362C8"/>
    <w:rsid w:val="00436425"/>
    <w:rsid w:val="0043653A"/>
    <w:rsid w:val="00436741"/>
    <w:rsid w:val="00436B11"/>
    <w:rsid w:val="00436DF2"/>
    <w:rsid w:val="00436E4D"/>
    <w:rsid w:val="00436F7F"/>
    <w:rsid w:val="0043739E"/>
    <w:rsid w:val="0043793C"/>
    <w:rsid w:val="00437E69"/>
    <w:rsid w:val="00440514"/>
    <w:rsid w:val="00440659"/>
    <w:rsid w:val="004406F6"/>
    <w:rsid w:val="004409CC"/>
    <w:rsid w:val="00440DA4"/>
    <w:rsid w:val="004410E3"/>
    <w:rsid w:val="00441192"/>
    <w:rsid w:val="004412C4"/>
    <w:rsid w:val="0044147E"/>
    <w:rsid w:val="0044183E"/>
    <w:rsid w:val="00441B67"/>
    <w:rsid w:val="00441B69"/>
    <w:rsid w:val="004423D0"/>
    <w:rsid w:val="0044286D"/>
    <w:rsid w:val="00442C20"/>
    <w:rsid w:val="00443176"/>
    <w:rsid w:val="0044321A"/>
    <w:rsid w:val="004440E0"/>
    <w:rsid w:val="00444177"/>
    <w:rsid w:val="00445104"/>
    <w:rsid w:val="00445443"/>
    <w:rsid w:val="0044574A"/>
    <w:rsid w:val="0044580A"/>
    <w:rsid w:val="00445A86"/>
    <w:rsid w:val="00446948"/>
    <w:rsid w:val="00446D3A"/>
    <w:rsid w:val="004470C8"/>
    <w:rsid w:val="0044777D"/>
    <w:rsid w:val="00447BF4"/>
    <w:rsid w:val="00447DBA"/>
    <w:rsid w:val="0045036F"/>
    <w:rsid w:val="00450B91"/>
    <w:rsid w:val="00450B94"/>
    <w:rsid w:val="00450E6B"/>
    <w:rsid w:val="004517B6"/>
    <w:rsid w:val="00451B50"/>
    <w:rsid w:val="004521CE"/>
    <w:rsid w:val="004524BB"/>
    <w:rsid w:val="00452E7C"/>
    <w:rsid w:val="00453E5B"/>
    <w:rsid w:val="00454134"/>
    <w:rsid w:val="004548B9"/>
    <w:rsid w:val="00455210"/>
    <w:rsid w:val="004556FF"/>
    <w:rsid w:val="00455E4A"/>
    <w:rsid w:val="004571F7"/>
    <w:rsid w:val="0045736A"/>
    <w:rsid w:val="004574D4"/>
    <w:rsid w:val="004577CE"/>
    <w:rsid w:val="004578E0"/>
    <w:rsid w:val="004579CB"/>
    <w:rsid w:val="004603DC"/>
    <w:rsid w:val="00460AD8"/>
    <w:rsid w:val="00460CF8"/>
    <w:rsid w:val="0046107E"/>
    <w:rsid w:val="00461B5F"/>
    <w:rsid w:val="0046294D"/>
    <w:rsid w:val="00463343"/>
    <w:rsid w:val="00464194"/>
    <w:rsid w:val="00464AA4"/>
    <w:rsid w:val="004651CC"/>
    <w:rsid w:val="00465539"/>
    <w:rsid w:val="00465E6B"/>
    <w:rsid w:val="004664D9"/>
    <w:rsid w:val="0046664C"/>
    <w:rsid w:val="004666D4"/>
    <w:rsid w:val="004667E5"/>
    <w:rsid w:val="004671E4"/>
    <w:rsid w:val="004677CF"/>
    <w:rsid w:val="004678EC"/>
    <w:rsid w:val="00467A26"/>
    <w:rsid w:val="004702B5"/>
    <w:rsid w:val="00470A12"/>
    <w:rsid w:val="004712A0"/>
    <w:rsid w:val="00471442"/>
    <w:rsid w:val="004714F8"/>
    <w:rsid w:val="00471CB4"/>
    <w:rsid w:val="00471D0C"/>
    <w:rsid w:val="00471F16"/>
    <w:rsid w:val="004722A9"/>
    <w:rsid w:val="004724D4"/>
    <w:rsid w:val="0047296C"/>
    <w:rsid w:val="00472A62"/>
    <w:rsid w:val="00472C5D"/>
    <w:rsid w:val="00472D6D"/>
    <w:rsid w:val="004738F7"/>
    <w:rsid w:val="0047393B"/>
    <w:rsid w:val="004739E0"/>
    <w:rsid w:val="00473C24"/>
    <w:rsid w:val="00473E5A"/>
    <w:rsid w:val="00474167"/>
    <w:rsid w:val="00474254"/>
    <w:rsid w:val="004747BD"/>
    <w:rsid w:val="004748B8"/>
    <w:rsid w:val="00474B83"/>
    <w:rsid w:val="00474CD4"/>
    <w:rsid w:val="00474D91"/>
    <w:rsid w:val="00475394"/>
    <w:rsid w:val="004754E3"/>
    <w:rsid w:val="00475BA7"/>
    <w:rsid w:val="00475D68"/>
    <w:rsid w:val="00475E2C"/>
    <w:rsid w:val="00475EB8"/>
    <w:rsid w:val="00476241"/>
    <w:rsid w:val="00476465"/>
    <w:rsid w:val="0047656F"/>
    <w:rsid w:val="00476A6B"/>
    <w:rsid w:val="00476DAC"/>
    <w:rsid w:val="0047746E"/>
    <w:rsid w:val="00477A36"/>
    <w:rsid w:val="00480325"/>
    <w:rsid w:val="004810B7"/>
    <w:rsid w:val="004814D3"/>
    <w:rsid w:val="00481551"/>
    <w:rsid w:val="00481DC2"/>
    <w:rsid w:val="00482AAD"/>
    <w:rsid w:val="00483250"/>
    <w:rsid w:val="00483616"/>
    <w:rsid w:val="0048398B"/>
    <w:rsid w:val="00483B1C"/>
    <w:rsid w:val="00483CAA"/>
    <w:rsid w:val="0048444A"/>
    <w:rsid w:val="00484615"/>
    <w:rsid w:val="00484663"/>
    <w:rsid w:val="00485423"/>
    <w:rsid w:val="0048562C"/>
    <w:rsid w:val="0048576D"/>
    <w:rsid w:val="00485928"/>
    <w:rsid w:val="00485B1E"/>
    <w:rsid w:val="0048617F"/>
    <w:rsid w:val="00486188"/>
    <w:rsid w:val="00486393"/>
    <w:rsid w:val="0048640F"/>
    <w:rsid w:val="0048649E"/>
    <w:rsid w:val="00486653"/>
    <w:rsid w:val="00486C91"/>
    <w:rsid w:val="00486D14"/>
    <w:rsid w:val="00487263"/>
    <w:rsid w:val="004874C2"/>
    <w:rsid w:val="00487B07"/>
    <w:rsid w:val="00487B69"/>
    <w:rsid w:val="00487EBE"/>
    <w:rsid w:val="00487F32"/>
    <w:rsid w:val="00490212"/>
    <w:rsid w:val="004902BF"/>
    <w:rsid w:val="00490315"/>
    <w:rsid w:val="00491BB4"/>
    <w:rsid w:val="00491BBD"/>
    <w:rsid w:val="0049219B"/>
    <w:rsid w:val="00492F1E"/>
    <w:rsid w:val="00493DA8"/>
    <w:rsid w:val="00493E6C"/>
    <w:rsid w:val="00493FA5"/>
    <w:rsid w:val="004941CB"/>
    <w:rsid w:val="004942F1"/>
    <w:rsid w:val="004944F0"/>
    <w:rsid w:val="004952C6"/>
    <w:rsid w:val="00495E4B"/>
    <w:rsid w:val="00495E5E"/>
    <w:rsid w:val="0049668E"/>
    <w:rsid w:val="0049771D"/>
    <w:rsid w:val="00497786"/>
    <w:rsid w:val="004977A0"/>
    <w:rsid w:val="00497835"/>
    <w:rsid w:val="00497FA3"/>
    <w:rsid w:val="004A00BC"/>
    <w:rsid w:val="004A04D9"/>
    <w:rsid w:val="004A06B1"/>
    <w:rsid w:val="004A080F"/>
    <w:rsid w:val="004A0F80"/>
    <w:rsid w:val="004A11DA"/>
    <w:rsid w:val="004A1461"/>
    <w:rsid w:val="004A1562"/>
    <w:rsid w:val="004A1944"/>
    <w:rsid w:val="004A1ED2"/>
    <w:rsid w:val="004A2258"/>
    <w:rsid w:val="004A25E7"/>
    <w:rsid w:val="004A29BE"/>
    <w:rsid w:val="004A2B5B"/>
    <w:rsid w:val="004A2B8B"/>
    <w:rsid w:val="004A327A"/>
    <w:rsid w:val="004A353A"/>
    <w:rsid w:val="004A3683"/>
    <w:rsid w:val="004A3B5C"/>
    <w:rsid w:val="004A3C1F"/>
    <w:rsid w:val="004A40C1"/>
    <w:rsid w:val="004A485B"/>
    <w:rsid w:val="004A4B34"/>
    <w:rsid w:val="004A5718"/>
    <w:rsid w:val="004A598B"/>
    <w:rsid w:val="004A5ABC"/>
    <w:rsid w:val="004A5CE2"/>
    <w:rsid w:val="004A6AE4"/>
    <w:rsid w:val="004A6D57"/>
    <w:rsid w:val="004A78D5"/>
    <w:rsid w:val="004B0290"/>
    <w:rsid w:val="004B03FD"/>
    <w:rsid w:val="004B0715"/>
    <w:rsid w:val="004B0D75"/>
    <w:rsid w:val="004B1C1E"/>
    <w:rsid w:val="004B1C52"/>
    <w:rsid w:val="004B1CEB"/>
    <w:rsid w:val="004B240D"/>
    <w:rsid w:val="004B27D7"/>
    <w:rsid w:val="004B2B3D"/>
    <w:rsid w:val="004B33A4"/>
    <w:rsid w:val="004B395E"/>
    <w:rsid w:val="004B45B2"/>
    <w:rsid w:val="004B4E7B"/>
    <w:rsid w:val="004B54F9"/>
    <w:rsid w:val="004B5E31"/>
    <w:rsid w:val="004B61D3"/>
    <w:rsid w:val="004B6324"/>
    <w:rsid w:val="004B6D81"/>
    <w:rsid w:val="004B738E"/>
    <w:rsid w:val="004B7453"/>
    <w:rsid w:val="004B76E7"/>
    <w:rsid w:val="004B794A"/>
    <w:rsid w:val="004B7DE1"/>
    <w:rsid w:val="004B7E6A"/>
    <w:rsid w:val="004C026A"/>
    <w:rsid w:val="004C068B"/>
    <w:rsid w:val="004C0F77"/>
    <w:rsid w:val="004C13D4"/>
    <w:rsid w:val="004C14CF"/>
    <w:rsid w:val="004C162C"/>
    <w:rsid w:val="004C1637"/>
    <w:rsid w:val="004C198B"/>
    <w:rsid w:val="004C1E78"/>
    <w:rsid w:val="004C1FFA"/>
    <w:rsid w:val="004C22B8"/>
    <w:rsid w:val="004C2422"/>
    <w:rsid w:val="004C2A18"/>
    <w:rsid w:val="004C347F"/>
    <w:rsid w:val="004C3569"/>
    <w:rsid w:val="004C36CD"/>
    <w:rsid w:val="004C3F0F"/>
    <w:rsid w:val="004C4054"/>
    <w:rsid w:val="004C40E4"/>
    <w:rsid w:val="004C457D"/>
    <w:rsid w:val="004C4848"/>
    <w:rsid w:val="004C4A7F"/>
    <w:rsid w:val="004C51CF"/>
    <w:rsid w:val="004C51E5"/>
    <w:rsid w:val="004C53C9"/>
    <w:rsid w:val="004C54BD"/>
    <w:rsid w:val="004C5B21"/>
    <w:rsid w:val="004C5BD5"/>
    <w:rsid w:val="004C5C71"/>
    <w:rsid w:val="004C5DFB"/>
    <w:rsid w:val="004C63C6"/>
    <w:rsid w:val="004C6683"/>
    <w:rsid w:val="004C6F37"/>
    <w:rsid w:val="004C7261"/>
    <w:rsid w:val="004C72DC"/>
    <w:rsid w:val="004C7BB0"/>
    <w:rsid w:val="004D02A3"/>
    <w:rsid w:val="004D04E3"/>
    <w:rsid w:val="004D05D9"/>
    <w:rsid w:val="004D1C37"/>
    <w:rsid w:val="004D2118"/>
    <w:rsid w:val="004D25CC"/>
    <w:rsid w:val="004D26EF"/>
    <w:rsid w:val="004D2E70"/>
    <w:rsid w:val="004D34EC"/>
    <w:rsid w:val="004D396E"/>
    <w:rsid w:val="004D3D49"/>
    <w:rsid w:val="004D406F"/>
    <w:rsid w:val="004D4C3A"/>
    <w:rsid w:val="004D4C4D"/>
    <w:rsid w:val="004D5038"/>
    <w:rsid w:val="004D5307"/>
    <w:rsid w:val="004D5339"/>
    <w:rsid w:val="004D635C"/>
    <w:rsid w:val="004D691A"/>
    <w:rsid w:val="004D6CD2"/>
    <w:rsid w:val="004D6CFF"/>
    <w:rsid w:val="004D6E82"/>
    <w:rsid w:val="004D7090"/>
    <w:rsid w:val="004D79CE"/>
    <w:rsid w:val="004D7AE0"/>
    <w:rsid w:val="004E00F3"/>
    <w:rsid w:val="004E0A4A"/>
    <w:rsid w:val="004E0DC8"/>
    <w:rsid w:val="004E173F"/>
    <w:rsid w:val="004E1EE9"/>
    <w:rsid w:val="004E22D4"/>
    <w:rsid w:val="004E233E"/>
    <w:rsid w:val="004E2521"/>
    <w:rsid w:val="004E2781"/>
    <w:rsid w:val="004E375E"/>
    <w:rsid w:val="004E396D"/>
    <w:rsid w:val="004E3F0E"/>
    <w:rsid w:val="004E3FDD"/>
    <w:rsid w:val="004E4352"/>
    <w:rsid w:val="004E4440"/>
    <w:rsid w:val="004E46F2"/>
    <w:rsid w:val="004E495F"/>
    <w:rsid w:val="004E4A52"/>
    <w:rsid w:val="004E4EE2"/>
    <w:rsid w:val="004E5107"/>
    <w:rsid w:val="004E583B"/>
    <w:rsid w:val="004E5ABE"/>
    <w:rsid w:val="004E5EFF"/>
    <w:rsid w:val="004E5F0F"/>
    <w:rsid w:val="004E61CB"/>
    <w:rsid w:val="004E6328"/>
    <w:rsid w:val="004E6CAF"/>
    <w:rsid w:val="004E700C"/>
    <w:rsid w:val="004E731B"/>
    <w:rsid w:val="004E732C"/>
    <w:rsid w:val="004E7349"/>
    <w:rsid w:val="004E7509"/>
    <w:rsid w:val="004E7540"/>
    <w:rsid w:val="004E7567"/>
    <w:rsid w:val="004E7794"/>
    <w:rsid w:val="004E7B33"/>
    <w:rsid w:val="004E7CD2"/>
    <w:rsid w:val="004E7E1D"/>
    <w:rsid w:val="004F073A"/>
    <w:rsid w:val="004F0849"/>
    <w:rsid w:val="004F0D11"/>
    <w:rsid w:val="004F0E67"/>
    <w:rsid w:val="004F11EA"/>
    <w:rsid w:val="004F12FE"/>
    <w:rsid w:val="004F196A"/>
    <w:rsid w:val="004F22F5"/>
    <w:rsid w:val="004F2FCC"/>
    <w:rsid w:val="004F388F"/>
    <w:rsid w:val="004F3C5A"/>
    <w:rsid w:val="004F3E2D"/>
    <w:rsid w:val="004F4467"/>
    <w:rsid w:val="004F48D1"/>
    <w:rsid w:val="004F4960"/>
    <w:rsid w:val="004F4B35"/>
    <w:rsid w:val="004F5100"/>
    <w:rsid w:val="004F5D70"/>
    <w:rsid w:val="004F5E9F"/>
    <w:rsid w:val="004F6499"/>
    <w:rsid w:val="004F668A"/>
    <w:rsid w:val="004F68F6"/>
    <w:rsid w:val="004F6CD5"/>
    <w:rsid w:val="004F721D"/>
    <w:rsid w:val="004F7569"/>
    <w:rsid w:val="004F7873"/>
    <w:rsid w:val="004F7B03"/>
    <w:rsid w:val="004F7D57"/>
    <w:rsid w:val="00500327"/>
    <w:rsid w:val="00500755"/>
    <w:rsid w:val="0050077F"/>
    <w:rsid w:val="00500781"/>
    <w:rsid w:val="00500E9C"/>
    <w:rsid w:val="0050127A"/>
    <w:rsid w:val="005014A9"/>
    <w:rsid w:val="0050150C"/>
    <w:rsid w:val="00501C21"/>
    <w:rsid w:val="0050220C"/>
    <w:rsid w:val="00502815"/>
    <w:rsid w:val="00502974"/>
    <w:rsid w:val="00502A19"/>
    <w:rsid w:val="005031E4"/>
    <w:rsid w:val="005034A1"/>
    <w:rsid w:val="0050417B"/>
    <w:rsid w:val="00504370"/>
    <w:rsid w:val="00504F3D"/>
    <w:rsid w:val="00504FFD"/>
    <w:rsid w:val="00505496"/>
    <w:rsid w:val="0050552D"/>
    <w:rsid w:val="0050566D"/>
    <w:rsid w:val="00505A31"/>
    <w:rsid w:val="005061C6"/>
    <w:rsid w:val="005075DD"/>
    <w:rsid w:val="00507661"/>
    <w:rsid w:val="00507AC8"/>
    <w:rsid w:val="00507B6B"/>
    <w:rsid w:val="00507C8C"/>
    <w:rsid w:val="00507CE2"/>
    <w:rsid w:val="00507F3A"/>
    <w:rsid w:val="005111B6"/>
    <w:rsid w:val="00511392"/>
    <w:rsid w:val="00511BFD"/>
    <w:rsid w:val="00511CCE"/>
    <w:rsid w:val="00511D2E"/>
    <w:rsid w:val="00511D4B"/>
    <w:rsid w:val="00512247"/>
    <w:rsid w:val="00512642"/>
    <w:rsid w:val="00512C46"/>
    <w:rsid w:val="00512D10"/>
    <w:rsid w:val="00513167"/>
    <w:rsid w:val="005134CE"/>
    <w:rsid w:val="00513901"/>
    <w:rsid w:val="00513EBB"/>
    <w:rsid w:val="00513FBC"/>
    <w:rsid w:val="005146B6"/>
    <w:rsid w:val="005146CA"/>
    <w:rsid w:val="00515B5D"/>
    <w:rsid w:val="00515BE6"/>
    <w:rsid w:val="00515E88"/>
    <w:rsid w:val="00516C34"/>
    <w:rsid w:val="005171CD"/>
    <w:rsid w:val="005171F3"/>
    <w:rsid w:val="00517547"/>
    <w:rsid w:val="005206C4"/>
    <w:rsid w:val="00520E17"/>
    <w:rsid w:val="00521222"/>
    <w:rsid w:val="0052182A"/>
    <w:rsid w:val="005219ED"/>
    <w:rsid w:val="005224B4"/>
    <w:rsid w:val="00522851"/>
    <w:rsid w:val="00522EE7"/>
    <w:rsid w:val="00523A11"/>
    <w:rsid w:val="00523C02"/>
    <w:rsid w:val="00523F01"/>
    <w:rsid w:val="00524033"/>
    <w:rsid w:val="00524333"/>
    <w:rsid w:val="005245BD"/>
    <w:rsid w:val="00524883"/>
    <w:rsid w:val="00524B7B"/>
    <w:rsid w:val="00524BCF"/>
    <w:rsid w:val="00525509"/>
    <w:rsid w:val="00525A5A"/>
    <w:rsid w:val="00525B21"/>
    <w:rsid w:val="0052609E"/>
    <w:rsid w:val="005262C1"/>
    <w:rsid w:val="0052671E"/>
    <w:rsid w:val="00526F14"/>
    <w:rsid w:val="0052718A"/>
    <w:rsid w:val="00527498"/>
    <w:rsid w:val="00527A48"/>
    <w:rsid w:val="00530169"/>
    <w:rsid w:val="00530831"/>
    <w:rsid w:val="005308E4"/>
    <w:rsid w:val="005319E4"/>
    <w:rsid w:val="00531B0F"/>
    <w:rsid w:val="00531DE0"/>
    <w:rsid w:val="00531DF9"/>
    <w:rsid w:val="00531E12"/>
    <w:rsid w:val="0053207B"/>
    <w:rsid w:val="00532280"/>
    <w:rsid w:val="0053230C"/>
    <w:rsid w:val="00532AB9"/>
    <w:rsid w:val="00533150"/>
    <w:rsid w:val="005332AC"/>
    <w:rsid w:val="005333EB"/>
    <w:rsid w:val="005337CE"/>
    <w:rsid w:val="0053434B"/>
    <w:rsid w:val="00534601"/>
    <w:rsid w:val="00535342"/>
    <w:rsid w:val="00535B67"/>
    <w:rsid w:val="005368F3"/>
    <w:rsid w:val="0053696B"/>
    <w:rsid w:val="00536C6E"/>
    <w:rsid w:val="0053723D"/>
    <w:rsid w:val="005372D8"/>
    <w:rsid w:val="00537BBE"/>
    <w:rsid w:val="005401B9"/>
    <w:rsid w:val="00540203"/>
    <w:rsid w:val="005402F4"/>
    <w:rsid w:val="005407EE"/>
    <w:rsid w:val="0054317A"/>
    <w:rsid w:val="0054320D"/>
    <w:rsid w:val="00543669"/>
    <w:rsid w:val="00543EFC"/>
    <w:rsid w:val="00543F74"/>
    <w:rsid w:val="00544070"/>
    <w:rsid w:val="00544552"/>
    <w:rsid w:val="0054457D"/>
    <w:rsid w:val="005445E8"/>
    <w:rsid w:val="005449BA"/>
    <w:rsid w:val="005451E0"/>
    <w:rsid w:val="005453A9"/>
    <w:rsid w:val="00546054"/>
    <w:rsid w:val="00547526"/>
    <w:rsid w:val="005501B8"/>
    <w:rsid w:val="00550326"/>
    <w:rsid w:val="00550712"/>
    <w:rsid w:val="005507D8"/>
    <w:rsid w:val="00550865"/>
    <w:rsid w:val="0055095F"/>
    <w:rsid w:val="00550A0F"/>
    <w:rsid w:val="00550C41"/>
    <w:rsid w:val="00550DF6"/>
    <w:rsid w:val="00551AD4"/>
    <w:rsid w:val="00551AFE"/>
    <w:rsid w:val="00551CD9"/>
    <w:rsid w:val="00551E73"/>
    <w:rsid w:val="00551FB8"/>
    <w:rsid w:val="005523DA"/>
    <w:rsid w:val="005529C9"/>
    <w:rsid w:val="00552E61"/>
    <w:rsid w:val="00553B5E"/>
    <w:rsid w:val="00553E58"/>
    <w:rsid w:val="00554380"/>
    <w:rsid w:val="00554438"/>
    <w:rsid w:val="005546AB"/>
    <w:rsid w:val="00554770"/>
    <w:rsid w:val="0055497B"/>
    <w:rsid w:val="00554C0B"/>
    <w:rsid w:val="0055567F"/>
    <w:rsid w:val="00555728"/>
    <w:rsid w:val="005558B0"/>
    <w:rsid w:val="005558C2"/>
    <w:rsid w:val="00555FAD"/>
    <w:rsid w:val="00556242"/>
    <w:rsid w:val="0055667A"/>
    <w:rsid w:val="00556F7D"/>
    <w:rsid w:val="005575CB"/>
    <w:rsid w:val="0056074C"/>
    <w:rsid w:val="00560CB9"/>
    <w:rsid w:val="00560D4A"/>
    <w:rsid w:val="00560F10"/>
    <w:rsid w:val="0056113D"/>
    <w:rsid w:val="0056126E"/>
    <w:rsid w:val="00561887"/>
    <w:rsid w:val="00561A09"/>
    <w:rsid w:val="00561E03"/>
    <w:rsid w:val="0056214E"/>
    <w:rsid w:val="005624CA"/>
    <w:rsid w:val="00562A77"/>
    <w:rsid w:val="00562C4C"/>
    <w:rsid w:val="00562DA7"/>
    <w:rsid w:val="00562E11"/>
    <w:rsid w:val="00562F65"/>
    <w:rsid w:val="005637FF"/>
    <w:rsid w:val="00563BD5"/>
    <w:rsid w:val="00563E5A"/>
    <w:rsid w:val="005643B9"/>
    <w:rsid w:val="00564566"/>
    <w:rsid w:val="00564C66"/>
    <w:rsid w:val="00564CA4"/>
    <w:rsid w:val="00565375"/>
    <w:rsid w:val="00565A86"/>
    <w:rsid w:val="00565B6B"/>
    <w:rsid w:val="00565C3C"/>
    <w:rsid w:val="00565DCB"/>
    <w:rsid w:val="00566127"/>
    <w:rsid w:val="0056658B"/>
    <w:rsid w:val="00566715"/>
    <w:rsid w:val="00566D93"/>
    <w:rsid w:val="00567268"/>
    <w:rsid w:val="005673FB"/>
    <w:rsid w:val="0056743B"/>
    <w:rsid w:val="0057066C"/>
    <w:rsid w:val="005706B0"/>
    <w:rsid w:val="00570F59"/>
    <w:rsid w:val="005710A8"/>
    <w:rsid w:val="00571214"/>
    <w:rsid w:val="005716A0"/>
    <w:rsid w:val="00571D1E"/>
    <w:rsid w:val="00572190"/>
    <w:rsid w:val="005722D9"/>
    <w:rsid w:val="00572D0C"/>
    <w:rsid w:val="0057333B"/>
    <w:rsid w:val="005737C3"/>
    <w:rsid w:val="00573F01"/>
    <w:rsid w:val="005745EE"/>
    <w:rsid w:val="00574993"/>
    <w:rsid w:val="00574BD9"/>
    <w:rsid w:val="005752D5"/>
    <w:rsid w:val="00575BBD"/>
    <w:rsid w:val="00576AF7"/>
    <w:rsid w:val="00577218"/>
    <w:rsid w:val="005775FC"/>
    <w:rsid w:val="0057766D"/>
    <w:rsid w:val="005776B2"/>
    <w:rsid w:val="00577A3E"/>
    <w:rsid w:val="00577B88"/>
    <w:rsid w:val="00577E4B"/>
    <w:rsid w:val="00580D79"/>
    <w:rsid w:val="00580D9D"/>
    <w:rsid w:val="00581643"/>
    <w:rsid w:val="00581E0E"/>
    <w:rsid w:val="00581EC5"/>
    <w:rsid w:val="005823E7"/>
    <w:rsid w:val="00582497"/>
    <w:rsid w:val="005825DC"/>
    <w:rsid w:val="00582A67"/>
    <w:rsid w:val="00582D67"/>
    <w:rsid w:val="0058354C"/>
    <w:rsid w:val="00583DEC"/>
    <w:rsid w:val="0058456B"/>
    <w:rsid w:val="00584A70"/>
    <w:rsid w:val="00584FD3"/>
    <w:rsid w:val="00584FDF"/>
    <w:rsid w:val="0058535B"/>
    <w:rsid w:val="00585445"/>
    <w:rsid w:val="0058549B"/>
    <w:rsid w:val="005856FA"/>
    <w:rsid w:val="00585814"/>
    <w:rsid w:val="00586129"/>
    <w:rsid w:val="0058658D"/>
    <w:rsid w:val="00586A26"/>
    <w:rsid w:val="00586D68"/>
    <w:rsid w:val="00586FBF"/>
    <w:rsid w:val="00586FC6"/>
    <w:rsid w:val="00587301"/>
    <w:rsid w:val="00587311"/>
    <w:rsid w:val="005878A8"/>
    <w:rsid w:val="00587989"/>
    <w:rsid w:val="00587CD0"/>
    <w:rsid w:val="00587DC5"/>
    <w:rsid w:val="00587E3B"/>
    <w:rsid w:val="005906D4"/>
    <w:rsid w:val="00590779"/>
    <w:rsid w:val="005911AF"/>
    <w:rsid w:val="005912ED"/>
    <w:rsid w:val="00591340"/>
    <w:rsid w:val="0059176B"/>
    <w:rsid w:val="005917B9"/>
    <w:rsid w:val="005918FD"/>
    <w:rsid w:val="005923F1"/>
    <w:rsid w:val="00592519"/>
    <w:rsid w:val="0059272D"/>
    <w:rsid w:val="00592E86"/>
    <w:rsid w:val="0059366E"/>
    <w:rsid w:val="00593745"/>
    <w:rsid w:val="00593EA6"/>
    <w:rsid w:val="00594091"/>
    <w:rsid w:val="00594C52"/>
    <w:rsid w:val="005952CC"/>
    <w:rsid w:val="0059535F"/>
    <w:rsid w:val="00595797"/>
    <w:rsid w:val="005958FB"/>
    <w:rsid w:val="00595B1A"/>
    <w:rsid w:val="00595DA1"/>
    <w:rsid w:val="00595E71"/>
    <w:rsid w:val="00595F40"/>
    <w:rsid w:val="00596498"/>
    <w:rsid w:val="005969A5"/>
    <w:rsid w:val="00596FB2"/>
    <w:rsid w:val="00597581"/>
    <w:rsid w:val="00597AEA"/>
    <w:rsid w:val="00597C83"/>
    <w:rsid w:val="005A02B5"/>
    <w:rsid w:val="005A0436"/>
    <w:rsid w:val="005A0550"/>
    <w:rsid w:val="005A063D"/>
    <w:rsid w:val="005A06DB"/>
    <w:rsid w:val="005A09B4"/>
    <w:rsid w:val="005A1250"/>
    <w:rsid w:val="005A1992"/>
    <w:rsid w:val="005A279F"/>
    <w:rsid w:val="005A2AAA"/>
    <w:rsid w:val="005A2B22"/>
    <w:rsid w:val="005A2D1B"/>
    <w:rsid w:val="005A2F0E"/>
    <w:rsid w:val="005A30C7"/>
    <w:rsid w:val="005A3192"/>
    <w:rsid w:val="005A327A"/>
    <w:rsid w:val="005A36A6"/>
    <w:rsid w:val="005A46C1"/>
    <w:rsid w:val="005A4736"/>
    <w:rsid w:val="005A6249"/>
    <w:rsid w:val="005A6448"/>
    <w:rsid w:val="005A65E4"/>
    <w:rsid w:val="005A6A03"/>
    <w:rsid w:val="005A6AB3"/>
    <w:rsid w:val="005A6DE4"/>
    <w:rsid w:val="005A6DEF"/>
    <w:rsid w:val="005A7105"/>
    <w:rsid w:val="005A7D87"/>
    <w:rsid w:val="005A7E57"/>
    <w:rsid w:val="005B0555"/>
    <w:rsid w:val="005B1504"/>
    <w:rsid w:val="005B150B"/>
    <w:rsid w:val="005B1649"/>
    <w:rsid w:val="005B1723"/>
    <w:rsid w:val="005B1BBA"/>
    <w:rsid w:val="005B2A4B"/>
    <w:rsid w:val="005B2AA0"/>
    <w:rsid w:val="005B2E20"/>
    <w:rsid w:val="005B2FCF"/>
    <w:rsid w:val="005B2FD7"/>
    <w:rsid w:val="005B303D"/>
    <w:rsid w:val="005B3B85"/>
    <w:rsid w:val="005B448E"/>
    <w:rsid w:val="005B4F6A"/>
    <w:rsid w:val="005B50A2"/>
    <w:rsid w:val="005B514B"/>
    <w:rsid w:val="005B5273"/>
    <w:rsid w:val="005B54A4"/>
    <w:rsid w:val="005B5747"/>
    <w:rsid w:val="005B5954"/>
    <w:rsid w:val="005B5A7A"/>
    <w:rsid w:val="005B5DD5"/>
    <w:rsid w:val="005B619D"/>
    <w:rsid w:val="005B6336"/>
    <w:rsid w:val="005B6716"/>
    <w:rsid w:val="005B6D4C"/>
    <w:rsid w:val="005B70F8"/>
    <w:rsid w:val="005B71EC"/>
    <w:rsid w:val="005B7525"/>
    <w:rsid w:val="005B77C9"/>
    <w:rsid w:val="005B77CF"/>
    <w:rsid w:val="005B7BC1"/>
    <w:rsid w:val="005C05C8"/>
    <w:rsid w:val="005C0A71"/>
    <w:rsid w:val="005C0C74"/>
    <w:rsid w:val="005C0E1D"/>
    <w:rsid w:val="005C19C1"/>
    <w:rsid w:val="005C2092"/>
    <w:rsid w:val="005C211B"/>
    <w:rsid w:val="005C24CB"/>
    <w:rsid w:val="005C291D"/>
    <w:rsid w:val="005C41CA"/>
    <w:rsid w:val="005C4A60"/>
    <w:rsid w:val="005C4BBD"/>
    <w:rsid w:val="005C4BF3"/>
    <w:rsid w:val="005C5B02"/>
    <w:rsid w:val="005C66F5"/>
    <w:rsid w:val="005C675A"/>
    <w:rsid w:val="005C6DB1"/>
    <w:rsid w:val="005C7149"/>
    <w:rsid w:val="005C71AE"/>
    <w:rsid w:val="005C768B"/>
    <w:rsid w:val="005C7B48"/>
    <w:rsid w:val="005C7B7E"/>
    <w:rsid w:val="005D03D7"/>
    <w:rsid w:val="005D05BE"/>
    <w:rsid w:val="005D067E"/>
    <w:rsid w:val="005D0BCA"/>
    <w:rsid w:val="005D1781"/>
    <w:rsid w:val="005D1CF8"/>
    <w:rsid w:val="005D2CAA"/>
    <w:rsid w:val="005D3000"/>
    <w:rsid w:val="005D3147"/>
    <w:rsid w:val="005D354B"/>
    <w:rsid w:val="005D3B76"/>
    <w:rsid w:val="005D40D7"/>
    <w:rsid w:val="005D4136"/>
    <w:rsid w:val="005D4191"/>
    <w:rsid w:val="005D4340"/>
    <w:rsid w:val="005D43D5"/>
    <w:rsid w:val="005D443D"/>
    <w:rsid w:val="005D4585"/>
    <w:rsid w:val="005D4608"/>
    <w:rsid w:val="005D4C5C"/>
    <w:rsid w:val="005D4D38"/>
    <w:rsid w:val="005D4DE1"/>
    <w:rsid w:val="005D4F1B"/>
    <w:rsid w:val="005D52C0"/>
    <w:rsid w:val="005D556A"/>
    <w:rsid w:val="005D581B"/>
    <w:rsid w:val="005D6190"/>
    <w:rsid w:val="005D638A"/>
    <w:rsid w:val="005D6D3E"/>
    <w:rsid w:val="005D7395"/>
    <w:rsid w:val="005D7485"/>
    <w:rsid w:val="005D7BB2"/>
    <w:rsid w:val="005D7BDB"/>
    <w:rsid w:val="005D7CFB"/>
    <w:rsid w:val="005E0001"/>
    <w:rsid w:val="005E0617"/>
    <w:rsid w:val="005E0C5A"/>
    <w:rsid w:val="005E0EE6"/>
    <w:rsid w:val="005E0FE2"/>
    <w:rsid w:val="005E12C6"/>
    <w:rsid w:val="005E1736"/>
    <w:rsid w:val="005E1818"/>
    <w:rsid w:val="005E1CBD"/>
    <w:rsid w:val="005E1F7D"/>
    <w:rsid w:val="005E233D"/>
    <w:rsid w:val="005E25ED"/>
    <w:rsid w:val="005E275E"/>
    <w:rsid w:val="005E2A32"/>
    <w:rsid w:val="005E2B6B"/>
    <w:rsid w:val="005E308C"/>
    <w:rsid w:val="005E379D"/>
    <w:rsid w:val="005E4452"/>
    <w:rsid w:val="005E48AA"/>
    <w:rsid w:val="005E4CC5"/>
    <w:rsid w:val="005E5101"/>
    <w:rsid w:val="005E5319"/>
    <w:rsid w:val="005E59F9"/>
    <w:rsid w:val="005E5D3B"/>
    <w:rsid w:val="005E6131"/>
    <w:rsid w:val="005E62E6"/>
    <w:rsid w:val="005E63BD"/>
    <w:rsid w:val="005E663F"/>
    <w:rsid w:val="005E6844"/>
    <w:rsid w:val="005E6A84"/>
    <w:rsid w:val="005E6BD1"/>
    <w:rsid w:val="005E753E"/>
    <w:rsid w:val="005E7950"/>
    <w:rsid w:val="005F0444"/>
    <w:rsid w:val="005F08F0"/>
    <w:rsid w:val="005F08FC"/>
    <w:rsid w:val="005F0A71"/>
    <w:rsid w:val="005F1285"/>
    <w:rsid w:val="005F1D56"/>
    <w:rsid w:val="005F1FDA"/>
    <w:rsid w:val="005F27D7"/>
    <w:rsid w:val="005F2A96"/>
    <w:rsid w:val="005F383F"/>
    <w:rsid w:val="005F3CB6"/>
    <w:rsid w:val="005F3F38"/>
    <w:rsid w:val="005F41A7"/>
    <w:rsid w:val="005F43D8"/>
    <w:rsid w:val="005F47A1"/>
    <w:rsid w:val="005F4A29"/>
    <w:rsid w:val="005F55FE"/>
    <w:rsid w:val="005F5B32"/>
    <w:rsid w:val="005F5CB8"/>
    <w:rsid w:val="005F5E81"/>
    <w:rsid w:val="005F5F2E"/>
    <w:rsid w:val="005F60AA"/>
    <w:rsid w:val="005F71B1"/>
    <w:rsid w:val="005F75E9"/>
    <w:rsid w:val="005F7CB6"/>
    <w:rsid w:val="005F7D60"/>
    <w:rsid w:val="005F7E19"/>
    <w:rsid w:val="005F7F5E"/>
    <w:rsid w:val="006001CF"/>
    <w:rsid w:val="006004FF"/>
    <w:rsid w:val="00600B9C"/>
    <w:rsid w:val="00600D91"/>
    <w:rsid w:val="006012A3"/>
    <w:rsid w:val="0060147C"/>
    <w:rsid w:val="006019BD"/>
    <w:rsid w:val="00602453"/>
    <w:rsid w:val="006024D2"/>
    <w:rsid w:val="0060366A"/>
    <w:rsid w:val="00603778"/>
    <w:rsid w:val="00603DC5"/>
    <w:rsid w:val="006046A2"/>
    <w:rsid w:val="00604BCA"/>
    <w:rsid w:val="00604C4C"/>
    <w:rsid w:val="006067DE"/>
    <w:rsid w:val="00606970"/>
    <w:rsid w:val="00606978"/>
    <w:rsid w:val="00606F89"/>
    <w:rsid w:val="006070BA"/>
    <w:rsid w:val="00607A83"/>
    <w:rsid w:val="0061040E"/>
    <w:rsid w:val="00610C50"/>
    <w:rsid w:val="00611105"/>
    <w:rsid w:val="00611A92"/>
    <w:rsid w:val="006134E9"/>
    <w:rsid w:val="00613692"/>
    <w:rsid w:val="00613CF0"/>
    <w:rsid w:val="0061483B"/>
    <w:rsid w:val="006148C5"/>
    <w:rsid w:val="00614925"/>
    <w:rsid w:val="00615283"/>
    <w:rsid w:val="00615581"/>
    <w:rsid w:val="00615734"/>
    <w:rsid w:val="00615C75"/>
    <w:rsid w:val="006161C5"/>
    <w:rsid w:val="006161F7"/>
    <w:rsid w:val="00616229"/>
    <w:rsid w:val="00616369"/>
    <w:rsid w:val="00616E8C"/>
    <w:rsid w:val="00617079"/>
    <w:rsid w:val="006170EE"/>
    <w:rsid w:val="00617374"/>
    <w:rsid w:val="0061785C"/>
    <w:rsid w:val="006178A6"/>
    <w:rsid w:val="0062006A"/>
    <w:rsid w:val="00620651"/>
    <w:rsid w:val="00620E5C"/>
    <w:rsid w:val="00621415"/>
    <w:rsid w:val="006218E4"/>
    <w:rsid w:val="00621B4E"/>
    <w:rsid w:val="0062237C"/>
    <w:rsid w:val="00622960"/>
    <w:rsid w:val="00622AFC"/>
    <w:rsid w:val="00622E0E"/>
    <w:rsid w:val="006245F1"/>
    <w:rsid w:val="00624CB1"/>
    <w:rsid w:val="00624E67"/>
    <w:rsid w:val="00624FDF"/>
    <w:rsid w:val="006259EA"/>
    <w:rsid w:val="006262E6"/>
    <w:rsid w:val="00626763"/>
    <w:rsid w:val="0062725F"/>
    <w:rsid w:val="00627A39"/>
    <w:rsid w:val="006300D1"/>
    <w:rsid w:val="00630383"/>
    <w:rsid w:val="006305C8"/>
    <w:rsid w:val="00630E19"/>
    <w:rsid w:val="0063112B"/>
    <w:rsid w:val="006314F8"/>
    <w:rsid w:val="00631633"/>
    <w:rsid w:val="00631FC2"/>
    <w:rsid w:val="006323DD"/>
    <w:rsid w:val="00632B50"/>
    <w:rsid w:val="00633214"/>
    <w:rsid w:val="0063389B"/>
    <w:rsid w:val="00634014"/>
    <w:rsid w:val="00634C03"/>
    <w:rsid w:val="006357A4"/>
    <w:rsid w:val="00635910"/>
    <w:rsid w:val="00635977"/>
    <w:rsid w:val="0063636F"/>
    <w:rsid w:val="00636374"/>
    <w:rsid w:val="00636395"/>
    <w:rsid w:val="00636415"/>
    <w:rsid w:val="006364F9"/>
    <w:rsid w:val="00636C28"/>
    <w:rsid w:val="00637018"/>
    <w:rsid w:val="006375AA"/>
    <w:rsid w:val="006376E4"/>
    <w:rsid w:val="00637A9B"/>
    <w:rsid w:val="00637BA9"/>
    <w:rsid w:val="00637D96"/>
    <w:rsid w:val="00637DBB"/>
    <w:rsid w:val="00637FAB"/>
    <w:rsid w:val="006406A3"/>
    <w:rsid w:val="006406FD"/>
    <w:rsid w:val="0064079A"/>
    <w:rsid w:val="00640B13"/>
    <w:rsid w:val="00640D25"/>
    <w:rsid w:val="00640FA5"/>
    <w:rsid w:val="0064114E"/>
    <w:rsid w:val="00641932"/>
    <w:rsid w:val="006422F6"/>
    <w:rsid w:val="00642B24"/>
    <w:rsid w:val="006430DB"/>
    <w:rsid w:val="00643928"/>
    <w:rsid w:val="00643B45"/>
    <w:rsid w:val="00644598"/>
    <w:rsid w:val="0064491E"/>
    <w:rsid w:val="00644A51"/>
    <w:rsid w:val="0064509A"/>
    <w:rsid w:val="006455B6"/>
    <w:rsid w:val="00645AA8"/>
    <w:rsid w:val="006463AE"/>
    <w:rsid w:val="006463ED"/>
    <w:rsid w:val="0064692E"/>
    <w:rsid w:val="00646DF9"/>
    <w:rsid w:val="00647578"/>
    <w:rsid w:val="006475D7"/>
    <w:rsid w:val="006478E9"/>
    <w:rsid w:val="0065008C"/>
    <w:rsid w:val="00650C9D"/>
    <w:rsid w:val="00650EE7"/>
    <w:rsid w:val="0065148A"/>
    <w:rsid w:val="0065151B"/>
    <w:rsid w:val="0065174A"/>
    <w:rsid w:val="00651F23"/>
    <w:rsid w:val="0065226F"/>
    <w:rsid w:val="00652399"/>
    <w:rsid w:val="00653630"/>
    <w:rsid w:val="00653AFE"/>
    <w:rsid w:val="0065408E"/>
    <w:rsid w:val="00654584"/>
    <w:rsid w:val="00654670"/>
    <w:rsid w:val="00654B18"/>
    <w:rsid w:val="00654B1E"/>
    <w:rsid w:val="00654CB5"/>
    <w:rsid w:val="00654E00"/>
    <w:rsid w:val="006554DE"/>
    <w:rsid w:val="006558E3"/>
    <w:rsid w:val="00655ADC"/>
    <w:rsid w:val="00655E32"/>
    <w:rsid w:val="00656349"/>
    <w:rsid w:val="0066007D"/>
    <w:rsid w:val="0066010D"/>
    <w:rsid w:val="00660126"/>
    <w:rsid w:val="006607CE"/>
    <w:rsid w:val="006608B5"/>
    <w:rsid w:val="0066097C"/>
    <w:rsid w:val="00660B76"/>
    <w:rsid w:val="006615D3"/>
    <w:rsid w:val="0066168F"/>
    <w:rsid w:val="006618DF"/>
    <w:rsid w:val="00661D78"/>
    <w:rsid w:val="00661E21"/>
    <w:rsid w:val="00661F70"/>
    <w:rsid w:val="00662011"/>
    <w:rsid w:val="006620D9"/>
    <w:rsid w:val="0066228F"/>
    <w:rsid w:val="00662513"/>
    <w:rsid w:val="00662722"/>
    <w:rsid w:val="00662B99"/>
    <w:rsid w:val="00662FFF"/>
    <w:rsid w:val="00663031"/>
    <w:rsid w:val="0066336B"/>
    <w:rsid w:val="0066357B"/>
    <w:rsid w:val="00663AF4"/>
    <w:rsid w:val="00663FE4"/>
    <w:rsid w:val="006641E5"/>
    <w:rsid w:val="00664329"/>
    <w:rsid w:val="00665161"/>
    <w:rsid w:val="0066527E"/>
    <w:rsid w:val="0066549C"/>
    <w:rsid w:val="00665835"/>
    <w:rsid w:val="006658EE"/>
    <w:rsid w:val="006662F0"/>
    <w:rsid w:val="00666361"/>
    <w:rsid w:val="006664B2"/>
    <w:rsid w:val="006664DE"/>
    <w:rsid w:val="00667219"/>
    <w:rsid w:val="0066743E"/>
    <w:rsid w:val="00670188"/>
    <w:rsid w:val="006704F9"/>
    <w:rsid w:val="00670635"/>
    <w:rsid w:val="0067072D"/>
    <w:rsid w:val="00670760"/>
    <w:rsid w:val="006707CF"/>
    <w:rsid w:val="00670CC0"/>
    <w:rsid w:val="00671436"/>
    <w:rsid w:val="00671B62"/>
    <w:rsid w:val="00671C91"/>
    <w:rsid w:val="00671E9F"/>
    <w:rsid w:val="0067314A"/>
    <w:rsid w:val="0067387A"/>
    <w:rsid w:val="00673956"/>
    <w:rsid w:val="00673C1E"/>
    <w:rsid w:val="00673D01"/>
    <w:rsid w:val="0067402D"/>
    <w:rsid w:val="0067409E"/>
    <w:rsid w:val="006741D6"/>
    <w:rsid w:val="00675255"/>
    <w:rsid w:val="00675448"/>
    <w:rsid w:val="0067580B"/>
    <w:rsid w:val="00675A69"/>
    <w:rsid w:val="00676006"/>
    <w:rsid w:val="0067643D"/>
    <w:rsid w:val="006764CD"/>
    <w:rsid w:val="00676805"/>
    <w:rsid w:val="00676877"/>
    <w:rsid w:val="00676982"/>
    <w:rsid w:val="00676CCA"/>
    <w:rsid w:val="00676E03"/>
    <w:rsid w:val="006775B7"/>
    <w:rsid w:val="00677842"/>
    <w:rsid w:val="00677B32"/>
    <w:rsid w:val="0068018B"/>
    <w:rsid w:val="006803EF"/>
    <w:rsid w:val="00680446"/>
    <w:rsid w:val="00681F57"/>
    <w:rsid w:val="00682192"/>
    <w:rsid w:val="006821FD"/>
    <w:rsid w:val="0068250E"/>
    <w:rsid w:val="006825F5"/>
    <w:rsid w:val="00682A94"/>
    <w:rsid w:val="00682ABE"/>
    <w:rsid w:val="006830A5"/>
    <w:rsid w:val="006831CA"/>
    <w:rsid w:val="00683AA5"/>
    <w:rsid w:val="0068412B"/>
    <w:rsid w:val="006842A0"/>
    <w:rsid w:val="00684861"/>
    <w:rsid w:val="00685472"/>
    <w:rsid w:val="00685E4B"/>
    <w:rsid w:val="00686550"/>
    <w:rsid w:val="0068691E"/>
    <w:rsid w:val="00686C5F"/>
    <w:rsid w:val="00686DF4"/>
    <w:rsid w:val="00686F12"/>
    <w:rsid w:val="0068719A"/>
    <w:rsid w:val="006871B5"/>
    <w:rsid w:val="00687384"/>
    <w:rsid w:val="006876CD"/>
    <w:rsid w:val="00690D77"/>
    <w:rsid w:val="00690E69"/>
    <w:rsid w:val="00690F04"/>
    <w:rsid w:val="00690F56"/>
    <w:rsid w:val="006915CE"/>
    <w:rsid w:val="00691A08"/>
    <w:rsid w:val="00691E7C"/>
    <w:rsid w:val="0069254C"/>
    <w:rsid w:val="00692708"/>
    <w:rsid w:val="00692920"/>
    <w:rsid w:val="00692F39"/>
    <w:rsid w:val="006933F2"/>
    <w:rsid w:val="006938EE"/>
    <w:rsid w:val="00693EAA"/>
    <w:rsid w:val="00693FAE"/>
    <w:rsid w:val="00694101"/>
    <w:rsid w:val="006942D9"/>
    <w:rsid w:val="00694631"/>
    <w:rsid w:val="0069468B"/>
    <w:rsid w:val="006961FB"/>
    <w:rsid w:val="0069633C"/>
    <w:rsid w:val="00696449"/>
    <w:rsid w:val="006964AA"/>
    <w:rsid w:val="00696560"/>
    <w:rsid w:val="00696BAD"/>
    <w:rsid w:val="006971E7"/>
    <w:rsid w:val="00697247"/>
    <w:rsid w:val="00697522"/>
    <w:rsid w:val="006A0513"/>
    <w:rsid w:val="006A0532"/>
    <w:rsid w:val="006A06FB"/>
    <w:rsid w:val="006A07FC"/>
    <w:rsid w:val="006A09DC"/>
    <w:rsid w:val="006A0FE7"/>
    <w:rsid w:val="006A13A5"/>
    <w:rsid w:val="006A1585"/>
    <w:rsid w:val="006A204B"/>
    <w:rsid w:val="006A2136"/>
    <w:rsid w:val="006A22F8"/>
    <w:rsid w:val="006A247B"/>
    <w:rsid w:val="006A24F5"/>
    <w:rsid w:val="006A2C2B"/>
    <w:rsid w:val="006A3083"/>
    <w:rsid w:val="006A3194"/>
    <w:rsid w:val="006A368E"/>
    <w:rsid w:val="006A3A4F"/>
    <w:rsid w:val="006A3A86"/>
    <w:rsid w:val="006A3BBB"/>
    <w:rsid w:val="006A3BE0"/>
    <w:rsid w:val="006A418C"/>
    <w:rsid w:val="006A421C"/>
    <w:rsid w:val="006A4F3F"/>
    <w:rsid w:val="006A4F79"/>
    <w:rsid w:val="006A533B"/>
    <w:rsid w:val="006A5390"/>
    <w:rsid w:val="006A5521"/>
    <w:rsid w:val="006A57E7"/>
    <w:rsid w:val="006A5A79"/>
    <w:rsid w:val="006A6B41"/>
    <w:rsid w:val="006A6FEA"/>
    <w:rsid w:val="006A734B"/>
    <w:rsid w:val="006A73AE"/>
    <w:rsid w:val="006A7776"/>
    <w:rsid w:val="006A7811"/>
    <w:rsid w:val="006A7AEC"/>
    <w:rsid w:val="006B06EF"/>
    <w:rsid w:val="006B08BC"/>
    <w:rsid w:val="006B1C65"/>
    <w:rsid w:val="006B1DDE"/>
    <w:rsid w:val="006B1E1A"/>
    <w:rsid w:val="006B1E49"/>
    <w:rsid w:val="006B1E54"/>
    <w:rsid w:val="006B26ED"/>
    <w:rsid w:val="006B27C9"/>
    <w:rsid w:val="006B2913"/>
    <w:rsid w:val="006B29CE"/>
    <w:rsid w:val="006B2A4D"/>
    <w:rsid w:val="006B3369"/>
    <w:rsid w:val="006B3516"/>
    <w:rsid w:val="006B38FD"/>
    <w:rsid w:val="006B397B"/>
    <w:rsid w:val="006B3CF3"/>
    <w:rsid w:val="006B40FA"/>
    <w:rsid w:val="006B41B4"/>
    <w:rsid w:val="006B4464"/>
    <w:rsid w:val="006B4A99"/>
    <w:rsid w:val="006B4B2E"/>
    <w:rsid w:val="006B528F"/>
    <w:rsid w:val="006B58A4"/>
    <w:rsid w:val="006B59BD"/>
    <w:rsid w:val="006B5D14"/>
    <w:rsid w:val="006B5F8C"/>
    <w:rsid w:val="006B72CB"/>
    <w:rsid w:val="006B792F"/>
    <w:rsid w:val="006B7F3A"/>
    <w:rsid w:val="006C0064"/>
    <w:rsid w:val="006C01F9"/>
    <w:rsid w:val="006C0689"/>
    <w:rsid w:val="006C09D2"/>
    <w:rsid w:val="006C0F77"/>
    <w:rsid w:val="006C1031"/>
    <w:rsid w:val="006C1ADA"/>
    <w:rsid w:val="006C1DCA"/>
    <w:rsid w:val="006C2A7B"/>
    <w:rsid w:val="006C3021"/>
    <w:rsid w:val="006C31A1"/>
    <w:rsid w:val="006C31F3"/>
    <w:rsid w:val="006C3996"/>
    <w:rsid w:val="006C3D45"/>
    <w:rsid w:val="006C3FA3"/>
    <w:rsid w:val="006C3FDD"/>
    <w:rsid w:val="006C4236"/>
    <w:rsid w:val="006C426E"/>
    <w:rsid w:val="006C4347"/>
    <w:rsid w:val="006C4E3E"/>
    <w:rsid w:val="006C4E8E"/>
    <w:rsid w:val="006C4FF2"/>
    <w:rsid w:val="006C5069"/>
    <w:rsid w:val="006C5C77"/>
    <w:rsid w:val="006C5E6E"/>
    <w:rsid w:val="006C7B5F"/>
    <w:rsid w:val="006C7D94"/>
    <w:rsid w:val="006D0F8E"/>
    <w:rsid w:val="006D1557"/>
    <w:rsid w:val="006D1B3E"/>
    <w:rsid w:val="006D1C42"/>
    <w:rsid w:val="006D24D6"/>
    <w:rsid w:val="006D2EE9"/>
    <w:rsid w:val="006D30EC"/>
    <w:rsid w:val="006D3569"/>
    <w:rsid w:val="006D3893"/>
    <w:rsid w:val="006D397A"/>
    <w:rsid w:val="006D3B97"/>
    <w:rsid w:val="006D4008"/>
    <w:rsid w:val="006D4014"/>
    <w:rsid w:val="006D4019"/>
    <w:rsid w:val="006D40C5"/>
    <w:rsid w:val="006D42CD"/>
    <w:rsid w:val="006D4EB5"/>
    <w:rsid w:val="006D515D"/>
    <w:rsid w:val="006D5250"/>
    <w:rsid w:val="006D58E6"/>
    <w:rsid w:val="006D5B1F"/>
    <w:rsid w:val="006D6641"/>
    <w:rsid w:val="006D6ADE"/>
    <w:rsid w:val="006D76D9"/>
    <w:rsid w:val="006D77B6"/>
    <w:rsid w:val="006D7AF6"/>
    <w:rsid w:val="006D7E51"/>
    <w:rsid w:val="006E0445"/>
    <w:rsid w:val="006E07FF"/>
    <w:rsid w:val="006E0ACF"/>
    <w:rsid w:val="006E0FD6"/>
    <w:rsid w:val="006E1100"/>
    <w:rsid w:val="006E1874"/>
    <w:rsid w:val="006E19C5"/>
    <w:rsid w:val="006E1A0E"/>
    <w:rsid w:val="006E1E18"/>
    <w:rsid w:val="006E1E78"/>
    <w:rsid w:val="006E2164"/>
    <w:rsid w:val="006E216F"/>
    <w:rsid w:val="006E25BD"/>
    <w:rsid w:val="006E2DD6"/>
    <w:rsid w:val="006E2FA8"/>
    <w:rsid w:val="006E30CC"/>
    <w:rsid w:val="006E31C9"/>
    <w:rsid w:val="006E3917"/>
    <w:rsid w:val="006E473C"/>
    <w:rsid w:val="006E51FE"/>
    <w:rsid w:val="006E63DB"/>
    <w:rsid w:val="006E6A15"/>
    <w:rsid w:val="006E6B53"/>
    <w:rsid w:val="006E7133"/>
    <w:rsid w:val="006F01AA"/>
    <w:rsid w:val="006F01E4"/>
    <w:rsid w:val="006F0221"/>
    <w:rsid w:val="006F1331"/>
    <w:rsid w:val="006F1764"/>
    <w:rsid w:val="006F19B1"/>
    <w:rsid w:val="006F251C"/>
    <w:rsid w:val="006F2556"/>
    <w:rsid w:val="006F265E"/>
    <w:rsid w:val="006F2CE9"/>
    <w:rsid w:val="006F2D1E"/>
    <w:rsid w:val="006F3307"/>
    <w:rsid w:val="006F339D"/>
    <w:rsid w:val="006F36F0"/>
    <w:rsid w:val="006F391E"/>
    <w:rsid w:val="006F3B37"/>
    <w:rsid w:val="006F4832"/>
    <w:rsid w:val="006F4A28"/>
    <w:rsid w:val="006F4C20"/>
    <w:rsid w:val="006F51D6"/>
    <w:rsid w:val="006F51F1"/>
    <w:rsid w:val="006F533F"/>
    <w:rsid w:val="006F56F6"/>
    <w:rsid w:val="006F59AB"/>
    <w:rsid w:val="006F6169"/>
    <w:rsid w:val="006F730B"/>
    <w:rsid w:val="006F75A4"/>
    <w:rsid w:val="006F7651"/>
    <w:rsid w:val="006F7765"/>
    <w:rsid w:val="006F77BF"/>
    <w:rsid w:val="006F78DC"/>
    <w:rsid w:val="006F79CA"/>
    <w:rsid w:val="006F7AD3"/>
    <w:rsid w:val="006F7BEA"/>
    <w:rsid w:val="006F7CAB"/>
    <w:rsid w:val="007001B3"/>
    <w:rsid w:val="0070115F"/>
    <w:rsid w:val="007014F1"/>
    <w:rsid w:val="007016F5"/>
    <w:rsid w:val="00701819"/>
    <w:rsid w:val="00702456"/>
    <w:rsid w:val="00702D3D"/>
    <w:rsid w:val="00703454"/>
    <w:rsid w:val="00703950"/>
    <w:rsid w:val="00703B73"/>
    <w:rsid w:val="00703D85"/>
    <w:rsid w:val="00703DAC"/>
    <w:rsid w:val="0070440C"/>
    <w:rsid w:val="0070455B"/>
    <w:rsid w:val="007045FE"/>
    <w:rsid w:val="007048D1"/>
    <w:rsid w:val="007054EF"/>
    <w:rsid w:val="0070560E"/>
    <w:rsid w:val="00705CA1"/>
    <w:rsid w:val="007064D6"/>
    <w:rsid w:val="00706A82"/>
    <w:rsid w:val="00706D8B"/>
    <w:rsid w:val="00706E43"/>
    <w:rsid w:val="00707094"/>
    <w:rsid w:val="007073E8"/>
    <w:rsid w:val="007073F9"/>
    <w:rsid w:val="00707412"/>
    <w:rsid w:val="00707A94"/>
    <w:rsid w:val="0071022A"/>
    <w:rsid w:val="00710339"/>
    <w:rsid w:val="00710805"/>
    <w:rsid w:val="00710ACE"/>
    <w:rsid w:val="00711353"/>
    <w:rsid w:val="00711813"/>
    <w:rsid w:val="007127A6"/>
    <w:rsid w:val="0071284C"/>
    <w:rsid w:val="0071294D"/>
    <w:rsid w:val="00712D62"/>
    <w:rsid w:val="0071358D"/>
    <w:rsid w:val="00713608"/>
    <w:rsid w:val="0071431A"/>
    <w:rsid w:val="0071447B"/>
    <w:rsid w:val="00714FFA"/>
    <w:rsid w:val="00715A07"/>
    <w:rsid w:val="00715D90"/>
    <w:rsid w:val="0071631B"/>
    <w:rsid w:val="007163CC"/>
    <w:rsid w:val="0071717B"/>
    <w:rsid w:val="00717751"/>
    <w:rsid w:val="00717A7F"/>
    <w:rsid w:val="00717AF9"/>
    <w:rsid w:val="00717CBE"/>
    <w:rsid w:val="00717D76"/>
    <w:rsid w:val="0072019A"/>
    <w:rsid w:val="007208B3"/>
    <w:rsid w:val="00720BE1"/>
    <w:rsid w:val="00720CF8"/>
    <w:rsid w:val="00721B79"/>
    <w:rsid w:val="00721CC9"/>
    <w:rsid w:val="00722AB5"/>
    <w:rsid w:val="00722F4F"/>
    <w:rsid w:val="00722F9C"/>
    <w:rsid w:val="00722FBC"/>
    <w:rsid w:val="00723370"/>
    <w:rsid w:val="00723700"/>
    <w:rsid w:val="00723C36"/>
    <w:rsid w:val="00723D97"/>
    <w:rsid w:val="00723EA0"/>
    <w:rsid w:val="007241B1"/>
    <w:rsid w:val="007246EB"/>
    <w:rsid w:val="00724BAB"/>
    <w:rsid w:val="00724E07"/>
    <w:rsid w:val="0072549E"/>
    <w:rsid w:val="007255C7"/>
    <w:rsid w:val="00725711"/>
    <w:rsid w:val="00725729"/>
    <w:rsid w:val="007268C5"/>
    <w:rsid w:val="00726C0E"/>
    <w:rsid w:val="00726EC4"/>
    <w:rsid w:val="00727C82"/>
    <w:rsid w:val="007304D2"/>
    <w:rsid w:val="00730560"/>
    <w:rsid w:val="00730570"/>
    <w:rsid w:val="007308CB"/>
    <w:rsid w:val="00730C24"/>
    <w:rsid w:val="00730FEA"/>
    <w:rsid w:val="0073102B"/>
    <w:rsid w:val="00731AF7"/>
    <w:rsid w:val="00732D3D"/>
    <w:rsid w:val="007335C9"/>
    <w:rsid w:val="00733CC6"/>
    <w:rsid w:val="00733F64"/>
    <w:rsid w:val="00734147"/>
    <w:rsid w:val="00734284"/>
    <w:rsid w:val="00734F66"/>
    <w:rsid w:val="00735622"/>
    <w:rsid w:val="0073581C"/>
    <w:rsid w:val="00735947"/>
    <w:rsid w:val="00736480"/>
    <w:rsid w:val="00736F25"/>
    <w:rsid w:val="00736FAD"/>
    <w:rsid w:val="007374FD"/>
    <w:rsid w:val="0073758E"/>
    <w:rsid w:val="007376BF"/>
    <w:rsid w:val="007379EC"/>
    <w:rsid w:val="00737DCE"/>
    <w:rsid w:val="00741434"/>
    <w:rsid w:val="007415D8"/>
    <w:rsid w:val="00741CBA"/>
    <w:rsid w:val="007427A7"/>
    <w:rsid w:val="00742A42"/>
    <w:rsid w:val="0074339A"/>
    <w:rsid w:val="007438CC"/>
    <w:rsid w:val="00743A21"/>
    <w:rsid w:val="00744102"/>
    <w:rsid w:val="007441E1"/>
    <w:rsid w:val="007444C9"/>
    <w:rsid w:val="00745049"/>
    <w:rsid w:val="007455C4"/>
    <w:rsid w:val="00745842"/>
    <w:rsid w:val="007458B3"/>
    <w:rsid w:val="00746611"/>
    <w:rsid w:val="00746AA4"/>
    <w:rsid w:val="00746DDD"/>
    <w:rsid w:val="007470C2"/>
    <w:rsid w:val="0074721C"/>
    <w:rsid w:val="0074753F"/>
    <w:rsid w:val="00747926"/>
    <w:rsid w:val="00750125"/>
    <w:rsid w:val="00750851"/>
    <w:rsid w:val="007508BD"/>
    <w:rsid w:val="00750927"/>
    <w:rsid w:val="00750B10"/>
    <w:rsid w:val="00750D9D"/>
    <w:rsid w:val="0075150A"/>
    <w:rsid w:val="007515F0"/>
    <w:rsid w:val="0075170D"/>
    <w:rsid w:val="007518DA"/>
    <w:rsid w:val="00751F44"/>
    <w:rsid w:val="0075274C"/>
    <w:rsid w:val="0075284C"/>
    <w:rsid w:val="007528C9"/>
    <w:rsid w:val="00752D7F"/>
    <w:rsid w:val="007533DC"/>
    <w:rsid w:val="00753AD6"/>
    <w:rsid w:val="00753DCF"/>
    <w:rsid w:val="00753F2C"/>
    <w:rsid w:val="0075425B"/>
    <w:rsid w:val="00754A31"/>
    <w:rsid w:val="00754C97"/>
    <w:rsid w:val="00755605"/>
    <w:rsid w:val="00755B12"/>
    <w:rsid w:val="00756122"/>
    <w:rsid w:val="007564FB"/>
    <w:rsid w:val="007567CA"/>
    <w:rsid w:val="00756B55"/>
    <w:rsid w:val="00756EFF"/>
    <w:rsid w:val="00757095"/>
    <w:rsid w:val="0075735A"/>
    <w:rsid w:val="00757637"/>
    <w:rsid w:val="00757662"/>
    <w:rsid w:val="0075799D"/>
    <w:rsid w:val="00757AC0"/>
    <w:rsid w:val="00757C44"/>
    <w:rsid w:val="0076025C"/>
    <w:rsid w:val="00760906"/>
    <w:rsid w:val="00760BFD"/>
    <w:rsid w:val="00760F34"/>
    <w:rsid w:val="0076136B"/>
    <w:rsid w:val="007618AD"/>
    <w:rsid w:val="0076198A"/>
    <w:rsid w:val="007619B9"/>
    <w:rsid w:val="00761A13"/>
    <w:rsid w:val="00761BBE"/>
    <w:rsid w:val="00761C51"/>
    <w:rsid w:val="007623D5"/>
    <w:rsid w:val="00762515"/>
    <w:rsid w:val="00762977"/>
    <w:rsid w:val="00762B23"/>
    <w:rsid w:val="00762B9C"/>
    <w:rsid w:val="00763211"/>
    <w:rsid w:val="00763543"/>
    <w:rsid w:val="007635E3"/>
    <w:rsid w:val="00763702"/>
    <w:rsid w:val="00763A31"/>
    <w:rsid w:val="00764AB3"/>
    <w:rsid w:val="00764B84"/>
    <w:rsid w:val="00765D77"/>
    <w:rsid w:val="007663CD"/>
    <w:rsid w:val="007666BA"/>
    <w:rsid w:val="0076686E"/>
    <w:rsid w:val="00766B82"/>
    <w:rsid w:val="00766F32"/>
    <w:rsid w:val="00767321"/>
    <w:rsid w:val="00767E1C"/>
    <w:rsid w:val="00767E2D"/>
    <w:rsid w:val="0077006C"/>
    <w:rsid w:val="00770278"/>
    <w:rsid w:val="00770C80"/>
    <w:rsid w:val="00770F70"/>
    <w:rsid w:val="0077123E"/>
    <w:rsid w:val="0077129D"/>
    <w:rsid w:val="00771BCD"/>
    <w:rsid w:val="00771F48"/>
    <w:rsid w:val="007726FE"/>
    <w:rsid w:val="0077272F"/>
    <w:rsid w:val="00772BFF"/>
    <w:rsid w:val="00772F91"/>
    <w:rsid w:val="00773698"/>
    <w:rsid w:val="00773A4B"/>
    <w:rsid w:val="00773F41"/>
    <w:rsid w:val="0077402C"/>
    <w:rsid w:val="007758A9"/>
    <w:rsid w:val="00775C77"/>
    <w:rsid w:val="007760E2"/>
    <w:rsid w:val="00777522"/>
    <w:rsid w:val="00777BBA"/>
    <w:rsid w:val="00777D7D"/>
    <w:rsid w:val="00777FBE"/>
    <w:rsid w:val="0078004E"/>
    <w:rsid w:val="00780248"/>
    <w:rsid w:val="00780339"/>
    <w:rsid w:val="0078067F"/>
    <w:rsid w:val="00780E57"/>
    <w:rsid w:val="0078135B"/>
    <w:rsid w:val="007815AC"/>
    <w:rsid w:val="00781607"/>
    <w:rsid w:val="00781A12"/>
    <w:rsid w:val="00781B03"/>
    <w:rsid w:val="00781F0E"/>
    <w:rsid w:val="00781F0F"/>
    <w:rsid w:val="00782471"/>
    <w:rsid w:val="007825A9"/>
    <w:rsid w:val="007826D9"/>
    <w:rsid w:val="00782ECA"/>
    <w:rsid w:val="00782FD1"/>
    <w:rsid w:val="007832EE"/>
    <w:rsid w:val="0078349E"/>
    <w:rsid w:val="00783C84"/>
    <w:rsid w:val="00783F9C"/>
    <w:rsid w:val="00784123"/>
    <w:rsid w:val="007843C3"/>
    <w:rsid w:val="0078519F"/>
    <w:rsid w:val="0078580C"/>
    <w:rsid w:val="007858C2"/>
    <w:rsid w:val="007859A5"/>
    <w:rsid w:val="00785C67"/>
    <w:rsid w:val="00786567"/>
    <w:rsid w:val="007869A1"/>
    <w:rsid w:val="00786BB4"/>
    <w:rsid w:val="00786BEE"/>
    <w:rsid w:val="00786D13"/>
    <w:rsid w:val="00786E0A"/>
    <w:rsid w:val="00787263"/>
    <w:rsid w:val="00787360"/>
    <w:rsid w:val="00787848"/>
    <w:rsid w:val="00787855"/>
    <w:rsid w:val="0078785C"/>
    <w:rsid w:val="007878A8"/>
    <w:rsid w:val="007878F2"/>
    <w:rsid w:val="00787B30"/>
    <w:rsid w:val="00790195"/>
    <w:rsid w:val="0079059D"/>
    <w:rsid w:val="0079096F"/>
    <w:rsid w:val="00790A2D"/>
    <w:rsid w:val="007911F9"/>
    <w:rsid w:val="0079127E"/>
    <w:rsid w:val="00791F44"/>
    <w:rsid w:val="00792793"/>
    <w:rsid w:val="00792CED"/>
    <w:rsid w:val="00792F13"/>
    <w:rsid w:val="0079341B"/>
    <w:rsid w:val="00793726"/>
    <w:rsid w:val="00793C2C"/>
    <w:rsid w:val="0079451D"/>
    <w:rsid w:val="00794617"/>
    <w:rsid w:val="00794623"/>
    <w:rsid w:val="007946FC"/>
    <w:rsid w:val="00794A75"/>
    <w:rsid w:val="00794AE0"/>
    <w:rsid w:val="00794D53"/>
    <w:rsid w:val="00794FE2"/>
    <w:rsid w:val="00795168"/>
    <w:rsid w:val="00796366"/>
    <w:rsid w:val="00796902"/>
    <w:rsid w:val="00796D79"/>
    <w:rsid w:val="0079721A"/>
    <w:rsid w:val="00797623"/>
    <w:rsid w:val="0079796F"/>
    <w:rsid w:val="00797A35"/>
    <w:rsid w:val="007A05A2"/>
    <w:rsid w:val="007A0788"/>
    <w:rsid w:val="007A08B3"/>
    <w:rsid w:val="007A0B29"/>
    <w:rsid w:val="007A0BCD"/>
    <w:rsid w:val="007A0E46"/>
    <w:rsid w:val="007A1354"/>
    <w:rsid w:val="007A13B0"/>
    <w:rsid w:val="007A1487"/>
    <w:rsid w:val="007A14CF"/>
    <w:rsid w:val="007A1D1D"/>
    <w:rsid w:val="007A2068"/>
    <w:rsid w:val="007A25DB"/>
    <w:rsid w:val="007A2615"/>
    <w:rsid w:val="007A2E0D"/>
    <w:rsid w:val="007A3150"/>
    <w:rsid w:val="007A3184"/>
    <w:rsid w:val="007A39D0"/>
    <w:rsid w:val="007A3E2E"/>
    <w:rsid w:val="007A4508"/>
    <w:rsid w:val="007A4C5B"/>
    <w:rsid w:val="007A4FCA"/>
    <w:rsid w:val="007A55D5"/>
    <w:rsid w:val="007A5828"/>
    <w:rsid w:val="007A5935"/>
    <w:rsid w:val="007A5C25"/>
    <w:rsid w:val="007A5FCF"/>
    <w:rsid w:val="007A6098"/>
    <w:rsid w:val="007A626A"/>
    <w:rsid w:val="007A6A4A"/>
    <w:rsid w:val="007A6D3E"/>
    <w:rsid w:val="007A6DE4"/>
    <w:rsid w:val="007A6F9B"/>
    <w:rsid w:val="007A6FA4"/>
    <w:rsid w:val="007A7493"/>
    <w:rsid w:val="007A764F"/>
    <w:rsid w:val="007A78BC"/>
    <w:rsid w:val="007A7A42"/>
    <w:rsid w:val="007A7C13"/>
    <w:rsid w:val="007A7C84"/>
    <w:rsid w:val="007A7F53"/>
    <w:rsid w:val="007B008C"/>
    <w:rsid w:val="007B01E9"/>
    <w:rsid w:val="007B0726"/>
    <w:rsid w:val="007B17D9"/>
    <w:rsid w:val="007B19F2"/>
    <w:rsid w:val="007B1FAC"/>
    <w:rsid w:val="007B245F"/>
    <w:rsid w:val="007B2664"/>
    <w:rsid w:val="007B2FC1"/>
    <w:rsid w:val="007B424F"/>
    <w:rsid w:val="007B48C1"/>
    <w:rsid w:val="007B48F5"/>
    <w:rsid w:val="007B4D5C"/>
    <w:rsid w:val="007B4F5B"/>
    <w:rsid w:val="007B51D9"/>
    <w:rsid w:val="007B54D1"/>
    <w:rsid w:val="007B551F"/>
    <w:rsid w:val="007B5899"/>
    <w:rsid w:val="007B5B42"/>
    <w:rsid w:val="007B5DAC"/>
    <w:rsid w:val="007B621E"/>
    <w:rsid w:val="007B660A"/>
    <w:rsid w:val="007B6DC4"/>
    <w:rsid w:val="007B763C"/>
    <w:rsid w:val="007B7823"/>
    <w:rsid w:val="007B7AAC"/>
    <w:rsid w:val="007B7B03"/>
    <w:rsid w:val="007C07C8"/>
    <w:rsid w:val="007C097F"/>
    <w:rsid w:val="007C0AAB"/>
    <w:rsid w:val="007C17A2"/>
    <w:rsid w:val="007C2252"/>
    <w:rsid w:val="007C225B"/>
    <w:rsid w:val="007C33DC"/>
    <w:rsid w:val="007C3608"/>
    <w:rsid w:val="007C3D59"/>
    <w:rsid w:val="007C3F5A"/>
    <w:rsid w:val="007C4294"/>
    <w:rsid w:val="007C554C"/>
    <w:rsid w:val="007C57A2"/>
    <w:rsid w:val="007C5C43"/>
    <w:rsid w:val="007C6B2C"/>
    <w:rsid w:val="007C771A"/>
    <w:rsid w:val="007C7F71"/>
    <w:rsid w:val="007D0D18"/>
    <w:rsid w:val="007D111D"/>
    <w:rsid w:val="007D12A4"/>
    <w:rsid w:val="007D139F"/>
    <w:rsid w:val="007D1972"/>
    <w:rsid w:val="007D1DC6"/>
    <w:rsid w:val="007D21D1"/>
    <w:rsid w:val="007D2212"/>
    <w:rsid w:val="007D23A4"/>
    <w:rsid w:val="007D2EBB"/>
    <w:rsid w:val="007D40CE"/>
    <w:rsid w:val="007D416E"/>
    <w:rsid w:val="007D44CD"/>
    <w:rsid w:val="007D578A"/>
    <w:rsid w:val="007D58E8"/>
    <w:rsid w:val="007D597F"/>
    <w:rsid w:val="007D5A5E"/>
    <w:rsid w:val="007D5A9D"/>
    <w:rsid w:val="007D5C4C"/>
    <w:rsid w:val="007D640F"/>
    <w:rsid w:val="007D66F3"/>
    <w:rsid w:val="007D6F56"/>
    <w:rsid w:val="007D767D"/>
    <w:rsid w:val="007D7FE2"/>
    <w:rsid w:val="007E0392"/>
    <w:rsid w:val="007E0494"/>
    <w:rsid w:val="007E0922"/>
    <w:rsid w:val="007E0AB1"/>
    <w:rsid w:val="007E0B3C"/>
    <w:rsid w:val="007E1432"/>
    <w:rsid w:val="007E1444"/>
    <w:rsid w:val="007E18A5"/>
    <w:rsid w:val="007E19CE"/>
    <w:rsid w:val="007E1F70"/>
    <w:rsid w:val="007E22EE"/>
    <w:rsid w:val="007E2FD3"/>
    <w:rsid w:val="007E3124"/>
    <w:rsid w:val="007E3625"/>
    <w:rsid w:val="007E3987"/>
    <w:rsid w:val="007E3A21"/>
    <w:rsid w:val="007E3E12"/>
    <w:rsid w:val="007E3FEC"/>
    <w:rsid w:val="007E4A2C"/>
    <w:rsid w:val="007E4C62"/>
    <w:rsid w:val="007E4DBB"/>
    <w:rsid w:val="007E4FFD"/>
    <w:rsid w:val="007E5292"/>
    <w:rsid w:val="007E54A8"/>
    <w:rsid w:val="007E55F9"/>
    <w:rsid w:val="007E6018"/>
    <w:rsid w:val="007E61FA"/>
    <w:rsid w:val="007E6916"/>
    <w:rsid w:val="007E6C5B"/>
    <w:rsid w:val="007E6E0A"/>
    <w:rsid w:val="007E78F0"/>
    <w:rsid w:val="007E7B20"/>
    <w:rsid w:val="007E7E45"/>
    <w:rsid w:val="007F08B8"/>
    <w:rsid w:val="007F0BC6"/>
    <w:rsid w:val="007F0C49"/>
    <w:rsid w:val="007F12F8"/>
    <w:rsid w:val="007F136F"/>
    <w:rsid w:val="007F1605"/>
    <w:rsid w:val="007F19B4"/>
    <w:rsid w:val="007F1C5E"/>
    <w:rsid w:val="007F1E69"/>
    <w:rsid w:val="007F1E6C"/>
    <w:rsid w:val="007F213D"/>
    <w:rsid w:val="007F2244"/>
    <w:rsid w:val="007F276C"/>
    <w:rsid w:val="007F298E"/>
    <w:rsid w:val="007F2D4E"/>
    <w:rsid w:val="007F30C5"/>
    <w:rsid w:val="007F339F"/>
    <w:rsid w:val="007F3839"/>
    <w:rsid w:val="007F392B"/>
    <w:rsid w:val="007F42CC"/>
    <w:rsid w:val="007F47F8"/>
    <w:rsid w:val="007F4F81"/>
    <w:rsid w:val="007F515E"/>
    <w:rsid w:val="007F53DF"/>
    <w:rsid w:val="007F5448"/>
    <w:rsid w:val="007F5664"/>
    <w:rsid w:val="007F585A"/>
    <w:rsid w:val="007F5939"/>
    <w:rsid w:val="007F5B8A"/>
    <w:rsid w:val="007F6028"/>
    <w:rsid w:val="007F6099"/>
    <w:rsid w:val="007F612F"/>
    <w:rsid w:val="007F622F"/>
    <w:rsid w:val="007F6A1A"/>
    <w:rsid w:val="007F6EDC"/>
    <w:rsid w:val="007F7612"/>
    <w:rsid w:val="007F7978"/>
    <w:rsid w:val="007F7A36"/>
    <w:rsid w:val="00800127"/>
    <w:rsid w:val="00800435"/>
    <w:rsid w:val="00800C7F"/>
    <w:rsid w:val="00800D08"/>
    <w:rsid w:val="00800F22"/>
    <w:rsid w:val="00800F89"/>
    <w:rsid w:val="0080238F"/>
    <w:rsid w:val="00802FFB"/>
    <w:rsid w:val="008037F4"/>
    <w:rsid w:val="00803AC9"/>
    <w:rsid w:val="008041C1"/>
    <w:rsid w:val="0080473F"/>
    <w:rsid w:val="00804908"/>
    <w:rsid w:val="0080506C"/>
    <w:rsid w:val="0080631D"/>
    <w:rsid w:val="00806F63"/>
    <w:rsid w:val="008078A3"/>
    <w:rsid w:val="00807A54"/>
    <w:rsid w:val="00807A97"/>
    <w:rsid w:val="00810AD9"/>
    <w:rsid w:val="00810D0C"/>
    <w:rsid w:val="00811694"/>
    <w:rsid w:val="00811BAC"/>
    <w:rsid w:val="00811C6F"/>
    <w:rsid w:val="00811CE9"/>
    <w:rsid w:val="0081287D"/>
    <w:rsid w:val="00812A22"/>
    <w:rsid w:val="00812A25"/>
    <w:rsid w:val="00812A8A"/>
    <w:rsid w:val="00812B59"/>
    <w:rsid w:val="0081319A"/>
    <w:rsid w:val="008133B4"/>
    <w:rsid w:val="008135A0"/>
    <w:rsid w:val="008137C8"/>
    <w:rsid w:val="00813843"/>
    <w:rsid w:val="00813E6B"/>
    <w:rsid w:val="008143F2"/>
    <w:rsid w:val="008144DC"/>
    <w:rsid w:val="00814A76"/>
    <w:rsid w:val="0081546B"/>
    <w:rsid w:val="008156C5"/>
    <w:rsid w:val="008159A8"/>
    <w:rsid w:val="0081619C"/>
    <w:rsid w:val="0081646A"/>
    <w:rsid w:val="00816E8D"/>
    <w:rsid w:val="00817422"/>
    <w:rsid w:val="008177B9"/>
    <w:rsid w:val="0081798F"/>
    <w:rsid w:val="00817E5F"/>
    <w:rsid w:val="0082056C"/>
    <w:rsid w:val="00820594"/>
    <w:rsid w:val="00820646"/>
    <w:rsid w:val="00820790"/>
    <w:rsid w:val="008207C2"/>
    <w:rsid w:val="00820BDC"/>
    <w:rsid w:val="00820BE9"/>
    <w:rsid w:val="00820E68"/>
    <w:rsid w:val="008215A2"/>
    <w:rsid w:val="008218A4"/>
    <w:rsid w:val="00821AA1"/>
    <w:rsid w:val="00821DC4"/>
    <w:rsid w:val="00821EA2"/>
    <w:rsid w:val="008221EB"/>
    <w:rsid w:val="00822205"/>
    <w:rsid w:val="0082279B"/>
    <w:rsid w:val="008232B5"/>
    <w:rsid w:val="008232D4"/>
    <w:rsid w:val="0082331D"/>
    <w:rsid w:val="00823A44"/>
    <w:rsid w:val="00823A4F"/>
    <w:rsid w:val="008246D7"/>
    <w:rsid w:val="00824A98"/>
    <w:rsid w:val="0082537F"/>
    <w:rsid w:val="008253AC"/>
    <w:rsid w:val="00825404"/>
    <w:rsid w:val="008256B4"/>
    <w:rsid w:val="00825B54"/>
    <w:rsid w:val="00825B89"/>
    <w:rsid w:val="00826558"/>
    <w:rsid w:val="00826588"/>
    <w:rsid w:val="00826828"/>
    <w:rsid w:val="00826A77"/>
    <w:rsid w:val="00826C44"/>
    <w:rsid w:val="0082768A"/>
    <w:rsid w:val="00827AEB"/>
    <w:rsid w:val="008302A6"/>
    <w:rsid w:val="00830AD3"/>
    <w:rsid w:val="00830F0E"/>
    <w:rsid w:val="0083254B"/>
    <w:rsid w:val="008325A9"/>
    <w:rsid w:val="008328CB"/>
    <w:rsid w:val="008331CD"/>
    <w:rsid w:val="00833418"/>
    <w:rsid w:val="008335D0"/>
    <w:rsid w:val="008336F4"/>
    <w:rsid w:val="00833A21"/>
    <w:rsid w:val="00833F75"/>
    <w:rsid w:val="008340B3"/>
    <w:rsid w:val="00834199"/>
    <w:rsid w:val="00834254"/>
    <w:rsid w:val="00834503"/>
    <w:rsid w:val="00834D65"/>
    <w:rsid w:val="0083506F"/>
    <w:rsid w:val="008351D7"/>
    <w:rsid w:val="008351DE"/>
    <w:rsid w:val="00835A4E"/>
    <w:rsid w:val="00835FE6"/>
    <w:rsid w:val="00837521"/>
    <w:rsid w:val="0084029C"/>
    <w:rsid w:val="00840986"/>
    <w:rsid w:val="00840E41"/>
    <w:rsid w:val="00840FD3"/>
    <w:rsid w:val="0084152A"/>
    <w:rsid w:val="00841C28"/>
    <w:rsid w:val="0084253B"/>
    <w:rsid w:val="0084268E"/>
    <w:rsid w:val="00842824"/>
    <w:rsid w:val="008432FE"/>
    <w:rsid w:val="00843373"/>
    <w:rsid w:val="00843888"/>
    <w:rsid w:val="00843DA2"/>
    <w:rsid w:val="008444ED"/>
    <w:rsid w:val="0084471C"/>
    <w:rsid w:val="008447EF"/>
    <w:rsid w:val="00844ACC"/>
    <w:rsid w:val="008452DA"/>
    <w:rsid w:val="00845659"/>
    <w:rsid w:val="00845CE8"/>
    <w:rsid w:val="00846036"/>
    <w:rsid w:val="008466EC"/>
    <w:rsid w:val="00846933"/>
    <w:rsid w:val="00846BF0"/>
    <w:rsid w:val="008470CE"/>
    <w:rsid w:val="0084766A"/>
    <w:rsid w:val="0084770F"/>
    <w:rsid w:val="00850057"/>
    <w:rsid w:val="008500EC"/>
    <w:rsid w:val="0085038B"/>
    <w:rsid w:val="00850531"/>
    <w:rsid w:val="00851610"/>
    <w:rsid w:val="00851996"/>
    <w:rsid w:val="00851E59"/>
    <w:rsid w:val="00851FA7"/>
    <w:rsid w:val="0085234A"/>
    <w:rsid w:val="00852893"/>
    <w:rsid w:val="008528E4"/>
    <w:rsid w:val="00852E00"/>
    <w:rsid w:val="0085307F"/>
    <w:rsid w:val="00853B07"/>
    <w:rsid w:val="00854591"/>
    <w:rsid w:val="00854974"/>
    <w:rsid w:val="00854B8F"/>
    <w:rsid w:val="00854E1C"/>
    <w:rsid w:val="00855368"/>
    <w:rsid w:val="008553B6"/>
    <w:rsid w:val="00855AE6"/>
    <w:rsid w:val="00855C75"/>
    <w:rsid w:val="00855D08"/>
    <w:rsid w:val="00855F80"/>
    <w:rsid w:val="0085631E"/>
    <w:rsid w:val="00856B10"/>
    <w:rsid w:val="00856C72"/>
    <w:rsid w:val="00856E39"/>
    <w:rsid w:val="00857424"/>
    <w:rsid w:val="00857EE2"/>
    <w:rsid w:val="008600EB"/>
    <w:rsid w:val="00860184"/>
    <w:rsid w:val="0086078B"/>
    <w:rsid w:val="00860881"/>
    <w:rsid w:val="0086100F"/>
    <w:rsid w:val="00861221"/>
    <w:rsid w:val="0086172A"/>
    <w:rsid w:val="008617B6"/>
    <w:rsid w:val="0086191A"/>
    <w:rsid w:val="008619C9"/>
    <w:rsid w:val="008634F6"/>
    <w:rsid w:val="008638F6"/>
    <w:rsid w:val="00863CF0"/>
    <w:rsid w:val="00863FAE"/>
    <w:rsid w:val="00864D72"/>
    <w:rsid w:val="008651BD"/>
    <w:rsid w:val="00865360"/>
    <w:rsid w:val="00865506"/>
    <w:rsid w:val="00865818"/>
    <w:rsid w:val="00865FD0"/>
    <w:rsid w:val="008663B4"/>
    <w:rsid w:val="00866739"/>
    <w:rsid w:val="008674D0"/>
    <w:rsid w:val="008678B5"/>
    <w:rsid w:val="008679D8"/>
    <w:rsid w:val="008705B3"/>
    <w:rsid w:val="00870A40"/>
    <w:rsid w:val="00871057"/>
    <w:rsid w:val="008713CE"/>
    <w:rsid w:val="00871442"/>
    <w:rsid w:val="0087157C"/>
    <w:rsid w:val="00871C4C"/>
    <w:rsid w:val="0087225D"/>
    <w:rsid w:val="00872311"/>
    <w:rsid w:val="00872A9D"/>
    <w:rsid w:val="00873509"/>
    <w:rsid w:val="00873727"/>
    <w:rsid w:val="00873BBE"/>
    <w:rsid w:val="00874212"/>
    <w:rsid w:val="008744CE"/>
    <w:rsid w:val="00874808"/>
    <w:rsid w:val="00875783"/>
    <w:rsid w:val="00875949"/>
    <w:rsid w:val="00875C67"/>
    <w:rsid w:val="00875E03"/>
    <w:rsid w:val="00876189"/>
    <w:rsid w:val="008764FC"/>
    <w:rsid w:val="00876736"/>
    <w:rsid w:val="00876DF8"/>
    <w:rsid w:val="00877BCF"/>
    <w:rsid w:val="00877C04"/>
    <w:rsid w:val="00877C12"/>
    <w:rsid w:val="00877D7B"/>
    <w:rsid w:val="0088045C"/>
    <w:rsid w:val="008804BD"/>
    <w:rsid w:val="00880F52"/>
    <w:rsid w:val="00881090"/>
    <w:rsid w:val="008811F4"/>
    <w:rsid w:val="00881B43"/>
    <w:rsid w:val="008820B9"/>
    <w:rsid w:val="008820F8"/>
    <w:rsid w:val="008822CB"/>
    <w:rsid w:val="008823A3"/>
    <w:rsid w:val="00883301"/>
    <w:rsid w:val="00883A9D"/>
    <w:rsid w:val="00884329"/>
    <w:rsid w:val="00884876"/>
    <w:rsid w:val="00884E9E"/>
    <w:rsid w:val="00885028"/>
    <w:rsid w:val="00885373"/>
    <w:rsid w:val="008856BD"/>
    <w:rsid w:val="00885D04"/>
    <w:rsid w:val="00886C43"/>
    <w:rsid w:val="00887206"/>
    <w:rsid w:val="008872CB"/>
    <w:rsid w:val="0088781C"/>
    <w:rsid w:val="00887C62"/>
    <w:rsid w:val="0089015D"/>
    <w:rsid w:val="008902DA"/>
    <w:rsid w:val="00890875"/>
    <w:rsid w:val="00890F3B"/>
    <w:rsid w:val="0089104B"/>
    <w:rsid w:val="0089107E"/>
    <w:rsid w:val="008912F9"/>
    <w:rsid w:val="00891BA0"/>
    <w:rsid w:val="00891BE6"/>
    <w:rsid w:val="00891C71"/>
    <w:rsid w:val="00891C8A"/>
    <w:rsid w:val="00892206"/>
    <w:rsid w:val="0089225B"/>
    <w:rsid w:val="0089242E"/>
    <w:rsid w:val="00892634"/>
    <w:rsid w:val="008928AB"/>
    <w:rsid w:val="0089405B"/>
    <w:rsid w:val="00894219"/>
    <w:rsid w:val="00894264"/>
    <w:rsid w:val="008948AC"/>
    <w:rsid w:val="00894953"/>
    <w:rsid w:val="0089541E"/>
    <w:rsid w:val="00895866"/>
    <w:rsid w:val="00896134"/>
    <w:rsid w:val="00896979"/>
    <w:rsid w:val="00896B2C"/>
    <w:rsid w:val="00897013"/>
    <w:rsid w:val="0089738C"/>
    <w:rsid w:val="0089781E"/>
    <w:rsid w:val="00897F8B"/>
    <w:rsid w:val="008A017A"/>
    <w:rsid w:val="008A03AF"/>
    <w:rsid w:val="008A04D5"/>
    <w:rsid w:val="008A07C4"/>
    <w:rsid w:val="008A15E7"/>
    <w:rsid w:val="008A1642"/>
    <w:rsid w:val="008A18B3"/>
    <w:rsid w:val="008A1AE6"/>
    <w:rsid w:val="008A1C75"/>
    <w:rsid w:val="008A23A5"/>
    <w:rsid w:val="008A2886"/>
    <w:rsid w:val="008A298D"/>
    <w:rsid w:val="008A2B11"/>
    <w:rsid w:val="008A2C83"/>
    <w:rsid w:val="008A2E7F"/>
    <w:rsid w:val="008A3083"/>
    <w:rsid w:val="008A34BB"/>
    <w:rsid w:val="008A3C1A"/>
    <w:rsid w:val="008A40D2"/>
    <w:rsid w:val="008A4602"/>
    <w:rsid w:val="008A4694"/>
    <w:rsid w:val="008A4727"/>
    <w:rsid w:val="008A47A0"/>
    <w:rsid w:val="008A48E0"/>
    <w:rsid w:val="008A4A3B"/>
    <w:rsid w:val="008A4A46"/>
    <w:rsid w:val="008A512F"/>
    <w:rsid w:val="008A5973"/>
    <w:rsid w:val="008A59FD"/>
    <w:rsid w:val="008A5BD2"/>
    <w:rsid w:val="008A5E9A"/>
    <w:rsid w:val="008A643C"/>
    <w:rsid w:val="008A6661"/>
    <w:rsid w:val="008A6A42"/>
    <w:rsid w:val="008A6B94"/>
    <w:rsid w:val="008A7477"/>
    <w:rsid w:val="008A758B"/>
    <w:rsid w:val="008A7707"/>
    <w:rsid w:val="008A790A"/>
    <w:rsid w:val="008A7A6F"/>
    <w:rsid w:val="008A7F58"/>
    <w:rsid w:val="008B0BA0"/>
    <w:rsid w:val="008B0C52"/>
    <w:rsid w:val="008B1601"/>
    <w:rsid w:val="008B1A0E"/>
    <w:rsid w:val="008B1C64"/>
    <w:rsid w:val="008B1D8F"/>
    <w:rsid w:val="008B279B"/>
    <w:rsid w:val="008B3725"/>
    <w:rsid w:val="008B38B9"/>
    <w:rsid w:val="008B3BCF"/>
    <w:rsid w:val="008B3E3F"/>
    <w:rsid w:val="008B3F5D"/>
    <w:rsid w:val="008B440A"/>
    <w:rsid w:val="008B4692"/>
    <w:rsid w:val="008B4B59"/>
    <w:rsid w:val="008B4D8E"/>
    <w:rsid w:val="008B4E01"/>
    <w:rsid w:val="008B4E4E"/>
    <w:rsid w:val="008B5091"/>
    <w:rsid w:val="008B51D1"/>
    <w:rsid w:val="008B52E2"/>
    <w:rsid w:val="008B54DE"/>
    <w:rsid w:val="008B5AD3"/>
    <w:rsid w:val="008B6211"/>
    <w:rsid w:val="008B6243"/>
    <w:rsid w:val="008B747B"/>
    <w:rsid w:val="008B789D"/>
    <w:rsid w:val="008B7D23"/>
    <w:rsid w:val="008B7DAD"/>
    <w:rsid w:val="008B7DB5"/>
    <w:rsid w:val="008C00BB"/>
    <w:rsid w:val="008C0A30"/>
    <w:rsid w:val="008C0C46"/>
    <w:rsid w:val="008C0C73"/>
    <w:rsid w:val="008C12B3"/>
    <w:rsid w:val="008C1876"/>
    <w:rsid w:val="008C19D8"/>
    <w:rsid w:val="008C1D5F"/>
    <w:rsid w:val="008C20C8"/>
    <w:rsid w:val="008C22EB"/>
    <w:rsid w:val="008C25CC"/>
    <w:rsid w:val="008C2758"/>
    <w:rsid w:val="008C2B33"/>
    <w:rsid w:val="008C3B5D"/>
    <w:rsid w:val="008C3D10"/>
    <w:rsid w:val="008C3ED2"/>
    <w:rsid w:val="008C4C04"/>
    <w:rsid w:val="008C5337"/>
    <w:rsid w:val="008C5691"/>
    <w:rsid w:val="008C58BC"/>
    <w:rsid w:val="008C5AC9"/>
    <w:rsid w:val="008C5CA5"/>
    <w:rsid w:val="008C5E1F"/>
    <w:rsid w:val="008C6649"/>
    <w:rsid w:val="008C6A91"/>
    <w:rsid w:val="008C6BBB"/>
    <w:rsid w:val="008C73D2"/>
    <w:rsid w:val="008C75A4"/>
    <w:rsid w:val="008C7950"/>
    <w:rsid w:val="008C79FC"/>
    <w:rsid w:val="008C7C93"/>
    <w:rsid w:val="008C7DFC"/>
    <w:rsid w:val="008C7F6C"/>
    <w:rsid w:val="008D0359"/>
    <w:rsid w:val="008D0DC0"/>
    <w:rsid w:val="008D0DEC"/>
    <w:rsid w:val="008D0FEE"/>
    <w:rsid w:val="008D11BE"/>
    <w:rsid w:val="008D15FB"/>
    <w:rsid w:val="008D193F"/>
    <w:rsid w:val="008D1E40"/>
    <w:rsid w:val="008D1FF9"/>
    <w:rsid w:val="008D2005"/>
    <w:rsid w:val="008D2449"/>
    <w:rsid w:val="008D2979"/>
    <w:rsid w:val="008D2E87"/>
    <w:rsid w:val="008D30F8"/>
    <w:rsid w:val="008D3398"/>
    <w:rsid w:val="008D3475"/>
    <w:rsid w:val="008D38EF"/>
    <w:rsid w:val="008D39DE"/>
    <w:rsid w:val="008D4068"/>
    <w:rsid w:val="008D4811"/>
    <w:rsid w:val="008D4860"/>
    <w:rsid w:val="008D4931"/>
    <w:rsid w:val="008D4E4F"/>
    <w:rsid w:val="008D531A"/>
    <w:rsid w:val="008D560A"/>
    <w:rsid w:val="008D5BBC"/>
    <w:rsid w:val="008D5D5E"/>
    <w:rsid w:val="008D63F3"/>
    <w:rsid w:val="008D69D1"/>
    <w:rsid w:val="008D6D20"/>
    <w:rsid w:val="008E01E3"/>
    <w:rsid w:val="008E0232"/>
    <w:rsid w:val="008E043C"/>
    <w:rsid w:val="008E04D1"/>
    <w:rsid w:val="008E0515"/>
    <w:rsid w:val="008E0811"/>
    <w:rsid w:val="008E1413"/>
    <w:rsid w:val="008E1876"/>
    <w:rsid w:val="008E1904"/>
    <w:rsid w:val="008E1BA4"/>
    <w:rsid w:val="008E21A5"/>
    <w:rsid w:val="008E2369"/>
    <w:rsid w:val="008E318A"/>
    <w:rsid w:val="008E32B2"/>
    <w:rsid w:val="008E357D"/>
    <w:rsid w:val="008E3B2B"/>
    <w:rsid w:val="008E3D41"/>
    <w:rsid w:val="008E3FFE"/>
    <w:rsid w:val="008E4128"/>
    <w:rsid w:val="008E46E8"/>
    <w:rsid w:val="008E498F"/>
    <w:rsid w:val="008E4B7A"/>
    <w:rsid w:val="008E4CBE"/>
    <w:rsid w:val="008E578C"/>
    <w:rsid w:val="008E5E41"/>
    <w:rsid w:val="008E60D4"/>
    <w:rsid w:val="008E6469"/>
    <w:rsid w:val="008E681F"/>
    <w:rsid w:val="008E684B"/>
    <w:rsid w:val="008E6DEE"/>
    <w:rsid w:val="008E6DFC"/>
    <w:rsid w:val="008E6EEA"/>
    <w:rsid w:val="008E7039"/>
    <w:rsid w:val="008E70E4"/>
    <w:rsid w:val="008E73E8"/>
    <w:rsid w:val="008E7C13"/>
    <w:rsid w:val="008F042B"/>
    <w:rsid w:val="008F10D9"/>
    <w:rsid w:val="008F1373"/>
    <w:rsid w:val="008F19D4"/>
    <w:rsid w:val="008F1E74"/>
    <w:rsid w:val="008F2573"/>
    <w:rsid w:val="008F262D"/>
    <w:rsid w:val="008F2678"/>
    <w:rsid w:val="008F2B86"/>
    <w:rsid w:val="008F2CD1"/>
    <w:rsid w:val="008F2E92"/>
    <w:rsid w:val="008F314D"/>
    <w:rsid w:val="008F33AC"/>
    <w:rsid w:val="008F3616"/>
    <w:rsid w:val="008F3937"/>
    <w:rsid w:val="008F3CBC"/>
    <w:rsid w:val="008F3E6A"/>
    <w:rsid w:val="008F43EE"/>
    <w:rsid w:val="008F4468"/>
    <w:rsid w:val="008F49F1"/>
    <w:rsid w:val="008F4A4E"/>
    <w:rsid w:val="008F5024"/>
    <w:rsid w:val="008F50F0"/>
    <w:rsid w:val="008F5402"/>
    <w:rsid w:val="008F54CF"/>
    <w:rsid w:val="008F55F7"/>
    <w:rsid w:val="008F6193"/>
    <w:rsid w:val="008F6306"/>
    <w:rsid w:val="008F652E"/>
    <w:rsid w:val="008F68E2"/>
    <w:rsid w:val="008F6950"/>
    <w:rsid w:val="008F6D05"/>
    <w:rsid w:val="008F6DDA"/>
    <w:rsid w:val="008F7311"/>
    <w:rsid w:val="008F7359"/>
    <w:rsid w:val="008F7376"/>
    <w:rsid w:val="008F74F5"/>
    <w:rsid w:val="008F769D"/>
    <w:rsid w:val="008F7A2B"/>
    <w:rsid w:val="00900064"/>
    <w:rsid w:val="009003C0"/>
    <w:rsid w:val="00900740"/>
    <w:rsid w:val="00900972"/>
    <w:rsid w:val="009009C0"/>
    <w:rsid w:val="00900A66"/>
    <w:rsid w:val="0090163A"/>
    <w:rsid w:val="0090216B"/>
    <w:rsid w:val="009024F9"/>
    <w:rsid w:val="00902626"/>
    <w:rsid w:val="00902821"/>
    <w:rsid w:val="00902C71"/>
    <w:rsid w:val="009030DC"/>
    <w:rsid w:val="009031CA"/>
    <w:rsid w:val="00903470"/>
    <w:rsid w:val="00903600"/>
    <w:rsid w:val="009036B1"/>
    <w:rsid w:val="00903992"/>
    <w:rsid w:val="00903C62"/>
    <w:rsid w:val="00903EC1"/>
    <w:rsid w:val="0090408C"/>
    <w:rsid w:val="00904621"/>
    <w:rsid w:val="00904903"/>
    <w:rsid w:val="00904CE6"/>
    <w:rsid w:val="00905626"/>
    <w:rsid w:val="009076AE"/>
    <w:rsid w:val="00907C3A"/>
    <w:rsid w:val="0091064B"/>
    <w:rsid w:val="0091103B"/>
    <w:rsid w:val="0091105D"/>
    <w:rsid w:val="009113A0"/>
    <w:rsid w:val="00912106"/>
    <w:rsid w:val="00912370"/>
    <w:rsid w:val="00912A9A"/>
    <w:rsid w:val="00913394"/>
    <w:rsid w:val="00913860"/>
    <w:rsid w:val="00913EDF"/>
    <w:rsid w:val="00914198"/>
    <w:rsid w:val="00914318"/>
    <w:rsid w:val="0091487C"/>
    <w:rsid w:val="00914DE3"/>
    <w:rsid w:val="00914FD3"/>
    <w:rsid w:val="00915655"/>
    <w:rsid w:val="00915C5B"/>
    <w:rsid w:val="00916B3D"/>
    <w:rsid w:val="00916B46"/>
    <w:rsid w:val="009170C7"/>
    <w:rsid w:val="009176B5"/>
    <w:rsid w:val="00917804"/>
    <w:rsid w:val="00917A50"/>
    <w:rsid w:val="00917F1C"/>
    <w:rsid w:val="00920A12"/>
    <w:rsid w:val="00920A37"/>
    <w:rsid w:val="009214A6"/>
    <w:rsid w:val="00921964"/>
    <w:rsid w:val="00921A46"/>
    <w:rsid w:val="00921EF6"/>
    <w:rsid w:val="00922069"/>
    <w:rsid w:val="0092253E"/>
    <w:rsid w:val="00922A16"/>
    <w:rsid w:val="009230FD"/>
    <w:rsid w:val="0092448B"/>
    <w:rsid w:val="009244D6"/>
    <w:rsid w:val="0092485D"/>
    <w:rsid w:val="00924D28"/>
    <w:rsid w:val="00924F5B"/>
    <w:rsid w:val="00925C95"/>
    <w:rsid w:val="00926225"/>
    <w:rsid w:val="00926327"/>
    <w:rsid w:val="009266E9"/>
    <w:rsid w:val="009268CA"/>
    <w:rsid w:val="0092748A"/>
    <w:rsid w:val="009274E1"/>
    <w:rsid w:val="00927949"/>
    <w:rsid w:val="00927D34"/>
    <w:rsid w:val="00930714"/>
    <w:rsid w:val="00930A7E"/>
    <w:rsid w:val="009314F0"/>
    <w:rsid w:val="00931B5E"/>
    <w:rsid w:val="00931FD9"/>
    <w:rsid w:val="0093212F"/>
    <w:rsid w:val="00932368"/>
    <w:rsid w:val="009329A6"/>
    <w:rsid w:val="00932C8D"/>
    <w:rsid w:val="00932F53"/>
    <w:rsid w:val="0093303A"/>
    <w:rsid w:val="0093303D"/>
    <w:rsid w:val="00933CA0"/>
    <w:rsid w:val="009345B9"/>
    <w:rsid w:val="00934C4E"/>
    <w:rsid w:val="00934F5C"/>
    <w:rsid w:val="00935349"/>
    <w:rsid w:val="0093583B"/>
    <w:rsid w:val="00935B47"/>
    <w:rsid w:val="009361C0"/>
    <w:rsid w:val="00936270"/>
    <w:rsid w:val="0093657D"/>
    <w:rsid w:val="00936969"/>
    <w:rsid w:val="00936D9C"/>
    <w:rsid w:val="0094001E"/>
    <w:rsid w:val="009400B0"/>
    <w:rsid w:val="009405A8"/>
    <w:rsid w:val="00940852"/>
    <w:rsid w:val="00941B33"/>
    <w:rsid w:val="00941F7C"/>
    <w:rsid w:val="0094283F"/>
    <w:rsid w:val="00942B51"/>
    <w:rsid w:val="00943124"/>
    <w:rsid w:val="00943793"/>
    <w:rsid w:val="00943960"/>
    <w:rsid w:val="009444DA"/>
    <w:rsid w:val="0094489C"/>
    <w:rsid w:val="00944DD9"/>
    <w:rsid w:val="00944F04"/>
    <w:rsid w:val="00945048"/>
    <w:rsid w:val="0094529B"/>
    <w:rsid w:val="00945604"/>
    <w:rsid w:val="0094561F"/>
    <w:rsid w:val="00945CEB"/>
    <w:rsid w:val="009465F8"/>
    <w:rsid w:val="009469FE"/>
    <w:rsid w:val="00946A8E"/>
    <w:rsid w:val="0094761E"/>
    <w:rsid w:val="00947BA5"/>
    <w:rsid w:val="00947D61"/>
    <w:rsid w:val="00947D8D"/>
    <w:rsid w:val="00947DB4"/>
    <w:rsid w:val="00947E79"/>
    <w:rsid w:val="009500DD"/>
    <w:rsid w:val="00950288"/>
    <w:rsid w:val="00950ABA"/>
    <w:rsid w:val="009519AC"/>
    <w:rsid w:val="00951C3D"/>
    <w:rsid w:val="0095203C"/>
    <w:rsid w:val="00952198"/>
    <w:rsid w:val="00952534"/>
    <w:rsid w:val="009526C8"/>
    <w:rsid w:val="00952936"/>
    <w:rsid w:val="00952CD9"/>
    <w:rsid w:val="00952EE4"/>
    <w:rsid w:val="009534EE"/>
    <w:rsid w:val="0095377F"/>
    <w:rsid w:val="00953815"/>
    <w:rsid w:val="009539AC"/>
    <w:rsid w:val="009539ED"/>
    <w:rsid w:val="00953F0F"/>
    <w:rsid w:val="00954264"/>
    <w:rsid w:val="0095426F"/>
    <w:rsid w:val="009544D1"/>
    <w:rsid w:val="00954689"/>
    <w:rsid w:val="00954C14"/>
    <w:rsid w:val="009550AE"/>
    <w:rsid w:val="009556C4"/>
    <w:rsid w:val="009558C7"/>
    <w:rsid w:val="00955AC4"/>
    <w:rsid w:val="00955B2E"/>
    <w:rsid w:val="00955CA6"/>
    <w:rsid w:val="00956181"/>
    <w:rsid w:val="009568C0"/>
    <w:rsid w:val="00956D06"/>
    <w:rsid w:val="00956D41"/>
    <w:rsid w:val="00956DC3"/>
    <w:rsid w:val="0095703C"/>
    <w:rsid w:val="0095705F"/>
    <w:rsid w:val="009570FB"/>
    <w:rsid w:val="009577F0"/>
    <w:rsid w:val="00957864"/>
    <w:rsid w:val="00957C15"/>
    <w:rsid w:val="00960092"/>
    <w:rsid w:val="0096026C"/>
    <w:rsid w:val="00960513"/>
    <w:rsid w:val="009608F2"/>
    <w:rsid w:val="00960CAB"/>
    <w:rsid w:val="00960CAD"/>
    <w:rsid w:val="009613C9"/>
    <w:rsid w:val="00961945"/>
    <w:rsid w:val="00961AB4"/>
    <w:rsid w:val="00961BCA"/>
    <w:rsid w:val="00961DCD"/>
    <w:rsid w:val="0096299B"/>
    <w:rsid w:val="00962A4E"/>
    <w:rsid w:val="00962AFF"/>
    <w:rsid w:val="009631B3"/>
    <w:rsid w:val="009638FC"/>
    <w:rsid w:val="00963C2E"/>
    <w:rsid w:val="009640DD"/>
    <w:rsid w:val="00964AA8"/>
    <w:rsid w:val="009652B6"/>
    <w:rsid w:val="00965517"/>
    <w:rsid w:val="009655E0"/>
    <w:rsid w:val="0096573C"/>
    <w:rsid w:val="00965A85"/>
    <w:rsid w:val="00965FBF"/>
    <w:rsid w:val="0096682D"/>
    <w:rsid w:val="00966BC6"/>
    <w:rsid w:val="00967114"/>
    <w:rsid w:val="009671C8"/>
    <w:rsid w:val="00967DB7"/>
    <w:rsid w:val="0097002C"/>
    <w:rsid w:val="009700F6"/>
    <w:rsid w:val="00970784"/>
    <w:rsid w:val="00970D8D"/>
    <w:rsid w:val="009715A0"/>
    <w:rsid w:val="0097185B"/>
    <w:rsid w:val="00971F99"/>
    <w:rsid w:val="00972100"/>
    <w:rsid w:val="009722D8"/>
    <w:rsid w:val="009725CF"/>
    <w:rsid w:val="0097261C"/>
    <w:rsid w:val="00972ACA"/>
    <w:rsid w:val="00973027"/>
    <w:rsid w:val="0097310A"/>
    <w:rsid w:val="009739B8"/>
    <w:rsid w:val="00973B9B"/>
    <w:rsid w:val="00973F1B"/>
    <w:rsid w:val="00974135"/>
    <w:rsid w:val="00974533"/>
    <w:rsid w:val="009745F3"/>
    <w:rsid w:val="009755A5"/>
    <w:rsid w:val="009757B9"/>
    <w:rsid w:val="00975C49"/>
    <w:rsid w:val="00976225"/>
    <w:rsid w:val="009763A1"/>
    <w:rsid w:val="00976721"/>
    <w:rsid w:val="009770A9"/>
    <w:rsid w:val="00977D9B"/>
    <w:rsid w:val="00977FF5"/>
    <w:rsid w:val="009806F0"/>
    <w:rsid w:val="009808FC"/>
    <w:rsid w:val="00980C54"/>
    <w:rsid w:val="00980C6D"/>
    <w:rsid w:val="0098101A"/>
    <w:rsid w:val="0098139E"/>
    <w:rsid w:val="00981438"/>
    <w:rsid w:val="0098167E"/>
    <w:rsid w:val="00981B00"/>
    <w:rsid w:val="00982EBD"/>
    <w:rsid w:val="00982F85"/>
    <w:rsid w:val="0098342F"/>
    <w:rsid w:val="00983581"/>
    <w:rsid w:val="00983751"/>
    <w:rsid w:val="00984B06"/>
    <w:rsid w:val="00985339"/>
    <w:rsid w:val="00985695"/>
    <w:rsid w:val="00985BA7"/>
    <w:rsid w:val="00985DFC"/>
    <w:rsid w:val="00986ABF"/>
    <w:rsid w:val="00986DA6"/>
    <w:rsid w:val="00986EBF"/>
    <w:rsid w:val="0098747E"/>
    <w:rsid w:val="00987B5B"/>
    <w:rsid w:val="00987BCD"/>
    <w:rsid w:val="0099068C"/>
    <w:rsid w:val="0099097D"/>
    <w:rsid w:val="00990A85"/>
    <w:rsid w:val="00991415"/>
    <w:rsid w:val="0099158A"/>
    <w:rsid w:val="00991673"/>
    <w:rsid w:val="009916A6"/>
    <w:rsid w:val="009919B2"/>
    <w:rsid w:val="00991C86"/>
    <w:rsid w:val="00991FC8"/>
    <w:rsid w:val="009924AF"/>
    <w:rsid w:val="009927CC"/>
    <w:rsid w:val="00992AEF"/>
    <w:rsid w:val="00992F66"/>
    <w:rsid w:val="00992FEF"/>
    <w:rsid w:val="00993A92"/>
    <w:rsid w:val="00993ABE"/>
    <w:rsid w:val="00993C18"/>
    <w:rsid w:val="009947C4"/>
    <w:rsid w:val="00994B68"/>
    <w:rsid w:val="00994C81"/>
    <w:rsid w:val="00994DA6"/>
    <w:rsid w:val="00994DB2"/>
    <w:rsid w:val="00994FBA"/>
    <w:rsid w:val="00995114"/>
    <w:rsid w:val="00995879"/>
    <w:rsid w:val="00995E6A"/>
    <w:rsid w:val="00996252"/>
    <w:rsid w:val="009964B7"/>
    <w:rsid w:val="009968A6"/>
    <w:rsid w:val="009979C0"/>
    <w:rsid w:val="00997B1F"/>
    <w:rsid w:val="00997EB9"/>
    <w:rsid w:val="009A00C0"/>
    <w:rsid w:val="009A0492"/>
    <w:rsid w:val="009A073C"/>
    <w:rsid w:val="009A0774"/>
    <w:rsid w:val="009A0BB6"/>
    <w:rsid w:val="009A112A"/>
    <w:rsid w:val="009A12E1"/>
    <w:rsid w:val="009A23D3"/>
    <w:rsid w:val="009A2E30"/>
    <w:rsid w:val="009A36C1"/>
    <w:rsid w:val="009A3890"/>
    <w:rsid w:val="009A4AFB"/>
    <w:rsid w:val="009A4D94"/>
    <w:rsid w:val="009A559D"/>
    <w:rsid w:val="009A5939"/>
    <w:rsid w:val="009A5BC6"/>
    <w:rsid w:val="009A625C"/>
    <w:rsid w:val="009A6277"/>
    <w:rsid w:val="009A6381"/>
    <w:rsid w:val="009A6939"/>
    <w:rsid w:val="009A6C33"/>
    <w:rsid w:val="009A75F6"/>
    <w:rsid w:val="009A77BA"/>
    <w:rsid w:val="009A785D"/>
    <w:rsid w:val="009A7866"/>
    <w:rsid w:val="009A7F6E"/>
    <w:rsid w:val="009B099F"/>
    <w:rsid w:val="009B0CDE"/>
    <w:rsid w:val="009B0D7F"/>
    <w:rsid w:val="009B0DE4"/>
    <w:rsid w:val="009B20C1"/>
    <w:rsid w:val="009B25F9"/>
    <w:rsid w:val="009B2D2E"/>
    <w:rsid w:val="009B2E9C"/>
    <w:rsid w:val="009B362A"/>
    <w:rsid w:val="009B3679"/>
    <w:rsid w:val="009B44C7"/>
    <w:rsid w:val="009B461B"/>
    <w:rsid w:val="009B472D"/>
    <w:rsid w:val="009B47E3"/>
    <w:rsid w:val="009B4FDC"/>
    <w:rsid w:val="009B577A"/>
    <w:rsid w:val="009B5DAD"/>
    <w:rsid w:val="009B5F39"/>
    <w:rsid w:val="009B5F4E"/>
    <w:rsid w:val="009B5F83"/>
    <w:rsid w:val="009B5FC7"/>
    <w:rsid w:val="009B61E9"/>
    <w:rsid w:val="009B6547"/>
    <w:rsid w:val="009B6A20"/>
    <w:rsid w:val="009B6AEC"/>
    <w:rsid w:val="009B6F2B"/>
    <w:rsid w:val="009B70EA"/>
    <w:rsid w:val="009B7195"/>
    <w:rsid w:val="009B7237"/>
    <w:rsid w:val="009B78D5"/>
    <w:rsid w:val="009C00B4"/>
    <w:rsid w:val="009C059F"/>
    <w:rsid w:val="009C07DA"/>
    <w:rsid w:val="009C07DC"/>
    <w:rsid w:val="009C0876"/>
    <w:rsid w:val="009C096B"/>
    <w:rsid w:val="009C0F33"/>
    <w:rsid w:val="009C15A4"/>
    <w:rsid w:val="009C25DC"/>
    <w:rsid w:val="009C2681"/>
    <w:rsid w:val="009C2702"/>
    <w:rsid w:val="009C2940"/>
    <w:rsid w:val="009C2E59"/>
    <w:rsid w:val="009C3178"/>
    <w:rsid w:val="009C372D"/>
    <w:rsid w:val="009C3B07"/>
    <w:rsid w:val="009C3D36"/>
    <w:rsid w:val="009C4304"/>
    <w:rsid w:val="009C4435"/>
    <w:rsid w:val="009C44DE"/>
    <w:rsid w:val="009C4989"/>
    <w:rsid w:val="009C4DF0"/>
    <w:rsid w:val="009C5549"/>
    <w:rsid w:val="009C5895"/>
    <w:rsid w:val="009C5B8B"/>
    <w:rsid w:val="009C5BEF"/>
    <w:rsid w:val="009C5D3B"/>
    <w:rsid w:val="009C6133"/>
    <w:rsid w:val="009C6942"/>
    <w:rsid w:val="009C6A94"/>
    <w:rsid w:val="009C6BB3"/>
    <w:rsid w:val="009C6D08"/>
    <w:rsid w:val="009C6DDF"/>
    <w:rsid w:val="009C6DEA"/>
    <w:rsid w:val="009C6E75"/>
    <w:rsid w:val="009C70A8"/>
    <w:rsid w:val="009C7381"/>
    <w:rsid w:val="009C777B"/>
    <w:rsid w:val="009D0DBB"/>
    <w:rsid w:val="009D0EB1"/>
    <w:rsid w:val="009D1034"/>
    <w:rsid w:val="009D1543"/>
    <w:rsid w:val="009D1C20"/>
    <w:rsid w:val="009D2443"/>
    <w:rsid w:val="009D24EB"/>
    <w:rsid w:val="009D2711"/>
    <w:rsid w:val="009D2A5D"/>
    <w:rsid w:val="009D2B80"/>
    <w:rsid w:val="009D3465"/>
    <w:rsid w:val="009D36CC"/>
    <w:rsid w:val="009D38FE"/>
    <w:rsid w:val="009D392A"/>
    <w:rsid w:val="009D3959"/>
    <w:rsid w:val="009D3E4B"/>
    <w:rsid w:val="009D45F7"/>
    <w:rsid w:val="009D4D59"/>
    <w:rsid w:val="009D4FC4"/>
    <w:rsid w:val="009D50E4"/>
    <w:rsid w:val="009D5220"/>
    <w:rsid w:val="009D6296"/>
    <w:rsid w:val="009D64F7"/>
    <w:rsid w:val="009D66E1"/>
    <w:rsid w:val="009D6D28"/>
    <w:rsid w:val="009D76CE"/>
    <w:rsid w:val="009D7B53"/>
    <w:rsid w:val="009D7E72"/>
    <w:rsid w:val="009D7E98"/>
    <w:rsid w:val="009E066D"/>
    <w:rsid w:val="009E0762"/>
    <w:rsid w:val="009E09A1"/>
    <w:rsid w:val="009E105E"/>
    <w:rsid w:val="009E1844"/>
    <w:rsid w:val="009E1909"/>
    <w:rsid w:val="009E1EC7"/>
    <w:rsid w:val="009E3588"/>
    <w:rsid w:val="009E3701"/>
    <w:rsid w:val="009E3CB4"/>
    <w:rsid w:val="009E4292"/>
    <w:rsid w:val="009E491F"/>
    <w:rsid w:val="009E49EC"/>
    <w:rsid w:val="009E4BDE"/>
    <w:rsid w:val="009E4C15"/>
    <w:rsid w:val="009E53CA"/>
    <w:rsid w:val="009E5E41"/>
    <w:rsid w:val="009E5E84"/>
    <w:rsid w:val="009E61CB"/>
    <w:rsid w:val="009E678D"/>
    <w:rsid w:val="009E6947"/>
    <w:rsid w:val="009E701E"/>
    <w:rsid w:val="009E713E"/>
    <w:rsid w:val="009E7171"/>
    <w:rsid w:val="009E7933"/>
    <w:rsid w:val="009E7B3A"/>
    <w:rsid w:val="009E7D8F"/>
    <w:rsid w:val="009F0322"/>
    <w:rsid w:val="009F0A34"/>
    <w:rsid w:val="009F0EDC"/>
    <w:rsid w:val="009F1099"/>
    <w:rsid w:val="009F10A0"/>
    <w:rsid w:val="009F10C6"/>
    <w:rsid w:val="009F1119"/>
    <w:rsid w:val="009F12BE"/>
    <w:rsid w:val="009F1B22"/>
    <w:rsid w:val="009F1DCA"/>
    <w:rsid w:val="009F21F6"/>
    <w:rsid w:val="009F25D2"/>
    <w:rsid w:val="009F277E"/>
    <w:rsid w:val="009F38A9"/>
    <w:rsid w:val="009F3F04"/>
    <w:rsid w:val="009F40A0"/>
    <w:rsid w:val="009F429C"/>
    <w:rsid w:val="009F46A1"/>
    <w:rsid w:val="009F4B9B"/>
    <w:rsid w:val="009F4BA2"/>
    <w:rsid w:val="009F4C48"/>
    <w:rsid w:val="009F4DBC"/>
    <w:rsid w:val="009F5577"/>
    <w:rsid w:val="009F586A"/>
    <w:rsid w:val="009F5B52"/>
    <w:rsid w:val="009F6AA6"/>
    <w:rsid w:val="009F6DCC"/>
    <w:rsid w:val="009F728C"/>
    <w:rsid w:val="009F792E"/>
    <w:rsid w:val="009F7DB9"/>
    <w:rsid w:val="00A0043C"/>
    <w:rsid w:val="00A01F84"/>
    <w:rsid w:val="00A02256"/>
    <w:rsid w:val="00A02403"/>
    <w:rsid w:val="00A028B8"/>
    <w:rsid w:val="00A02CA7"/>
    <w:rsid w:val="00A02FF1"/>
    <w:rsid w:val="00A03893"/>
    <w:rsid w:val="00A03B3F"/>
    <w:rsid w:val="00A03C26"/>
    <w:rsid w:val="00A040BF"/>
    <w:rsid w:val="00A0442F"/>
    <w:rsid w:val="00A0525A"/>
    <w:rsid w:val="00A0529B"/>
    <w:rsid w:val="00A05655"/>
    <w:rsid w:val="00A056B5"/>
    <w:rsid w:val="00A05FCE"/>
    <w:rsid w:val="00A06019"/>
    <w:rsid w:val="00A0613E"/>
    <w:rsid w:val="00A0628D"/>
    <w:rsid w:val="00A06B63"/>
    <w:rsid w:val="00A06D3C"/>
    <w:rsid w:val="00A07518"/>
    <w:rsid w:val="00A077AD"/>
    <w:rsid w:val="00A07DEC"/>
    <w:rsid w:val="00A07F0B"/>
    <w:rsid w:val="00A10412"/>
    <w:rsid w:val="00A10531"/>
    <w:rsid w:val="00A10672"/>
    <w:rsid w:val="00A1070C"/>
    <w:rsid w:val="00A10C1C"/>
    <w:rsid w:val="00A10E7A"/>
    <w:rsid w:val="00A11035"/>
    <w:rsid w:val="00A111A0"/>
    <w:rsid w:val="00A11843"/>
    <w:rsid w:val="00A11937"/>
    <w:rsid w:val="00A11C30"/>
    <w:rsid w:val="00A11E69"/>
    <w:rsid w:val="00A127A2"/>
    <w:rsid w:val="00A12A18"/>
    <w:rsid w:val="00A132D7"/>
    <w:rsid w:val="00A133B6"/>
    <w:rsid w:val="00A1387B"/>
    <w:rsid w:val="00A1412E"/>
    <w:rsid w:val="00A1465A"/>
    <w:rsid w:val="00A14786"/>
    <w:rsid w:val="00A14D1F"/>
    <w:rsid w:val="00A15367"/>
    <w:rsid w:val="00A160B6"/>
    <w:rsid w:val="00A16B6F"/>
    <w:rsid w:val="00A16C8C"/>
    <w:rsid w:val="00A16F5B"/>
    <w:rsid w:val="00A172B6"/>
    <w:rsid w:val="00A1770B"/>
    <w:rsid w:val="00A17834"/>
    <w:rsid w:val="00A17C49"/>
    <w:rsid w:val="00A20005"/>
    <w:rsid w:val="00A202BC"/>
    <w:rsid w:val="00A204C4"/>
    <w:rsid w:val="00A20619"/>
    <w:rsid w:val="00A207C3"/>
    <w:rsid w:val="00A2103B"/>
    <w:rsid w:val="00A216AB"/>
    <w:rsid w:val="00A21A9E"/>
    <w:rsid w:val="00A21CE9"/>
    <w:rsid w:val="00A22C59"/>
    <w:rsid w:val="00A22CB6"/>
    <w:rsid w:val="00A22CB9"/>
    <w:rsid w:val="00A231C1"/>
    <w:rsid w:val="00A23420"/>
    <w:rsid w:val="00A23789"/>
    <w:rsid w:val="00A23B2C"/>
    <w:rsid w:val="00A23D1B"/>
    <w:rsid w:val="00A23E6E"/>
    <w:rsid w:val="00A240AD"/>
    <w:rsid w:val="00A247ED"/>
    <w:rsid w:val="00A24F18"/>
    <w:rsid w:val="00A2518D"/>
    <w:rsid w:val="00A25A3A"/>
    <w:rsid w:val="00A25FAE"/>
    <w:rsid w:val="00A26007"/>
    <w:rsid w:val="00A26151"/>
    <w:rsid w:val="00A261B0"/>
    <w:rsid w:val="00A266D3"/>
    <w:rsid w:val="00A2674F"/>
    <w:rsid w:val="00A26757"/>
    <w:rsid w:val="00A26899"/>
    <w:rsid w:val="00A268EF"/>
    <w:rsid w:val="00A26FC6"/>
    <w:rsid w:val="00A26FE1"/>
    <w:rsid w:val="00A27164"/>
    <w:rsid w:val="00A278E1"/>
    <w:rsid w:val="00A27C40"/>
    <w:rsid w:val="00A30172"/>
    <w:rsid w:val="00A30CFB"/>
    <w:rsid w:val="00A3181D"/>
    <w:rsid w:val="00A31A4E"/>
    <w:rsid w:val="00A31D27"/>
    <w:rsid w:val="00A31F38"/>
    <w:rsid w:val="00A31FC0"/>
    <w:rsid w:val="00A3261B"/>
    <w:rsid w:val="00A32673"/>
    <w:rsid w:val="00A328B0"/>
    <w:rsid w:val="00A332B2"/>
    <w:rsid w:val="00A3335E"/>
    <w:rsid w:val="00A33972"/>
    <w:rsid w:val="00A33F83"/>
    <w:rsid w:val="00A33FCD"/>
    <w:rsid w:val="00A3481E"/>
    <w:rsid w:val="00A3521A"/>
    <w:rsid w:val="00A3618D"/>
    <w:rsid w:val="00A36235"/>
    <w:rsid w:val="00A36BDA"/>
    <w:rsid w:val="00A36E42"/>
    <w:rsid w:val="00A3765A"/>
    <w:rsid w:val="00A37C23"/>
    <w:rsid w:val="00A4062F"/>
    <w:rsid w:val="00A40944"/>
    <w:rsid w:val="00A40B1C"/>
    <w:rsid w:val="00A410D6"/>
    <w:rsid w:val="00A41418"/>
    <w:rsid w:val="00A41E04"/>
    <w:rsid w:val="00A41E58"/>
    <w:rsid w:val="00A42312"/>
    <w:rsid w:val="00A424D2"/>
    <w:rsid w:val="00A426A2"/>
    <w:rsid w:val="00A4278C"/>
    <w:rsid w:val="00A4290F"/>
    <w:rsid w:val="00A42A16"/>
    <w:rsid w:val="00A4335C"/>
    <w:rsid w:val="00A436CE"/>
    <w:rsid w:val="00A4374E"/>
    <w:rsid w:val="00A43BFF"/>
    <w:rsid w:val="00A43C7F"/>
    <w:rsid w:val="00A43F11"/>
    <w:rsid w:val="00A4422B"/>
    <w:rsid w:val="00A44348"/>
    <w:rsid w:val="00A445F8"/>
    <w:rsid w:val="00A44DD3"/>
    <w:rsid w:val="00A4503A"/>
    <w:rsid w:val="00A45A7C"/>
    <w:rsid w:val="00A45D6B"/>
    <w:rsid w:val="00A4645E"/>
    <w:rsid w:val="00A46BFC"/>
    <w:rsid w:val="00A474D0"/>
    <w:rsid w:val="00A47540"/>
    <w:rsid w:val="00A4758F"/>
    <w:rsid w:val="00A47849"/>
    <w:rsid w:val="00A47B2F"/>
    <w:rsid w:val="00A50B86"/>
    <w:rsid w:val="00A50F15"/>
    <w:rsid w:val="00A51180"/>
    <w:rsid w:val="00A518DD"/>
    <w:rsid w:val="00A51FB9"/>
    <w:rsid w:val="00A5207B"/>
    <w:rsid w:val="00A5238A"/>
    <w:rsid w:val="00A52552"/>
    <w:rsid w:val="00A525EF"/>
    <w:rsid w:val="00A5272B"/>
    <w:rsid w:val="00A5296D"/>
    <w:rsid w:val="00A52C6C"/>
    <w:rsid w:val="00A52D48"/>
    <w:rsid w:val="00A5305F"/>
    <w:rsid w:val="00A530F7"/>
    <w:rsid w:val="00A53ADD"/>
    <w:rsid w:val="00A53E45"/>
    <w:rsid w:val="00A53E86"/>
    <w:rsid w:val="00A53ED8"/>
    <w:rsid w:val="00A54386"/>
    <w:rsid w:val="00A55447"/>
    <w:rsid w:val="00A55874"/>
    <w:rsid w:val="00A55961"/>
    <w:rsid w:val="00A5634C"/>
    <w:rsid w:val="00A569D2"/>
    <w:rsid w:val="00A56F12"/>
    <w:rsid w:val="00A57161"/>
    <w:rsid w:val="00A57B0C"/>
    <w:rsid w:val="00A57D47"/>
    <w:rsid w:val="00A60497"/>
    <w:rsid w:val="00A6057D"/>
    <w:rsid w:val="00A6079D"/>
    <w:rsid w:val="00A60868"/>
    <w:rsid w:val="00A614A2"/>
    <w:rsid w:val="00A61AF2"/>
    <w:rsid w:val="00A61B5B"/>
    <w:rsid w:val="00A61C0E"/>
    <w:rsid w:val="00A61EDB"/>
    <w:rsid w:val="00A61FF7"/>
    <w:rsid w:val="00A62BCB"/>
    <w:rsid w:val="00A63442"/>
    <w:rsid w:val="00A63A6B"/>
    <w:rsid w:val="00A64E3A"/>
    <w:rsid w:val="00A65067"/>
    <w:rsid w:val="00A653FA"/>
    <w:rsid w:val="00A6547E"/>
    <w:rsid w:val="00A65749"/>
    <w:rsid w:val="00A65B35"/>
    <w:rsid w:val="00A65D41"/>
    <w:rsid w:val="00A66020"/>
    <w:rsid w:val="00A66214"/>
    <w:rsid w:val="00A66639"/>
    <w:rsid w:val="00A67189"/>
    <w:rsid w:val="00A6740C"/>
    <w:rsid w:val="00A674FE"/>
    <w:rsid w:val="00A675ED"/>
    <w:rsid w:val="00A67734"/>
    <w:rsid w:val="00A67DAF"/>
    <w:rsid w:val="00A700C1"/>
    <w:rsid w:val="00A70920"/>
    <w:rsid w:val="00A70F4D"/>
    <w:rsid w:val="00A7118E"/>
    <w:rsid w:val="00A716F4"/>
    <w:rsid w:val="00A71D4A"/>
    <w:rsid w:val="00A7228F"/>
    <w:rsid w:val="00A72A2C"/>
    <w:rsid w:val="00A7340A"/>
    <w:rsid w:val="00A738BE"/>
    <w:rsid w:val="00A73A95"/>
    <w:rsid w:val="00A73C73"/>
    <w:rsid w:val="00A73FD0"/>
    <w:rsid w:val="00A748E8"/>
    <w:rsid w:val="00A74902"/>
    <w:rsid w:val="00A74F4A"/>
    <w:rsid w:val="00A75301"/>
    <w:rsid w:val="00A753CE"/>
    <w:rsid w:val="00A75B5F"/>
    <w:rsid w:val="00A75F62"/>
    <w:rsid w:val="00A7621C"/>
    <w:rsid w:val="00A766E5"/>
    <w:rsid w:val="00A7699E"/>
    <w:rsid w:val="00A76A77"/>
    <w:rsid w:val="00A77045"/>
    <w:rsid w:val="00A77594"/>
    <w:rsid w:val="00A7794C"/>
    <w:rsid w:val="00A77EAD"/>
    <w:rsid w:val="00A77F59"/>
    <w:rsid w:val="00A80460"/>
    <w:rsid w:val="00A80D13"/>
    <w:rsid w:val="00A80F6B"/>
    <w:rsid w:val="00A813E9"/>
    <w:rsid w:val="00A8156D"/>
    <w:rsid w:val="00A81596"/>
    <w:rsid w:val="00A8189B"/>
    <w:rsid w:val="00A81ABC"/>
    <w:rsid w:val="00A81AF7"/>
    <w:rsid w:val="00A8216D"/>
    <w:rsid w:val="00A8259C"/>
    <w:rsid w:val="00A825FD"/>
    <w:rsid w:val="00A82677"/>
    <w:rsid w:val="00A82A53"/>
    <w:rsid w:val="00A82BFB"/>
    <w:rsid w:val="00A82D97"/>
    <w:rsid w:val="00A8323C"/>
    <w:rsid w:val="00A836C2"/>
    <w:rsid w:val="00A837B8"/>
    <w:rsid w:val="00A83F78"/>
    <w:rsid w:val="00A83F97"/>
    <w:rsid w:val="00A84881"/>
    <w:rsid w:val="00A84A69"/>
    <w:rsid w:val="00A84E44"/>
    <w:rsid w:val="00A8520D"/>
    <w:rsid w:val="00A8537E"/>
    <w:rsid w:val="00A858A6"/>
    <w:rsid w:val="00A860C8"/>
    <w:rsid w:val="00A860CD"/>
    <w:rsid w:val="00A865A7"/>
    <w:rsid w:val="00A869BE"/>
    <w:rsid w:val="00A86C6B"/>
    <w:rsid w:val="00A86E49"/>
    <w:rsid w:val="00A87412"/>
    <w:rsid w:val="00A8760B"/>
    <w:rsid w:val="00A87707"/>
    <w:rsid w:val="00A878AB"/>
    <w:rsid w:val="00A87E0C"/>
    <w:rsid w:val="00A87E26"/>
    <w:rsid w:val="00A9002E"/>
    <w:rsid w:val="00A9003E"/>
    <w:rsid w:val="00A90202"/>
    <w:rsid w:val="00A90505"/>
    <w:rsid w:val="00A90508"/>
    <w:rsid w:val="00A905A5"/>
    <w:rsid w:val="00A906D9"/>
    <w:rsid w:val="00A9081A"/>
    <w:rsid w:val="00A909CC"/>
    <w:rsid w:val="00A90D85"/>
    <w:rsid w:val="00A9168F"/>
    <w:rsid w:val="00A91708"/>
    <w:rsid w:val="00A91BB2"/>
    <w:rsid w:val="00A91EC4"/>
    <w:rsid w:val="00A924BE"/>
    <w:rsid w:val="00A9251F"/>
    <w:rsid w:val="00A92573"/>
    <w:rsid w:val="00A92A5F"/>
    <w:rsid w:val="00A931E5"/>
    <w:rsid w:val="00A940DB"/>
    <w:rsid w:val="00A94A41"/>
    <w:rsid w:val="00A94BD9"/>
    <w:rsid w:val="00A9500C"/>
    <w:rsid w:val="00A95561"/>
    <w:rsid w:val="00A95691"/>
    <w:rsid w:val="00A9641F"/>
    <w:rsid w:val="00A96B53"/>
    <w:rsid w:val="00A972A9"/>
    <w:rsid w:val="00A97F21"/>
    <w:rsid w:val="00AA002B"/>
    <w:rsid w:val="00AA00E7"/>
    <w:rsid w:val="00AA034D"/>
    <w:rsid w:val="00AA0687"/>
    <w:rsid w:val="00AA08ED"/>
    <w:rsid w:val="00AA0BAB"/>
    <w:rsid w:val="00AA0C1C"/>
    <w:rsid w:val="00AA0E20"/>
    <w:rsid w:val="00AA1482"/>
    <w:rsid w:val="00AA1D40"/>
    <w:rsid w:val="00AA1FAE"/>
    <w:rsid w:val="00AA25AF"/>
    <w:rsid w:val="00AA26E2"/>
    <w:rsid w:val="00AA2C60"/>
    <w:rsid w:val="00AA2D4E"/>
    <w:rsid w:val="00AA2EAF"/>
    <w:rsid w:val="00AA31EE"/>
    <w:rsid w:val="00AA33C4"/>
    <w:rsid w:val="00AA366A"/>
    <w:rsid w:val="00AA3804"/>
    <w:rsid w:val="00AA3831"/>
    <w:rsid w:val="00AA3C9C"/>
    <w:rsid w:val="00AA3EAC"/>
    <w:rsid w:val="00AA3F08"/>
    <w:rsid w:val="00AA415C"/>
    <w:rsid w:val="00AA4175"/>
    <w:rsid w:val="00AA492C"/>
    <w:rsid w:val="00AA4AD1"/>
    <w:rsid w:val="00AA4BD0"/>
    <w:rsid w:val="00AA4D64"/>
    <w:rsid w:val="00AA4E52"/>
    <w:rsid w:val="00AA4F21"/>
    <w:rsid w:val="00AA5053"/>
    <w:rsid w:val="00AA55A2"/>
    <w:rsid w:val="00AA5C51"/>
    <w:rsid w:val="00AA637A"/>
    <w:rsid w:val="00AA648A"/>
    <w:rsid w:val="00AA686E"/>
    <w:rsid w:val="00AA696B"/>
    <w:rsid w:val="00AA6A9F"/>
    <w:rsid w:val="00AA6D78"/>
    <w:rsid w:val="00AA7395"/>
    <w:rsid w:val="00AA776F"/>
    <w:rsid w:val="00AA7C18"/>
    <w:rsid w:val="00AB0110"/>
    <w:rsid w:val="00AB0BA7"/>
    <w:rsid w:val="00AB0D0C"/>
    <w:rsid w:val="00AB1538"/>
    <w:rsid w:val="00AB16BD"/>
    <w:rsid w:val="00AB17DA"/>
    <w:rsid w:val="00AB1B53"/>
    <w:rsid w:val="00AB1D88"/>
    <w:rsid w:val="00AB1E21"/>
    <w:rsid w:val="00AB1EBC"/>
    <w:rsid w:val="00AB2213"/>
    <w:rsid w:val="00AB240B"/>
    <w:rsid w:val="00AB25D6"/>
    <w:rsid w:val="00AB2730"/>
    <w:rsid w:val="00AB2755"/>
    <w:rsid w:val="00AB3181"/>
    <w:rsid w:val="00AB3C50"/>
    <w:rsid w:val="00AB3CA0"/>
    <w:rsid w:val="00AB42D3"/>
    <w:rsid w:val="00AB43A0"/>
    <w:rsid w:val="00AB4F90"/>
    <w:rsid w:val="00AB5E14"/>
    <w:rsid w:val="00AB60D9"/>
    <w:rsid w:val="00AB636B"/>
    <w:rsid w:val="00AB68D0"/>
    <w:rsid w:val="00AB6B7B"/>
    <w:rsid w:val="00AB6D6E"/>
    <w:rsid w:val="00AB78D3"/>
    <w:rsid w:val="00AB7ADA"/>
    <w:rsid w:val="00AC00B9"/>
    <w:rsid w:val="00AC0407"/>
    <w:rsid w:val="00AC154F"/>
    <w:rsid w:val="00AC17C6"/>
    <w:rsid w:val="00AC2221"/>
    <w:rsid w:val="00AC2A92"/>
    <w:rsid w:val="00AC2E7C"/>
    <w:rsid w:val="00AC3D48"/>
    <w:rsid w:val="00AC3E23"/>
    <w:rsid w:val="00AC4677"/>
    <w:rsid w:val="00AC48C0"/>
    <w:rsid w:val="00AC4A3B"/>
    <w:rsid w:val="00AC5257"/>
    <w:rsid w:val="00AC529C"/>
    <w:rsid w:val="00AC5632"/>
    <w:rsid w:val="00AC57A7"/>
    <w:rsid w:val="00AC5D06"/>
    <w:rsid w:val="00AC5D5F"/>
    <w:rsid w:val="00AC5EE5"/>
    <w:rsid w:val="00AC6A1C"/>
    <w:rsid w:val="00AC71CE"/>
    <w:rsid w:val="00AC727D"/>
    <w:rsid w:val="00AC73F2"/>
    <w:rsid w:val="00AC79BE"/>
    <w:rsid w:val="00AC7C33"/>
    <w:rsid w:val="00AD08A3"/>
    <w:rsid w:val="00AD0E83"/>
    <w:rsid w:val="00AD0F3D"/>
    <w:rsid w:val="00AD1300"/>
    <w:rsid w:val="00AD132C"/>
    <w:rsid w:val="00AD1F0E"/>
    <w:rsid w:val="00AD2089"/>
    <w:rsid w:val="00AD3059"/>
    <w:rsid w:val="00AD3260"/>
    <w:rsid w:val="00AD39AB"/>
    <w:rsid w:val="00AD3C69"/>
    <w:rsid w:val="00AD3EBA"/>
    <w:rsid w:val="00AD42F9"/>
    <w:rsid w:val="00AD44C8"/>
    <w:rsid w:val="00AD453F"/>
    <w:rsid w:val="00AD474B"/>
    <w:rsid w:val="00AD4860"/>
    <w:rsid w:val="00AD48FB"/>
    <w:rsid w:val="00AD4CFD"/>
    <w:rsid w:val="00AD5683"/>
    <w:rsid w:val="00AD5D4C"/>
    <w:rsid w:val="00AD61FE"/>
    <w:rsid w:val="00AD6628"/>
    <w:rsid w:val="00AD74C0"/>
    <w:rsid w:val="00AD76FF"/>
    <w:rsid w:val="00AD7964"/>
    <w:rsid w:val="00AE0387"/>
    <w:rsid w:val="00AE061B"/>
    <w:rsid w:val="00AE0B7D"/>
    <w:rsid w:val="00AE112E"/>
    <w:rsid w:val="00AE1198"/>
    <w:rsid w:val="00AE131C"/>
    <w:rsid w:val="00AE1AE2"/>
    <w:rsid w:val="00AE1F3A"/>
    <w:rsid w:val="00AE2741"/>
    <w:rsid w:val="00AE27D0"/>
    <w:rsid w:val="00AE2BE5"/>
    <w:rsid w:val="00AE349F"/>
    <w:rsid w:val="00AE36EA"/>
    <w:rsid w:val="00AE403E"/>
    <w:rsid w:val="00AE4AF6"/>
    <w:rsid w:val="00AE4E60"/>
    <w:rsid w:val="00AE5136"/>
    <w:rsid w:val="00AE534A"/>
    <w:rsid w:val="00AE5881"/>
    <w:rsid w:val="00AE5DF1"/>
    <w:rsid w:val="00AE5E46"/>
    <w:rsid w:val="00AE604E"/>
    <w:rsid w:val="00AE624A"/>
    <w:rsid w:val="00AE7205"/>
    <w:rsid w:val="00AE730A"/>
    <w:rsid w:val="00AE7918"/>
    <w:rsid w:val="00AE7C6B"/>
    <w:rsid w:val="00AF08B2"/>
    <w:rsid w:val="00AF0D96"/>
    <w:rsid w:val="00AF0F58"/>
    <w:rsid w:val="00AF0F5F"/>
    <w:rsid w:val="00AF1D0B"/>
    <w:rsid w:val="00AF1EE0"/>
    <w:rsid w:val="00AF1F98"/>
    <w:rsid w:val="00AF282C"/>
    <w:rsid w:val="00AF283B"/>
    <w:rsid w:val="00AF29C6"/>
    <w:rsid w:val="00AF29CE"/>
    <w:rsid w:val="00AF2B3E"/>
    <w:rsid w:val="00AF2BD0"/>
    <w:rsid w:val="00AF3ABD"/>
    <w:rsid w:val="00AF40F5"/>
    <w:rsid w:val="00AF421B"/>
    <w:rsid w:val="00AF42B6"/>
    <w:rsid w:val="00AF467C"/>
    <w:rsid w:val="00AF471D"/>
    <w:rsid w:val="00AF4E2C"/>
    <w:rsid w:val="00AF59D3"/>
    <w:rsid w:val="00AF5C07"/>
    <w:rsid w:val="00AF625D"/>
    <w:rsid w:val="00AF6C2D"/>
    <w:rsid w:val="00AF76C9"/>
    <w:rsid w:val="00AF770F"/>
    <w:rsid w:val="00B001B3"/>
    <w:rsid w:val="00B00B92"/>
    <w:rsid w:val="00B013E8"/>
    <w:rsid w:val="00B01427"/>
    <w:rsid w:val="00B01767"/>
    <w:rsid w:val="00B01A12"/>
    <w:rsid w:val="00B01B5E"/>
    <w:rsid w:val="00B01F01"/>
    <w:rsid w:val="00B0312C"/>
    <w:rsid w:val="00B03417"/>
    <w:rsid w:val="00B0393D"/>
    <w:rsid w:val="00B0395E"/>
    <w:rsid w:val="00B03AD8"/>
    <w:rsid w:val="00B03D6B"/>
    <w:rsid w:val="00B040B2"/>
    <w:rsid w:val="00B042AB"/>
    <w:rsid w:val="00B04753"/>
    <w:rsid w:val="00B049F7"/>
    <w:rsid w:val="00B04E2B"/>
    <w:rsid w:val="00B04F82"/>
    <w:rsid w:val="00B04F8B"/>
    <w:rsid w:val="00B05214"/>
    <w:rsid w:val="00B05415"/>
    <w:rsid w:val="00B0554B"/>
    <w:rsid w:val="00B05603"/>
    <w:rsid w:val="00B05651"/>
    <w:rsid w:val="00B056C1"/>
    <w:rsid w:val="00B058C1"/>
    <w:rsid w:val="00B06093"/>
    <w:rsid w:val="00B06305"/>
    <w:rsid w:val="00B06C16"/>
    <w:rsid w:val="00B07036"/>
    <w:rsid w:val="00B07241"/>
    <w:rsid w:val="00B0731F"/>
    <w:rsid w:val="00B07468"/>
    <w:rsid w:val="00B103B1"/>
    <w:rsid w:val="00B10FFA"/>
    <w:rsid w:val="00B11131"/>
    <w:rsid w:val="00B118B8"/>
    <w:rsid w:val="00B12B11"/>
    <w:rsid w:val="00B12E84"/>
    <w:rsid w:val="00B12FE2"/>
    <w:rsid w:val="00B135C9"/>
    <w:rsid w:val="00B13648"/>
    <w:rsid w:val="00B136F5"/>
    <w:rsid w:val="00B138CE"/>
    <w:rsid w:val="00B14195"/>
    <w:rsid w:val="00B14308"/>
    <w:rsid w:val="00B14709"/>
    <w:rsid w:val="00B14A23"/>
    <w:rsid w:val="00B14E0D"/>
    <w:rsid w:val="00B14FAA"/>
    <w:rsid w:val="00B15872"/>
    <w:rsid w:val="00B15A2E"/>
    <w:rsid w:val="00B15ADC"/>
    <w:rsid w:val="00B162C4"/>
    <w:rsid w:val="00B16899"/>
    <w:rsid w:val="00B1715D"/>
    <w:rsid w:val="00B20085"/>
    <w:rsid w:val="00B209ED"/>
    <w:rsid w:val="00B2107D"/>
    <w:rsid w:val="00B21107"/>
    <w:rsid w:val="00B21636"/>
    <w:rsid w:val="00B218C8"/>
    <w:rsid w:val="00B21A70"/>
    <w:rsid w:val="00B21D74"/>
    <w:rsid w:val="00B22182"/>
    <w:rsid w:val="00B22C98"/>
    <w:rsid w:val="00B231A3"/>
    <w:rsid w:val="00B2334D"/>
    <w:rsid w:val="00B2346A"/>
    <w:rsid w:val="00B23924"/>
    <w:rsid w:val="00B23A1F"/>
    <w:rsid w:val="00B242D7"/>
    <w:rsid w:val="00B24313"/>
    <w:rsid w:val="00B24974"/>
    <w:rsid w:val="00B24D29"/>
    <w:rsid w:val="00B24D80"/>
    <w:rsid w:val="00B24F7A"/>
    <w:rsid w:val="00B25E11"/>
    <w:rsid w:val="00B25FCF"/>
    <w:rsid w:val="00B267DD"/>
    <w:rsid w:val="00B26BF0"/>
    <w:rsid w:val="00B26C92"/>
    <w:rsid w:val="00B27096"/>
    <w:rsid w:val="00B2740D"/>
    <w:rsid w:val="00B27537"/>
    <w:rsid w:val="00B275D5"/>
    <w:rsid w:val="00B27C2B"/>
    <w:rsid w:val="00B27D8F"/>
    <w:rsid w:val="00B27E18"/>
    <w:rsid w:val="00B30542"/>
    <w:rsid w:val="00B30730"/>
    <w:rsid w:val="00B30E83"/>
    <w:rsid w:val="00B3172B"/>
    <w:rsid w:val="00B31A5B"/>
    <w:rsid w:val="00B326A5"/>
    <w:rsid w:val="00B332E9"/>
    <w:rsid w:val="00B339FF"/>
    <w:rsid w:val="00B34969"/>
    <w:rsid w:val="00B34EEE"/>
    <w:rsid w:val="00B352C0"/>
    <w:rsid w:val="00B3557B"/>
    <w:rsid w:val="00B359EA"/>
    <w:rsid w:val="00B36031"/>
    <w:rsid w:val="00B369F8"/>
    <w:rsid w:val="00B36DC2"/>
    <w:rsid w:val="00B36E88"/>
    <w:rsid w:val="00B36F6D"/>
    <w:rsid w:val="00B36FAE"/>
    <w:rsid w:val="00B375B5"/>
    <w:rsid w:val="00B37FF4"/>
    <w:rsid w:val="00B40200"/>
    <w:rsid w:val="00B4037F"/>
    <w:rsid w:val="00B4055A"/>
    <w:rsid w:val="00B4066A"/>
    <w:rsid w:val="00B41924"/>
    <w:rsid w:val="00B41AEF"/>
    <w:rsid w:val="00B4208C"/>
    <w:rsid w:val="00B42091"/>
    <w:rsid w:val="00B422E4"/>
    <w:rsid w:val="00B426CF"/>
    <w:rsid w:val="00B42B17"/>
    <w:rsid w:val="00B42EE3"/>
    <w:rsid w:val="00B4322C"/>
    <w:rsid w:val="00B43C3E"/>
    <w:rsid w:val="00B44BD3"/>
    <w:rsid w:val="00B44C0D"/>
    <w:rsid w:val="00B44EBB"/>
    <w:rsid w:val="00B456D5"/>
    <w:rsid w:val="00B457EF"/>
    <w:rsid w:val="00B458E4"/>
    <w:rsid w:val="00B45D44"/>
    <w:rsid w:val="00B4672F"/>
    <w:rsid w:val="00B46773"/>
    <w:rsid w:val="00B46ED0"/>
    <w:rsid w:val="00B4702D"/>
    <w:rsid w:val="00B4703D"/>
    <w:rsid w:val="00B470C3"/>
    <w:rsid w:val="00B47761"/>
    <w:rsid w:val="00B47A89"/>
    <w:rsid w:val="00B47EE8"/>
    <w:rsid w:val="00B50367"/>
    <w:rsid w:val="00B508F7"/>
    <w:rsid w:val="00B50EEF"/>
    <w:rsid w:val="00B51A41"/>
    <w:rsid w:val="00B51BC6"/>
    <w:rsid w:val="00B51BF5"/>
    <w:rsid w:val="00B51CAB"/>
    <w:rsid w:val="00B5257A"/>
    <w:rsid w:val="00B527C4"/>
    <w:rsid w:val="00B5282E"/>
    <w:rsid w:val="00B52A26"/>
    <w:rsid w:val="00B52E1C"/>
    <w:rsid w:val="00B52F64"/>
    <w:rsid w:val="00B53015"/>
    <w:rsid w:val="00B53056"/>
    <w:rsid w:val="00B533EF"/>
    <w:rsid w:val="00B534BC"/>
    <w:rsid w:val="00B53902"/>
    <w:rsid w:val="00B53D29"/>
    <w:rsid w:val="00B53DE0"/>
    <w:rsid w:val="00B542E8"/>
    <w:rsid w:val="00B5499F"/>
    <w:rsid w:val="00B54CD6"/>
    <w:rsid w:val="00B54CF6"/>
    <w:rsid w:val="00B54D8C"/>
    <w:rsid w:val="00B54FBD"/>
    <w:rsid w:val="00B55165"/>
    <w:rsid w:val="00B5588B"/>
    <w:rsid w:val="00B55C7D"/>
    <w:rsid w:val="00B5624E"/>
    <w:rsid w:val="00B56268"/>
    <w:rsid w:val="00B564B2"/>
    <w:rsid w:val="00B565CE"/>
    <w:rsid w:val="00B56C36"/>
    <w:rsid w:val="00B56C94"/>
    <w:rsid w:val="00B57E21"/>
    <w:rsid w:val="00B57FEB"/>
    <w:rsid w:val="00B6054D"/>
    <w:rsid w:val="00B60810"/>
    <w:rsid w:val="00B60987"/>
    <w:rsid w:val="00B60B1A"/>
    <w:rsid w:val="00B60BC5"/>
    <w:rsid w:val="00B61553"/>
    <w:rsid w:val="00B6160C"/>
    <w:rsid w:val="00B616BC"/>
    <w:rsid w:val="00B61719"/>
    <w:rsid w:val="00B61764"/>
    <w:rsid w:val="00B6187A"/>
    <w:rsid w:val="00B61C8C"/>
    <w:rsid w:val="00B62684"/>
    <w:rsid w:val="00B62689"/>
    <w:rsid w:val="00B627A9"/>
    <w:rsid w:val="00B627B7"/>
    <w:rsid w:val="00B629EB"/>
    <w:rsid w:val="00B62F54"/>
    <w:rsid w:val="00B63231"/>
    <w:rsid w:val="00B632F2"/>
    <w:rsid w:val="00B635DC"/>
    <w:rsid w:val="00B63A18"/>
    <w:rsid w:val="00B64213"/>
    <w:rsid w:val="00B64251"/>
    <w:rsid w:val="00B6523B"/>
    <w:rsid w:val="00B6557C"/>
    <w:rsid w:val="00B656EC"/>
    <w:rsid w:val="00B65703"/>
    <w:rsid w:val="00B65F26"/>
    <w:rsid w:val="00B6606B"/>
    <w:rsid w:val="00B66B24"/>
    <w:rsid w:val="00B67728"/>
    <w:rsid w:val="00B7014C"/>
    <w:rsid w:val="00B707A0"/>
    <w:rsid w:val="00B70EA3"/>
    <w:rsid w:val="00B713CF"/>
    <w:rsid w:val="00B71712"/>
    <w:rsid w:val="00B719A2"/>
    <w:rsid w:val="00B71CCF"/>
    <w:rsid w:val="00B72292"/>
    <w:rsid w:val="00B72CA6"/>
    <w:rsid w:val="00B72DE1"/>
    <w:rsid w:val="00B72DED"/>
    <w:rsid w:val="00B72F56"/>
    <w:rsid w:val="00B74218"/>
    <w:rsid w:val="00B744A4"/>
    <w:rsid w:val="00B74C11"/>
    <w:rsid w:val="00B755E3"/>
    <w:rsid w:val="00B75E7A"/>
    <w:rsid w:val="00B76112"/>
    <w:rsid w:val="00B761E4"/>
    <w:rsid w:val="00B76240"/>
    <w:rsid w:val="00B76468"/>
    <w:rsid w:val="00B77117"/>
    <w:rsid w:val="00B771A6"/>
    <w:rsid w:val="00B771BA"/>
    <w:rsid w:val="00B775E2"/>
    <w:rsid w:val="00B7793E"/>
    <w:rsid w:val="00B80CC5"/>
    <w:rsid w:val="00B8109E"/>
    <w:rsid w:val="00B81811"/>
    <w:rsid w:val="00B82266"/>
    <w:rsid w:val="00B828B5"/>
    <w:rsid w:val="00B82E2E"/>
    <w:rsid w:val="00B83040"/>
    <w:rsid w:val="00B83849"/>
    <w:rsid w:val="00B839AB"/>
    <w:rsid w:val="00B83CB9"/>
    <w:rsid w:val="00B841B0"/>
    <w:rsid w:val="00B844E3"/>
    <w:rsid w:val="00B845A6"/>
    <w:rsid w:val="00B8477F"/>
    <w:rsid w:val="00B85C1A"/>
    <w:rsid w:val="00B86F5A"/>
    <w:rsid w:val="00B87759"/>
    <w:rsid w:val="00B87FB2"/>
    <w:rsid w:val="00B90005"/>
    <w:rsid w:val="00B9006F"/>
    <w:rsid w:val="00B90745"/>
    <w:rsid w:val="00B90C37"/>
    <w:rsid w:val="00B90D5F"/>
    <w:rsid w:val="00B90E5D"/>
    <w:rsid w:val="00B90F59"/>
    <w:rsid w:val="00B91480"/>
    <w:rsid w:val="00B915A1"/>
    <w:rsid w:val="00B919EA"/>
    <w:rsid w:val="00B91CE7"/>
    <w:rsid w:val="00B92BE0"/>
    <w:rsid w:val="00B93383"/>
    <w:rsid w:val="00B933BC"/>
    <w:rsid w:val="00B93445"/>
    <w:rsid w:val="00B93473"/>
    <w:rsid w:val="00B93B3F"/>
    <w:rsid w:val="00B93FC3"/>
    <w:rsid w:val="00B94086"/>
    <w:rsid w:val="00B94580"/>
    <w:rsid w:val="00B948B9"/>
    <w:rsid w:val="00B94B92"/>
    <w:rsid w:val="00B94C25"/>
    <w:rsid w:val="00B94F39"/>
    <w:rsid w:val="00B94FA8"/>
    <w:rsid w:val="00B9594E"/>
    <w:rsid w:val="00B95CD9"/>
    <w:rsid w:val="00B96554"/>
    <w:rsid w:val="00B96643"/>
    <w:rsid w:val="00B96BA2"/>
    <w:rsid w:val="00B9701D"/>
    <w:rsid w:val="00B97C5D"/>
    <w:rsid w:val="00BA0943"/>
    <w:rsid w:val="00BA0AF7"/>
    <w:rsid w:val="00BA0C79"/>
    <w:rsid w:val="00BA0CA1"/>
    <w:rsid w:val="00BA0EC7"/>
    <w:rsid w:val="00BA14B6"/>
    <w:rsid w:val="00BA1615"/>
    <w:rsid w:val="00BA1668"/>
    <w:rsid w:val="00BA1BFF"/>
    <w:rsid w:val="00BA22FC"/>
    <w:rsid w:val="00BA2534"/>
    <w:rsid w:val="00BA2A79"/>
    <w:rsid w:val="00BA35C8"/>
    <w:rsid w:val="00BA3FE6"/>
    <w:rsid w:val="00BA4167"/>
    <w:rsid w:val="00BA46C3"/>
    <w:rsid w:val="00BA472A"/>
    <w:rsid w:val="00BA49D6"/>
    <w:rsid w:val="00BA54D0"/>
    <w:rsid w:val="00BA58DA"/>
    <w:rsid w:val="00BA5C4B"/>
    <w:rsid w:val="00BA5C7F"/>
    <w:rsid w:val="00BA5F93"/>
    <w:rsid w:val="00BA5FAD"/>
    <w:rsid w:val="00BA6424"/>
    <w:rsid w:val="00BA6770"/>
    <w:rsid w:val="00BA696E"/>
    <w:rsid w:val="00BA6E58"/>
    <w:rsid w:val="00BA73A4"/>
    <w:rsid w:val="00BB0424"/>
    <w:rsid w:val="00BB1590"/>
    <w:rsid w:val="00BB1B1B"/>
    <w:rsid w:val="00BB2499"/>
    <w:rsid w:val="00BB2725"/>
    <w:rsid w:val="00BB2743"/>
    <w:rsid w:val="00BB2763"/>
    <w:rsid w:val="00BB2C39"/>
    <w:rsid w:val="00BB2F38"/>
    <w:rsid w:val="00BB3055"/>
    <w:rsid w:val="00BB316A"/>
    <w:rsid w:val="00BB31BE"/>
    <w:rsid w:val="00BB3363"/>
    <w:rsid w:val="00BB347E"/>
    <w:rsid w:val="00BB36BA"/>
    <w:rsid w:val="00BB36D2"/>
    <w:rsid w:val="00BB3842"/>
    <w:rsid w:val="00BB3B04"/>
    <w:rsid w:val="00BB3BDF"/>
    <w:rsid w:val="00BB43F8"/>
    <w:rsid w:val="00BB45C8"/>
    <w:rsid w:val="00BB51A9"/>
    <w:rsid w:val="00BB5757"/>
    <w:rsid w:val="00BB6278"/>
    <w:rsid w:val="00BB630E"/>
    <w:rsid w:val="00BB6784"/>
    <w:rsid w:val="00BB6CDA"/>
    <w:rsid w:val="00BB6CEA"/>
    <w:rsid w:val="00BB7128"/>
    <w:rsid w:val="00BC001D"/>
    <w:rsid w:val="00BC0336"/>
    <w:rsid w:val="00BC0510"/>
    <w:rsid w:val="00BC08C4"/>
    <w:rsid w:val="00BC180E"/>
    <w:rsid w:val="00BC1A2E"/>
    <w:rsid w:val="00BC1D51"/>
    <w:rsid w:val="00BC2019"/>
    <w:rsid w:val="00BC2233"/>
    <w:rsid w:val="00BC276F"/>
    <w:rsid w:val="00BC27F0"/>
    <w:rsid w:val="00BC385D"/>
    <w:rsid w:val="00BC40A8"/>
    <w:rsid w:val="00BC464C"/>
    <w:rsid w:val="00BC5035"/>
    <w:rsid w:val="00BC5155"/>
    <w:rsid w:val="00BC5178"/>
    <w:rsid w:val="00BC53A7"/>
    <w:rsid w:val="00BC5AC0"/>
    <w:rsid w:val="00BC5AD4"/>
    <w:rsid w:val="00BC5D5A"/>
    <w:rsid w:val="00BC5E56"/>
    <w:rsid w:val="00BC6014"/>
    <w:rsid w:val="00BC6080"/>
    <w:rsid w:val="00BC60C3"/>
    <w:rsid w:val="00BC66E7"/>
    <w:rsid w:val="00BC742A"/>
    <w:rsid w:val="00BC7725"/>
    <w:rsid w:val="00BC7BA0"/>
    <w:rsid w:val="00BC7F20"/>
    <w:rsid w:val="00BD0020"/>
    <w:rsid w:val="00BD066A"/>
    <w:rsid w:val="00BD081A"/>
    <w:rsid w:val="00BD1071"/>
    <w:rsid w:val="00BD13D8"/>
    <w:rsid w:val="00BD218F"/>
    <w:rsid w:val="00BD2663"/>
    <w:rsid w:val="00BD276A"/>
    <w:rsid w:val="00BD2779"/>
    <w:rsid w:val="00BD2BED"/>
    <w:rsid w:val="00BD2C45"/>
    <w:rsid w:val="00BD2D92"/>
    <w:rsid w:val="00BD2FAC"/>
    <w:rsid w:val="00BD32DA"/>
    <w:rsid w:val="00BD3439"/>
    <w:rsid w:val="00BD3472"/>
    <w:rsid w:val="00BD38E8"/>
    <w:rsid w:val="00BD3ED7"/>
    <w:rsid w:val="00BD4150"/>
    <w:rsid w:val="00BD4284"/>
    <w:rsid w:val="00BD4300"/>
    <w:rsid w:val="00BD4D8E"/>
    <w:rsid w:val="00BD5062"/>
    <w:rsid w:val="00BD5069"/>
    <w:rsid w:val="00BD51FB"/>
    <w:rsid w:val="00BD5993"/>
    <w:rsid w:val="00BD6514"/>
    <w:rsid w:val="00BD670F"/>
    <w:rsid w:val="00BD68F7"/>
    <w:rsid w:val="00BD6964"/>
    <w:rsid w:val="00BD69EC"/>
    <w:rsid w:val="00BD7076"/>
    <w:rsid w:val="00BE0099"/>
    <w:rsid w:val="00BE009B"/>
    <w:rsid w:val="00BE0359"/>
    <w:rsid w:val="00BE23BB"/>
    <w:rsid w:val="00BE24AB"/>
    <w:rsid w:val="00BE2563"/>
    <w:rsid w:val="00BE3065"/>
    <w:rsid w:val="00BE3474"/>
    <w:rsid w:val="00BE377A"/>
    <w:rsid w:val="00BE3F81"/>
    <w:rsid w:val="00BE4533"/>
    <w:rsid w:val="00BE4DE0"/>
    <w:rsid w:val="00BE5900"/>
    <w:rsid w:val="00BE5949"/>
    <w:rsid w:val="00BE5B85"/>
    <w:rsid w:val="00BE5F31"/>
    <w:rsid w:val="00BE627F"/>
    <w:rsid w:val="00BE657A"/>
    <w:rsid w:val="00BE6FD4"/>
    <w:rsid w:val="00BE75B0"/>
    <w:rsid w:val="00BE7840"/>
    <w:rsid w:val="00BE7EA2"/>
    <w:rsid w:val="00BF1272"/>
    <w:rsid w:val="00BF1594"/>
    <w:rsid w:val="00BF1612"/>
    <w:rsid w:val="00BF1CAD"/>
    <w:rsid w:val="00BF1CD3"/>
    <w:rsid w:val="00BF2132"/>
    <w:rsid w:val="00BF2E1D"/>
    <w:rsid w:val="00BF2FCD"/>
    <w:rsid w:val="00BF30F1"/>
    <w:rsid w:val="00BF3644"/>
    <w:rsid w:val="00BF37FF"/>
    <w:rsid w:val="00BF38DB"/>
    <w:rsid w:val="00BF3EFC"/>
    <w:rsid w:val="00BF4253"/>
    <w:rsid w:val="00BF43A6"/>
    <w:rsid w:val="00BF44E1"/>
    <w:rsid w:val="00BF4ABE"/>
    <w:rsid w:val="00BF5038"/>
    <w:rsid w:val="00BF5699"/>
    <w:rsid w:val="00BF6411"/>
    <w:rsid w:val="00BF65DB"/>
    <w:rsid w:val="00BF690D"/>
    <w:rsid w:val="00BF69CA"/>
    <w:rsid w:val="00BF6BA8"/>
    <w:rsid w:val="00BF79AD"/>
    <w:rsid w:val="00BF79C8"/>
    <w:rsid w:val="00BF79F6"/>
    <w:rsid w:val="00BF7A59"/>
    <w:rsid w:val="00BF7AF7"/>
    <w:rsid w:val="00BF7E87"/>
    <w:rsid w:val="00C000C7"/>
    <w:rsid w:val="00C003D9"/>
    <w:rsid w:val="00C00908"/>
    <w:rsid w:val="00C0095D"/>
    <w:rsid w:val="00C00E41"/>
    <w:rsid w:val="00C00FD7"/>
    <w:rsid w:val="00C013F4"/>
    <w:rsid w:val="00C01403"/>
    <w:rsid w:val="00C01F02"/>
    <w:rsid w:val="00C02123"/>
    <w:rsid w:val="00C023DF"/>
    <w:rsid w:val="00C0241F"/>
    <w:rsid w:val="00C02710"/>
    <w:rsid w:val="00C02C91"/>
    <w:rsid w:val="00C031A3"/>
    <w:rsid w:val="00C034DB"/>
    <w:rsid w:val="00C045DE"/>
    <w:rsid w:val="00C0460F"/>
    <w:rsid w:val="00C04898"/>
    <w:rsid w:val="00C04913"/>
    <w:rsid w:val="00C04A8B"/>
    <w:rsid w:val="00C050DB"/>
    <w:rsid w:val="00C05161"/>
    <w:rsid w:val="00C05277"/>
    <w:rsid w:val="00C05E47"/>
    <w:rsid w:val="00C064BB"/>
    <w:rsid w:val="00C06B95"/>
    <w:rsid w:val="00C06C02"/>
    <w:rsid w:val="00C0721C"/>
    <w:rsid w:val="00C1008D"/>
    <w:rsid w:val="00C10543"/>
    <w:rsid w:val="00C108D9"/>
    <w:rsid w:val="00C1094D"/>
    <w:rsid w:val="00C10EF5"/>
    <w:rsid w:val="00C117CF"/>
    <w:rsid w:val="00C119DE"/>
    <w:rsid w:val="00C11B71"/>
    <w:rsid w:val="00C11D2B"/>
    <w:rsid w:val="00C11DEE"/>
    <w:rsid w:val="00C11FFB"/>
    <w:rsid w:val="00C12154"/>
    <w:rsid w:val="00C1267E"/>
    <w:rsid w:val="00C1271F"/>
    <w:rsid w:val="00C12AD9"/>
    <w:rsid w:val="00C12DAD"/>
    <w:rsid w:val="00C12E2E"/>
    <w:rsid w:val="00C13202"/>
    <w:rsid w:val="00C13312"/>
    <w:rsid w:val="00C1345D"/>
    <w:rsid w:val="00C13560"/>
    <w:rsid w:val="00C14052"/>
    <w:rsid w:val="00C146B4"/>
    <w:rsid w:val="00C14967"/>
    <w:rsid w:val="00C14F43"/>
    <w:rsid w:val="00C152DB"/>
    <w:rsid w:val="00C1597F"/>
    <w:rsid w:val="00C159CE"/>
    <w:rsid w:val="00C15F6F"/>
    <w:rsid w:val="00C16145"/>
    <w:rsid w:val="00C17059"/>
    <w:rsid w:val="00C1712A"/>
    <w:rsid w:val="00C17325"/>
    <w:rsid w:val="00C17C9F"/>
    <w:rsid w:val="00C17E27"/>
    <w:rsid w:val="00C17F8E"/>
    <w:rsid w:val="00C20120"/>
    <w:rsid w:val="00C20338"/>
    <w:rsid w:val="00C20829"/>
    <w:rsid w:val="00C20AC9"/>
    <w:rsid w:val="00C218BC"/>
    <w:rsid w:val="00C21929"/>
    <w:rsid w:val="00C21942"/>
    <w:rsid w:val="00C21A69"/>
    <w:rsid w:val="00C22972"/>
    <w:rsid w:val="00C23114"/>
    <w:rsid w:val="00C2332F"/>
    <w:rsid w:val="00C2358B"/>
    <w:rsid w:val="00C23B03"/>
    <w:rsid w:val="00C23B78"/>
    <w:rsid w:val="00C24E43"/>
    <w:rsid w:val="00C25125"/>
    <w:rsid w:val="00C25259"/>
    <w:rsid w:val="00C255A0"/>
    <w:rsid w:val="00C25C79"/>
    <w:rsid w:val="00C25F9A"/>
    <w:rsid w:val="00C26351"/>
    <w:rsid w:val="00C26AB4"/>
    <w:rsid w:val="00C26B82"/>
    <w:rsid w:val="00C26BD9"/>
    <w:rsid w:val="00C26E22"/>
    <w:rsid w:val="00C3018F"/>
    <w:rsid w:val="00C305FD"/>
    <w:rsid w:val="00C31271"/>
    <w:rsid w:val="00C31C39"/>
    <w:rsid w:val="00C31C90"/>
    <w:rsid w:val="00C32259"/>
    <w:rsid w:val="00C3276E"/>
    <w:rsid w:val="00C32E09"/>
    <w:rsid w:val="00C331AC"/>
    <w:rsid w:val="00C3399A"/>
    <w:rsid w:val="00C33CF7"/>
    <w:rsid w:val="00C33E68"/>
    <w:rsid w:val="00C33E7E"/>
    <w:rsid w:val="00C33EFC"/>
    <w:rsid w:val="00C342B6"/>
    <w:rsid w:val="00C34A74"/>
    <w:rsid w:val="00C34CD8"/>
    <w:rsid w:val="00C35098"/>
    <w:rsid w:val="00C351C9"/>
    <w:rsid w:val="00C3536B"/>
    <w:rsid w:val="00C3554E"/>
    <w:rsid w:val="00C35B7C"/>
    <w:rsid w:val="00C3653A"/>
    <w:rsid w:val="00C36AC6"/>
    <w:rsid w:val="00C36E8E"/>
    <w:rsid w:val="00C3726C"/>
    <w:rsid w:val="00C37E97"/>
    <w:rsid w:val="00C4028D"/>
    <w:rsid w:val="00C40369"/>
    <w:rsid w:val="00C40444"/>
    <w:rsid w:val="00C4057B"/>
    <w:rsid w:val="00C4082C"/>
    <w:rsid w:val="00C40CB9"/>
    <w:rsid w:val="00C40CC2"/>
    <w:rsid w:val="00C40E83"/>
    <w:rsid w:val="00C40F3A"/>
    <w:rsid w:val="00C41398"/>
    <w:rsid w:val="00C417AE"/>
    <w:rsid w:val="00C41B5C"/>
    <w:rsid w:val="00C41D81"/>
    <w:rsid w:val="00C427D2"/>
    <w:rsid w:val="00C428D8"/>
    <w:rsid w:val="00C42A8A"/>
    <w:rsid w:val="00C42C08"/>
    <w:rsid w:val="00C42FDA"/>
    <w:rsid w:val="00C430BB"/>
    <w:rsid w:val="00C438F4"/>
    <w:rsid w:val="00C443E8"/>
    <w:rsid w:val="00C4467E"/>
    <w:rsid w:val="00C44F0F"/>
    <w:rsid w:val="00C45609"/>
    <w:rsid w:val="00C45863"/>
    <w:rsid w:val="00C460C7"/>
    <w:rsid w:val="00C462B1"/>
    <w:rsid w:val="00C46475"/>
    <w:rsid w:val="00C479D3"/>
    <w:rsid w:val="00C47C13"/>
    <w:rsid w:val="00C47E76"/>
    <w:rsid w:val="00C50338"/>
    <w:rsid w:val="00C50A20"/>
    <w:rsid w:val="00C50B8F"/>
    <w:rsid w:val="00C50D64"/>
    <w:rsid w:val="00C50E85"/>
    <w:rsid w:val="00C51BE1"/>
    <w:rsid w:val="00C51D5E"/>
    <w:rsid w:val="00C51E0D"/>
    <w:rsid w:val="00C5228C"/>
    <w:rsid w:val="00C527AB"/>
    <w:rsid w:val="00C52837"/>
    <w:rsid w:val="00C529D7"/>
    <w:rsid w:val="00C532BD"/>
    <w:rsid w:val="00C5375D"/>
    <w:rsid w:val="00C5381F"/>
    <w:rsid w:val="00C53DDE"/>
    <w:rsid w:val="00C54081"/>
    <w:rsid w:val="00C543E3"/>
    <w:rsid w:val="00C545DB"/>
    <w:rsid w:val="00C548DF"/>
    <w:rsid w:val="00C54E56"/>
    <w:rsid w:val="00C54F92"/>
    <w:rsid w:val="00C5533D"/>
    <w:rsid w:val="00C55AE8"/>
    <w:rsid w:val="00C55D5B"/>
    <w:rsid w:val="00C55EDF"/>
    <w:rsid w:val="00C55EE2"/>
    <w:rsid w:val="00C562A8"/>
    <w:rsid w:val="00C566E1"/>
    <w:rsid w:val="00C5700A"/>
    <w:rsid w:val="00C5724C"/>
    <w:rsid w:val="00C578E9"/>
    <w:rsid w:val="00C60669"/>
    <w:rsid w:val="00C60C36"/>
    <w:rsid w:val="00C6112C"/>
    <w:rsid w:val="00C61172"/>
    <w:rsid w:val="00C6153C"/>
    <w:rsid w:val="00C6214E"/>
    <w:rsid w:val="00C6221A"/>
    <w:rsid w:val="00C625E6"/>
    <w:rsid w:val="00C626B4"/>
    <w:rsid w:val="00C62E8C"/>
    <w:rsid w:val="00C63910"/>
    <w:rsid w:val="00C63EAD"/>
    <w:rsid w:val="00C6405B"/>
    <w:rsid w:val="00C642A7"/>
    <w:rsid w:val="00C6444F"/>
    <w:rsid w:val="00C64FD5"/>
    <w:rsid w:val="00C6504A"/>
    <w:rsid w:val="00C650CC"/>
    <w:rsid w:val="00C65172"/>
    <w:rsid w:val="00C65EEB"/>
    <w:rsid w:val="00C6615D"/>
    <w:rsid w:val="00C666AA"/>
    <w:rsid w:val="00C666E9"/>
    <w:rsid w:val="00C669C1"/>
    <w:rsid w:val="00C67849"/>
    <w:rsid w:val="00C67DA5"/>
    <w:rsid w:val="00C67F6A"/>
    <w:rsid w:val="00C7011B"/>
    <w:rsid w:val="00C703A6"/>
    <w:rsid w:val="00C70420"/>
    <w:rsid w:val="00C707E1"/>
    <w:rsid w:val="00C70980"/>
    <w:rsid w:val="00C7121A"/>
    <w:rsid w:val="00C71625"/>
    <w:rsid w:val="00C7206C"/>
    <w:rsid w:val="00C723AE"/>
    <w:rsid w:val="00C7246E"/>
    <w:rsid w:val="00C72B91"/>
    <w:rsid w:val="00C749C9"/>
    <w:rsid w:val="00C74D0A"/>
    <w:rsid w:val="00C75F28"/>
    <w:rsid w:val="00C76184"/>
    <w:rsid w:val="00C7632A"/>
    <w:rsid w:val="00C765E6"/>
    <w:rsid w:val="00C76641"/>
    <w:rsid w:val="00C767E9"/>
    <w:rsid w:val="00C76ED1"/>
    <w:rsid w:val="00C77092"/>
    <w:rsid w:val="00C7747F"/>
    <w:rsid w:val="00C775B3"/>
    <w:rsid w:val="00C7772D"/>
    <w:rsid w:val="00C777D5"/>
    <w:rsid w:val="00C77D0C"/>
    <w:rsid w:val="00C80704"/>
    <w:rsid w:val="00C80997"/>
    <w:rsid w:val="00C80A36"/>
    <w:rsid w:val="00C80AC8"/>
    <w:rsid w:val="00C8128D"/>
    <w:rsid w:val="00C823ED"/>
    <w:rsid w:val="00C824F1"/>
    <w:rsid w:val="00C82986"/>
    <w:rsid w:val="00C82FDB"/>
    <w:rsid w:val="00C8340B"/>
    <w:rsid w:val="00C83DD2"/>
    <w:rsid w:val="00C83DF0"/>
    <w:rsid w:val="00C848DC"/>
    <w:rsid w:val="00C84B1B"/>
    <w:rsid w:val="00C84B63"/>
    <w:rsid w:val="00C84F25"/>
    <w:rsid w:val="00C84FCD"/>
    <w:rsid w:val="00C851C5"/>
    <w:rsid w:val="00C8571F"/>
    <w:rsid w:val="00C85DE7"/>
    <w:rsid w:val="00C85E38"/>
    <w:rsid w:val="00C86506"/>
    <w:rsid w:val="00C86B49"/>
    <w:rsid w:val="00C86DA4"/>
    <w:rsid w:val="00C86E5F"/>
    <w:rsid w:val="00C9000C"/>
    <w:rsid w:val="00C909C9"/>
    <w:rsid w:val="00C909F8"/>
    <w:rsid w:val="00C90D4D"/>
    <w:rsid w:val="00C90E14"/>
    <w:rsid w:val="00C910BE"/>
    <w:rsid w:val="00C915E4"/>
    <w:rsid w:val="00C91C16"/>
    <w:rsid w:val="00C92074"/>
    <w:rsid w:val="00C92205"/>
    <w:rsid w:val="00C92665"/>
    <w:rsid w:val="00C92A4C"/>
    <w:rsid w:val="00C92A9F"/>
    <w:rsid w:val="00C92F45"/>
    <w:rsid w:val="00C9388D"/>
    <w:rsid w:val="00C93B84"/>
    <w:rsid w:val="00C93C37"/>
    <w:rsid w:val="00C93C9A"/>
    <w:rsid w:val="00C93E70"/>
    <w:rsid w:val="00C94559"/>
    <w:rsid w:val="00C94C7C"/>
    <w:rsid w:val="00C95254"/>
    <w:rsid w:val="00C95397"/>
    <w:rsid w:val="00C95B6A"/>
    <w:rsid w:val="00C9627D"/>
    <w:rsid w:val="00C96467"/>
    <w:rsid w:val="00C96732"/>
    <w:rsid w:val="00C967DD"/>
    <w:rsid w:val="00C9695F"/>
    <w:rsid w:val="00C96B19"/>
    <w:rsid w:val="00C96F02"/>
    <w:rsid w:val="00C973C9"/>
    <w:rsid w:val="00C9793B"/>
    <w:rsid w:val="00C97D94"/>
    <w:rsid w:val="00CA089C"/>
    <w:rsid w:val="00CA08B5"/>
    <w:rsid w:val="00CA12FC"/>
    <w:rsid w:val="00CA15ED"/>
    <w:rsid w:val="00CA163A"/>
    <w:rsid w:val="00CA19E5"/>
    <w:rsid w:val="00CA1DBF"/>
    <w:rsid w:val="00CA1E44"/>
    <w:rsid w:val="00CA2724"/>
    <w:rsid w:val="00CA29FB"/>
    <w:rsid w:val="00CA2AB2"/>
    <w:rsid w:val="00CA2B02"/>
    <w:rsid w:val="00CA2C0E"/>
    <w:rsid w:val="00CA2FD4"/>
    <w:rsid w:val="00CA345A"/>
    <w:rsid w:val="00CA36A9"/>
    <w:rsid w:val="00CA3B70"/>
    <w:rsid w:val="00CA3F73"/>
    <w:rsid w:val="00CA403A"/>
    <w:rsid w:val="00CA585D"/>
    <w:rsid w:val="00CA5985"/>
    <w:rsid w:val="00CA61F0"/>
    <w:rsid w:val="00CA665C"/>
    <w:rsid w:val="00CA6697"/>
    <w:rsid w:val="00CA6865"/>
    <w:rsid w:val="00CA6AB6"/>
    <w:rsid w:val="00CA6E66"/>
    <w:rsid w:val="00CA6FC9"/>
    <w:rsid w:val="00CA6FE9"/>
    <w:rsid w:val="00CA76E5"/>
    <w:rsid w:val="00CB06AE"/>
    <w:rsid w:val="00CB0874"/>
    <w:rsid w:val="00CB08C5"/>
    <w:rsid w:val="00CB0C67"/>
    <w:rsid w:val="00CB0D08"/>
    <w:rsid w:val="00CB0F71"/>
    <w:rsid w:val="00CB136A"/>
    <w:rsid w:val="00CB1724"/>
    <w:rsid w:val="00CB22B5"/>
    <w:rsid w:val="00CB24B9"/>
    <w:rsid w:val="00CB2821"/>
    <w:rsid w:val="00CB2C20"/>
    <w:rsid w:val="00CB30D7"/>
    <w:rsid w:val="00CB3127"/>
    <w:rsid w:val="00CB3238"/>
    <w:rsid w:val="00CB38E9"/>
    <w:rsid w:val="00CB395F"/>
    <w:rsid w:val="00CB4192"/>
    <w:rsid w:val="00CB4396"/>
    <w:rsid w:val="00CB4E10"/>
    <w:rsid w:val="00CB50F8"/>
    <w:rsid w:val="00CB5469"/>
    <w:rsid w:val="00CB5692"/>
    <w:rsid w:val="00CB5DA1"/>
    <w:rsid w:val="00CB5F65"/>
    <w:rsid w:val="00CB6176"/>
    <w:rsid w:val="00CB63D0"/>
    <w:rsid w:val="00CB6A72"/>
    <w:rsid w:val="00CB70C3"/>
    <w:rsid w:val="00CB7F65"/>
    <w:rsid w:val="00CC0396"/>
    <w:rsid w:val="00CC05CE"/>
    <w:rsid w:val="00CC0650"/>
    <w:rsid w:val="00CC0845"/>
    <w:rsid w:val="00CC08C5"/>
    <w:rsid w:val="00CC13FA"/>
    <w:rsid w:val="00CC1F9A"/>
    <w:rsid w:val="00CC25A2"/>
    <w:rsid w:val="00CC27B1"/>
    <w:rsid w:val="00CC27E5"/>
    <w:rsid w:val="00CC29A8"/>
    <w:rsid w:val="00CC29EB"/>
    <w:rsid w:val="00CC2BE4"/>
    <w:rsid w:val="00CC38D9"/>
    <w:rsid w:val="00CC3AC5"/>
    <w:rsid w:val="00CC3B2F"/>
    <w:rsid w:val="00CC3CA6"/>
    <w:rsid w:val="00CC46D7"/>
    <w:rsid w:val="00CC4735"/>
    <w:rsid w:val="00CC4A83"/>
    <w:rsid w:val="00CC4DCB"/>
    <w:rsid w:val="00CC513B"/>
    <w:rsid w:val="00CC568F"/>
    <w:rsid w:val="00CC7444"/>
    <w:rsid w:val="00CD040E"/>
    <w:rsid w:val="00CD0679"/>
    <w:rsid w:val="00CD127F"/>
    <w:rsid w:val="00CD131D"/>
    <w:rsid w:val="00CD1742"/>
    <w:rsid w:val="00CD1774"/>
    <w:rsid w:val="00CD1ADC"/>
    <w:rsid w:val="00CD2031"/>
    <w:rsid w:val="00CD2424"/>
    <w:rsid w:val="00CD27BE"/>
    <w:rsid w:val="00CD28BE"/>
    <w:rsid w:val="00CD2E51"/>
    <w:rsid w:val="00CD36D7"/>
    <w:rsid w:val="00CD3B33"/>
    <w:rsid w:val="00CD4306"/>
    <w:rsid w:val="00CD4FB0"/>
    <w:rsid w:val="00CD53E2"/>
    <w:rsid w:val="00CD53EE"/>
    <w:rsid w:val="00CD5896"/>
    <w:rsid w:val="00CD5BD3"/>
    <w:rsid w:val="00CD5BF6"/>
    <w:rsid w:val="00CD5D77"/>
    <w:rsid w:val="00CD65F0"/>
    <w:rsid w:val="00CD6B55"/>
    <w:rsid w:val="00CD703F"/>
    <w:rsid w:val="00CD707D"/>
    <w:rsid w:val="00CD71AD"/>
    <w:rsid w:val="00CD71C2"/>
    <w:rsid w:val="00CD7249"/>
    <w:rsid w:val="00CD77D5"/>
    <w:rsid w:val="00CD7F4E"/>
    <w:rsid w:val="00CE0710"/>
    <w:rsid w:val="00CE1231"/>
    <w:rsid w:val="00CE1294"/>
    <w:rsid w:val="00CE13F9"/>
    <w:rsid w:val="00CE15AC"/>
    <w:rsid w:val="00CE232E"/>
    <w:rsid w:val="00CE2808"/>
    <w:rsid w:val="00CE28BF"/>
    <w:rsid w:val="00CE2938"/>
    <w:rsid w:val="00CE2A2E"/>
    <w:rsid w:val="00CE2CC2"/>
    <w:rsid w:val="00CE2F58"/>
    <w:rsid w:val="00CE2FB4"/>
    <w:rsid w:val="00CE312D"/>
    <w:rsid w:val="00CE3309"/>
    <w:rsid w:val="00CE3E6D"/>
    <w:rsid w:val="00CE411D"/>
    <w:rsid w:val="00CE433D"/>
    <w:rsid w:val="00CE46A1"/>
    <w:rsid w:val="00CE4A47"/>
    <w:rsid w:val="00CE4F80"/>
    <w:rsid w:val="00CE5132"/>
    <w:rsid w:val="00CE53D6"/>
    <w:rsid w:val="00CE56CB"/>
    <w:rsid w:val="00CE5B7B"/>
    <w:rsid w:val="00CE5F98"/>
    <w:rsid w:val="00CE630D"/>
    <w:rsid w:val="00CE67C3"/>
    <w:rsid w:val="00CE682F"/>
    <w:rsid w:val="00CE69CB"/>
    <w:rsid w:val="00CE6E06"/>
    <w:rsid w:val="00CE7338"/>
    <w:rsid w:val="00CF0070"/>
    <w:rsid w:val="00CF0B29"/>
    <w:rsid w:val="00CF0BD2"/>
    <w:rsid w:val="00CF0D01"/>
    <w:rsid w:val="00CF14D7"/>
    <w:rsid w:val="00CF1876"/>
    <w:rsid w:val="00CF1D83"/>
    <w:rsid w:val="00CF1E1E"/>
    <w:rsid w:val="00CF2909"/>
    <w:rsid w:val="00CF2F89"/>
    <w:rsid w:val="00CF3097"/>
    <w:rsid w:val="00CF32D0"/>
    <w:rsid w:val="00CF34D0"/>
    <w:rsid w:val="00CF399C"/>
    <w:rsid w:val="00CF4901"/>
    <w:rsid w:val="00CF4D02"/>
    <w:rsid w:val="00CF517D"/>
    <w:rsid w:val="00CF5473"/>
    <w:rsid w:val="00CF5948"/>
    <w:rsid w:val="00CF5E96"/>
    <w:rsid w:val="00CF697E"/>
    <w:rsid w:val="00CF6E4C"/>
    <w:rsid w:val="00CF7237"/>
    <w:rsid w:val="00CF7DA6"/>
    <w:rsid w:val="00CF7F23"/>
    <w:rsid w:val="00D00506"/>
    <w:rsid w:val="00D01007"/>
    <w:rsid w:val="00D0119E"/>
    <w:rsid w:val="00D015F5"/>
    <w:rsid w:val="00D016AC"/>
    <w:rsid w:val="00D01BDA"/>
    <w:rsid w:val="00D01DF7"/>
    <w:rsid w:val="00D033AD"/>
    <w:rsid w:val="00D03808"/>
    <w:rsid w:val="00D03C92"/>
    <w:rsid w:val="00D03DAF"/>
    <w:rsid w:val="00D03FB4"/>
    <w:rsid w:val="00D042ED"/>
    <w:rsid w:val="00D04362"/>
    <w:rsid w:val="00D043B6"/>
    <w:rsid w:val="00D044DF"/>
    <w:rsid w:val="00D0476C"/>
    <w:rsid w:val="00D051D4"/>
    <w:rsid w:val="00D0556D"/>
    <w:rsid w:val="00D055AF"/>
    <w:rsid w:val="00D05B78"/>
    <w:rsid w:val="00D05C65"/>
    <w:rsid w:val="00D05FD6"/>
    <w:rsid w:val="00D060CF"/>
    <w:rsid w:val="00D065EF"/>
    <w:rsid w:val="00D067D8"/>
    <w:rsid w:val="00D06C07"/>
    <w:rsid w:val="00D06FD2"/>
    <w:rsid w:val="00D07382"/>
    <w:rsid w:val="00D07A01"/>
    <w:rsid w:val="00D07AB8"/>
    <w:rsid w:val="00D10274"/>
    <w:rsid w:val="00D10D4B"/>
    <w:rsid w:val="00D10E41"/>
    <w:rsid w:val="00D1103C"/>
    <w:rsid w:val="00D111CF"/>
    <w:rsid w:val="00D1169E"/>
    <w:rsid w:val="00D139DE"/>
    <w:rsid w:val="00D13ED2"/>
    <w:rsid w:val="00D14DAB"/>
    <w:rsid w:val="00D15B34"/>
    <w:rsid w:val="00D160F9"/>
    <w:rsid w:val="00D165AF"/>
    <w:rsid w:val="00D1662D"/>
    <w:rsid w:val="00D16798"/>
    <w:rsid w:val="00D17423"/>
    <w:rsid w:val="00D175D7"/>
    <w:rsid w:val="00D17DA1"/>
    <w:rsid w:val="00D200A7"/>
    <w:rsid w:val="00D20664"/>
    <w:rsid w:val="00D209E6"/>
    <w:rsid w:val="00D20D03"/>
    <w:rsid w:val="00D20E0E"/>
    <w:rsid w:val="00D20F64"/>
    <w:rsid w:val="00D2123C"/>
    <w:rsid w:val="00D22247"/>
    <w:rsid w:val="00D22B53"/>
    <w:rsid w:val="00D22D15"/>
    <w:rsid w:val="00D22D29"/>
    <w:rsid w:val="00D22D64"/>
    <w:rsid w:val="00D22E2C"/>
    <w:rsid w:val="00D23F1F"/>
    <w:rsid w:val="00D241A9"/>
    <w:rsid w:val="00D241D1"/>
    <w:rsid w:val="00D247CD"/>
    <w:rsid w:val="00D248AE"/>
    <w:rsid w:val="00D24B5C"/>
    <w:rsid w:val="00D24F4A"/>
    <w:rsid w:val="00D25C5A"/>
    <w:rsid w:val="00D2631A"/>
    <w:rsid w:val="00D26689"/>
    <w:rsid w:val="00D26F62"/>
    <w:rsid w:val="00D26F82"/>
    <w:rsid w:val="00D273CA"/>
    <w:rsid w:val="00D27A88"/>
    <w:rsid w:val="00D27B09"/>
    <w:rsid w:val="00D27D52"/>
    <w:rsid w:val="00D30525"/>
    <w:rsid w:val="00D30900"/>
    <w:rsid w:val="00D3094D"/>
    <w:rsid w:val="00D30C04"/>
    <w:rsid w:val="00D31538"/>
    <w:rsid w:val="00D315CC"/>
    <w:rsid w:val="00D31AAB"/>
    <w:rsid w:val="00D31C0E"/>
    <w:rsid w:val="00D31FF8"/>
    <w:rsid w:val="00D326EE"/>
    <w:rsid w:val="00D32FE9"/>
    <w:rsid w:val="00D32FEB"/>
    <w:rsid w:val="00D32FF2"/>
    <w:rsid w:val="00D33617"/>
    <w:rsid w:val="00D338E0"/>
    <w:rsid w:val="00D34CA3"/>
    <w:rsid w:val="00D34EE2"/>
    <w:rsid w:val="00D34EEF"/>
    <w:rsid w:val="00D35011"/>
    <w:rsid w:val="00D352B8"/>
    <w:rsid w:val="00D36E0E"/>
    <w:rsid w:val="00D36EBB"/>
    <w:rsid w:val="00D37FD6"/>
    <w:rsid w:val="00D40A45"/>
    <w:rsid w:val="00D40C6D"/>
    <w:rsid w:val="00D4107E"/>
    <w:rsid w:val="00D41C38"/>
    <w:rsid w:val="00D41E39"/>
    <w:rsid w:val="00D41F3E"/>
    <w:rsid w:val="00D422F7"/>
    <w:rsid w:val="00D423EC"/>
    <w:rsid w:val="00D4268B"/>
    <w:rsid w:val="00D42A66"/>
    <w:rsid w:val="00D42BF5"/>
    <w:rsid w:val="00D42CF0"/>
    <w:rsid w:val="00D42E91"/>
    <w:rsid w:val="00D42F51"/>
    <w:rsid w:val="00D4343F"/>
    <w:rsid w:val="00D43878"/>
    <w:rsid w:val="00D43975"/>
    <w:rsid w:val="00D43EB4"/>
    <w:rsid w:val="00D43FC5"/>
    <w:rsid w:val="00D44057"/>
    <w:rsid w:val="00D44CCE"/>
    <w:rsid w:val="00D44EE9"/>
    <w:rsid w:val="00D45919"/>
    <w:rsid w:val="00D46255"/>
    <w:rsid w:val="00D4645A"/>
    <w:rsid w:val="00D46782"/>
    <w:rsid w:val="00D46D72"/>
    <w:rsid w:val="00D471CA"/>
    <w:rsid w:val="00D47369"/>
    <w:rsid w:val="00D473B9"/>
    <w:rsid w:val="00D47444"/>
    <w:rsid w:val="00D47C75"/>
    <w:rsid w:val="00D47D91"/>
    <w:rsid w:val="00D50131"/>
    <w:rsid w:val="00D501B8"/>
    <w:rsid w:val="00D50245"/>
    <w:rsid w:val="00D502CF"/>
    <w:rsid w:val="00D50726"/>
    <w:rsid w:val="00D50B2B"/>
    <w:rsid w:val="00D50BF9"/>
    <w:rsid w:val="00D513AA"/>
    <w:rsid w:val="00D51640"/>
    <w:rsid w:val="00D51791"/>
    <w:rsid w:val="00D51E98"/>
    <w:rsid w:val="00D52090"/>
    <w:rsid w:val="00D52102"/>
    <w:rsid w:val="00D5338E"/>
    <w:rsid w:val="00D5356A"/>
    <w:rsid w:val="00D537A8"/>
    <w:rsid w:val="00D53BB8"/>
    <w:rsid w:val="00D5479F"/>
    <w:rsid w:val="00D5576E"/>
    <w:rsid w:val="00D55A90"/>
    <w:rsid w:val="00D56777"/>
    <w:rsid w:val="00D5710B"/>
    <w:rsid w:val="00D57256"/>
    <w:rsid w:val="00D575AD"/>
    <w:rsid w:val="00D57D0C"/>
    <w:rsid w:val="00D57FAD"/>
    <w:rsid w:val="00D6046D"/>
    <w:rsid w:val="00D6059C"/>
    <w:rsid w:val="00D60B4C"/>
    <w:rsid w:val="00D60F8F"/>
    <w:rsid w:val="00D61404"/>
    <w:rsid w:val="00D61461"/>
    <w:rsid w:val="00D61CAD"/>
    <w:rsid w:val="00D6208B"/>
    <w:rsid w:val="00D627E5"/>
    <w:rsid w:val="00D62879"/>
    <w:rsid w:val="00D63266"/>
    <w:rsid w:val="00D6339D"/>
    <w:rsid w:val="00D637A6"/>
    <w:rsid w:val="00D63EDE"/>
    <w:rsid w:val="00D64202"/>
    <w:rsid w:val="00D6455C"/>
    <w:rsid w:val="00D6493B"/>
    <w:rsid w:val="00D65486"/>
    <w:rsid w:val="00D656E6"/>
    <w:rsid w:val="00D65AA3"/>
    <w:rsid w:val="00D65C63"/>
    <w:rsid w:val="00D65DA5"/>
    <w:rsid w:val="00D66C95"/>
    <w:rsid w:val="00D66ECB"/>
    <w:rsid w:val="00D671DE"/>
    <w:rsid w:val="00D67333"/>
    <w:rsid w:val="00D67745"/>
    <w:rsid w:val="00D678CD"/>
    <w:rsid w:val="00D70755"/>
    <w:rsid w:val="00D70A97"/>
    <w:rsid w:val="00D70EAA"/>
    <w:rsid w:val="00D7101A"/>
    <w:rsid w:val="00D7179E"/>
    <w:rsid w:val="00D7183F"/>
    <w:rsid w:val="00D7194E"/>
    <w:rsid w:val="00D719C3"/>
    <w:rsid w:val="00D7208E"/>
    <w:rsid w:val="00D721D1"/>
    <w:rsid w:val="00D7259B"/>
    <w:rsid w:val="00D728C6"/>
    <w:rsid w:val="00D7417A"/>
    <w:rsid w:val="00D74B5A"/>
    <w:rsid w:val="00D74C00"/>
    <w:rsid w:val="00D74D31"/>
    <w:rsid w:val="00D74F0F"/>
    <w:rsid w:val="00D759DB"/>
    <w:rsid w:val="00D765AB"/>
    <w:rsid w:val="00D76CDD"/>
    <w:rsid w:val="00D77040"/>
    <w:rsid w:val="00D77119"/>
    <w:rsid w:val="00D773A6"/>
    <w:rsid w:val="00D77A50"/>
    <w:rsid w:val="00D77CF7"/>
    <w:rsid w:val="00D77D1C"/>
    <w:rsid w:val="00D77D62"/>
    <w:rsid w:val="00D77F13"/>
    <w:rsid w:val="00D77F79"/>
    <w:rsid w:val="00D802A7"/>
    <w:rsid w:val="00D80DC2"/>
    <w:rsid w:val="00D81128"/>
    <w:rsid w:val="00D816DF"/>
    <w:rsid w:val="00D81BA2"/>
    <w:rsid w:val="00D81D1A"/>
    <w:rsid w:val="00D81DB4"/>
    <w:rsid w:val="00D81F0B"/>
    <w:rsid w:val="00D81F10"/>
    <w:rsid w:val="00D8224D"/>
    <w:rsid w:val="00D8255B"/>
    <w:rsid w:val="00D82CC1"/>
    <w:rsid w:val="00D82E2B"/>
    <w:rsid w:val="00D830E5"/>
    <w:rsid w:val="00D83AE6"/>
    <w:rsid w:val="00D84675"/>
    <w:rsid w:val="00D85956"/>
    <w:rsid w:val="00D8631B"/>
    <w:rsid w:val="00D87376"/>
    <w:rsid w:val="00D87640"/>
    <w:rsid w:val="00D87DDD"/>
    <w:rsid w:val="00D902B6"/>
    <w:rsid w:val="00D9034C"/>
    <w:rsid w:val="00D90631"/>
    <w:rsid w:val="00D90BF6"/>
    <w:rsid w:val="00D90DF8"/>
    <w:rsid w:val="00D91139"/>
    <w:rsid w:val="00D91320"/>
    <w:rsid w:val="00D91721"/>
    <w:rsid w:val="00D91827"/>
    <w:rsid w:val="00D91ED6"/>
    <w:rsid w:val="00D92075"/>
    <w:rsid w:val="00D92142"/>
    <w:rsid w:val="00D92886"/>
    <w:rsid w:val="00D930A6"/>
    <w:rsid w:val="00D933E7"/>
    <w:rsid w:val="00D93589"/>
    <w:rsid w:val="00D93BE5"/>
    <w:rsid w:val="00D93D85"/>
    <w:rsid w:val="00D94011"/>
    <w:rsid w:val="00D946F1"/>
    <w:rsid w:val="00D948C9"/>
    <w:rsid w:val="00D94B89"/>
    <w:rsid w:val="00D95E69"/>
    <w:rsid w:val="00D95E8F"/>
    <w:rsid w:val="00D9623E"/>
    <w:rsid w:val="00D96CB0"/>
    <w:rsid w:val="00D96D59"/>
    <w:rsid w:val="00D97069"/>
    <w:rsid w:val="00D970AC"/>
    <w:rsid w:val="00D97269"/>
    <w:rsid w:val="00D972EB"/>
    <w:rsid w:val="00D9734F"/>
    <w:rsid w:val="00D97782"/>
    <w:rsid w:val="00D979DF"/>
    <w:rsid w:val="00D97AF7"/>
    <w:rsid w:val="00D97C52"/>
    <w:rsid w:val="00DA0E7C"/>
    <w:rsid w:val="00DA125A"/>
    <w:rsid w:val="00DA1B27"/>
    <w:rsid w:val="00DA1E5E"/>
    <w:rsid w:val="00DA2021"/>
    <w:rsid w:val="00DA2062"/>
    <w:rsid w:val="00DA2383"/>
    <w:rsid w:val="00DA25BD"/>
    <w:rsid w:val="00DA2CE6"/>
    <w:rsid w:val="00DA2D22"/>
    <w:rsid w:val="00DA30C9"/>
    <w:rsid w:val="00DA3793"/>
    <w:rsid w:val="00DA37F2"/>
    <w:rsid w:val="00DA4370"/>
    <w:rsid w:val="00DA4C61"/>
    <w:rsid w:val="00DA4C63"/>
    <w:rsid w:val="00DA55C0"/>
    <w:rsid w:val="00DA561F"/>
    <w:rsid w:val="00DA5AD0"/>
    <w:rsid w:val="00DA5B0C"/>
    <w:rsid w:val="00DA65C5"/>
    <w:rsid w:val="00DA706C"/>
    <w:rsid w:val="00DA7CCF"/>
    <w:rsid w:val="00DA7DBF"/>
    <w:rsid w:val="00DB0027"/>
    <w:rsid w:val="00DB02CC"/>
    <w:rsid w:val="00DB04AC"/>
    <w:rsid w:val="00DB0508"/>
    <w:rsid w:val="00DB051F"/>
    <w:rsid w:val="00DB148D"/>
    <w:rsid w:val="00DB19CC"/>
    <w:rsid w:val="00DB2442"/>
    <w:rsid w:val="00DB25F6"/>
    <w:rsid w:val="00DB268F"/>
    <w:rsid w:val="00DB2859"/>
    <w:rsid w:val="00DB286F"/>
    <w:rsid w:val="00DB2970"/>
    <w:rsid w:val="00DB2A3E"/>
    <w:rsid w:val="00DB2BDE"/>
    <w:rsid w:val="00DB2CD8"/>
    <w:rsid w:val="00DB2EE4"/>
    <w:rsid w:val="00DB3098"/>
    <w:rsid w:val="00DB31CE"/>
    <w:rsid w:val="00DB35F2"/>
    <w:rsid w:val="00DB37B5"/>
    <w:rsid w:val="00DB4377"/>
    <w:rsid w:val="00DB4633"/>
    <w:rsid w:val="00DB47B0"/>
    <w:rsid w:val="00DB4995"/>
    <w:rsid w:val="00DB4A64"/>
    <w:rsid w:val="00DB50BD"/>
    <w:rsid w:val="00DB526F"/>
    <w:rsid w:val="00DB5326"/>
    <w:rsid w:val="00DB5615"/>
    <w:rsid w:val="00DB574E"/>
    <w:rsid w:val="00DB5802"/>
    <w:rsid w:val="00DB6AA0"/>
    <w:rsid w:val="00DB6E20"/>
    <w:rsid w:val="00DB6F30"/>
    <w:rsid w:val="00DB6FA5"/>
    <w:rsid w:val="00DB721C"/>
    <w:rsid w:val="00DB7782"/>
    <w:rsid w:val="00DB7807"/>
    <w:rsid w:val="00DB78E2"/>
    <w:rsid w:val="00DB7E90"/>
    <w:rsid w:val="00DC0698"/>
    <w:rsid w:val="00DC0832"/>
    <w:rsid w:val="00DC09D2"/>
    <w:rsid w:val="00DC0A3A"/>
    <w:rsid w:val="00DC0AA3"/>
    <w:rsid w:val="00DC0BE7"/>
    <w:rsid w:val="00DC0ED5"/>
    <w:rsid w:val="00DC13A7"/>
    <w:rsid w:val="00DC2B0C"/>
    <w:rsid w:val="00DC2CF1"/>
    <w:rsid w:val="00DC2D9C"/>
    <w:rsid w:val="00DC2F85"/>
    <w:rsid w:val="00DC35A9"/>
    <w:rsid w:val="00DC3679"/>
    <w:rsid w:val="00DC391B"/>
    <w:rsid w:val="00DC3C41"/>
    <w:rsid w:val="00DC3D35"/>
    <w:rsid w:val="00DC47E7"/>
    <w:rsid w:val="00DC481D"/>
    <w:rsid w:val="00DC4AA7"/>
    <w:rsid w:val="00DC4EB6"/>
    <w:rsid w:val="00DC5B58"/>
    <w:rsid w:val="00DC64DA"/>
    <w:rsid w:val="00DC7014"/>
    <w:rsid w:val="00DC751B"/>
    <w:rsid w:val="00DC76AE"/>
    <w:rsid w:val="00DC7E9C"/>
    <w:rsid w:val="00DD0526"/>
    <w:rsid w:val="00DD0592"/>
    <w:rsid w:val="00DD0721"/>
    <w:rsid w:val="00DD0AA7"/>
    <w:rsid w:val="00DD0BEC"/>
    <w:rsid w:val="00DD0D6F"/>
    <w:rsid w:val="00DD1835"/>
    <w:rsid w:val="00DD18A5"/>
    <w:rsid w:val="00DD18B5"/>
    <w:rsid w:val="00DD1F4D"/>
    <w:rsid w:val="00DD2494"/>
    <w:rsid w:val="00DD2BD5"/>
    <w:rsid w:val="00DD2E02"/>
    <w:rsid w:val="00DD3295"/>
    <w:rsid w:val="00DD345D"/>
    <w:rsid w:val="00DD350B"/>
    <w:rsid w:val="00DD39EE"/>
    <w:rsid w:val="00DD412F"/>
    <w:rsid w:val="00DD451D"/>
    <w:rsid w:val="00DD49FB"/>
    <w:rsid w:val="00DD4E96"/>
    <w:rsid w:val="00DD4F95"/>
    <w:rsid w:val="00DD4FB3"/>
    <w:rsid w:val="00DD5422"/>
    <w:rsid w:val="00DD5689"/>
    <w:rsid w:val="00DD5730"/>
    <w:rsid w:val="00DD5957"/>
    <w:rsid w:val="00DD5988"/>
    <w:rsid w:val="00DD59A1"/>
    <w:rsid w:val="00DD5C0A"/>
    <w:rsid w:val="00DD5C1A"/>
    <w:rsid w:val="00DD62AE"/>
    <w:rsid w:val="00DD66BB"/>
    <w:rsid w:val="00DD6C9E"/>
    <w:rsid w:val="00DD708D"/>
    <w:rsid w:val="00DD769D"/>
    <w:rsid w:val="00DE0107"/>
    <w:rsid w:val="00DE03F1"/>
    <w:rsid w:val="00DE04B8"/>
    <w:rsid w:val="00DE0756"/>
    <w:rsid w:val="00DE0DB4"/>
    <w:rsid w:val="00DE0F05"/>
    <w:rsid w:val="00DE0F56"/>
    <w:rsid w:val="00DE0FE7"/>
    <w:rsid w:val="00DE15CA"/>
    <w:rsid w:val="00DE1774"/>
    <w:rsid w:val="00DE1884"/>
    <w:rsid w:val="00DE1DFD"/>
    <w:rsid w:val="00DE2ECC"/>
    <w:rsid w:val="00DE2FC0"/>
    <w:rsid w:val="00DE304A"/>
    <w:rsid w:val="00DE376F"/>
    <w:rsid w:val="00DE3774"/>
    <w:rsid w:val="00DE3CE2"/>
    <w:rsid w:val="00DE3D1D"/>
    <w:rsid w:val="00DE3FCC"/>
    <w:rsid w:val="00DE4161"/>
    <w:rsid w:val="00DE4328"/>
    <w:rsid w:val="00DE4554"/>
    <w:rsid w:val="00DE45F5"/>
    <w:rsid w:val="00DE4713"/>
    <w:rsid w:val="00DE4C06"/>
    <w:rsid w:val="00DE4DB2"/>
    <w:rsid w:val="00DE4E07"/>
    <w:rsid w:val="00DE4F00"/>
    <w:rsid w:val="00DE4F1E"/>
    <w:rsid w:val="00DE4FF1"/>
    <w:rsid w:val="00DE5505"/>
    <w:rsid w:val="00DE55AF"/>
    <w:rsid w:val="00DE56CE"/>
    <w:rsid w:val="00DE57C6"/>
    <w:rsid w:val="00DE60B9"/>
    <w:rsid w:val="00DE6228"/>
    <w:rsid w:val="00DE666B"/>
    <w:rsid w:val="00DE6A52"/>
    <w:rsid w:val="00DE6AB0"/>
    <w:rsid w:val="00DE6C19"/>
    <w:rsid w:val="00DE6CF1"/>
    <w:rsid w:val="00DE6EC8"/>
    <w:rsid w:val="00DE7094"/>
    <w:rsid w:val="00DE73CF"/>
    <w:rsid w:val="00DE79DB"/>
    <w:rsid w:val="00DE7CB3"/>
    <w:rsid w:val="00DE7EC6"/>
    <w:rsid w:val="00DE7FA8"/>
    <w:rsid w:val="00DF00D8"/>
    <w:rsid w:val="00DF05C0"/>
    <w:rsid w:val="00DF05C7"/>
    <w:rsid w:val="00DF0982"/>
    <w:rsid w:val="00DF0EFA"/>
    <w:rsid w:val="00DF1DA6"/>
    <w:rsid w:val="00DF23C4"/>
    <w:rsid w:val="00DF24EF"/>
    <w:rsid w:val="00DF2635"/>
    <w:rsid w:val="00DF30FC"/>
    <w:rsid w:val="00DF37E3"/>
    <w:rsid w:val="00DF3D43"/>
    <w:rsid w:val="00DF3EDE"/>
    <w:rsid w:val="00DF3F3E"/>
    <w:rsid w:val="00DF45BE"/>
    <w:rsid w:val="00DF4BDA"/>
    <w:rsid w:val="00DF4F06"/>
    <w:rsid w:val="00DF580A"/>
    <w:rsid w:val="00DF5D6F"/>
    <w:rsid w:val="00DF61D4"/>
    <w:rsid w:val="00DF68C5"/>
    <w:rsid w:val="00DF69C5"/>
    <w:rsid w:val="00DF6A63"/>
    <w:rsid w:val="00DF6AA6"/>
    <w:rsid w:val="00DF6B5B"/>
    <w:rsid w:val="00DF7019"/>
    <w:rsid w:val="00DF7306"/>
    <w:rsid w:val="00DF73CF"/>
    <w:rsid w:val="00DF7AAE"/>
    <w:rsid w:val="00DF7B73"/>
    <w:rsid w:val="00DF7E17"/>
    <w:rsid w:val="00DF7E7D"/>
    <w:rsid w:val="00E002C0"/>
    <w:rsid w:val="00E00B5D"/>
    <w:rsid w:val="00E01415"/>
    <w:rsid w:val="00E01895"/>
    <w:rsid w:val="00E01CB6"/>
    <w:rsid w:val="00E01F20"/>
    <w:rsid w:val="00E021E8"/>
    <w:rsid w:val="00E0306E"/>
    <w:rsid w:val="00E031DB"/>
    <w:rsid w:val="00E03421"/>
    <w:rsid w:val="00E03991"/>
    <w:rsid w:val="00E03E35"/>
    <w:rsid w:val="00E0429A"/>
    <w:rsid w:val="00E04611"/>
    <w:rsid w:val="00E04E08"/>
    <w:rsid w:val="00E055BE"/>
    <w:rsid w:val="00E06101"/>
    <w:rsid w:val="00E0667D"/>
    <w:rsid w:val="00E06D7F"/>
    <w:rsid w:val="00E06D80"/>
    <w:rsid w:val="00E070F8"/>
    <w:rsid w:val="00E07709"/>
    <w:rsid w:val="00E07919"/>
    <w:rsid w:val="00E07DB4"/>
    <w:rsid w:val="00E07F1C"/>
    <w:rsid w:val="00E103AE"/>
    <w:rsid w:val="00E10723"/>
    <w:rsid w:val="00E10FF9"/>
    <w:rsid w:val="00E112D1"/>
    <w:rsid w:val="00E113D8"/>
    <w:rsid w:val="00E11443"/>
    <w:rsid w:val="00E115A1"/>
    <w:rsid w:val="00E11832"/>
    <w:rsid w:val="00E11E0E"/>
    <w:rsid w:val="00E11EA5"/>
    <w:rsid w:val="00E12354"/>
    <w:rsid w:val="00E12373"/>
    <w:rsid w:val="00E1238C"/>
    <w:rsid w:val="00E12DAC"/>
    <w:rsid w:val="00E1319D"/>
    <w:rsid w:val="00E1322D"/>
    <w:rsid w:val="00E13635"/>
    <w:rsid w:val="00E13726"/>
    <w:rsid w:val="00E13898"/>
    <w:rsid w:val="00E138FB"/>
    <w:rsid w:val="00E1394D"/>
    <w:rsid w:val="00E13C7D"/>
    <w:rsid w:val="00E14202"/>
    <w:rsid w:val="00E14276"/>
    <w:rsid w:val="00E14A91"/>
    <w:rsid w:val="00E152DC"/>
    <w:rsid w:val="00E15615"/>
    <w:rsid w:val="00E1604D"/>
    <w:rsid w:val="00E16071"/>
    <w:rsid w:val="00E1643E"/>
    <w:rsid w:val="00E17ADC"/>
    <w:rsid w:val="00E17B69"/>
    <w:rsid w:val="00E20022"/>
    <w:rsid w:val="00E200A2"/>
    <w:rsid w:val="00E207A0"/>
    <w:rsid w:val="00E20BB1"/>
    <w:rsid w:val="00E20DBA"/>
    <w:rsid w:val="00E20E1D"/>
    <w:rsid w:val="00E2115C"/>
    <w:rsid w:val="00E214DE"/>
    <w:rsid w:val="00E21636"/>
    <w:rsid w:val="00E2196F"/>
    <w:rsid w:val="00E21A73"/>
    <w:rsid w:val="00E21B4A"/>
    <w:rsid w:val="00E21E20"/>
    <w:rsid w:val="00E22620"/>
    <w:rsid w:val="00E227E4"/>
    <w:rsid w:val="00E228FC"/>
    <w:rsid w:val="00E22A40"/>
    <w:rsid w:val="00E2301C"/>
    <w:rsid w:val="00E249E8"/>
    <w:rsid w:val="00E24FBF"/>
    <w:rsid w:val="00E256C9"/>
    <w:rsid w:val="00E257DB"/>
    <w:rsid w:val="00E2598C"/>
    <w:rsid w:val="00E2619D"/>
    <w:rsid w:val="00E263D2"/>
    <w:rsid w:val="00E26C4C"/>
    <w:rsid w:val="00E271D5"/>
    <w:rsid w:val="00E276C7"/>
    <w:rsid w:val="00E27DCB"/>
    <w:rsid w:val="00E27DE1"/>
    <w:rsid w:val="00E30216"/>
    <w:rsid w:val="00E30BD2"/>
    <w:rsid w:val="00E31004"/>
    <w:rsid w:val="00E3161E"/>
    <w:rsid w:val="00E3205A"/>
    <w:rsid w:val="00E32626"/>
    <w:rsid w:val="00E32C28"/>
    <w:rsid w:val="00E32E56"/>
    <w:rsid w:val="00E33400"/>
    <w:rsid w:val="00E33E9A"/>
    <w:rsid w:val="00E33FE1"/>
    <w:rsid w:val="00E342E4"/>
    <w:rsid w:val="00E3489C"/>
    <w:rsid w:val="00E349B5"/>
    <w:rsid w:val="00E34A80"/>
    <w:rsid w:val="00E34B34"/>
    <w:rsid w:val="00E35274"/>
    <w:rsid w:val="00E3540E"/>
    <w:rsid w:val="00E35B7F"/>
    <w:rsid w:val="00E35C59"/>
    <w:rsid w:val="00E35D32"/>
    <w:rsid w:val="00E35D84"/>
    <w:rsid w:val="00E35E61"/>
    <w:rsid w:val="00E36111"/>
    <w:rsid w:val="00E364F4"/>
    <w:rsid w:val="00E3654D"/>
    <w:rsid w:val="00E368E1"/>
    <w:rsid w:val="00E36977"/>
    <w:rsid w:val="00E372A0"/>
    <w:rsid w:val="00E376A4"/>
    <w:rsid w:val="00E379E6"/>
    <w:rsid w:val="00E37BB7"/>
    <w:rsid w:val="00E37BBD"/>
    <w:rsid w:val="00E37FDF"/>
    <w:rsid w:val="00E37FE5"/>
    <w:rsid w:val="00E40056"/>
    <w:rsid w:val="00E400BA"/>
    <w:rsid w:val="00E401D9"/>
    <w:rsid w:val="00E405B0"/>
    <w:rsid w:val="00E40C6E"/>
    <w:rsid w:val="00E41166"/>
    <w:rsid w:val="00E41876"/>
    <w:rsid w:val="00E41D66"/>
    <w:rsid w:val="00E41EEA"/>
    <w:rsid w:val="00E420B1"/>
    <w:rsid w:val="00E42101"/>
    <w:rsid w:val="00E424DA"/>
    <w:rsid w:val="00E425D0"/>
    <w:rsid w:val="00E4265C"/>
    <w:rsid w:val="00E42670"/>
    <w:rsid w:val="00E42889"/>
    <w:rsid w:val="00E43040"/>
    <w:rsid w:val="00E430DF"/>
    <w:rsid w:val="00E430F4"/>
    <w:rsid w:val="00E43817"/>
    <w:rsid w:val="00E43EFC"/>
    <w:rsid w:val="00E4447B"/>
    <w:rsid w:val="00E444CE"/>
    <w:rsid w:val="00E44811"/>
    <w:rsid w:val="00E44897"/>
    <w:rsid w:val="00E448C1"/>
    <w:rsid w:val="00E44AD2"/>
    <w:rsid w:val="00E44AE4"/>
    <w:rsid w:val="00E45423"/>
    <w:rsid w:val="00E4561C"/>
    <w:rsid w:val="00E457AA"/>
    <w:rsid w:val="00E45D59"/>
    <w:rsid w:val="00E46055"/>
    <w:rsid w:val="00E461DB"/>
    <w:rsid w:val="00E46B75"/>
    <w:rsid w:val="00E46D88"/>
    <w:rsid w:val="00E46E15"/>
    <w:rsid w:val="00E473AF"/>
    <w:rsid w:val="00E47466"/>
    <w:rsid w:val="00E4746C"/>
    <w:rsid w:val="00E4787F"/>
    <w:rsid w:val="00E47ADF"/>
    <w:rsid w:val="00E50295"/>
    <w:rsid w:val="00E50800"/>
    <w:rsid w:val="00E51067"/>
    <w:rsid w:val="00E5132D"/>
    <w:rsid w:val="00E519CE"/>
    <w:rsid w:val="00E52247"/>
    <w:rsid w:val="00E5229B"/>
    <w:rsid w:val="00E52344"/>
    <w:rsid w:val="00E525C3"/>
    <w:rsid w:val="00E52AFD"/>
    <w:rsid w:val="00E52B32"/>
    <w:rsid w:val="00E52DAA"/>
    <w:rsid w:val="00E53407"/>
    <w:rsid w:val="00E534B3"/>
    <w:rsid w:val="00E53559"/>
    <w:rsid w:val="00E53571"/>
    <w:rsid w:val="00E5418A"/>
    <w:rsid w:val="00E54A70"/>
    <w:rsid w:val="00E54D82"/>
    <w:rsid w:val="00E55726"/>
    <w:rsid w:val="00E55762"/>
    <w:rsid w:val="00E55A9E"/>
    <w:rsid w:val="00E55AB5"/>
    <w:rsid w:val="00E56754"/>
    <w:rsid w:val="00E56848"/>
    <w:rsid w:val="00E56A04"/>
    <w:rsid w:val="00E56CF8"/>
    <w:rsid w:val="00E578B4"/>
    <w:rsid w:val="00E57985"/>
    <w:rsid w:val="00E57CDB"/>
    <w:rsid w:val="00E57DA2"/>
    <w:rsid w:val="00E601F7"/>
    <w:rsid w:val="00E6027A"/>
    <w:rsid w:val="00E60CA2"/>
    <w:rsid w:val="00E60F96"/>
    <w:rsid w:val="00E6115E"/>
    <w:rsid w:val="00E611F3"/>
    <w:rsid w:val="00E614D3"/>
    <w:rsid w:val="00E61768"/>
    <w:rsid w:val="00E618B1"/>
    <w:rsid w:val="00E61AA0"/>
    <w:rsid w:val="00E61BE0"/>
    <w:rsid w:val="00E62428"/>
    <w:rsid w:val="00E6342E"/>
    <w:rsid w:val="00E63490"/>
    <w:rsid w:val="00E6369C"/>
    <w:rsid w:val="00E63FBA"/>
    <w:rsid w:val="00E64182"/>
    <w:rsid w:val="00E64313"/>
    <w:rsid w:val="00E6434F"/>
    <w:rsid w:val="00E648AD"/>
    <w:rsid w:val="00E64A33"/>
    <w:rsid w:val="00E64B4A"/>
    <w:rsid w:val="00E64EEC"/>
    <w:rsid w:val="00E65502"/>
    <w:rsid w:val="00E6557D"/>
    <w:rsid w:val="00E65D50"/>
    <w:rsid w:val="00E65DEB"/>
    <w:rsid w:val="00E6739B"/>
    <w:rsid w:val="00E674DB"/>
    <w:rsid w:val="00E70081"/>
    <w:rsid w:val="00E70107"/>
    <w:rsid w:val="00E70518"/>
    <w:rsid w:val="00E70887"/>
    <w:rsid w:val="00E70A25"/>
    <w:rsid w:val="00E7109D"/>
    <w:rsid w:val="00E711FC"/>
    <w:rsid w:val="00E7135C"/>
    <w:rsid w:val="00E71902"/>
    <w:rsid w:val="00E7190D"/>
    <w:rsid w:val="00E71ACD"/>
    <w:rsid w:val="00E71D68"/>
    <w:rsid w:val="00E720EC"/>
    <w:rsid w:val="00E72CCB"/>
    <w:rsid w:val="00E72CDA"/>
    <w:rsid w:val="00E72D74"/>
    <w:rsid w:val="00E72DD5"/>
    <w:rsid w:val="00E73066"/>
    <w:rsid w:val="00E73080"/>
    <w:rsid w:val="00E7343A"/>
    <w:rsid w:val="00E73699"/>
    <w:rsid w:val="00E736BD"/>
    <w:rsid w:val="00E738CD"/>
    <w:rsid w:val="00E73F84"/>
    <w:rsid w:val="00E74B84"/>
    <w:rsid w:val="00E74ED0"/>
    <w:rsid w:val="00E75261"/>
    <w:rsid w:val="00E752BA"/>
    <w:rsid w:val="00E75336"/>
    <w:rsid w:val="00E755B8"/>
    <w:rsid w:val="00E7583F"/>
    <w:rsid w:val="00E75ABA"/>
    <w:rsid w:val="00E75C2C"/>
    <w:rsid w:val="00E75DAC"/>
    <w:rsid w:val="00E75E8D"/>
    <w:rsid w:val="00E7600D"/>
    <w:rsid w:val="00E7633C"/>
    <w:rsid w:val="00E763D4"/>
    <w:rsid w:val="00E768A5"/>
    <w:rsid w:val="00E7711E"/>
    <w:rsid w:val="00E77C4B"/>
    <w:rsid w:val="00E77DFC"/>
    <w:rsid w:val="00E77E3A"/>
    <w:rsid w:val="00E77ECE"/>
    <w:rsid w:val="00E80179"/>
    <w:rsid w:val="00E80627"/>
    <w:rsid w:val="00E8082B"/>
    <w:rsid w:val="00E8093C"/>
    <w:rsid w:val="00E80E97"/>
    <w:rsid w:val="00E81119"/>
    <w:rsid w:val="00E811E3"/>
    <w:rsid w:val="00E8120B"/>
    <w:rsid w:val="00E819B2"/>
    <w:rsid w:val="00E81D7D"/>
    <w:rsid w:val="00E82124"/>
    <w:rsid w:val="00E822BA"/>
    <w:rsid w:val="00E82904"/>
    <w:rsid w:val="00E82A2E"/>
    <w:rsid w:val="00E82AD4"/>
    <w:rsid w:val="00E82ED4"/>
    <w:rsid w:val="00E83378"/>
    <w:rsid w:val="00E8376F"/>
    <w:rsid w:val="00E83B2E"/>
    <w:rsid w:val="00E83D88"/>
    <w:rsid w:val="00E845B6"/>
    <w:rsid w:val="00E84A6F"/>
    <w:rsid w:val="00E84DB0"/>
    <w:rsid w:val="00E84F2D"/>
    <w:rsid w:val="00E85005"/>
    <w:rsid w:val="00E850DC"/>
    <w:rsid w:val="00E852D1"/>
    <w:rsid w:val="00E853D9"/>
    <w:rsid w:val="00E85803"/>
    <w:rsid w:val="00E85B24"/>
    <w:rsid w:val="00E85FE5"/>
    <w:rsid w:val="00E86053"/>
    <w:rsid w:val="00E8610F"/>
    <w:rsid w:val="00E868F9"/>
    <w:rsid w:val="00E86A4E"/>
    <w:rsid w:val="00E86D39"/>
    <w:rsid w:val="00E86D5E"/>
    <w:rsid w:val="00E90016"/>
    <w:rsid w:val="00E902B3"/>
    <w:rsid w:val="00E9038A"/>
    <w:rsid w:val="00E90540"/>
    <w:rsid w:val="00E90783"/>
    <w:rsid w:val="00E90AE8"/>
    <w:rsid w:val="00E90E4A"/>
    <w:rsid w:val="00E90E74"/>
    <w:rsid w:val="00E913DF"/>
    <w:rsid w:val="00E914B9"/>
    <w:rsid w:val="00E91559"/>
    <w:rsid w:val="00E91689"/>
    <w:rsid w:val="00E92068"/>
    <w:rsid w:val="00E9286A"/>
    <w:rsid w:val="00E92EFB"/>
    <w:rsid w:val="00E93007"/>
    <w:rsid w:val="00E93012"/>
    <w:rsid w:val="00E9394B"/>
    <w:rsid w:val="00E93C53"/>
    <w:rsid w:val="00E93F42"/>
    <w:rsid w:val="00E94126"/>
    <w:rsid w:val="00E94D2B"/>
    <w:rsid w:val="00E94E7B"/>
    <w:rsid w:val="00E96B6F"/>
    <w:rsid w:val="00E96B81"/>
    <w:rsid w:val="00E970A6"/>
    <w:rsid w:val="00E971C5"/>
    <w:rsid w:val="00E97A2D"/>
    <w:rsid w:val="00E97A41"/>
    <w:rsid w:val="00EA026F"/>
    <w:rsid w:val="00EA148A"/>
    <w:rsid w:val="00EA1508"/>
    <w:rsid w:val="00EA1882"/>
    <w:rsid w:val="00EA1A3B"/>
    <w:rsid w:val="00EA1A8C"/>
    <w:rsid w:val="00EA206F"/>
    <w:rsid w:val="00EA2081"/>
    <w:rsid w:val="00EA3364"/>
    <w:rsid w:val="00EA342C"/>
    <w:rsid w:val="00EA37AD"/>
    <w:rsid w:val="00EA40F9"/>
    <w:rsid w:val="00EA41D5"/>
    <w:rsid w:val="00EA421C"/>
    <w:rsid w:val="00EA49E4"/>
    <w:rsid w:val="00EA5B66"/>
    <w:rsid w:val="00EA5DC7"/>
    <w:rsid w:val="00EA6670"/>
    <w:rsid w:val="00EA6A00"/>
    <w:rsid w:val="00EA6CB1"/>
    <w:rsid w:val="00EA7616"/>
    <w:rsid w:val="00EA76CC"/>
    <w:rsid w:val="00EA7B85"/>
    <w:rsid w:val="00EA7F66"/>
    <w:rsid w:val="00EB0C02"/>
    <w:rsid w:val="00EB1582"/>
    <w:rsid w:val="00EB161A"/>
    <w:rsid w:val="00EB1642"/>
    <w:rsid w:val="00EB2042"/>
    <w:rsid w:val="00EB233F"/>
    <w:rsid w:val="00EB2478"/>
    <w:rsid w:val="00EB25CB"/>
    <w:rsid w:val="00EB2E80"/>
    <w:rsid w:val="00EB38D5"/>
    <w:rsid w:val="00EB39F7"/>
    <w:rsid w:val="00EB4042"/>
    <w:rsid w:val="00EB40C7"/>
    <w:rsid w:val="00EB4242"/>
    <w:rsid w:val="00EB44CF"/>
    <w:rsid w:val="00EB474D"/>
    <w:rsid w:val="00EB4A17"/>
    <w:rsid w:val="00EB4B58"/>
    <w:rsid w:val="00EB4BA5"/>
    <w:rsid w:val="00EB4DD8"/>
    <w:rsid w:val="00EB4F9E"/>
    <w:rsid w:val="00EB50E2"/>
    <w:rsid w:val="00EB520D"/>
    <w:rsid w:val="00EB5420"/>
    <w:rsid w:val="00EB54FF"/>
    <w:rsid w:val="00EB5C34"/>
    <w:rsid w:val="00EB5F6F"/>
    <w:rsid w:val="00EB6249"/>
    <w:rsid w:val="00EB660F"/>
    <w:rsid w:val="00EB673A"/>
    <w:rsid w:val="00EB6ADF"/>
    <w:rsid w:val="00EB6EE2"/>
    <w:rsid w:val="00EB6F2F"/>
    <w:rsid w:val="00EB7016"/>
    <w:rsid w:val="00EB73AB"/>
    <w:rsid w:val="00EB74AC"/>
    <w:rsid w:val="00EB7AC6"/>
    <w:rsid w:val="00EB7FC8"/>
    <w:rsid w:val="00EC00EE"/>
    <w:rsid w:val="00EC03D4"/>
    <w:rsid w:val="00EC0526"/>
    <w:rsid w:val="00EC0AD8"/>
    <w:rsid w:val="00EC0C63"/>
    <w:rsid w:val="00EC0CA7"/>
    <w:rsid w:val="00EC0F39"/>
    <w:rsid w:val="00EC10B3"/>
    <w:rsid w:val="00EC148C"/>
    <w:rsid w:val="00EC1524"/>
    <w:rsid w:val="00EC1802"/>
    <w:rsid w:val="00EC19CD"/>
    <w:rsid w:val="00EC1CF5"/>
    <w:rsid w:val="00EC21B2"/>
    <w:rsid w:val="00EC2340"/>
    <w:rsid w:val="00EC2C52"/>
    <w:rsid w:val="00EC3072"/>
    <w:rsid w:val="00EC3085"/>
    <w:rsid w:val="00EC335E"/>
    <w:rsid w:val="00EC3C99"/>
    <w:rsid w:val="00EC45B7"/>
    <w:rsid w:val="00EC4B0F"/>
    <w:rsid w:val="00EC4C74"/>
    <w:rsid w:val="00EC4F47"/>
    <w:rsid w:val="00EC5329"/>
    <w:rsid w:val="00EC54F2"/>
    <w:rsid w:val="00EC57C0"/>
    <w:rsid w:val="00EC5E6F"/>
    <w:rsid w:val="00EC668E"/>
    <w:rsid w:val="00EC6BA7"/>
    <w:rsid w:val="00EC6BE1"/>
    <w:rsid w:val="00EC6E11"/>
    <w:rsid w:val="00EC6E60"/>
    <w:rsid w:val="00EC6FAE"/>
    <w:rsid w:val="00EC70C3"/>
    <w:rsid w:val="00EC73F9"/>
    <w:rsid w:val="00EC75A0"/>
    <w:rsid w:val="00EC7624"/>
    <w:rsid w:val="00EC766E"/>
    <w:rsid w:val="00ED01B3"/>
    <w:rsid w:val="00ED0981"/>
    <w:rsid w:val="00ED1115"/>
    <w:rsid w:val="00ED1C01"/>
    <w:rsid w:val="00ED2481"/>
    <w:rsid w:val="00ED2BC5"/>
    <w:rsid w:val="00ED3300"/>
    <w:rsid w:val="00ED37DE"/>
    <w:rsid w:val="00ED3CE6"/>
    <w:rsid w:val="00ED4022"/>
    <w:rsid w:val="00ED40F2"/>
    <w:rsid w:val="00ED4238"/>
    <w:rsid w:val="00ED42F5"/>
    <w:rsid w:val="00ED4FD7"/>
    <w:rsid w:val="00ED56A6"/>
    <w:rsid w:val="00ED60A2"/>
    <w:rsid w:val="00ED60F6"/>
    <w:rsid w:val="00ED657F"/>
    <w:rsid w:val="00ED6E61"/>
    <w:rsid w:val="00ED6F4F"/>
    <w:rsid w:val="00ED75AB"/>
    <w:rsid w:val="00ED7F72"/>
    <w:rsid w:val="00EE098F"/>
    <w:rsid w:val="00EE160F"/>
    <w:rsid w:val="00EE2070"/>
    <w:rsid w:val="00EE2CA1"/>
    <w:rsid w:val="00EE2CAA"/>
    <w:rsid w:val="00EE30E0"/>
    <w:rsid w:val="00EE4BC3"/>
    <w:rsid w:val="00EE4CD0"/>
    <w:rsid w:val="00EE4D31"/>
    <w:rsid w:val="00EE5136"/>
    <w:rsid w:val="00EE5300"/>
    <w:rsid w:val="00EE5DA6"/>
    <w:rsid w:val="00EE60FA"/>
    <w:rsid w:val="00EE6627"/>
    <w:rsid w:val="00EE685E"/>
    <w:rsid w:val="00EE697B"/>
    <w:rsid w:val="00EE742C"/>
    <w:rsid w:val="00EE7685"/>
    <w:rsid w:val="00EF0557"/>
    <w:rsid w:val="00EF06AF"/>
    <w:rsid w:val="00EF1E9F"/>
    <w:rsid w:val="00EF201B"/>
    <w:rsid w:val="00EF20C5"/>
    <w:rsid w:val="00EF2216"/>
    <w:rsid w:val="00EF2821"/>
    <w:rsid w:val="00EF28EE"/>
    <w:rsid w:val="00EF2B45"/>
    <w:rsid w:val="00EF3079"/>
    <w:rsid w:val="00EF30A6"/>
    <w:rsid w:val="00EF4541"/>
    <w:rsid w:val="00EF4667"/>
    <w:rsid w:val="00EF49AB"/>
    <w:rsid w:val="00EF4B38"/>
    <w:rsid w:val="00EF5612"/>
    <w:rsid w:val="00EF5864"/>
    <w:rsid w:val="00EF5AFF"/>
    <w:rsid w:val="00EF5F5C"/>
    <w:rsid w:val="00EF646A"/>
    <w:rsid w:val="00EF74CB"/>
    <w:rsid w:val="00EF7C45"/>
    <w:rsid w:val="00EF7FD8"/>
    <w:rsid w:val="00F00235"/>
    <w:rsid w:val="00F008E0"/>
    <w:rsid w:val="00F00A23"/>
    <w:rsid w:val="00F016C8"/>
    <w:rsid w:val="00F0183B"/>
    <w:rsid w:val="00F020FF"/>
    <w:rsid w:val="00F027FD"/>
    <w:rsid w:val="00F02C81"/>
    <w:rsid w:val="00F031C9"/>
    <w:rsid w:val="00F0334C"/>
    <w:rsid w:val="00F03A7A"/>
    <w:rsid w:val="00F03A93"/>
    <w:rsid w:val="00F040EE"/>
    <w:rsid w:val="00F04422"/>
    <w:rsid w:val="00F046F2"/>
    <w:rsid w:val="00F04D4E"/>
    <w:rsid w:val="00F04FD8"/>
    <w:rsid w:val="00F05482"/>
    <w:rsid w:val="00F058DD"/>
    <w:rsid w:val="00F06404"/>
    <w:rsid w:val="00F0642E"/>
    <w:rsid w:val="00F06643"/>
    <w:rsid w:val="00F06EC0"/>
    <w:rsid w:val="00F07097"/>
    <w:rsid w:val="00F07337"/>
    <w:rsid w:val="00F078E1"/>
    <w:rsid w:val="00F07C2D"/>
    <w:rsid w:val="00F1015D"/>
    <w:rsid w:val="00F10379"/>
    <w:rsid w:val="00F104B1"/>
    <w:rsid w:val="00F10BC3"/>
    <w:rsid w:val="00F11048"/>
    <w:rsid w:val="00F118F8"/>
    <w:rsid w:val="00F11B6E"/>
    <w:rsid w:val="00F11E43"/>
    <w:rsid w:val="00F12429"/>
    <w:rsid w:val="00F12645"/>
    <w:rsid w:val="00F126AC"/>
    <w:rsid w:val="00F12995"/>
    <w:rsid w:val="00F12A20"/>
    <w:rsid w:val="00F12C5C"/>
    <w:rsid w:val="00F12D38"/>
    <w:rsid w:val="00F1355C"/>
    <w:rsid w:val="00F1371F"/>
    <w:rsid w:val="00F143F1"/>
    <w:rsid w:val="00F14506"/>
    <w:rsid w:val="00F145E7"/>
    <w:rsid w:val="00F15101"/>
    <w:rsid w:val="00F15187"/>
    <w:rsid w:val="00F15D0B"/>
    <w:rsid w:val="00F15E7D"/>
    <w:rsid w:val="00F17299"/>
    <w:rsid w:val="00F1731F"/>
    <w:rsid w:val="00F175F5"/>
    <w:rsid w:val="00F17658"/>
    <w:rsid w:val="00F1790F"/>
    <w:rsid w:val="00F20C68"/>
    <w:rsid w:val="00F2157F"/>
    <w:rsid w:val="00F21D5F"/>
    <w:rsid w:val="00F22673"/>
    <w:rsid w:val="00F22E34"/>
    <w:rsid w:val="00F2343E"/>
    <w:rsid w:val="00F23552"/>
    <w:rsid w:val="00F236DE"/>
    <w:rsid w:val="00F2375F"/>
    <w:rsid w:val="00F239DC"/>
    <w:rsid w:val="00F23A98"/>
    <w:rsid w:val="00F23E3F"/>
    <w:rsid w:val="00F2445C"/>
    <w:rsid w:val="00F2475F"/>
    <w:rsid w:val="00F249F9"/>
    <w:rsid w:val="00F24BC0"/>
    <w:rsid w:val="00F253A6"/>
    <w:rsid w:val="00F2590A"/>
    <w:rsid w:val="00F25C53"/>
    <w:rsid w:val="00F25E54"/>
    <w:rsid w:val="00F26290"/>
    <w:rsid w:val="00F26471"/>
    <w:rsid w:val="00F27075"/>
    <w:rsid w:val="00F278F4"/>
    <w:rsid w:val="00F27AFD"/>
    <w:rsid w:val="00F27C65"/>
    <w:rsid w:val="00F27FF9"/>
    <w:rsid w:val="00F3040B"/>
    <w:rsid w:val="00F3068D"/>
    <w:rsid w:val="00F30ADD"/>
    <w:rsid w:val="00F30BE0"/>
    <w:rsid w:val="00F3238B"/>
    <w:rsid w:val="00F324B2"/>
    <w:rsid w:val="00F32E0D"/>
    <w:rsid w:val="00F32F78"/>
    <w:rsid w:val="00F330D7"/>
    <w:rsid w:val="00F3336F"/>
    <w:rsid w:val="00F3351F"/>
    <w:rsid w:val="00F33751"/>
    <w:rsid w:val="00F3448A"/>
    <w:rsid w:val="00F3496D"/>
    <w:rsid w:val="00F35322"/>
    <w:rsid w:val="00F357A5"/>
    <w:rsid w:val="00F35A84"/>
    <w:rsid w:val="00F35BD9"/>
    <w:rsid w:val="00F369FD"/>
    <w:rsid w:val="00F377FF"/>
    <w:rsid w:val="00F3795F"/>
    <w:rsid w:val="00F37AC9"/>
    <w:rsid w:val="00F37AE2"/>
    <w:rsid w:val="00F37E53"/>
    <w:rsid w:val="00F4039E"/>
    <w:rsid w:val="00F40E90"/>
    <w:rsid w:val="00F416F2"/>
    <w:rsid w:val="00F41833"/>
    <w:rsid w:val="00F419A6"/>
    <w:rsid w:val="00F41BEB"/>
    <w:rsid w:val="00F41C2D"/>
    <w:rsid w:val="00F41E54"/>
    <w:rsid w:val="00F41E6F"/>
    <w:rsid w:val="00F41F2B"/>
    <w:rsid w:val="00F42076"/>
    <w:rsid w:val="00F42C6E"/>
    <w:rsid w:val="00F42F74"/>
    <w:rsid w:val="00F42FFA"/>
    <w:rsid w:val="00F430D2"/>
    <w:rsid w:val="00F44BE4"/>
    <w:rsid w:val="00F44E48"/>
    <w:rsid w:val="00F44E53"/>
    <w:rsid w:val="00F44F35"/>
    <w:rsid w:val="00F4522B"/>
    <w:rsid w:val="00F456B2"/>
    <w:rsid w:val="00F4591D"/>
    <w:rsid w:val="00F45C16"/>
    <w:rsid w:val="00F45FDC"/>
    <w:rsid w:val="00F4623C"/>
    <w:rsid w:val="00F46311"/>
    <w:rsid w:val="00F46AB2"/>
    <w:rsid w:val="00F46B84"/>
    <w:rsid w:val="00F47655"/>
    <w:rsid w:val="00F477EC"/>
    <w:rsid w:val="00F50015"/>
    <w:rsid w:val="00F5021E"/>
    <w:rsid w:val="00F50906"/>
    <w:rsid w:val="00F5112C"/>
    <w:rsid w:val="00F5129A"/>
    <w:rsid w:val="00F5143A"/>
    <w:rsid w:val="00F51C1C"/>
    <w:rsid w:val="00F51DAC"/>
    <w:rsid w:val="00F5233E"/>
    <w:rsid w:val="00F523F0"/>
    <w:rsid w:val="00F525D3"/>
    <w:rsid w:val="00F528BF"/>
    <w:rsid w:val="00F52A58"/>
    <w:rsid w:val="00F52C03"/>
    <w:rsid w:val="00F52CEA"/>
    <w:rsid w:val="00F5366D"/>
    <w:rsid w:val="00F53BE0"/>
    <w:rsid w:val="00F53F73"/>
    <w:rsid w:val="00F543EC"/>
    <w:rsid w:val="00F54416"/>
    <w:rsid w:val="00F54431"/>
    <w:rsid w:val="00F547BA"/>
    <w:rsid w:val="00F55947"/>
    <w:rsid w:val="00F55C1E"/>
    <w:rsid w:val="00F55ED6"/>
    <w:rsid w:val="00F5612D"/>
    <w:rsid w:val="00F56338"/>
    <w:rsid w:val="00F5695C"/>
    <w:rsid w:val="00F57D68"/>
    <w:rsid w:val="00F57E13"/>
    <w:rsid w:val="00F60077"/>
    <w:rsid w:val="00F601EA"/>
    <w:rsid w:val="00F60312"/>
    <w:rsid w:val="00F603D4"/>
    <w:rsid w:val="00F60538"/>
    <w:rsid w:val="00F60806"/>
    <w:rsid w:val="00F60C41"/>
    <w:rsid w:val="00F60E32"/>
    <w:rsid w:val="00F6131B"/>
    <w:rsid w:val="00F618A8"/>
    <w:rsid w:val="00F625A2"/>
    <w:rsid w:val="00F626C2"/>
    <w:rsid w:val="00F6377B"/>
    <w:rsid w:val="00F63AF4"/>
    <w:rsid w:val="00F63BD7"/>
    <w:rsid w:val="00F646BB"/>
    <w:rsid w:val="00F649A5"/>
    <w:rsid w:val="00F649C5"/>
    <w:rsid w:val="00F64FDA"/>
    <w:rsid w:val="00F652C2"/>
    <w:rsid w:val="00F655F4"/>
    <w:rsid w:val="00F662F8"/>
    <w:rsid w:val="00F6668B"/>
    <w:rsid w:val="00F67521"/>
    <w:rsid w:val="00F67530"/>
    <w:rsid w:val="00F675B6"/>
    <w:rsid w:val="00F708F4"/>
    <w:rsid w:val="00F712D0"/>
    <w:rsid w:val="00F7137C"/>
    <w:rsid w:val="00F7160A"/>
    <w:rsid w:val="00F71621"/>
    <w:rsid w:val="00F7167D"/>
    <w:rsid w:val="00F716D3"/>
    <w:rsid w:val="00F71788"/>
    <w:rsid w:val="00F71B6D"/>
    <w:rsid w:val="00F71CD6"/>
    <w:rsid w:val="00F71EB9"/>
    <w:rsid w:val="00F72426"/>
    <w:rsid w:val="00F72575"/>
    <w:rsid w:val="00F73174"/>
    <w:rsid w:val="00F736D4"/>
    <w:rsid w:val="00F73827"/>
    <w:rsid w:val="00F74283"/>
    <w:rsid w:val="00F742D9"/>
    <w:rsid w:val="00F752A0"/>
    <w:rsid w:val="00F75851"/>
    <w:rsid w:val="00F75CAF"/>
    <w:rsid w:val="00F7615B"/>
    <w:rsid w:val="00F7661A"/>
    <w:rsid w:val="00F7673A"/>
    <w:rsid w:val="00F7690C"/>
    <w:rsid w:val="00F76C39"/>
    <w:rsid w:val="00F76F10"/>
    <w:rsid w:val="00F76FF6"/>
    <w:rsid w:val="00F778F9"/>
    <w:rsid w:val="00F77DC9"/>
    <w:rsid w:val="00F80B5A"/>
    <w:rsid w:val="00F81055"/>
    <w:rsid w:val="00F8171C"/>
    <w:rsid w:val="00F81B44"/>
    <w:rsid w:val="00F81E43"/>
    <w:rsid w:val="00F82167"/>
    <w:rsid w:val="00F82474"/>
    <w:rsid w:val="00F83118"/>
    <w:rsid w:val="00F83266"/>
    <w:rsid w:val="00F835BF"/>
    <w:rsid w:val="00F835DE"/>
    <w:rsid w:val="00F83940"/>
    <w:rsid w:val="00F83C0A"/>
    <w:rsid w:val="00F83E1C"/>
    <w:rsid w:val="00F83E91"/>
    <w:rsid w:val="00F84318"/>
    <w:rsid w:val="00F84646"/>
    <w:rsid w:val="00F84DA1"/>
    <w:rsid w:val="00F854CE"/>
    <w:rsid w:val="00F859B8"/>
    <w:rsid w:val="00F85EF0"/>
    <w:rsid w:val="00F85FBF"/>
    <w:rsid w:val="00F860D1"/>
    <w:rsid w:val="00F86340"/>
    <w:rsid w:val="00F866A1"/>
    <w:rsid w:val="00F86A22"/>
    <w:rsid w:val="00F86DED"/>
    <w:rsid w:val="00F87668"/>
    <w:rsid w:val="00F87E6C"/>
    <w:rsid w:val="00F903A9"/>
    <w:rsid w:val="00F90B1C"/>
    <w:rsid w:val="00F90C16"/>
    <w:rsid w:val="00F91A30"/>
    <w:rsid w:val="00F91DF5"/>
    <w:rsid w:val="00F91F9A"/>
    <w:rsid w:val="00F92580"/>
    <w:rsid w:val="00F927AA"/>
    <w:rsid w:val="00F92A76"/>
    <w:rsid w:val="00F92B4A"/>
    <w:rsid w:val="00F935FF"/>
    <w:rsid w:val="00F93816"/>
    <w:rsid w:val="00F93882"/>
    <w:rsid w:val="00F940C9"/>
    <w:rsid w:val="00F943A7"/>
    <w:rsid w:val="00F947D4"/>
    <w:rsid w:val="00F94DB1"/>
    <w:rsid w:val="00F954C9"/>
    <w:rsid w:val="00F95535"/>
    <w:rsid w:val="00F96032"/>
    <w:rsid w:val="00F961F5"/>
    <w:rsid w:val="00F9673F"/>
    <w:rsid w:val="00F96DE9"/>
    <w:rsid w:val="00F96ECF"/>
    <w:rsid w:val="00F9716F"/>
    <w:rsid w:val="00F9729C"/>
    <w:rsid w:val="00F97319"/>
    <w:rsid w:val="00F97876"/>
    <w:rsid w:val="00FA0454"/>
    <w:rsid w:val="00FA09D3"/>
    <w:rsid w:val="00FA143F"/>
    <w:rsid w:val="00FA1F3B"/>
    <w:rsid w:val="00FA20B4"/>
    <w:rsid w:val="00FA2133"/>
    <w:rsid w:val="00FA224F"/>
    <w:rsid w:val="00FA2FED"/>
    <w:rsid w:val="00FA31EA"/>
    <w:rsid w:val="00FA35BA"/>
    <w:rsid w:val="00FA37D0"/>
    <w:rsid w:val="00FA40A1"/>
    <w:rsid w:val="00FA422A"/>
    <w:rsid w:val="00FA4B32"/>
    <w:rsid w:val="00FA514F"/>
    <w:rsid w:val="00FA52CE"/>
    <w:rsid w:val="00FA57A8"/>
    <w:rsid w:val="00FA5EF8"/>
    <w:rsid w:val="00FA5FE5"/>
    <w:rsid w:val="00FA626C"/>
    <w:rsid w:val="00FA7A40"/>
    <w:rsid w:val="00FB030A"/>
    <w:rsid w:val="00FB069D"/>
    <w:rsid w:val="00FB0B10"/>
    <w:rsid w:val="00FB2E36"/>
    <w:rsid w:val="00FB2F0F"/>
    <w:rsid w:val="00FB32D4"/>
    <w:rsid w:val="00FB341C"/>
    <w:rsid w:val="00FB376F"/>
    <w:rsid w:val="00FB3ACA"/>
    <w:rsid w:val="00FB3CCD"/>
    <w:rsid w:val="00FB3CED"/>
    <w:rsid w:val="00FB3D87"/>
    <w:rsid w:val="00FB4735"/>
    <w:rsid w:val="00FB4A6D"/>
    <w:rsid w:val="00FB4F20"/>
    <w:rsid w:val="00FB5117"/>
    <w:rsid w:val="00FB5659"/>
    <w:rsid w:val="00FB5908"/>
    <w:rsid w:val="00FB59C9"/>
    <w:rsid w:val="00FB5C2B"/>
    <w:rsid w:val="00FB5FF3"/>
    <w:rsid w:val="00FB605D"/>
    <w:rsid w:val="00FB65FB"/>
    <w:rsid w:val="00FB66D7"/>
    <w:rsid w:val="00FB6D43"/>
    <w:rsid w:val="00FB774D"/>
    <w:rsid w:val="00FB785B"/>
    <w:rsid w:val="00FB7BDD"/>
    <w:rsid w:val="00FB7F93"/>
    <w:rsid w:val="00FC0742"/>
    <w:rsid w:val="00FC083A"/>
    <w:rsid w:val="00FC0B5B"/>
    <w:rsid w:val="00FC0BEF"/>
    <w:rsid w:val="00FC16D5"/>
    <w:rsid w:val="00FC1992"/>
    <w:rsid w:val="00FC21FA"/>
    <w:rsid w:val="00FC2A55"/>
    <w:rsid w:val="00FC2DFB"/>
    <w:rsid w:val="00FC2F57"/>
    <w:rsid w:val="00FC3738"/>
    <w:rsid w:val="00FC3751"/>
    <w:rsid w:val="00FC399F"/>
    <w:rsid w:val="00FC3C08"/>
    <w:rsid w:val="00FC3EF3"/>
    <w:rsid w:val="00FC4542"/>
    <w:rsid w:val="00FC4682"/>
    <w:rsid w:val="00FC493E"/>
    <w:rsid w:val="00FC5285"/>
    <w:rsid w:val="00FC532F"/>
    <w:rsid w:val="00FC5499"/>
    <w:rsid w:val="00FC56F0"/>
    <w:rsid w:val="00FC5BD4"/>
    <w:rsid w:val="00FC6100"/>
    <w:rsid w:val="00FC6393"/>
    <w:rsid w:val="00FC63D9"/>
    <w:rsid w:val="00FC6DC1"/>
    <w:rsid w:val="00FC6F44"/>
    <w:rsid w:val="00FC71CB"/>
    <w:rsid w:val="00FC79C0"/>
    <w:rsid w:val="00FC7A8E"/>
    <w:rsid w:val="00FD01B2"/>
    <w:rsid w:val="00FD0485"/>
    <w:rsid w:val="00FD04E7"/>
    <w:rsid w:val="00FD09BA"/>
    <w:rsid w:val="00FD09DE"/>
    <w:rsid w:val="00FD0D0D"/>
    <w:rsid w:val="00FD138B"/>
    <w:rsid w:val="00FD13E1"/>
    <w:rsid w:val="00FD13FD"/>
    <w:rsid w:val="00FD1411"/>
    <w:rsid w:val="00FD1456"/>
    <w:rsid w:val="00FD152D"/>
    <w:rsid w:val="00FD2978"/>
    <w:rsid w:val="00FD2AD5"/>
    <w:rsid w:val="00FD2C91"/>
    <w:rsid w:val="00FD2D69"/>
    <w:rsid w:val="00FD378E"/>
    <w:rsid w:val="00FD3D96"/>
    <w:rsid w:val="00FD410A"/>
    <w:rsid w:val="00FD474C"/>
    <w:rsid w:val="00FD49A7"/>
    <w:rsid w:val="00FD4BA2"/>
    <w:rsid w:val="00FD4D77"/>
    <w:rsid w:val="00FD5987"/>
    <w:rsid w:val="00FD5D8C"/>
    <w:rsid w:val="00FD5E26"/>
    <w:rsid w:val="00FD635B"/>
    <w:rsid w:val="00FD6E88"/>
    <w:rsid w:val="00FD72CE"/>
    <w:rsid w:val="00FD7305"/>
    <w:rsid w:val="00FD737A"/>
    <w:rsid w:val="00FD7394"/>
    <w:rsid w:val="00FD78A9"/>
    <w:rsid w:val="00FD79C6"/>
    <w:rsid w:val="00FD79E2"/>
    <w:rsid w:val="00FE0610"/>
    <w:rsid w:val="00FE08EF"/>
    <w:rsid w:val="00FE0920"/>
    <w:rsid w:val="00FE101F"/>
    <w:rsid w:val="00FE14C7"/>
    <w:rsid w:val="00FE15D4"/>
    <w:rsid w:val="00FE1606"/>
    <w:rsid w:val="00FE1617"/>
    <w:rsid w:val="00FE1936"/>
    <w:rsid w:val="00FE1B78"/>
    <w:rsid w:val="00FE215E"/>
    <w:rsid w:val="00FE23B8"/>
    <w:rsid w:val="00FE25E9"/>
    <w:rsid w:val="00FE2726"/>
    <w:rsid w:val="00FE2A24"/>
    <w:rsid w:val="00FE3015"/>
    <w:rsid w:val="00FE30D0"/>
    <w:rsid w:val="00FE3355"/>
    <w:rsid w:val="00FE33B2"/>
    <w:rsid w:val="00FE3A53"/>
    <w:rsid w:val="00FE3C11"/>
    <w:rsid w:val="00FE42CA"/>
    <w:rsid w:val="00FE4792"/>
    <w:rsid w:val="00FE483A"/>
    <w:rsid w:val="00FE48EA"/>
    <w:rsid w:val="00FE518C"/>
    <w:rsid w:val="00FE56B8"/>
    <w:rsid w:val="00FE5AEE"/>
    <w:rsid w:val="00FE5F6F"/>
    <w:rsid w:val="00FE70E5"/>
    <w:rsid w:val="00FE714A"/>
    <w:rsid w:val="00FE720A"/>
    <w:rsid w:val="00FE75EE"/>
    <w:rsid w:val="00FE76AE"/>
    <w:rsid w:val="00FE7F93"/>
    <w:rsid w:val="00FF02C7"/>
    <w:rsid w:val="00FF0CF1"/>
    <w:rsid w:val="00FF0E21"/>
    <w:rsid w:val="00FF1373"/>
    <w:rsid w:val="00FF1F9A"/>
    <w:rsid w:val="00FF26F9"/>
    <w:rsid w:val="00FF28A0"/>
    <w:rsid w:val="00FF3176"/>
    <w:rsid w:val="00FF35F0"/>
    <w:rsid w:val="00FF3947"/>
    <w:rsid w:val="00FF458D"/>
    <w:rsid w:val="00FF476F"/>
    <w:rsid w:val="00FF53A8"/>
    <w:rsid w:val="00FF5B9F"/>
    <w:rsid w:val="00FF5D58"/>
    <w:rsid w:val="00FF6044"/>
    <w:rsid w:val="00FF6250"/>
    <w:rsid w:val="00FF65A8"/>
    <w:rsid w:val="00FF65F2"/>
    <w:rsid w:val="00FF6A6C"/>
    <w:rsid w:val="00FF6ACA"/>
    <w:rsid w:val="00FF6DC9"/>
    <w:rsid w:val="00FF7558"/>
    <w:rsid w:val="00FF7DC4"/>
    <w:rsid w:val="00FF7E9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1FE16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C0742"/>
    <w:pPr>
      <w:spacing w:after="240" w:line="276" w:lineRule="auto"/>
      <w:jc w:val="both"/>
    </w:pPr>
    <w:rPr>
      <w:rFonts w:ascii="Arial Narrow" w:hAnsi="Arial Narrow"/>
    </w:rPr>
  </w:style>
  <w:style w:type="paragraph" w:styleId="Nadpis1">
    <w:name w:val="heading 1"/>
    <w:basedOn w:val="Normlny"/>
    <w:next w:val="Normlny"/>
    <w:link w:val="Nadpis1Char"/>
    <w:uiPriority w:val="9"/>
    <w:qFormat/>
    <w:rsid w:val="008A4602"/>
    <w:pPr>
      <w:keepNext/>
      <w:keepLines/>
      <w:pageBreakBefore/>
      <w:numPr>
        <w:numId w:val="3"/>
      </w:numPr>
      <w:spacing w:before="240"/>
      <w:ind w:left="431" w:hanging="431"/>
      <w:outlineLvl w:val="0"/>
    </w:pPr>
    <w:rPr>
      <w:rFonts w:eastAsiaTheme="majorEastAsia" w:cstheme="majorBidi"/>
      <w:color w:val="0070C0"/>
      <w:sz w:val="32"/>
      <w:szCs w:val="32"/>
    </w:rPr>
  </w:style>
  <w:style w:type="paragraph" w:styleId="Nadpis2">
    <w:name w:val="heading 2"/>
    <w:basedOn w:val="Nadpis1"/>
    <w:next w:val="Normlny"/>
    <w:link w:val="Nadpis2Char"/>
    <w:uiPriority w:val="9"/>
    <w:unhideWhenUsed/>
    <w:qFormat/>
    <w:rsid w:val="001D63C0"/>
    <w:pPr>
      <w:pageBreakBefore w:val="0"/>
      <w:numPr>
        <w:ilvl w:val="1"/>
      </w:numPr>
      <w:ind w:left="578" w:hanging="578"/>
      <w:outlineLvl w:val="1"/>
    </w:pPr>
    <w:rPr>
      <w:sz w:val="26"/>
      <w:szCs w:val="26"/>
    </w:rPr>
  </w:style>
  <w:style w:type="paragraph" w:styleId="Nadpis3">
    <w:name w:val="heading 3"/>
    <w:aliases w:val="Tab"/>
    <w:basedOn w:val="Normlny"/>
    <w:next w:val="Normlny"/>
    <w:link w:val="Nadpis3Char"/>
    <w:uiPriority w:val="9"/>
    <w:unhideWhenUsed/>
    <w:qFormat/>
    <w:rsid w:val="006B59BD"/>
    <w:pPr>
      <w:keepNext/>
      <w:keepLines/>
      <w:numPr>
        <w:ilvl w:val="2"/>
        <w:numId w:val="3"/>
      </w:numPr>
      <w:spacing w:before="40" w:after="0"/>
      <w:outlineLvl w:val="2"/>
    </w:pPr>
    <w:rPr>
      <w:rFonts w:eastAsiaTheme="majorEastAsia" w:cstheme="majorBidi"/>
      <w:color w:val="7F7F7F" w:themeColor="text1" w:themeTint="80"/>
      <w:sz w:val="24"/>
      <w:szCs w:val="24"/>
    </w:rPr>
  </w:style>
  <w:style w:type="paragraph" w:styleId="Nadpis4">
    <w:name w:val="heading 4"/>
    <w:basedOn w:val="Normlny"/>
    <w:next w:val="Normlny"/>
    <w:link w:val="Nadpis4Char"/>
    <w:uiPriority w:val="9"/>
    <w:unhideWhenUsed/>
    <w:qFormat/>
    <w:rsid w:val="005D4C5C"/>
    <w:pPr>
      <w:keepNext/>
      <w:numPr>
        <w:ilvl w:val="3"/>
        <w:numId w:val="3"/>
      </w:numPr>
      <w:spacing w:before="240" w:after="60"/>
      <w:jc w:val="left"/>
      <w:outlineLvl w:val="3"/>
    </w:pPr>
    <w:rPr>
      <w:rFonts w:ascii="Calibri" w:eastAsia="Times New Roman" w:hAnsi="Calibri" w:cs="Times New Roman"/>
      <w:b/>
      <w:bCs/>
      <w:sz w:val="28"/>
      <w:szCs w:val="28"/>
      <w:lang w:eastAsia="sk-SK"/>
    </w:rPr>
  </w:style>
  <w:style w:type="paragraph" w:styleId="Nadpis5">
    <w:name w:val="heading 5"/>
    <w:basedOn w:val="Normlny"/>
    <w:next w:val="Normlny"/>
    <w:link w:val="Nadpis5Char"/>
    <w:uiPriority w:val="9"/>
    <w:unhideWhenUsed/>
    <w:qFormat/>
    <w:rsid w:val="005D4C5C"/>
    <w:pPr>
      <w:numPr>
        <w:ilvl w:val="4"/>
        <w:numId w:val="3"/>
      </w:numPr>
      <w:spacing w:before="240" w:after="60"/>
      <w:jc w:val="left"/>
      <w:outlineLvl w:val="4"/>
    </w:pPr>
    <w:rPr>
      <w:rFonts w:ascii="Calibri" w:eastAsia="Times New Roman" w:hAnsi="Calibri" w:cs="Times New Roman"/>
      <w:b/>
      <w:bCs/>
      <w:i/>
      <w:iCs/>
      <w:sz w:val="26"/>
      <w:szCs w:val="26"/>
      <w:lang w:eastAsia="sk-SK"/>
    </w:rPr>
  </w:style>
  <w:style w:type="paragraph" w:styleId="Nadpis6">
    <w:name w:val="heading 6"/>
    <w:basedOn w:val="Normlny"/>
    <w:next w:val="Normlny"/>
    <w:link w:val="Nadpis6Char"/>
    <w:uiPriority w:val="9"/>
    <w:unhideWhenUsed/>
    <w:qFormat/>
    <w:rsid w:val="005D4C5C"/>
    <w:pPr>
      <w:numPr>
        <w:ilvl w:val="5"/>
        <w:numId w:val="3"/>
      </w:numPr>
      <w:spacing w:before="240" w:after="60"/>
      <w:jc w:val="left"/>
      <w:outlineLvl w:val="5"/>
    </w:pPr>
    <w:rPr>
      <w:rFonts w:ascii="Calibri" w:eastAsia="Times New Roman" w:hAnsi="Calibri" w:cs="Times New Roman"/>
      <w:b/>
      <w:bCs/>
      <w:lang w:eastAsia="sk-SK"/>
    </w:rPr>
  </w:style>
  <w:style w:type="paragraph" w:styleId="Nadpis7">
    <w:name w:val="heading 7"/>
    <w:basedOn w:val="Normlny"/>
    <w:next w:val="Normlny"/>
    <w:link w:val="Nadpis7Char"/>
    <w:uiPriority w:val="9"/>
    <w:unhideWhenUsed/>
    <w:qFormat/>
    <w:rsid w:val="005D4C5C"/>
    <w:pPr>
      <w:numPr>
        <w:ilvl w:val="6"/>
        <w:numId w:val="3"/>
      </w:numPr>
      <w:spacing w:before="240" w:after="60"/>
      <w:jc w:val="left"/>
      <w:outlineLvl w:val="6"/>
    </w:pPr>
    <w:rPr>
      <w:rFonts w:ascii="Calibri" w:eastAsia="Times New Roman" w:hAnsi="Calibri" w:cs="Times New Roman"/>
      <w:sz w:val="24"/>
      <w:szCs w:val="24"/>
      <w:lang w:eastAsia="sk-SK"/>
    </w:rPr>
  </w:style>
  <w:style w:type="paragraph" w:styleId="Nadpis8">
    <w:name w:val="heading 8"/>
    <w:basedOn w:val="Normlny"/>
    <w:next w:val="Normlny"/>
    <w:link w:val="Nadpis8Char"/>
    <w:uiPriority w:val="9"/>
    <w:unhideWhenUsed/>
    <w:qFormat/>
    <w:rsid w:val="005D4C5C"/>
    <w:pPr>
      <w:numPr>
        <w:ilvl w:val="7"/>
        <w:numId w:val="3"/>
      </w:numPr>
      <w:spacing w:before="240" w:after="60"/>
      <w:jc w:val="left"/>
      <w:outlineLvl w:val="7"/>
    </w:pPr>
    <w:rPr>
      <w:rFonts w:ascii="Calibri" w:eastAsia="Times New Roman" w:hAnsi="Calibri" w:cs="Times New Roman"/>
      <w:i/>
      <w:iCs/>
      <w:sz w:val="24"/>
      <w:szCs w:val="24"/>
      <w:lang w:eastAsia="sk-SK"/>
    </w:rPr>
  </w:style>
  <w:style w:type="paragraph" w:styleId="Nadpis9">
    <w:name w:val="heading 9"/>
    <w:basedOn w:val="Normlny"/>
    <w:next w:val="Normlny"/>
    <w:link w:val="Nadpis9Char"/>
    <w:uiPriority w:val="9"/>
    <w:unhideWhenUsed/>
    <w:qFormat/>
    <w:rsid w:val="005D4C5C"/>
    <w:pPr>
      <w:numPr>
        <w:ilvl w:val="8"/>
        <w:numId w:val="3"/>
      </w:numPr>
      <w:spacing w:before="240" w:after="60"/>
      <w:jc w:val="left"/>
      <w:outlineLvl w:val="8"/>
    </w:pPr>
    <w:rPr>
      <w:rFonts w:ascii="Cambria" w:eastAsia="Times New Roman" w:hAnsi="Cambria" w:cs="Times New Roman"/>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A4602"/>
    <w:rPr>
      <w:rFonts w:ascii="Arial Narrow" w:eastAsiaTheme="majorEastAsia" w:hAnsi="Arial Narrow" w:cstheme="majorBidi"/>
      <w:color w:val="0070C0"/>
      <w:sz w:val="32"/>
      <w:szCs w:val="32"/>
    </w:rPr>
  </w:style>
  <w:style w:type="character" w:customStyle="1" w:styleId="Nadpis2Char">
    <w:name w:val="Nadpis 2 Char"/>
    <w:basedOn w:val="Predvolenpsmoodseku"/>
    <w:link w:val="Nadpis2"/>
    <w:uiPriority w:val="9"/>
    <w:rsid w:val="001D63C0"/>
    <w:rPr>
      <w:rFonts w:ascii="Arial Narrow" w:eastAsiaTheme="majorEastAsia" w:hAnsi="Arial Narrow" w:cstheme="majorBidi"/>
      <w:color w:val="0070C0"/>
      <w:sz w:val="26"/>
      <w:szCs w:val="26"/>
    </w:rPr>
  </w:style>
  <w:style w:type="character" w:customStyle="1" w:styleId="Nadpis3Char">
    <w:name w:val="Nadpis 3 Char"/>
    <w:aliases w:val="Tab Char"/>
    <w:basedOn w:val="Predvolenpsmoodseku"/>
    <w:link w:val="Nadpis3"/>
    <w:uiPriority w:val="9"/>
    <w:rsid w:val="006B59BD"/>
    <w:rPr>
      <w:rFonts w:ascii="Arial Narrow" w:eastAsiaTheme="majorEastAsia" w:hAnsi="Arial Narrow" w:cstheme="majorBidi"/>
      <w:color w:val="7F7F7F" w:themeColor="text1" w:themeTint="80"/>
      <w:sz w:val="24"/>
      <w:szCs w:val="24"/>
    </w:rPr>
  </w:style>
  <w:style w:type="table" w:styleId="Mriekatabuky">
    <w:name w:val="Table Grid"/>
    <w:basedOn w:val="Normlnatabuka"/>
    <w:uiPriority w:val="39"/>
    <w:rsid w:val="006C7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6C7B5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C7B5F"/>
    <w:rPr>
      <w:rFonts w:ascii="Arial Narrow" w:hAnsi="Arial Narrow"/>
    </w:rPr>
  </w:style>
  <w:style w:type="paragraph" w:styleId="Pta">
    <w:name w:val="footer"/>
    <w:basedOn w:val="Normlny"/>
    <w:link w:val="PtaChar"/>
    <w:unhideWhenUsed/>
    <w:rsid w:val="006C7B5F"/>
    <w:pPr>
      <w:tabs>
        <w:tab w:val="center" w:pos="4536"/>
        <w:tab w:val="right" w:pos="9072"/>
      </w:tabs>
      <w:spacing w:after="0" w:line="240" w:lineRule="auto"/>
    </w:pPr>
  </w:style>
  <w:style w:type="character" w:customStyle="1" w:styleId="PtaChar">
    <w:name w:val="Päta Char"/>
    <w:basedOn w:val="Predvolenpsmoodseku"/>
    <w:link w:val="Pta"/>
    <w:rsid w:val="006C7B5F"/>
    <w:rPr>
      <w:rFonts w:ascii="Arial Narrow" w:hAnsi="Arial Narrow"/>
    </w:rPr>
  </w:style>
  <w:style w:type="character" w:styleId="Hypertextovprepojenie">
    <w:name w:val="Hyperlink"/>
    <w:basedOn w:val="Predvolenpsmoodseku"/>
    <w:uiPriority w:val="99"/>
    <w:unhideWhenUsed/>
    <w:rsid w:val="00705CA1"/>
    <w:rPr>
      <w:color w:val="0563C1" w:themeColor="hyperlink"/>
      <w:u w:val="single"/>
    </w:rPr>
  </w:style>
  <w:style w:type="paragraph" w:styleId="Obsah1">
    <w:name w:val="toc 1"/>
    <w:basedOn w:val="Normlny"/>
    <w:next w:val="Normlny"/>
    <w:autoRedefine/>
    <w:uiPriority w:val="39"/>
    <w:unhideWhenUsed/>
    <w:rsid w:val="00157831"/>
    <w:pPr>
      <w:tabs>
        <w:tab w:val="left" w:pos="440"/>
        <w:tab w:val="right" w:leader="dot" w:pos="9062"/>
      </w:tabs>
      <w:spacing w:after="0" w:line="0" w:lineRule="atLeast"/>
      <w:contextualSpacing/>
    </w:pPr>
  </w:style>
  <w:style w:type="paragraph" w:styleId="Obsah2">
    <w:name w:val="toc 2"/>
    <w:basedOn w:val="Normlny"/>
    <w:next w:val="Normlny"/>
    <w:autoRedefine/>
    <w:uiPriority w:val="39"/>
    <w:unhideWhenUsed/>
    <w:rsid w:val="008E3FFE"/>
    <w:pPr>
      <w:tabs>
        <w:tab w:val="left" w:pos="880"/>
        <w:tab w:val="right" w:leader="dot" w:pos="9062"/>
      </w:tabs>
      <w:spacing w:after="0" w:line="360" w:lineRule="auto"/>
      <w:ind w:left="221"/>
    </w:pPr>
  </w:style>
  <w:style w:type="paragraph" w:styleId="Zoznamobrzkov">
    <w:name w:val="table of figures"/>
    <w:basedOn w:val="Normlny"/>
    <w:next w:val="Normlny"/>
    <w:uiPriority w:val="99"/>
    <w:unhideWhenUsed/>
    <w:rsid w:val="00705CA1"/>
    <w:pPr>
      <w:spacing w:after="0"/>
    </w:pPr>
  </w:style>
  <w:style w:type="paragraph" w:styleId="Obsah3">
    <w:name w:val="toc 3"/>
    <w:basedOn w:val="Normlny"/>
    <w:next w:val="Normlny"/>
    <w:autoRedefine/>
    <w:uiPriority w:val="39"/>
    <w:unhideWhenUsed/>
    <w:rsid w:val="002532A2"/>
    <w:pPr>
      <w:spacing w:after="100"/>
      <w:ind w:left="440"/>
    </w:pPr>
  </w:style>
  <w:style w:type="character" w:styleId="Odkaznakomentr">
    <w:name w:val="annotation reference"/>
    <w:basedOn w:val="Predvolenpsmoodseku"/>
    <w:uiPriority w:val="99"/>
    <w:unhideWhenUsed/>
    <w:rsid w:val="00183078"/>
    <w:rPr>
      <w:sz w:val="16"/>
      <w:szCs w:val="16"/>
    </w:rPr>
  </w:style>
  <w:style w:type="paragraph" w:styleId="Textkomentra">
    <w:name w:val="annotation text"/>
    <w:aliases w:val="Char Char Char"/>
    <w:basedOn w:val="Normlny"/>
    <w:link w:val="TextkomentraChar"/>
    <w:uiPriority w:val="99"/>
    <w:unhideWhenUsed/>
    <w:rsid w:val="00183078"/>
    <w:pPr>
      <w:spacing w:line="240" w:lineRule="auto"/>
    </w:pPr>
    <w:rPr>
      <w:sz w:val="20"/>
      <w:szCs w:val="20"/>
    </w:rPr>
  </w:style>
  <w:style w:type="character" w:customStyle="1" w:styleId="TextkomentraChar">
    <w:name w:val="Text komentára Char"/>
    <w:aliases w:val="Char Char Char Char"/>
    <w:basedOn w:val="Predvolenpsmoodseku"/>
    <w:link w:val="Textkomentra"/>
    <w:uiPriority w:val="99"/>
    <w:rsid w:val="00183078"/>
    <w:rPr>
      <w:rFonts w:ascii="Arial Narrow" w:hAnsi="Arial Narrow"/>
      <w:sz w:val="20"/>
      <w:szCs w:val="20"/>
    </w:rPr>
  </w:style>
  <w:style w:type="paragraph" w:styleId="Predmetkomentra">
    <w:name w:val="annotation subject"/>
    <w:basedOn w:val="Textkomentra"/>
    <w:next w:val="Textkomentra"/>
    <w:link w:val="PredmetkomentraChar"/>
    <w:uiPriority w:val="99"/>
    <w:semiHidden/>
    <w:unhideWhenUsed/>
    <w:rsid w:val="00183078"/>
    <w:rPr>
      <w:b/>
      <w:bCs/>
    </w:rPr>
  </w:style>
  <w:style w:type="character" w:customStyle="1" w:styleId="PredmetkomentraChar">
    <w:name w:val="Predmet komentára Char"/>
    <w:basedOn w:val="TextkomentraChar"/>
    <w:link w:val="Predmetkomentra"/>
    <w:uiPriority w:val="99"/>
    <w:semiHidden/>
    <w:rsid w:val="00183078"/>
    <w:rPr>
      <w:rFonts w:ascii="Arial Narrow" w:hAnsi="Arial Narrow"/>
      <w:b/>
      <w:bCs/>
      <w:sz w:val="20"/>
      <w:szCs w:val="20"/>
    </w:rPr>
  </w:style>
  <w:style w:type="paragraph" w:styleId="Textbubliny">
    <w:name w:val="Balloon Text"/>
    <w:basedOn w:val="Normlny"/>
    <w:link w:val="TextbublinyChar"/>
    <w:uiPriority w:val="99"/>
    <w:semiHidden/>
    <w:unhideWhenUsed/>
    <w:rsid w:val="0018307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83078"/>
    <w:rPr>
      <w:rFonts w:ascii="Segoe UI" w:hAnsi="Segoe UI" w:cs="Segoe UI"/>
      <w:sz w:val="18"/>
      <w:szCs w:val="18"/>
    </w:rPr>
  </w:style>
  <w:style w:type="paragraph" w:styleId="Odsekzoznamu">
    <w:name w:val="List Paragraph"/>
    <w:aliases w:val="body,Odsek zoznamu2"/>
    <w:basedOn w:val="Normlny"/>
    <w:link w:val="OdsekzoznamuChar"/>
    <w:uiPriority w:val="34"/>
    <w:qFormat/>
    <w:rsid w:val="001D63C0"/>
    <w:pPr>
      <w:spacing w:after="200"/>
      <w:ind w:left="720"/>
      <w:contextualSpacing/>
      <w:jc w:val="left"/>
    </w:pPr>
  </w:style>
  <w:style w:type="paragraph" w:styleId="Textpoznmkypodiarou">
    <w:name w:val="footnote text"/>
    <w:aliases w:val="Text poznámky pod čiarou 007,Schriftart: 9 pt,Schriftart: 10 pt,Schriftart: 8 pt,_Poznámka pod čiarou,Footnote Text Char2,Footnote Text Char1 Char,Footnote Text Char2 Char Char,Footnote Text Char1 Char Char Char Char Char Char,f"/>
    <w:basedOn w:val="Normlny"/>
    <w:link w:val="TextpoznmkypodiarouChar"/>
    <w:uiPriority w:val="99"/>
    <w:unhideWhenUsed/>
    <w:qFormat/>
    <w:rsid w:val="00A60497"/>
    <w:pPr>
      <w:spacing w:after="0" w:line="240" w:lineRule="auto"/>
    </w:pPr>
    <w:rPr>
      <w:sz w:val="18"/>
      <w:szCs w:val="20"/>
    </w:rPr>
  </w:style>
  <w:style w:type="character" w:customStyle="1" w:styleId="TextpoznmkypodiarouChar">
    <w:name w:val="Text poznámky pod čiarou Char"/>
    <w:aliases w:val="Text poznámky pod čiarou 007 Char,Schriftart: 9 pt Char,Schriftart: 10 pt Char,Schriftart: 8 pt Char,_Poznámka pod čiarou Char,Footnote Text Char2 Char,Footnote Text Char1 Char Char,Footnote Text Char2 Char Char Char,f Char"/>
    <w:basedOn w:val="Predvolenpsmoodseku"/>
    <w:link w:val="Textpoznmkypodiarou"/>
    <w:uiPriority w:val="99"/>
    <w:rsid w:val="00A60497"/>
    <w:rPr>
      <w:rFonts w:ascii="Arial Narrow" w:hAnsi="Arial Narrow"/>
      <w:sz w:val="18"/>
      <w:szCs w:val="20"/>
    </w:rPr>
  </w:style>
  <w:style w:type="paragraph" w:styleId="Textvysvetlivky">
    <w:name w:val="endnote text"/>
    <w:basedOn w:val="Normlny"/>
    <w:link w:val="TextvysvetlivkyChar"/>
    <w:uiPriority w:val="99"/>
    <w:semiHidden/>
    <w:unhideWhenUsed/>
    <w:rsid w:val="005F2A96"/>
    <w:pPr>
      <w:spacing w:after="0" w:line="240" w:lineRule="auto"/>
      <w:jc w:val="left"/>
    </w:pPr>
    <w:rPr>
      <w:rFonts w:asciiTheme="minorHAnsi" w:hAnsiTheme="minorHAnsi"/>
      <w:sz w:val="20"/>
      <w:szCs w:val="20"/>
    </w:rPr>
  </w:style>
  <w:style w:type="character" w:customStyle="1" w:styleId="TextvysvetlivkyChar">
    <w:name w:val="Text vysvetlivky Char"/>
    <w:basedOn w:val="Predvolenpsmoodseku"/>
    <w:link w:val="Textvysvetlivky"/>
    <w:uiPriority w:val="99"/>
    <w:semiHidden/>
    <w:rsid w:val="005F2A96"/>
    <w:rPr>
      <w:sz w:val="20"/>
      <w:szCs w:val="20"/>
    </w:rPr>
  </w:style>
  <w:style w:type="character" w:styleId="Odkaznavysvetlivku">
    <w:name w:val="endnote reference"/>
    <w:basedOn w:val="Predvolenpsmoodseku"/>
    <w:uiPriority w:val="99"/>
    <w:semiHidden/>
    <w:unhideWhenUsed/>
    <w:rsid w:val="005F2A96"/>
    <w:rPr>
      <w:vertAlign w:val="superscript"/>
    </w:rPr>
  </w:style>
  <w:style w:type="paragraph" w:styleId="Hlavikaobsahu">
    <w:name w:val="TOC Heading"/>
    <w:basedOn w:val="Nadpis1"/>
    <w:next w:val="Normlny"/>
    <w:uiPriority w:val="39"/>
    <w:unhideWhenUsed/>
    <w:qFormat/>
    <w:rsid w:val="00C6153C"/>
    <w:pPr>
      <w:jc w:val="left"/>
      <w:outlineLvl w:val="9"/>
    </w:pPr>
    <w:rPr>
      <w:rFonts w:asciiTheme="majorHAnsi" w:hAnsiTheme="majorHAnsi"/>
      <w:color w:val="2E74B5" w:themeColor="accent1" w:themeShade="BF"/>
      <w:lang w:eastAsia="sk-SK"/>
    </w:rPr>
  </w:style>
  <w:style w:type="paragraph" w:styleId="Popis">
    <w:name w:val="caption"/>
    <w:basedOn w:val="Normlny"/>
    <w:next w:val="Normlny"/>
    <w:uiPriority w:val="35"/>
    <w:unhideWhenUsed/>
    <w:qFormat/>
    <w:rsid w:val="005D4C5C"/>
    <w:pPr>
      <w:spacing w:after="0" w:line="240" w:lineRule="auto"/>
      <w:contextualSpacing/>
    </w:pPr>
    <w:rPr>
      <w:b/>
      <w:sz w:val="20"/>
      <w:szCs w:val="20"/>
      <w:lang w:eastAsia="sk-SK"/>
    </w:rPr>
  </w:style>
  <w:style w:type="table" w:customStyle="1" w:styleId="UHPTAB">
    <w:name w:val="UHP_TAB"/>
    <w:basedOn w:val="Klasicktabuka1"/>
    <w:uiPriority w:val="99"/>
    <w:rsid w:val="001D6370"/>
    <w:pPr>
      <w:spacing w:after="0" w:line="240" w:lineRule="auto"/>
      <w:contextualSpacing/>
    </w:pPr>
    <w:rPr>
      <w:rFonts w:ascii="Arial Narrow" w:hAnsi="Arial Narrow"/>
      <w:sz w:val="20"/>
      <w:szCs w:val="20"/>
      <w:lang w:val="en-US" w:eastAsia="sk-SK"/>
    </w:rPr>
    <w:tblPr>
      <w:tblBorders>
        <w:top w:val="none" w:sz="0" w:space="0" w:color="auto"/>
        <w:bottom w:val="single" w:sz="4" w:space="0" w:color="auto"/>
      </w:tblBorders>
    </w:tblPr>
    <w:tcPr>
      <w:shd w:val="clear" w:color="auto" w:fill="auto"/>
      <w:vAlign w:val="center"/>
    </w:tcPr>
    <w:tblStylePr w:type="firstRow">
      <w:pPr>
        <w:jc w:val="left"/>
      </w:pPr>
      <w:rPr>
        <w:rFonts w:ascii="Arial Narrow" w:hAnsi="Arial Narrow"/>
        <w:i w:val="0"/>
        <w:iCs/>
        <w:sz w:val="20"/>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pPr>
        <w:jc w:val="right"/>
      </w:pPr>
      <w:rPr>
        <w:b w:val="0"/>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
    <w:name w:val="UHP_GRAF"/>
    <w:basedOn w:val="UHPTAB"/>
    <w:uiPriority w:val="99"/>
    <w:rsid w:val="009C44DE"/>
    <w:tblPr/>
    <w:tcPr>
      <w:shd w:val="clear" w:color="auto" w:fill="auto"/>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1">
    <w:name w:val="Table Classic 1"/>
    <w:basedOn w:val="Normlnatabuka"/>
    <w:uiPriority w:val="99"/>
    <w:semiHidden/>
    <w:unhideWhenUsed/>
    <w:rsid w:val="00BE5949"/>
    <w:pPr>
      <w:spacing w:before="1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Odkaznapoznmkupodiarou">
    <w:name w:val="footnote reference"/>
    <w:aliases w:val="Footnote Reference Superscript,Footnote symbol,Footnote Reference Number,Odwołanie przypisu,Footnote Reference/,Footnote Reference_LVL6,Footnote Reference_LVL61,Footnote Reference_LVL62,Footnote Reference_LVL63,footnote ref"/>
    <w:basedOn w:val="Predvolenpsmoodseku"/>
    <w:uiPriority w:val="99"/>
    <w:unhideWhenUsed/>
    <w:qFormat/>
    <w:rsid w:val="00026299"/>
    <w:rPr>
      <w:vertAlign w:val="superscript"/>
    </w:rPr>
  </w:style>
  <w:style w:type="paragraph" w:styleId="Nzov">
    <w:name w:val="Title"/>
    <w:basedOn w:val="Normlny"/>
    <w:next w:val="Normlny"/>
    <w:link w:val="NzovChar"/>
    <w:uiPriority w:val="10"/>
    <w:qFormat/>
    <w:rsid w:val="00492F1E"/>
    <w:pPr>
      <w:spacing w:after="0" w:line="240" w:lineRule="auto"/>
      <w:contextualSpacing/>
    </w:pPr>
    <w:rPr>
      <w:rFonts w:eastAsiaTheme="majorEastAsia" w:cstheme="majorBidi"/>
      <w:color w:val="4472C4" w:themeColor="accent5"/>
      <w:spacing w:val="-10"/>
      <w:kern w:val="28"/>
      <w:sz w:val="52"/>
      <w:szCs w:val="56"/>
    </w:rPr>
  </w:style>
  <w:style w:type="character" w:customStyle="1" w:styleId="NzovChar">
    <w:name w:val="Názov Char"/>
    <w:basedOn w:val="Predvolenpsmoodseku"/>
    <w:link w:val="Nzov"/>
    <w:uiPriority w:val="10"/>
    <w:rsid w:val="00492F1E"/>
    <w:rPr>
      <w:rFonts w:ascii="Arial Narrow" w:eastAsiaTheme="majorEastAsia" w:hAnsi="Arial Narrow" w:cstheme="majorBidi"/>
      <w:color w:val="4472C4" w:themeColor="accent5"/>
      <w:spacing w:val="-10"/>
      <w:kern w:val="28"/>
      <w:sz w:val="52"/>
      <w:szCs w:val="56"/>
    </w:rPr>
  </w:style>
  <w:style w:type="character" w:customStyle="1" w:styleId="Nadpis4Char">
    <w:name w:val="Nadpis 4 Char"/>
    <w:basedOn w:val="Predvolenpsmoodseku"/>
    <w:link w:val="Nadpis4"/>
    <w:uiPriority w:val="9"/>
    <w:rsid w:val="005D4C5C"/>
    <w:rPr>
      <w:rFonts w:ascii="Calibri" w:eastAsia="Times New Roman" w:hAnsi="Calibri" w:cs="Times New Roman"/>
      <w:b/>
      <w:bCs/>
      <w:sz w:val="28"/>
      <w:szCs w:val="28"/>
      <w:lang w:eastAsia="sk-SK"/>
    </w:rPr>
  </w:style>
  <w:style w:type="character" w:customStyle="1" w:styleId="Nadpis5Char">
    <w:name w:val="Nadpis 5 Char"/>
    <w:basedOn w:val="Predvolenpsmoodseku"/>
    <w:link w:val="Nadpis5"/>
    <w:uiPriority w:val="9"/>
    <w:rsid w:val="005D4C5C"/>
    <w:rPr>
      <w:rFonts w:ascii="Calibri" w:eastAsia="Times New Roman" w:hAnsi="Calibri" w:cs="Times New Roman"/>
      <w:b/>
      <w:bCs/>
      <w:i/>
      <w:iCs/>
      <w:sz w:val="26"/>
      <w:szCs w:val="26"/>
      <w:lang w:eastAsia="sk-SK"/>
    </w:rPr>
  </w:style>
  <w:style w:type="character" w:customStyle="1" w:styleId="Nadpis6Char">
    <w:name w:val="Nadpis 6 Char"/>
    <w:basedOn w:val="Predvolenpsmoodseku"/>
    <w:link w:val="Nadpis6"/>
    <w:uiPriority w:val="9"/>
    <w:rsid w:val="005D4C5C"/>
    <w:rPr>
      <w:rFonts w:ascii="Calibri" w:eastAsia="Times New Roman" w:hAnsi="Calibri" w:cs="Times New Roman"/>
      <w:b/>
      <w:bCs/>
      <w:lang w:eastAsia="sk-SK"/>
    </w:rPr>
  </w:style>
  <w:style w:type="character" w:customStyle="1" w:styleId="Nadpis7Char">
    <w:name w:val="Nadpis 7 Char"/>
    <w:basedOn w:val="Predvolenpsmoodseku"/>
    <w:link w:val="Nadpis7"/>
    <w:uiPriority w:val="9"/>
    <w:rsid w:val="005D4C5C"/>
    <w:rPr>
      <w:rFonts w:ascii="Calibri" w:eastAsia="Times New Roman" w:hAnsi="Calibri" w:cs="Times New Roman"/>
      <w:sz w:val="24"/>
      <w:szCs w:val="24"/>
      <w:lang w:eastAsia="sk-SK"/>
    </w:rPr>
  </w:style>
  <w:style w:type="character" w:customStyle="1" w:styleId="Nadpis8Char">
    <w:name w:val="Nadpis 8 Char"/>
    <w:basedOn w:val="Predvolenpsmoodseku"/>
    <w:link w:val="Nadpis8"/>
    <w:uiPriority w:val="9"/>
    <w:rsid w:val="005D4C5C"/>
    <w:rPr>
      <w:rFonts w:ascii="Calibri" w:eastAsia="Times New Roman" w:hAnsi="Calibri" w:cs="Times New Roman"/>
      <w:i/>
      <w:iCs/>
      <w:sz w:val="24"/>
      <w:szCs w:val="24"/>
      <w:lang w:eastAsia="sk-SK"/>
    </w:rPr>
  </w:style>
  <w:style w:type="character" w:customStyle="1" w:styleId="Nadpis9Char">
    <w:name w:val="Nadpis 9 Char"/>
    <w:basedOn w:val="Predvolenpsmoodseku"/>
    <w:link w:val="Nadpis9"/>
    <w:uiPriority w:val="9"/>
    <w:rsid w:val="005D4C5C"/>
    <w:rPr>
      <w:rFonts w:ascii="Cambria" w:eastAsia="Times New Roman" w:hAnsi="Cambria" w:cs="Times New Roman"/>
      <w:lang w:eastAsia="sk-SK"/>
    </w:rPr>
  </w:style>
  <w:style w:type="character" w:customStyle="1" w:styleId="OdsekzoznamuChar">
    <w:name w:val="Odsek zoznamu Char"/>
    <w:aliases w:val="body Char,Odsek zoznamu2 Char"/>
    <w:link w:val="Odsekzoznamu"/>
    <w:uiPriority w:val="34"/>
    <w:rsid w:val="001D63C0"/>
    <w:rPr>
      <w:rFonts w:ascii="Arial Narrow" w:hAnsi="Arial Narrow"/>
    </w:rPr>
  </w:style>
  <w:style w:type="character" w:customStyle="1" w:styleId="Bodytext295pt">
    <w:name w:val="Body text (2) + 9.5 pt"/>
    <w:aliases w:val="Bold"/>
    <w:basedOn w:val="Predvolenpsmoodseku"/>
    <w:qFormat/>
    <w:rsid w:val="005D4C5C"/>
    <w:rPr>
      <w:rFonts w:ascii="Arial Narrow" w:eastAsia="Arial" w:hAnsi="Arial Narrow" w:cs="Arial"/>
      <w:color w:val="000000"/>
      <w:sz w:val="20"/>
      <w:szCs w:val="19"/>
      <w:lang w:val="fr-FR" w:eastAsia="fr-FR" w:bidi="fr-FR"/>
    </w:rPr>
  </w:style>
  <w:style w:type="character" w:styleId="Jemnodkaz">
    <w:name w:val="Subtle Reference"/>
    <w:uiPriority w:val="31"/>
    <w:qFormat/>
    <w:rsid w:val="005D4C5C"/>
    <w:rPr>
      <w:rFonts w:eastAsia="Times New Roman" w:cs="Times New Roman"/>
      <w:bCs/>
      <w:i/>
      <w:sz w:val="18"/>
      <w:lang w:eastAsia="zh-TW"/>
    </w:rPr>
  </w:style>
  <w:style w:type="character" w:customStyle="1" w:styleId="apple-converted-space">
    <w:name w:val="apple-converted-space"/>
    <w:basedOn w:val="Predvolenpsmoodseku"/>
    <w:rsid w:val="005D4C5C"/>
  </w:style>
  <w:style w:type="table" w:customStyle="1" w:styleId="Mriekatabuky1">
    <w:name w:val="Mriežka tabuľky1"/>
    <w:basedOn w:val="Normlnatabuka"/>
    <w:next w:val="Mriekatabuky"/>
    <w:uiPriority w:val="59"/>
    <w:rsid w:val="005D4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lny"/>
    <w:rsid w:val="005D4C5C"/>
    <w:pPr>
      <w:spacing w:after="0" w:line="240" w:lineRule="auto"/>
    </w:pPr>
    <w:rPr>
      <w:rFonts w:ascii="Helvetica Neue" w:hAnsi="Helvetica Neue" w:cs="Times New Roman"/>
      <w:color w:val="454545"/>
      <w:sz w:val="18"/>
      <w:szCs w:val="18"/>
      <w:lang w:val="en-GB" w:eastAsia="en-GB"/>
    </w:rPr>
  </w:style>
  <w:style w:type="paragraph" w:customStyle="1" w:styleId="p2">
    <w:name w:val="p2"/>
    <w:basedOn w:val="Normlny"/>
    <w:rsid w:val="005D4C5C"/>
    <w:pPr>
      <w:spacing w:after="0" w:line="240" w:lineRule="auto"/>
    </w:pPr>
    <w:rPr>
      <w:rFonts w:ascii="Helvetica Neue" w:hAnsi="Helvetica Neue" w:cs="Times New Roman"/>
      <w:color w:val="454545"/>
      <w:sz w:val="18"/>
      <w:szCs w:val="18"/>
      <w:lang w:val="en-GB" w:eastAsia="en-GB"/>
    </w:rPr>
  </w:style>
  <w:style w:type="table" w:customStyle="1" w:styleId="Mriekatabuky2">
    <w:name w:val="Mriežka tabuľky2"/>
    <w:basedOn w:val="Normlnatabuka"/>
    <w:next w:val="Mriekatabuky"/>
    <w:uiPriority w:val="59"/>
    <w:rsid w:val="005D4C5C"/>
    <w:pPr>
      <w:spacing w:after="0" w:line="240" w:lineRule="auto"/>
    </w:pPr>
    <w:rPr>
      <w:rFonts w:ascii="Arial Narrow" w:eastAsia="Calibri" w:hAnsi="Arial Narrow" w:cs="Times New Roman"/>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4C5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iPriority w:val="99"/>
    <w:unhideWhenUsed/>
    <w:qFormat/>
    <w:rsid w:val="005D4C5C"/>
    <w:pPr>
      <w:spacing w:before="100" w:beforeAutospacing="1" w:after="100" w:afterAutospacing="1" w:line="240" w:lineRule="auto"/>
      <w:jc w:val="left"/>
    </w:pPr>
    <w:rPr>
      <w:rFonts w:ascii="Times New Roman" w:eastAsia="Times New Roman" w:hAnsi="Times New Roman" w:cs="Times New Roman"/>
      <w:sz w:val="24"/>
      <w:szCs w:val="24"/>
      <w:lang w:eastAsia="sk-SK"/>
    </w:rPr>
  </w:style>
  <w:style w:type="character" w:customStyle="1" w:styleId="st">
    <w:name w:val="st"/>
    <w:rsid w:val="005D4C5C"/>
  </w:style>
  <w:style w:type="paragraph" w:styleId="Zoznamsodrkami">
    <w:name w:val="List Bullet"/>
    <w:basedOn w:val="Normlny"/>
    <w:rsid w:val="005D4C5C"/>
    <w:pPr>
      <w:spacing w:line="240" w:lineRule="auto"/>
    </w:pPr>
    <w:rPr>
      <w:rFonts w:ascii="Times New Roman" w:eastAsia="Times New Roman" w:hAnsi="Times New Roman" w:cs="Times New Roman"/>
      <w:lang w:val="en-GB"/>
    </w:rPr>
  </w:style>
  <w:style w:type="character" w:styleId="PouitHypertextovPrepojenie">
    <w:name w:val="FollowedHyperlink"/>
    <w:uiPriority w:val="99"/>
    <w:semiHidden/>
    <w:unhideWhenUsed/>
    <w:rsid w:val="005D4C5C"/>
    <w:rPr>
      <w:color w:val="954F72"/>
      <w:u w:val="single"/>
    </w:rPr>
  </w:style>
  <w:style w:type="paragraph" w:styleId="Revzia">
    <w:name w:val="Revision"/>
    <w:hidden/>
    <w:uiPriority w:val="99"/>
    <w:semiHidden/>
    <w:rsid w:val="005D4C5C"/>
    <w:pPr>
      <w:spacing w:after="0" w:line="240" w:lineRule="auto"/>
    </w:pPr>
    <w:rPr>
      <w:rFonts w:ascii="Calibri" w:eastAsia="Times New Roman" w:hAnsi="Calibri" w:cs="Times New Roman"/>
      <w:lang w:eastAsia="sk-SK"/>
    </w:rPr>
  </w:style>
  <w:style w:type="paragraph" w:customStyle="1" w:styleId="box">
    <w:name w:val="box"/>
    <w:basedOn w:val="Normlny"/>
    <w:uiPriority w:val="99"/>
    <w:rsid w:val="005D4C5C"/>
    <w:pPr>
      <w:keepNext/>
      <w:keepLines/>
      <w:pBdr>
        <w:top w:val="single" w:sz="6" w:space="5" w:color="auto"/>
        <w:left w:val="single" w:sz="6" w:space="5" w:color="auto"/>
        <w:bottom w:val="single" w:sz="6" w:space="5" w:color="auto"/>
        <w:right w:val="single" w:sz="6" w:space="5" w:color="auto"/>
      </w:pBdr>
      <w:tabs>
        <w:tab w:val="left" w:pos="-1440"/>
        <w:tab w:val="left" w:pos="-720"/>
        <w:tab w:val="left" w:pos="0"/>
        <w:tab w:val="left" w:pos="851"/>
        <w:tab w:val="left" w:pos="1296"/>
        <w:tab w:val="left" w:pos="1728"/>
        <w:tab w:val="left" w:pos="2160"/>
      </w:tabs>
      <w:suppressAutoHyphens/>
      <w:spacing w:after="60" w:line="240" w:lineRule="auto"/>
    </w:pPr>
    <w:rPr>
      <w:rFonts w:ascii="Palatino" w:eastAsia="Times New Roman" w:hAnsi="Palatino" w:cs="Times New Roman"/>
      <w:spacing w:val="-2"/>
      <w:szCs w:val="20"/>
      <w:lang w:val="en-GB"/>
    </w:rPr>
  </w:style>
  <w:style w:type="character" w:styleId="Siln">
    <w:name w:val="Strong"/>
    <w:uiPriority w:val="22"/>
    <w:qFormat/>
    <w:rsid w:val="005D4C5C"/>
    <w:rPr>
      <w:b/>
      <w:bCs/>
    </w:rPr>
  </w:style>
  <w:style w:type="paragraph" w:styleId="Citcia">
    <w:name w:val="Quote"/>
    <w:basedOn w:val="Normlny"/>
    <w:next w:val="Normlny"/>
    <w:link w:val="CitciaChar"/>
    <w:uiPriority w:val="29"/>
    <w:qFormat/>
    <w:rsid w:val="005D4C5C"/>
    <w:pPr>
      <w:spacing w:after="200"/>
      <w:jc w:val="left"/>
    </w:pPr>
    <w:rPr>
      <w:rFonts w:ascii="Calibri" w:eastAsia="Calibri" w:hAnsi="Calibri" w:cs="Times New Roman"/>
    </w:rPr>
  </w:style>
  <w:style w:type="character" w:customStyle="1" w:styleId="CitciaChar">
    <w:name w:val="Citácia Char"/>
    <w:basedOn w:val="Predvolenpsmoodseku"/>
    <w:link w:val="Citcia"/>
    <w:uiPriority w:val="29"/>
    <w:rsid w:val="005D4C5C"/>
    <w:rPr>
      <w:rFonts w:ascii="Calibri" w:eastAsia="Calibri" w:hAnsi="Calibri" w:cs="Times New Roman"/>
    </w:rPr>
  </w:style>
  <w:style w:type="character" w:customStyle="1" w:styleId="Farebnzoznamzvraznenie1Char">
    <w:name w:val="Farebný zoznam – zvýraznenie 1 Char"/>
    <w:link w:val="Farebnzoznamzvraznenie1"/>
    <w:uiPriority w:val="34"/>
    <w:rsid w:val="005D4C5C"/>
    <w:rPr>
      <w:rFonts w:ascii="Times New Roman" w:eastAsia="Calibri" w:hAnsi="Times New Roman"/>
      <w:sz w:val="22"/>
      <w:szCs w:val="22"/>
      <w:lang w:eastAsia="en-US"/>
    </w:rPr>
  </w:style>
  <w:style w:type="paragraph" w:customStyle="1" w:styleId="TOCHeading1">
    <w:name w:val="TOC Heading1"/>
    <w:basedOn w:val="Nadpis1"/>
    <w:next w:val="Normlny"/>
    <w:uiPriority w:val="39"/>
    <w:unhideWhenUsed/>
    <w:qFormat/>
    <w:rsid w:val="005D4C5C"/>
    <w:pPr>
      <w:spacing w:before="480"/>
      <w:jc w:val="left"/>
      <w:outlineLvl w:val="9"/>
    </w:pPr>
    <w:rPr>
      <w:rFonts w:ascii="Times New Roman" w:eastAsia="Times New Roman" w:hAnsi="Times New Roman" w:cs="Times New Roman"/>
      <w:b/>
      <w:bCs/>
      <w:iCs/>
      <w:color w:val="365F91"/>
      <w:sz w:val="28"/>
      <w:szCs w:val="28"/>
      <w:lang w:eastAsia="sk-SK"/>
    </w:rPr>
  </w:style>
  <w:style w:type="character" w:customStyle="1" w:styleId="Farebnmriekazvraznenie1Char">
    <w:name w:val="Farebná mriežka – zvýraznenie 1 Char"/>
    <w:link w:val="Farebnmriekazvraznenie1"/>
    <w:uiPriority w:val="29"/>
    <w:rsid w:val="005D4C5C"/>
    <w:rPr>
      <w:rFonts w:eastAsia="Calibri"/>
      <w:sz w:val="22"/>
      <w:szCs w:val="22"/>
      <w:lang w:eastAsia="en-US"/>
    </w:rPr>
  </w:style>
  <w:style w:type="table" w:styleId="Farebnzoznamzvraznenie1">
    <w:name w:val="Colorful List Accent 1"/>
    <w:basedOn w:val="Normlnatabuka"/>
    <w:link w:val="Farebnzoznamzvraznenie1Char"/>
    <w:uiPriority w:val="34"/>
    <w:rsid w:val="005D4C5C"/>
    <w:pPr>
      <w:spacing w:after="0" w:line="240" w:lineRule="auto"/>
    </w:pPr>
    <w:rPr>
      <w:rFonts w:ascii="Times New Roman" w:eastAsia="Calibri" w:hAnsi="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Farebnmriekazvraznenie1">
    <w:name w:val="Colorful Grid Accent 1"/>
    <w:basedOn w:val="Normlnatabuka"/>
    <w:link w:val="Farebnmriekazvraznenie1Char"/>
    <w:uiPriority w:val="29"/>
    <w:rsid w:val="005D4C5C"/>
    <w:pPr>
      <w:spacing w:after="0" w:line="240" w:lineRule="auto"/>
    </w:pPr>
    <w:rPr>
      <w:rFonts w:eastAsia="Calibri"/>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Zkladntext">
    <w:name w:val="Body Text"/>
    <w:basedOn w:val="Normlny"/>
    <w:link w:val="ZkladntextChar"/>
    <w:uiPriority w:val="99"/>
    <w:semiHidden/>
    <w:unhideWhenUsed/>
    <w:rsid w:val="005D4C5C"/>
    <w:pPr>
      <w:spacing w:after="0" w:line="240" w:lineRule="auto"/>
    </w:pPr>
    <w:rPr>
      <w:rFonts w:ascii="Times New Roman" w:eastAsia="Times New Roman" w:hAnsi="Times New Roman" w:cs="Times New Roman"/>
      <w:sz w:val="24"/>
      <w:szCs w:val="20"/>
      <w:lang w:eastAsia="sk-SK"/>
    </w:rPr>
  </w:style>
  <w:style w:type="character" w:customStyle="1" w:styleId="ZkladntextChar">
    <w:name w:val="Základný text Char"/>
    <w:basedOn w:val="Predvolenpsmoodseku"/>
    <w:link w:val="Zkladntext"/>
    <w:uiPriority w:val="99"/>
    <w:semiHidden/>
    <w:rsid w:val="005D4C5C"/>
    <w:rPr>
      <w:rFonts w:ascii="Times New Roman" w:eastAsia="Times New Roman" w:hAnsi="Times New Roman" w:cs="Times New Roman"/>
      <w:sz w:val="24"/>
      <w:szCs w:val="20"/>
      <w:lang w:eastAsia="sk-SK"/>
    </w:rPr>
  </w:style>
  <w:style w:type="paragraph" w:customStyle="1" w:styleId="Standard">
    <w:name w:val="Standard"/>
    <w:rsid w:val="005D4C5C"/>
    <w:pPr>
      <w:suppressAutoHyphens/>
      <w:autoSpaceDN w:val="0"/>
      <w:spacing w:after="200" w:line="276" w:lineRule="auto"/>
      <w:textAlignment w:val="baseline"/>
    </w:pPr>
    <w:rPr>
      <w:rFonts w:ascii="Calibri" w:eastAsia="SimSun" w:hAnsi="Calibri" w:cs="F"/>
      <w:kern w:val="3"/>
    </w:rPr>
  </w:style>
  <w:style w:type="paragraph" w:styleId="Bezriadkovania">
    <w:name w:val="No Spacing"/>
    <w:link w:val="BezriadkovaniaChar"/>
    <w:uiPriority w:val="1"/>
    <w:qFormat/>
    <w:rsid w:val="005D4C5C"/>
    <w:pPr>
      <w:spacing w:after="0" w:line="240" w:lineRule="auto"/>
      <w:jc w:val="both"/>
    </w:pPr>
    <w:rPr>
      <w:rFonts w:ascii="Arial Narrow" w:hAnsi="Arial Narrow"/>
    </w:rPr>
  </w:style>
  <w:style w:type="character" w:styleId="Zstupntext">
    <w:name w:val="Placeholder Text"/>
    <w:basedOn w:val="Predvolenpsmoodseku"/>
    <w:uiPriority w:val="99"/>
    <w:semiHidden/>
    <w:rsid w:val="005D4C5C"/>
    <w:rPr>
      <w:color w:val="808080"/>
    </w:rPr>
  </w:style>
  <w:style w:type="character" w:styleId="slostrany">
    <w:name w:val="page number"/>
    <w:basedOn w:val="Predvolenpsmoodseku"/>
    <w:rsid w:val="007335C9"/>
  </w:style>
  <w:style w:type="numbering" w:customStyle="1" w:styleId="tl1">
    <w:name w:val="Štýl1"/>
    <w:uiPriority w:val="99"/>
    <w:rsid w:val="007335C9"/>
    <w:pPr>
      <w:numPr>
        <w:numId w:val="1"/>
      </w:numPr>
    </w:pPr>
  </w:style>
  <w:style w:type="numbering" w:customStyle="1" w:styleId="Bezzoznamu1">
    <w:name w:val="Bez zoznamu1"/>
    <w:next w:val="Bezzoznamu"/>
    <w:uiPriority w:val="99"/>
    <w:semiHidden/>
    <w:unhideWhenUsed/>
    <w:rsid w:val="007335C9"/>
  </w:style>
  <w:style w:type="table" w:customStyle="1" w:styleId="UHPTAB1">
    <w:name w:val="UHP_TAB1"/>
    <w:basedOn w:val="Klasicktabuka1"/>
    <w:uiPriority w:val="99"/>
    <w:rsid w:val="007335C9"/>
    <w:pPr>
      <w:spacing w:after="0" w:line="240" w:lineRule="auto"/>
      <w:contextualSpacing/>
    </w:pPr>
    <w:rPr>
      <w:rFonts w:ascii="Arial Narrow" w:hAnsi="Arial Narrow"/>
      <w:sz w:val="20"/>
      <w:szCs w:val="20"/>
      <w:lang w:eastAsia="sk-SK"/>
    </w:rPr>
    <w:tblPr>
      <w:tblBorders>
        <w:top w:val="none" w:sz="0" w:space="0" w:color="auto"/>
        <w:bottom w:val="single" w:sz="4" w:space="0" w:color="auto"/>
      </w:tblBorders>
    </w:tblPr>
    <w:tcPr>
      <w:shd w:val="clear" w:color="auto" w:fill="auto"/>
      <w:vAlign w:val="center"/>
    </w:tcPr>
    <w:tblStylePr w:type="firstRow">
      <w:pPr>
        <w:jc w:val="left"/>
      </w:pPr>
      <w:rPr>
        <w:rFonts w:ascii="Arial Narrow" w:hAnsi="Arial Narrow"/>
        <w:i w:val="0"/>
        <w:iCs/>
        <w:sz w:val="20"/>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pPr>
        <w:jc w:val="right"/>
      </w:pPr>
      <w:rPr>
        <w:b w:val="0"/>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
    <w:name w:val="UHP_GRAF1"/>
    <w:basedOn w:val="UHPTAB"/>
    <w:uiPriority w:val="99"/>
    <w:rsid w:val="007335C9"/>
    <w:tblPr/>
    <w:tcPr>
      <w:shd w:val="clear" w:color="auto" w:fill="auto"/>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icktabuka11">
    <w:name w:val="Klasická tabuľka 11"/>
    <w:basedOn w:val="Normlnatabuka"/>
    <w:next w:val="Klasicktabuka1"/>
    <w:uiPriority w:val="99"/>
    <w:semiHidden/>
    <w:unhideWhenUsed/>
    <w:rsid w:val="007335C9"/>
    <w:rPr>
      <w:rFonts w:ascii="Arial Narrow" w:hAnsi="Arial Narrow"/>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Zoznam1CharChar">
    <w:name w:val="Zoznam_1 Char Char"/>
    <w:uiPriority w:val="99"/>
    <w:rsid w:val="007335C9"/>
    <w:rPr>
      <w:sz w:val="24"/>
      <w:lang w:val="en-US" w:eastAsia="sk-SK"/>
    </w:rPr>
  </w:style>
  <w:style w:type="character" w:customStyle="1" w:styleId="BezriadkovaniaChar">
    <w:name w:val="Bez riadkovania Char"/>
    <w:basedOn w:val="Predvolenpsmoodseku"/>
    <w:link w:val="Bezriadkovania"/>
    <w:uiPriority w:val="1"/>
    <w:rsid w:val="007335C9"/>
    <w:rPr>
      <w:rFonts w:ascii="Arial Narrow" w:hAnsi="Arial Narrow"/>
    </w:rPr>
  </w:style>
  <w:style w:type="paragraph" w:customStyle="1" w:styleId="Biblio-Entry">
    <w:name w:val="Biblio-Entry"/>
    <w:basedOn w:val="Zkladntext"/>
    <w:link w:val="Biblio-EntryChar"/>
    <w:rsid w:val="007335C9"/>
    <w:pPr>
      <w:spacing w:before="120" w:after="240" w:line="276" w:lineRule="auto"/>
      <w:ind w:left="567" w:hanging="567"/>
    </w:pPr>
    <w:rPr>
      <w:rFonts w:eastAsiaTheme="minorHAnsi" w:cstheme="minorBidi"/>
      <w:szCs w:val="22"/>
      <w:lang w:eastAsia="en-US"/>
    </w:rPr>
  </w:style>
  <w:style w:type="character" w:customStyle="1" w:styleId="Biblio-EntryChar">
    <w:name w:val="Biblio-Entry Char"/>
    <w:link w:val="Biblio-Entry"/>
    <w:locked/>
    <w:rsid w:val="007335C9"/>
    <w:rPr>
      <w:rFonts w:ascii="Times New Roman" w:hAnsi="Times New Roman"/>
      <w:sz w:val="24"/>
    </w:rPr>
  </w:style>
  <w:style w:type="table" w:customStyle="1" w:styleId="Mriekatabuky3">
    <w:name w:val="Mriežka tabuľky3"/>
    <w:basedOn w:val="Normlnatabuka"/>
    <w:next w:val="Mriekatabuky"/>
    <w:uiPriority w:val="39"/>
    <w:rsid w:val="00577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Normlnatabuka"/>
    <w:next w:val="Mriekatabuky"/>
    <w:uiPriority w:val="39"/>
    <w:rsid w:val="00577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424DA"/>
    <w:rPr>
      <w:i/>
      <w:iCs/>
    </w:rPr>
  </w:style>
  <w:style w:type="paragraph" w:customStyle="1" w:styleId="Nadpis2UHP">
    <w:name w:val="Nadpis 2 UHP"/>
    <w:basedOn w:val="Normlny"/>
    <w:qFormat/>
    <w:rsid w:val="0092748A"/>
    <w:pPr>
      <w:keepNext/>
      <w:keepLines/>
      <w:tabs>
        <w:tab w:val="left" w:pos="284"/>
      </w:tabs>
      <w:spacing w:before="40"/>
      <w:ind w:left="720" w:hanging="720"/>
      <w:jc w:val="left"/>
    </w:pPr>
    <w:rPr>
      <w:color w:val="2E74B5" w:themeColor="accent1" w:themeShade="BF"/>
      <w:sz w:val="26"/>
      <w:szCs w:val="20"/>
    </w:rPr>
  </w:style>
  <w:style w:type="character" w:styleId="PremennHTML">
    <w:name w:val="HTML Variable"/>
    <w:basedOn w:val="Predvolenpsmoodseku"/>
    <w:uiPriority w:val="99"/>
    <w:semiHidden/>
    <w:unhideWhenUsed/>
    <w:rsid w:val="0092748A"/>
    <w:rPr>
      <w:i/>
      <w:iCs/>
    </w:rPr>
  </w:style>
  <w:style w:type="paragraph" w:customStyle="1" w:styleId="Nadpis31">
    <w:name w:val="Nadpis 31"/>
    <w:basedOn w:val="Normlny"/>
    <w:next w:val="Normlny"/>
    <w:uiPriority w:val="9"/>
    <w:semiHidden/>
    <w:unhideWhenUsed/>
    <w:qFormat/>
    <w:rsid w:val="0092748A"/>
    <w:pPr>
      <w:keepNext/>
      <w:keepLines/>
      <w:spacing w:before="40" w:after="0"/>
      <w:jc w:val="left"/>
      <w:outlineLvl w:val="2"/>
    </w:pPr>
    <w:rPr>
      <w:rFonts w:ascii="Calibri Light" w:eastAsia="Times New Roman" w:hAnsi="Calibri Light" w:cs="Times New Roman"/>
      <w:color w:val="1F4D78"/>
      <w:sz w:val="24"/>
      <w:szCs w:val="24"/>
    </w:rPr>
  </w:style>
  <w:style w:type="character" w:customStyle="1" w:styleId="h1a">
    <w:name w:val="h1a"/>
    <w:basedOn w:val="Predvolenpsmoodseku"/>
    <w:rsid w:val="0092748A"/>
  </w:style>
  <w:style w:type="paragraph" w:customStyle="1" w:styleId="Nadpis1UHP">
    <w:name w:val="Nadpis 1 UHP"/>
    <w:basedOn w:val="Odsekzoznamu"/>
    <w:qFormat/>
    <w:rsid w:val="0092748A"/>
    <w:pPr>
      <w:keepNext/>
      <w:keepLines/>
      <w:tabs>
        <w:tab w:val="left" w:pos="284"/>
      </w:tabs>
      <w:spacing w:before="240" w:after="240"/>
      <w:ind w:left="0"/>
    </w:pPr>
    <w:rPr>
      <w:color w:val="002060"/>
      <w:sz w:val="32"/>
      <w:szCs w:val="20"/>
    </w:rPr>
  </w:style>
  <w:style w:type="paragraph" w:customStyle="1" w:styleId="Nadpis3UHP">
    <w:name w:val="Nadpis 3 UHP"/>
    <w:basedOn w:val="Nadpis2UHP"/>
    <w:qFormat/>
    <w:rsid w:val="0092748A"/>
    <w:pPr>
      <w:tabs>
        <w:tab w:val="clear" w:pos="284"/>
      </w:tabs>
    </w:pPr>
    <w:rPr>
      <w:b/>
      <w:i/>
      <w:sz w:val="22"/>
      <w:lang w:eastAsia="sk-SK"/>
    </w:rPr>
  </w:style>
  <w:style w:type="numbering" w:customStyle="1" w:styleId="Bezzoznamu11">
    <w:name w:val="Bez zoznamu11"/>
    <w:next w:val="Bezzoznamu"/>
    <w:uiPriority w:val="99"/>
    <w:semiHidden/>
    <w:unhideWhenUsed/>
    <w:rsid w:val="0092748A"/>
  </w:style>
  <w:style w:type="character" w:customStyle="1" w:styleId="PouitHypertextovPrepojenie1">
    <w:name w:val="PoužitéHypertextovéPrepojenie1"/>
    <w:basedOn w:val="Predvolenpsmoodseku"/>
    <w:uiPriority w:val="99"/>
    <w:semiHidden/>
    <w:unhideWhenUsed/>
    <w:rsid w:val="0092748A"/>
    <w:rPr>
      <w:color w:val="800080"/>
      <w:u w:val="single"/>
    </w:rPr>
  </w:style>
  <w:style w:type="numbering" w:customStyle="1" w:styleId="tl11">
    <w:name w:val="Štýl11"/>
    <w:uiPriority w:val="99"/>
    <w:rsid w:val="0092748A"/>
  </w:style>
  <w:style w:type="paragraph" w:customStyle="1" w:styleId="Normlnywebov1">
    <w:name w:val="Normálny (webový)1"/>
    <w:basedOn w:val="Normlny"/>
    <w:next w:val="Normlnywebov"/>
    <w:uiPriority w:val="99"/>
    <w:semiHidden/>
    <w:unhideWhenUsed/>
    <w:rsid w:val="0092748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TextpoznmkypodiarouChar1">
    <w:name w:val="Text poznámky pod čiarou Char1"/>
    <w:aliases w:val="Text poznámky pod čiarou 007 Char1,Footnote Text Char2 Char1,Footnote Text Char1 Char Char1,Footnote Text Char2 Char Char Char1,Footnote Text Char1 Char Char Char Char1,Footnote Text Char2 Char Char Char Char Char1,f Char1"/>
    <w:basedOn w:val="Predvolenpsmoodseku"/>
    <w:uiPriority w:val="99"/>
    <w:semiHidden/>
    <w:rsid w:val="0092748A"/>
    <w:rPr>
      <w:sz w:val="20"/>
      <w:szCs w:val="20"/>
    </w:rPr>
  </w:style>
  <w:style w:type="table" w:customStyle="1" w:styleId="Mriekatabuky11">
    <w:name w:val="Mriežka tabuľky11"/>
    <w:basedOn w:val="Normlnatabuka"/>
    <w:next w:val="Mriekatabuky"/>
    <w:uiPriority w:val="59"/>
    <w:rsid w:val="0092748A"/>
    <w:pPr>
      <w:spacing w:after="0" w:line="240" w:lineRule="auto"/>
    </w:pPr>
    <w:rPr>
      <w:rFonts w:ascii="Arial Narrow" w:eastAsia="Times New Roman" w:hAnsi="Arial Narrow" w:cs="Times New Roman"/>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HPTAB2">
    <w:name w:val="UHP_TAB2"/>
    <w:basedOn w:val="Klasicktabuka1"/>
    <w:uiPriority w:val="99"/>
    <w:rsid w:val="0092748A"/>
    <w:pPr>
      <w:spacing w:after="0" w:line="240" w:lineRule="auto"/>
      <w:contextualSpacing/>
    </w:pPr>
    <w:rPr>
      <w:rFonts w:ascii="Arial Narrow" w:hAnsi="Arial Narrow"/>
      <w:sz w:val="20"/>
      <w:szCs w:val="20"/>
      <w:lang w:eastAsia="sk-SK"/>
    </w:rPr>
    <w:tblPr>
      <w:tblBorders>
        <w:top w:val="none" w:sz="0" w:space="0" w:color="auto"/>
        <w:bottom w:val="single" w:sz="4" w:space="0" w:color="auto"/>
      </w:tblBorders>
    </w:tblPr>
    <w:tcPr>
      <w:shd w:val="clear" w:color="auto" w:fill="auto"/>
      <w:vAlign w:val="center"/>
    </w:tcPr>
    <w:tblStylePr w:type="firstRow">
      <w:pPr>
        <w:jc w:val="left"/>
      </w:pPr>
      <w:rPr>
        <w:rFonts w:ascii="Arial Narrow" w:hAnsi="Arial Narrow"/>
        <w:i w:val="0"/>
        <w:iCs/>
        <w:sz w:val="20"/>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pPr>
        <w:jc w:val="right"/>
      </w:pPr>
      <w:rPr>
        <w:b w:val="0"/>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2">
    <w:name w:val="UHP_GRAF2"/>
    <w:basedOn w:val="UHPTAB"/>
    <w:uiPriority w:val="99"/>
    <w:rsid w:val="0092748A"/>
    <w:tblPr/>
    <w:tcPr>
      <w:shd w:val="clear" w:color="auto" w:fill="auto"/>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adpis3Char1">
    <w:name w:val="Nadpis 3 Char1"/>
    <w:basedOn w:val="Predvolenpsmoodseku"/>
    <w:uiPriority w:val="9"/>
    <w:semiHidden/>
    <w:rsid w:val="0092748A"/>
    <w:rPr>
      <w:rFonts w:asciiTheme="majorHAnsi" w:eastAsiaTheme="majorEastAsia" w:hAnsiTheme="majorHAnsi" w:cstheme="majorBidi"/>
      <w:color w:val="1F4D78" w:themeColor="accent1" w:themeShade="7F"/>
      <w:sz w:val="24"/>
      <w:szCs w:val="24"/>
    </w:rPr>
  </w:style>
  <w:style w:type="numbering" w:customStyle="1" w:styleId="Bezzoznamu2">
    <w:name w:val="Bez zoznamu2"/>
    <w:next w:val="Bezzoznamu"/>
    <w:uiPriority w:val="99"/>
    <w:semiHidden/>
    <w:unhideWhenUsed/>
    <w:rsid w:val="0092748A"/>
  </w:style>
  <w:style w:type="table" w:styleId="Strednmrieka2zvraznenie1">
    <w:name w:val="Medium Grid 2 Accent 1"/>
    <w:basedOn w:val="Normlnatabuka"/>
    <w:uiPriority w:val="68"/>
    <w:rsid w:val="009274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Svetlzoznam">
    <w:name w:val="Light List"/>
    <w:basedOn w:val="Normlnatabuka"/>
    <w:uiPriority w:val="61"/>
    <w:rsid w:val="0092748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Zdroj">
    <w:name w:val="Zdroj"/>
    <w:basedOn w:val="Normlny"/>
    <w:qFormat/>
    <w:rsid w:val="0092748A"/>
    <w:pPr>
      <w:spacing w:after="120"/>
    </w:pPr>
    <w:rPr>
      <w:rFonts w:ascii="Arial" w:hAnsi="Arial" w:cs="Arial"/>
      <w:sz w:val="12"/>
      <w:szCs w:val="12"/>
    </w:rPr>
  </w:style>
  <w:style w:type="table" w:customStyle="1" w:styleId="Mriekatabukysvetl1">
    <w:name w:val="Mriežka tabuľky – svetlá1"/>
    <w:basedOn w:val="Normlnatabuka"/>
    <w:uiPriority w:val="40"/>
    <w:rsid w:val="009274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ukasozoznamom31">
    <w:name w:val="Tabuľka so zoznamom 31"/>
    <w:basedOn w:val="Normlnatabuka"/>
    <w:uiPriority w:val="48"/>
    <w:rsid w:val="0092748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ukasozoznamom41">
    <w:name w:val="Tabuľka so zoznamom 41"/>
    <w:basedOn w:val="Normlnatabuka"/>
    <w:uiPriority w:val="49"/>
    <w:rsid w:val="0092748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2zvraznenie6">
    <w:name w:val="List Table 2 Accent 6"/>
    <w:basedOn w:val="Normlnatabuka"/>
    <w:uiPriority w:val="47"/>
    <w:rsid w:val="0092748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ozoznamom3">
    <w:name w:val="List Table 3"/>
    <w:basedOn w:val="Normlnatabuka"/>
    <w:uiPriority w:val="48"/>
    <w:rsid w:val="0092748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UHPGRAF3">
    <w:name w:val="UHP_GRAF3"/>
    <w:basedOn w:val="Normlnatabuka"/>
    <w:uiPriority w:val="99"/>
    <w:rsid w:val="0092748A"/>
    <w:pPr>
      <w:spacing w:before="160" w:after="0" w:line="240" w:lineRule="auto"/>
      <w:contextualSpacing/>
      <w:jc w:val="both"/>
    </w:pPr>
    <w:rPr>
      <w:rFonts w:ascii="Arial Narrow" w:hAnsi="Arial Narrow"/>
      <w:sz w:val="20"/>
      <w:szCs w:val="20"/>
      <w:lang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1">
    <w:name w:val="UHP_GRAF11"/>
    <w:basedOn w:val="Normlnatabuka"/>
    <w:uiPriority w:val="99"/>
    <w:rsid w:val="0092748A"/>
    <w:pPr>
      <w:spacing w:before="160" w:after="0" w:line="240" w:lineRule="auto"/>
      <w:contextualSpacing/>
      <w:jc w:val="both"/>
    </w:pPr>
    <w:rPr>
      <w:rFonts w:ascii="Arial Narrow" w:hAnsi="Arial Narrow"/>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ypertextovprepojenie1">
    <w:name w:val="Hypertextové prepojenie1"/>
    <w:basedOn w:val="Predvolenpsmoodseku"/>
    <w:uiPriority w:val="99"/>
    <w:unhideWhenUsed/>
    <w:rsid w:val="0092748A"/>
    <w:rPr>
      <w:color w:val="0000FF"/>
      <w:u w:val="single"/>
    </w:rPr>
  </w:style>
  <w:style w:type="paragraph" w:customStyle="1" w:styleId="Tabuka">
    <w:name w:val="Tabuľka"/>
    <w:basedOn w:val="Normlny"/>
    <w:qFormat/>
    <w:rsid w:val="0092748A"/>
    <w:pPr>
      <w:pBdr>
        <w:top w:val="nil"/>
        <w:left w:val="nil"/>
        <w:bottom w:val="nil"/>
        <w:right w:val="nil"/>
        <w:between w:val="nil"/>
        <w:bar w:val="nil"/>
      </w:pBdr>
      <w:spacing w:after="200" w:line="240" w:lineRule="auto"/>
      <w:jc w:val="left"/>
    </w:pPr>
    <w:rPr>
      <w:rFonts w:eastAsia="Arial Narrow" w:cs="Arial Narrow"/>
      <w:b/>
      <w:bCs/>
      <w:color w:val="5B9BD5" w:themeColor="accent1"/>
      <w:sz w:val="20"/>
      <w:szCs w:val="20"/>
      <w:bdr w:val="nil"/>
      <w:lang w:eastAsia="sk-SK"/>
    </w:rPr>
  </w:style>
  <w:style w:type="table" w:customStyle="1" w:styleId="Svetlzoznam1">
    <w:name w:val="Svetlý zoznam1"/>
    <w:basedOn w:val="Normlnatabuka"/>
    <w:next w:val="Svetlzoznam"/>
    <w:uiPriority w:val="61"/>
    <w:rsid w:val="0092748A"/>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riekatabuky5">
    <w:name w:val="Mriežka tabuľky5"/>
    <w:basedOn w:val="Normlnatabuka"/>
    <w:next w:val="Mriekatabuky"/>
    <w:uiPriority w:val="59"/>
    <w:rsid w:val="0092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11">
    <w:name w:val="Svetlý zoznam11"/>
    <w:basedOn w:val="Normlnatabuka"/>
    <w:next w:val="Svetlzoznam"/>
    <w:uiPriority w:val="61"/>
    <w:rsid w:val="0092748A"/>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Bezzoznamu3">
    <w:name w:val="Bez zoznamu3"/>
    <w:next w:val="Bezzoznamu"/>
    <w:uiPriority w:val="99"/>
    <w:semiHidden/>
    <w:unhideWhenUsed/>
    <w:rsid w:val="0092748A"/>
  </w:style>
  <w:style w:type="table" w:customStyle="1" w:styleId="Mriekatabuky6">
    <w:name w:val="Mriežka tabuľky6"/>
    <w:basedOn w:val="Normlnatabuka"/>
    <w:next w:val="Mriekatabuky"/>
    <w:uiPriority w:val="59"/>
    <w:rsid w:val="0092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l12">
    <w:name w:val="Štýl12"/>
    <w:uiPriority w:val="99"/>
    <w:rsid w:val="0092748A"/>
  </w:style>
  <w:style w:type="table" w:customStyle="1" w:styleId="UHPTAB3">
    <w:name w:val="UHP_TAB3"/>
    <w:basedOn w:val="Klasicktabuka1"/>
    <w:uiPriority w:val="99"/>
    <w:rsid w:val="0092748A"/>
    <w:pPr>
      <w:spacing w:after="0" w:line="240" w:lineRule="auto"/>
      <w:contextualSpacing/>
    </w:pPr>
    <w:rPr>
      <w:rFonts w:ascii="Arial Narrow" w:hAnsi="Arial Narrow"/>
      <w:sz w:val="20"/>
      <w:szCs w:val="20"/>
      <w:lang w:eastAsia="sk-SK"/>
    </w:rPr>
    <w:tblPr>
      <w:tblBorders>
        <w:top w:val="none" w:sz="0" w:space="0" w:color="auto"/>
        <w:bottom w:val="single" w:sz="4" w:space="0" w:color="auto"/>
      </w:tblBorders>
    </w:tblPr>
    <w:tcPr>
      <w:shd w:val="clear" w:color="auto" w:fill="auto"/>
      <w:vAlign w:val="center"/>
    </w:tcPr>
    <w:tblStylePr w:type="firstRow">
      <w:pPr>
        <w:jc w:val="left"/>
      </w:pPr>
      <w:rPr>
        <w:rFonts w:ascii="Arial Narrow" w:hAnsi="Arial Narrow"/>
        <w:i w:val="0"/>
        <w:iCs/>
        <w:sz w:val="20"/>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pPr>
        <w:jc w:val="right"/>
      </w:pPr>
      <w:rPr>
        <w:b w:val="0"/>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4">
    <w:name w:val="UHP_GRAF4"/>
    <w:basedOn w:val="UHPTAB"/>
    <w:uiPriority w:val="99"/>
    <w:rsid w:val="0092748A"/>
    <w:tblPr/>
    <w:tcPr>
      <w:shd w:val="clear" w:color="auto" w:fill="auto"/>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Bezzoznamu12">
    <w:name w:val="Bez zoznamu12"/>
    <w:next w:val="Bezzoznamu"/>
    <w:uiPriority w:val="99"/>
    <w:semiHidden/>
    <w:unhideWhenUsed/>
    <w:rsid w:val="0092748A"/>
  </w:style>
  <w:style w:type="numbering" w:customStyle="1" w:styleId="Bezzoznamu111">
    <w:name w:val="Bez zoznamu111"/>
    <w:next w:val="Bezzoznamu"/>
    <w:uiPriority w:val="99"/>
    <w:semiHidden/>
    <w:unhideWhenUsed/>
    <w:rsid w:val="0092748A"/>
  </w:style>
  <w:style w:type="numbering" w:customStyle="1" w:styleId="tl111">
    <w:name w:val="Štýl111"/>
    <w:uiPriority w:val="99"/>
    <w:rsid w:val="0092748A"/>
  </w:style>
  <w:style w:type="table" w:customStyle="1" w:styleId="UHPTAB11">
    <w:name w:val="UHP_TAB11"/>
    <w:basedOn w:val="Klasicktabuka1"/>
    <w:uiPriority w:val="99"/>
    <w:rsid w:val="0092748A"/>
    <w:pPr>
      <w:spacing w:after="0" w:line="240" w:lineRule="auto"/>
      <w:contextualSpacing/>
    </w:pPr>
    <w:rPr>
      <w:rFonts w:ascii="Arial Narrow" w:hAnsi="Arial Narrow"/>
      <w:sz w:val="20"/>
      <w:szCs w:val="20"/>
      <w:lang w:val="en-US" w:eastAsia="sk-SK"/>
    </w:rPr>
    <w:tblPr>
      <w:tblBorders>
        <w:top w:val="none" w:sz="0" w:space="0" w:color="auto"/>
        <w:bottom w:val="single" w:sz="4" w:space="0" w:color="auto"/>
      </w:tblBorders>
    </w:tblPr>
    <w:tcPr>
      <w:shd w:val="clear" w:color="auto" w:fill="auto"/>
      <w:vAlign w:val="center"/>
    </w:tcPr>
    <w:tblStylePr w:type="firstRow">
      <w:pPr>
        <w:jc w:val="left"/>
      </w:pPr>
      <w:rPr>
        <w:rFonts w:ascii="Arial Narrow" w:hAnsi="Arial Narrow"/>
        <w:i w:val="0"/>
        <w:iCs/>
        <w:sz w:val="20"/>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pPr>
        <w:jc w:val="right"/>
      </w:pPr>
      <w:rPr>
        <w:b w:val="0"/>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2">
    <w:name w:val="UHP_GRAF12"/>
    <w:basedOn w:val="UHPTAB"/>
    <w:uiPriority w:val="99"/>
    <w:rsid w:val="0092748A"/>
    <w:tblPr/>
    <w:tcPr>
      <w:shd w:val="clear" w:color="auto" w:fill="auto"/>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12">
    <w:name w:val="Mriežka tabuľky12"/>
    <w:basedOn w:val="Normlnatabuka"/>
    <w:next w:val="Mriekatabuky"/>
    <w:uiPriority w:val="59"/>
    <w:rsid w:val="0092748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92748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
    <w:name w:val="Mriežka tabuľky111"/>
    <w:basedOn w:val="Normlnatabuka"/>
    <w:next w:val="Mriekatabuky"/>
    <w:uiPriority w:val="59"/>
    <w:rsid w:val="0092748A"/>
    <w:pPr>
      <w:spacing w:after="0" w:line="240" w:lineRule="auto"/>
    </w:pPr>
    <w:rPr>
      <w:rFonts w:ascii="Arial Narrow" w:eastAsia="Times New Roman" w:hAnsi="Arial Narrow" w:cs="Times New Roman"/>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
    <w:name w:val="Mriežka tabuľky31"/>
    <w:basedOn w:val="Normlnatabuka"/>
    <w:next w:val="Mriekatabuky"/>
    <w:uiPriority w:val="39"/>
    <w:rsid w:val="0092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HPTAB21">
    <w:name w:val="UHP_TAB21"/>
    <w:basedOn w:val="Klasicktabuka1"/>
    <w:uiPriority w:val="99"/>
    <w:rsid w:val="0092748A"/>
    <w:pPr>
      <w:spacing w:after="0" w:line="240" w:lineRule="auto"/>
      <w:contextualSpacing/>
    </w:pPr>
    <w:rPr>
      <w:rFonts w:ascii="Arial Narrow" w:hAnsi="Arial Narrow"/>
      <w:sz w:val="20"/>
      <w:szCs w:val="20"/>
      <w:lang w:eastAsia="sk-SK"/>
    </w:rPr>
    <w:tblPr>
      <w:tblBorders>
        <w:top w:val="none" w:sz="0" w:space="0" w:color="auto"/>
        <w:bottom w:val="single" w:sz="4" w:space="0" w:color="auto"/>
      </w:tblBorders>
    </w:tblPr>
    <w:tcPr>
      <w:shd w:val="clear" w:color="auto" w:fill="auto"/>
      <w:vAlign w:val="center"/>
    </w:tcPr>
    <w:tblStylePr w:type="firstRow">
      <w:pPr>
        <w:jc w:val="left"/>
      </w:pPr>
      <w:rPr>
        <w:rFonts w:ascii="Arial Narrow" w:hAnsi="Arial Narrow"/>
        <w:i w:val="0"/>
        <w:iCs/>
        <w:sz w:val="20"/>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pPr>
        <w:jc w:val="right"/>
      </w:pPr>
      <w:rPr>
        <w:b w:val="0"/>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21">
    <w:name w:val="UHP_GRAF21"/>
    <w:basedOn w:val="UHPTAB"/>
    <w:uiPriority w:val="99"/>
    <w:rsid w:val="0092748A"/>
    <w:tblPr/>
    <w:tcPr>
      <w:shd w:val="clear" w:color="auto" w:fill="auto"/>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Bezzoznamu21">
    <w:name w:val="Bez zoznamu21"/>
    <w:next w:val="Bezzoznamu"/>
    <w:uiPriority w:val="99"/>
    <w:semiHidden/>
    <w:unhideWhenUsed/>
    <w:rsid w:val="0092748A"/>
  </w:style>
  <w:style w:type="table" w:customStyle="1" w:styleId="Mriekatabuky41">
    <w:name w:val="Mriežka tabuľky41"/>
    <w:basedOn w:val="Normlnatabuka"/>
    <w:next w:val="Mriekatabuky"/>
    <w:uiPriority w:val="39"/>
    <w:rsid w:val="0092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rednmrieka2zvraznenie11">
    <w:name w:val="Stredná mriežka 2 – zvýraznenie 11"/>
    <w:basedOn w:val="Normlnatabuka"/>
    <w:next w:val="Strednmrieka2zvraznenie1"/>
    <w:uiPriority w:val="68"/>
    <w:rsid w:val="0092748A"/>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vetlzoznam2">
    <w:name w:val="Svetlý zoznam2"/>
    <w:basedOn w:val="Normlnatabuka"/>
    <w:next w:val="Svetlzoznam"/>
    <w:uiPriority w:val="61"/>
    <w:rsid w:val="0092748A"/>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riekatabukysvetl11">
    <w:name w:val="Mriežka tabuľky – svetlá11"/>
    <w:basedOn w:val="Normlnatabuka"/>
    <w:uiPriority w:val="40"/>
    <w:rsid w:val="0092748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ukasozoznamom311">
    <w:name w:val="Tabuľka so zoznamom 311"/>
    <w:basedOn w:val="Normlnatabuka"/>
    <w:uiPriority w:val="48"/>
    <w:rsid w:val="0092748A"/>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ukasozoznamom411">
    <w:name w:val="Tabuľka so zoznamom 411"/>
    <w:basedOn w:val="Normlnatabuka"/>
    <w:uiPriority w:val="49"/>
    <w:rsid w:val="0092748A"/>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ukasozoznamom2zvraznenie61">
    <w:name w:val="Tabuľka so zoznamom 2 – zvýraznenie 61"/>
    <w:basedOn w:val="Normlnatabuka"/>
    <w:uiPriority w:val="47"/>
    <w:rsid w:val="0092748A"/>
    <w:pPr>
      <w:spacing w:after="0" w:line="240" w:lineRule="auto"/>
    </w:p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ukasozoznamom32">
    <w:name w:val="Tabuľka so zoznamom 32"/>
    <w:basedOn w:val="Normlnatabuka"/>
    <w:uiPriority w:val="48"/>
    <w:rsid w:val="0092748A"/>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UHPGRAF31">
    <w:name w:val="UHP_GRAF31"/>
    <w:basedOn w:val="Normlnatabuka"/>
    <w:uiPriority w:val="99"/>
    <w:rsid w:val="0092748A"/>
    <w:pPr>
      <w:spacing w:before="160" w:after="0" w:line="240" w:lineRule="auto"/>
      <w:contextualSpacing/>
      <w:jc w:val="both"/>
    </w:pPr>
    <w:rPr>
      <w:rFonts w:ascii="Arial Narrow" w:hAnsi="Arial Narrow"/>
      <w:sz w:val="20"/>
      <w:szCs w:val="20"/>
      <w:lang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11">
    <w:name w:val="UHP_GRAF111"/>
    <w:basedOn w:val="Normlnatabuka"/>
    <w:uiPriority w:val="99"/>
    <w:rsid w:val="0092748A"/>
    <w:pPr>
      <w:spacing w:before="160" w:after="0" w:line="240" w:lineRule="auto"/>
      <w:contextualSpacing/>
      <w:jc w:val="both"/>
    </w:pPr>
    <w:rPr>
      <w:rFonts w:ascii="Arial Narrow" w:hAnsi="Arial Narrow"/>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vetlzoznam12">
    <w:name w:val="Svetlý zoznam12"/>
    <w:basedOn w:val="Normlnatabuka"/>
    <w:next w:val="Svetlzoznam"/>
    <w:uiPriority w:val="61"/>
    <w:rsid w:val="0092748A"/>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riekatabuky51">
    <w:name w:val="Mriežka tabuľky51"/>
    <w:basedOn w:val="Normlnatabuka"/>
    <w:next w:val="Mriekatabuky"/>
    <w:uiPriority w:val="59"/>
    <w:rsid w:val="0092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111">
    <w:name w:val="Svetlý zoznam111"/>
    <w:basedOn w:val="Normlnatabuka"/>
    <w:next w:val="Svetlzoznam"/>
    <w:uiPriority w:val="61"/>
    <w:rsid w:val="0092748A"/>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riekatabuky7">
    <w:name w:val="Mriežka tabuľky7"/>
    <w:basedOn w:val="Normlnatabuka"/>
    <w:next w:val="Mriekatabuky"/>
    <w:uiPriority w:val="59"/>
    <w:rsid w:val="0092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1">
    <w:name w:val="Mriežka tabuľky61"/>
    <w:basedOn w:val="Normlnatabuka"/>
    <w:next w:val="Mriekatabuky"/>
    <w:uiPriority w:val="59"/>
    <w:rsid w:val="0092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1">
    <w:name w:val="Mriežka tabuľky71"/>
    <w:basedOn w:val="Normlnatabuka"/>
    <w:next w:val="Mriekatabuky"/>
    <w:uiPriority w:val="59"/>
    <w:rsid w:val="0092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HPTAB4">
    <w:name w:val="UHP_TAB4"/>
    <w:basedOn w:val="Klasicktabuka1"/>
    <w:uiPriority w:val="99"/>
    <w:rsid w:val="0092748A"/>
    <w:pPr>
      <w:spacing w:after="0" w:line="240" w:lineRule="auto"/>
      <w:contextualSpacing/>
    </w:pPr>
    <w:rPr>
      <w:rFonts w:ascii="Arial Narrow" w:hAnsi="Arial Narrow"/>
      <w:sz w:val="20"/>
      <w:szCs w:val="20"/>
      <w:lang w:eastAsia="sk-SK"/>
    </w:rPr>
    <w:tblPr>
      <w:tblBorders>
        <w:top w:val="none" w:sz="0" w:space="0" w:color="auto"/>
        <w:bottom w:val="single" w:sz="4" w:space="0" w:color="auto"/>
      </w:tblBorders>
    </w:tblPr>
    <w:tcPr>
      <w:shd w:val="clear" w:color="auto" w:fill="auto"/>
      <w:vAlign w:val="center"/>
    </w:tcPr>
    <w:tblStylePr w:type="firstRow">
      <w:pPr>
        <w:jc w:val="left"/>
      </w:pPr>
      <w:rPr>
        <w:rFonts w:ascii="Arial Narrow" w:hAnsi="Arial Narrow"/>
        <w:i w:val="0"/>
        <w:iCs/>
        <w:sz w:val="20"/>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pPr>
        <w:jc w:val="right"/>
      </w:pPr>
      <w:rPr>
        <w:b w:val="0"/>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8">
    <w:name w:val="Mriežka tabuľky8"/>
    <w:basedOn w:val="Normlnatabuka"/>
    <w:next w:val="Mriekatabuky"/>
    <w:uiPriority w:val="59"/>
    <w:rsid w:val="0092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HPTAB5">
    <w:name w:val="UHP_TAB5"/>
    <w:basedOn w:val="Klasicktabuka1"/>
    <w:uiPriority w:val="99"/>
    <w:rsid w:val="0092748A"/>
    <w:pPr>
      <w:spacing w:after="0" w:line="240" w:lineRule="auto"/>
      <w:contextualSpacing/>
    </w:pPr>
    <w:rPr>
      <w:rFonts w:ascii="Arial Narrow" w:hAnsi="Arial Narrow"/>
      <w:sz w:val="20"/>
      <w:szCs w:val="20"/>
      <w:lang w:eastAsia="sk-SK"/>
    </w:rPr>
    <w:tblPr>
      <w:tblBorders>
        <w:top w:val="none" w:sz="0" w:space="0" w:color="auto"/>
        <w:bottom w:val="single" w:sz="4" w:space="0" w:color="auto"/>
      </w:tblBorders>
    </w:tblPr>
    <w:tcPr>
      <w:shd w:val="clear" w:color="auto" w:fill="auto"/>
      <w:vAlign w:val="center"/>
    </w:tcPr>
    <w:tblStylePr w:type="firstRow">
      <w:pPr>
        <w:jc w:val="left"/>
      </w:pPr>
      <w:rPr>
        <w:rFonts w:ascii="Arial Narrow" w:hAnsi="Arial Narrow"/>
        <w:i w:val="0"/>
        <w:iCs/>
        <w:sz w:val="20"/>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pPr>
        <w:jc w:val="right"/>
      </w:pPr>
      <w:rPr>
        <w:b w:val="0"/>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ootnotedescription">
    <w:name w:val="footnote description"/>
    <w:next w:val="Normlny"/>
    <w:link w:val="footnotedescriptionChar"/>
    <w:hidden/>
    <w:rsid w:val="0092748A"/>
    <w:pPr>
      <w:spacing w:after="0"/>
      <w:ind w:left="720"/>
    </w:pPr>
    <w:rPr>
      <w:rFonts w:ascii="Arial" w:eastAsia="Arial" w:hAnsi="Arial" w:cs="Arial"/>
      <w:color w:val="000000"/>
      <w:sz w:val="16"/>
      <w:lang w:eastAsia="sk-SK"/>
    </w:rPr>
  </w:style>
  <w:style w:type="character" w:customStyle="1" w:styleId="footnotedescriptionChar">
    <w:name w:val="footnote description Char"/>
    <w:link w:val="footnotedescription"/>
    <w:rsid w:val="0092748A"/>
    <w:rPr>
      <w:rFonts w:ascii="Arial" w:eastAsia="Arial" w:hAnsi="Arial" w:cs="Arial"/>
      <w:color w:val="000000"/>
      <w:sz w:val="16"/>
      <w:lang w:eastAsia="sk-SK"/>
    </w:rPr>
  </w:style>
  <w:style w:type="character" w:customStyle="1" w:styleId="footnotemark">
    <w:name w:val="footnote mark"/>
    <w:hidden/>
    <w:rsid w:val="0092748A"/>
    <w:rPr>
      <w:rFonts w:ascii="Arial" w:eastAsia="Arial" w:hAnsi="Arial" w:cs="Arial"/>
      <w:color w:val="000000"/>
      <w:sz w:val="16"/>
      <w:vertAlign w:val="superscript"/>
    </w:rPr>
  </w:style>
  <w:style w:type="paragraph" w:customStyle="1" w:styleId="Graf">
    <w:name w:val="Graf"/>
    <w:qFormat/>
    <w:rsid w:val="0092748A"/>
    <w:pPr>
      <w:spacing w:after="200" w:line="276" w:lineRule="auto"/>
    </w:pPr>
    <w:rPr>
      <w:rFonts w:ascii="Arial Narrow" w:eastAsia="Arial Narrow" w:hAnsi="Arial Narrow" w:cs="Arial Narrow"/>
      <w:b/>
      <w:bCs/>
      <w:color w:val="5B9BD5" w:themeColor="accent1"/>
      <w:sz w:val="20"/>
      <w:szCs w:val="36"/>
    </w:rPr>
  </w:style>
  <w:style w:type="table" w:customStyle="1" w:styleId="Mriekatabuky9">
    <w:name w:val="Mriežka tabuľky9"/>
    <w:basedOn w:val="Normlnatabuka"/>
    <w:next w:val="Mriekatabuky"/>
    <w:uiPriority w:val="59"/>
    <w:rsid w:val="00E32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0">
    <w:name w:val="Mriežka tabuľky10"/>
    <w:basedOn w:val="Normlnatabuka"/>
    <w:next w:val="Mriekatabuky"/>
    <w:uiPriority w:val="39"/>
    <w:rsid w:val="004F3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2">
    <w:name w:val="Mriežka tabuľky52"/>
    <w:basedOn w:val="Normlnatabuka"/>
    <w:next w:val="Mriekatabuky"/>
    <w:uiPriority w:val="59"/>
    <w:rsid w:val="004F3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HPTAB51">
    <w:name w:val="UHP_TAB51"/>
    <w:basedOn w:val="Klasicktabuka1"/>
    <w:uiPriority w:val="99"/>
    <w:rsid w:val="004F388F"/>
    <w:pPr>
      <w:spacing w:after="0" w:line="240" w:lineRule="auto"/>
      <w:contextualSpacing/>
    </w:pPr>
    <w:rPr>
      <w:rFonts w:ascii="Arial Narrow" w:hAnsi="Arial Narrow"/>
      <w:sz w:val="20"/>
      <w:szCs w:val="20"/>
      <w:lang w:eastAsia="sk-SK"/>
    </w:rPr>
    <w:tblPr>
      <w:tblBorders>
        <w:top w:val="none" w:sz="0" w:space="0" w:color="auto"/>
        <w:bottom w:val="single" w:sz="4" w:space="0" w:color="auto"/>
      </w:tblBorders>
    </w:tblPr>
    <w:tcPr>
      <w:shd w:val="clear" w:color="auto" w:fill="auto"/>
      <w:vAlign w:val="center"/>
    </w:tcPr>
    <w:tblStylePr w:type="firstRow">
      <w:pPr>
        <w:jc w:val="left"/>
      </w:pPr>
      <w:rPr>
        <w:rFonts w:ascii="Arial Narrow" w:hAnsi="Arial Narrow"/>
        <w:i w:val="0"/>
        <w:iCs/>
        <w:sz w:val="20"/>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pPr>
        <w:jc w:val="right"/>
      </w:pPr>
      <w:rPr>
        <w:b w:val="0"/>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13">
    <w:name w:val="Mriežka tabuľky13"/>
    <w:basedOn w:val="Normlnatabuka"/>
    <w:next w:val="Mriekatabuky"/>
    <w:uiPriority w:val="59"/>
    <w:rsid w:val="004F3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
    <w:name w:val="Bez zoznamu4"/>
    <w:next w:val="Bezzoznamu"/>
    <w:uiPriority w:val="99"/>
    <w:semiHidden/>
    <w:unhideWhenUsed/>
    <w:rsid w:val="004F388F"/>
  </w:style>
  <w:style w:type="table" w:customStyle="1" w:styleId="Mriekatabuky14">
    <w:name w:val="Mriežka tabuľky14"/>
    <w:basedOn w:val="Normlnatabuka"/>
    <w:next w:val="Mriekatabuky"/>
    <w:uiPriority w:val="59"/>
    <w:rsid w:val="004F3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l13">
    <w:name w:val="Štýl13"/>
    <w:uiPriority w:val="99"/>
    <w:rsid w:val="004F388F"/>
    <w:pPr>
      <w:numPr>
        <w:numId w:val="2"/>
      </w:numPr>
    </w:pPr>
  </w:style>
  <w:style w:type="table" w:customStyle="1" w:styleId="UHPTAB6">
    <w:name w:val="UHP_TAB6"/>
    <w:basedOn w:val="Klasicktabuka1"/>
    <w:uiPriority w:val="99"/>
    <w:rsid w:val="004F388F"/>
    <w:pPr>
      <w:spacing w:after="0" w:line="240" w:lineRule="auto"/>
      <w:contextualSpacing/>
    </w:pPr>
    <w:rPr>
      <w:rFonts w:ascii="Arial Narrow" w:hAnsi="Arial Narrow"/>
      <w:sz w:val="20"/>
      <w:szCs w:val="20"/>
      <w:lang w:eastAsia="sk-SK"/>
    </w:rPr>
    <w:tblPr>
      <w:tblBorders>
        <w:top w:val="none" w:sz="0" w:space="0" w:color="auto"/>
        <w:bottom w:val="single" w:sz="4" w:space="0" w:color="auto"/>
      </w:tblBorders>
    </w:tblPr>
    <w:tcPr>
      <w:shd w:val="clear" w:color="auto" w:fill="auto"/>
      <w:vAlign w:val="center"/>
    </w:tcPr>
    <w:tblStylePr w:type="firstRow">
      <w:pPr>
        <w:jc w:val="left"/>
      </w:pPr>
      <w:rPr>
        <w:rFonts w:ascii="Arial Narrow" w:hAnsi="Arial Narrow"/>
        <w:i w:val="0"/>
        <w:iCs/>
        <w:sz w:val="20"/>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pPr>
        <w:jc w:val="right"/>
      </w:pPr>
      <w:rPr>
        <w:b w:val="0"/>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icktabuka12">
    <w:name w:val="Klasická tabuľka 12"/>
    <w:basedOn w:val="Normlnatabuka"/>
    <w:next w:val="Klasicktabuka1"/>
    <w:uiPriority w:val="99"/>
    <w:semiHidden/>
    <w:unhideWhenUsed/>
    <w:rsid w:val="004F388F"/>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5">
    <w:name w:val="UHP_GRAF5"/>
    <w:basedOn w:val="UHPTAB"/>
    <w:uiPriority w:val="99"/>
    <w:rsid w:val="004F388F"/>
    <w:tblPr/>
    <w:tcPr>
      <w:shd w:val="clear" w:color="auto" w:fill="auto"/>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91">
    <w:name w:val="Mriežka tabuľky91"/>
    <w:basedOn w:val="Normlnatabuka"/>
    <w:next w:val="Mriekatabuky"/>
    <w:uiPriority w:val="59"/>
    <w:rsid w:val="004F3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99"/>
    <w:locked/>
    <w:rsid w:val="004F388F"/>
    <w:rPr>
      <w:rFonts w:ascii="Times New Roman" w:eastAsia="Times New Roman" w:hAnsi="Times New Roman" w:cs="Times New Roman"/>
      <w:sz w:val="24"/>
      <w:szCs w:val="24"/>
      <w:lang w:eastAsia="sk-SK"/>
    </w:rPr>
  </w:style>
  <w:style w:type="table" w:customStyle="1" w:styleId="Mriekatabuky15">
    <w:name w:val="Mriežka tabuľky15"/>
    <w:basedOn w:val="Normlnatabuka"/>
    <w:next w:val="Mriekatabuky"/>
    <w:uiPriority w:val="59"/>
    <w:rsid w:val="004F3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lny"/>
    <w:rsid w:val="004F388F"/>
    <w:pPr>
      <w:spacing w:before="100" w:beforeAutospacing="1" w:after="100" w:afterAutospacing="1" w:line="240" w:lineRule="auto"/>
      <w:jc w:val="left"/>
    </w:pPr>
    <w:rPr>
      <w:rFonts w:ascii="Calibri" w:eastAsia="Times New Roman" w:hAnsi="Calibri" w:cs="Times New Roman"/>
      <w:color w:val="000000"/>
      <w:lang w:eastAsia="sk-SK"/>
    </w:rPr>
  </w:style>
  <w:style w:type="paragraph" w:customStyle="1" w:styleId="font5">
    <w:name w:val="font5"/>
    <w:basedOn w:val="Normlny"/>
    <w:rsid w:val="004F388F"/>
    <w:pPr>
      <w:spacing w:before="100" w:beforeAutospacing="1" w:after="100" w:afterAutospacing="1" w:line="240" w:lineRule="auto"/>
      <w:jc w:val="left"/>
    </w:pPr>
    <w:rPr>
      <w:rFonts w:ascii="Symbol" w:eastAsia="Times New Roman" w:hAnsi="Symbol" w:cs="Times New Roman"/>
      <w:color w:val="000000"/>
      <w:lang w:eastAsia="sk-SK"/>
    </w:rPr>
  </w:style>
  <w:style w:type="paragraph" w:customStyle="1" w:styleId="font6">
    <w:name w:val="font6"/>
    <w:basedOn w:val="Normlny"/>
    <w:rsid w:val="004F388F"/>
    <w:pPr>
      <w:spacing w:before="100" w:beforeAutospacing="1" w:after="100" w:afterAutospacing="1" w:line="240" w:lineRule="auto"/>
      <w:jc w:val="left"/>
    </w:pPr>
    <w:rPr>
      <w:rFonts w:ascii="Calibri" w:eastAsia="Times New Roman" w:hAnsi="Calibri" w:cs="Times New Roman"/>
      <w:color w:val="000000"/>
      <w:lang w:eastAsia="sk-SK"/>
    </w:rPr>
  </w:style>
  <w:style w:type="paragraph" w:customStyle="1" w:styleId="font7">
    <w:name w:val="font7"/>
    <w:basedOn w:val="Normlny"/>
    <w:rsid w:val="004F388F"/>
    <w:pPr>
      <w:spacing w:before="100" w:beforeAutospacing="1" w:after="100" w:afterAutospacing="1" w:line="240" w:lineRule="auto"/>
      <w:jc w:val="left"/>
    </w:pPr>
    <w:rPr>
      <w:rFonts w:eastAsia="Times New Roman" w:cs="Times New Roman"/>
      <w:color w:val="000000"/>
      <w:lang w:eastAsia="sk-SK"/>
    </w:rPr>
  </w:style>
  <w:style w:type="paragraph" w:customStyle="1" w:styleId="font8">
    <w:name w:val="font8"/>
    <w:basedOn w:val="Normlny"/>
    <w:rsid w:val="004F388F"/>
    <w:pPr>
      <w:spacing w:before="100" w:beforeAutospacing="1" w:after="100" w:afterAutospacing="1" w:line="240" w:lineRule="auto"/>
      <w:jc w:val="left"/>
    </w:pPr>
    <w:rPr>
      <w:rFonts w:eastAsia="Times New Roman" w:cs="Times New Roman"/>
      <w:color w:val="000000"/>
      <w:lang w:eastAsia="sk-SK"/>
    </w:rPr>
  </w:style>
  <w:style w:type="paragraph" w:customStyle="1" w:styleId="xl63">
    <w:name w:val="xl63"/>
    <w:basedOn w:val="Normlny"/>
    <w:rsid w:val="004F388F"/>
    <w:pPr>
      <w:spacing w:before="100" w:beforeAutospacing="1" w:after="100" w:afterAutospacing="1" w:line="240" w:lineRule="auto"/>
      <w:jc w:val="left"/>
    </w:pPr>
    <w:rPr>
      <w:rFonts w:eastAsia="Times New Roman" w:cs="Times New Roman"/>
      <w:sz w:val="24"/>
      <w:szCs w:val="24"/>
      <w:lang w:eastAsia="sk-SK"/>
    </w:rPr>
  </w:style>
  <w:style w:type="paragraph" w:customStyle="1" w:styleId="xl64">
    <w:name w:val="xl64"/>
    <w:basedOn w:val="Normlny"/>
    <w:rsid w:val="004F388F"/>
    <w:pPr>
      <w:spacing w:before="100" w:beforeAutospacing="1" w:after="100" w:afterAutospacing="1" w:line="240" w:lineRule="auto"/>
      <w:jc w:val="left"/>
    </w:pPr>
    <w:rPr>
      <w:rFonts w:eastAsia="Times New Roman" w:cs="Times New Roman"/>
      <w:sz w:val="24"/>
      <w:szCs w:val="24"/>
      <w:lang w:eastAsia="sk-SK"/>
    </w:rPr>
  </w:style>
  <w:style w:type="paragraph" w:customStyle="1" w:styleId="xl65">
    <w:name w:val="xl65"/>
    <w:basedOn w:val="Normlny"/>
    <w:rsid w:val="004F388F"/>
    <w:pPr>
      <w:spacing w:before="100" w:beforeAutospacing="1" w:after="100" w:afterAutospacing="1" w:line="240" w:lineRule="auto"/>
      <w:jc w:val="left"/>
    </w:pPr>
    <w:rPr>
      <w:rFonts w:eastAsia="Times New Roman" w:cs="Times New Roman"/>
      <w:sz w:val="24"/>
      <w:szCs w:val="24"/>
      <w:lang w:eastAsia="sk-SK"/>
    </w:rPr>
  </w:style>
  <w:style w:type="paragraph" w:customStyle="1" w:styleId="xl66">
    <w:name w:val="xl66"/>
    <w:basedOn w:val="Normlny"/>
    <w:rsid w:val="004F388F"/>
    <w:pPr>
      <w:spacing w:before="100" w:beforeAutospacing="1" w:after="100" w:afterAutospacing="1" w:line="240" w:lineRule="auto"/>
      <w:jc w:val="left"/>
    </w:pPr>
    <w:rPr>
      <w:rFonts w:eastAsia="Times New Roman" w:cs="Times New Roman"/>
      <w:sz w:val="24"/>
      <w:szCs w:val="24"/>
      <w:lang w:eastAsia="sk-SK"/>
    </w:rPr>
  </w:style>
  <w:style w:type="paragraph" w:customStyle="1" w:styleId="xl67">
    <w:name w:val="xl67"/>
    <w:basedOn w:val="Normlny"/>
    <w:rsid w:val="004F388F"/>
    <w:pPr>
      <w:pBdr>
        <w:bottom w:val="single" w:sz="4" w:space="0" w:color="auto"/>
      </w:pBdr>
      <w:spacing w:before="100" w:beforeAutospacing="1" w:after="100" w:afterAutospacing="1" w:line="240" w:lineRule="auto"/>
      <w:jc w:val="left"/>
    </w:pPr>
    <w:rPr>
      <w:rFonts w:eastAsia="Times New Roman" w:cs="Times New Roman"/>
      <w:sz w:val="24"/>
      <w:szCs w:val="24"/>
      <w:lang w:eastAsia="sk-SK"/>
    </w:rPr>
  </w:style>
  <w:style w:type="paragraph" w:customStyle="1" w:styleId="xl68">
    <w:name w:val="xl68"/>
    <w:basedOn w:val="Normlny"/>
    <w:rsid w:val="004F388F"/>
    <w:pPr>
      <w:pBdr>
        <w:bottom w:val="single" w:sz="4" w:space="0" w:color="auto"/>
      </w:pBdr>
      <w:spacing w:before="100" w:beforeAutospacing="1" w:after="100" w:afterAutospacing="1" w:line="240" w:lineRule="auto"/>
      <w:jc w:val="left"/>
    </w:pPr>
    <w:rPr>
      <w:rFonts w:eastAsia="Times New Roman" w:cs="Times New Roman"/>
      <w:sz w:val="24"/>
      <w:szCs w:val="24"/>
      <w:lang w:eastAsia="sk-SK"/>
    </w:rPr>
  </w:style>
  <w:style w:type="paragraph" w:customStyle="1" w:styleId="xl69">
    <w:name w:val="xl69"/>
    <w:basedOn w:val="Normlny"/>
    <w:rsid w:val="004F388F"/>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sk-SK"/>
    </w:rPr>
  </w:style>
  <w:style w:type="paragraph" w:customStyle="1" w:styleId="xl70">
    <w:name w:val="xl70"/>
    <w:basedOn w:val="Normlny"/>
    <w:rsid w:val="004F388F"/>
    <w:pPr>
      <w:pBdr>
        <w:top w:val="single" w:sz="4" w:space="0" w:color="auto"/>
      </w:pBdr>
      <w:spacing w:before="100" w:beforeAutospacing="1" w:after="100" w:afterAutospacing="1" w:line="240" w:lineRule="auto"/>
      <w:jc w:val="center"/>
    </w:pPr>
    <w:rPr>
      <w:rFonts w:eastAsia="Times New Roman" w:cs="Times New Roman"/>
      <w:sz w:val="24"/>
      <w:szCs w:val="24"/>
      <w:lang w:eastAsia="sk-SK"/>
    </w:rPr>
  </w:style>
  <w:style w:type="paragraph" w:customStyle="1" w:styleId="xl71">
    <w:name w:val="xl71"/>
    <w:basedOn w:val="Normlny"/>
    <w:rsid w:val="004F388F"/>
    <w:pPr>
      <w:pBdr>
        <w:top w:val="single" w:sz="4" w:space="0" w:color="auto"/>
      </w:pBdr>
      <w:spacing w:before="100" w:beforeAutospacing="1" w:after="100" w:afterAutospacing="1" w:line="240" w:lineRule="auto"/>
      <w:jc w:val="center"/>
    </w:pPr>
    <w:rPr>
      <w:rFonts w:eastAsia="Times New Roman" w:cs="Times New Roman"/>
      <w:sz w:val="24"/>
      <w:szCs w:val="24"/>
      <w:lang w:eastAsia="sk-SK"/>
    </w:rPr>
  </w:style>
  <w:style w:type="paragraph" w:customStyle="1" w:styleId="xl72">
    <w:name w:val="xl72"/>
    <w:basedOn w:val="Normlny"/>
    <w:rsid w:val="004F388F"/>
    <w:pPr>
      <w:pBdr>
        <w:top w:val="single" w:sz="4" w:space="0" w:color="auto"/>
      </w:pBdr>
      <w:spacing w:before="100" w:beforeAutospacing="1" w:after="100" w:afterAutospacing="1" w:line="240" w:lineRule="auto"/>
      <w:jc w:val="center"/>
    </w:pPr>
    <w:rPr>
      <w:rFonts w:eastAsia="Times New Roman" w:cs="Times New Roman"/>
      <w:sz w:val="20"/>
      <w:szCs w:val="20"/>
      <w:lang w:eastAsia="sk-SK"/>
    </w:rPr>
  </w:style>
  <w:style w:type="paragraph" w:customStyle="1" w:styleId="xl73">
    <w:name w:val="xl73"/>
    <w:basedOn w:val="Normlny"/>
    <w:rsid w:val="004F388F"/>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sk-SK"/>
    </w:rPr>
  </w:style>
  <w:style w:type="paragraph" w:customStyle="1" w:styleId="xl74">
    <w:name w:val="xl74"/>
    <w:basedOn w:val="Normlny"/>
    <w:rsid w:val="004F388F"/>
    <w:pPr>
      <w:pBdr>
        <w:bottom w:val="single" w:sz="4" w:space="0" w:color="auto"/>
      </w:pBdr>
      <w:spacing w:before="100" w:beforeAutospacing="1" w:after="100" w:afterAutospacing="1" w:line="240" w:lineRule="auto"/>
      <w:jc w:val="left"/>
    </w:pPr>
    <w:rPr>
      <w:rFonts w:eastAsia="Times New Roman" w:cs="Times New Roman"/>
      <w:sz w:val="24"/>
      <w:szCs w:val="24"/>
      <w:lang w:eastAsia="sk-SK"/>
    </w:rPr>
  </w:style>
  <w:style w:type="paragraph" w:customStyle="1" w:styleId="xl75">
    <w:name w:val="xl75"/>
    <w:basedOn w:val="Normlny"/>
    <w:rsid w:val="004F388F"/>
    <w:pPr>
      <w:pBdr>
        <w:bottom w:val="single" w:sz="4" w:space="0" w:color="auto"/>
      </w:pBdr>
      <w:spacing w:before="100" w:beforeAutospacing="1" w:after="100" w:afterAutospacing="1" w:line="240" w:lineRule="auto"/>
      <w:jc w:val="left"/>
    </w:pPr>
    <w:rPr>
      <w:rFonts w:eastAsia="Times New Roman" w:cs="Times New Roman"/>
      <w:sz w:val="24"/>
      <w:szCs w:val="24"/>
      <w:lang w:eastAsia="sk-SK"/>
    </w:rPr>
  </w:style>
  <w:style w:type="paragraph" w:customStyle="1" w:styleId="xl76">
    <w:name w:val="xl76"/>
    <w:basedOn w:val="Normlny"/>
    <w:rsid w:val="004F388F"/>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sk-SK"/>
    </w:rPr>
  </w:style>
  <w:style w:type="paragraph" w:customStyle="1" w:styleId="xl77">
    <w:name w:val="xl77"/>
    <w:basedOn w:val="Normlny"/>
    <w:rsid w:val="004F388F"/>
    <w:pPr>
      <w:pBdr>
        <w:bottom w:val="single" w:sz="4" w:space="0" w:color="auto"/>
      </w:pBdr>
      <w:spacing w:before="100" w:beforeAutospacing="1" w:after="100" w:afterAutospacing="1" w:line="240" w:lineRule="auto"/>
      <w:jc w:val="right"/>
    </w:pPr>
    <w:rPr>
      <w:rFonts w:eastAsia="Times New Roman" w:cs="Times New Roman"/>
      <w:sz w:val="24"/>
      <w:szCs w:val="24"/>
      <w:lang w:eastAsia="sk-SK"/>
    </w:rPr>
  </w:style>
  <w:style w:type="paragraph" w:customStyle="1" w:styleId="xl78">
    <w:name w:val="xl78"/>
    <w:basedOn w:val="Normlny"/>
    <w:rsid w:val="004F388F"/>
    <w:pPr>
      <w:pBdr>
        <w:bottom w:val="single" w:sz="4" w:space="0" w:color="auto"/>
      </w:pBdr>
      <w:spacing w:before="100" w:beforeAutospacing="1" w:after="100" w:afterAutospacing="1" w:line="240" w:lineRule="auto"/>
      <w:jc w:val="right"/>
    </w:pPr>
    <w:rPr>
      <w:rFonts w:eastAsia="Times New Roman" w:cs="Times New Roman"/>
      <w:sz w:val="24"/>
      <w:szCs w:val="24"/>
      <w:lang w:eastAsia="sk-SK"/>
    </w:rPr>
  </w:style>
  <w:style w:type="paragraph" w:customStyle="1" w:styleId="xl79">
    <w:name w:val="xl79"/>
    <w:basedOn w:val="Normlny"/>
    <w:rsid w:val="004F388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sk-SK"/>
    </w:rPr>
  </w:style>
  <w:style w:type="paragraph" w:customStyle="1" w:styleId="xl80">
    <w:name w:val="xl80"/>
    <w:basedOn w:val="Normlny"/>
    <w:rsid w:val="004F388F"/>
    <w:pPr>
      <w:pBdr>
        <w:bottom w:val="single" w:sz="4" w:space="0" w:color="auto"/>
      </w:pBdr>
      <w:spacing w:before="100" w:beforeAutospacing="1" w:after="100" w:afterAutospacing="1" w:line="240" w:lineRule="auto"/>
      <w:jc w:val="right"/>
    </w:pPr>
    <w:rPr>
      <w:rFonts w:ascii="Symbol" w:eastAsia="Times New Roman" w:hAnsi="Symbol" w:cs="Times New Roman"/>
      <w:sz w:val="24"/>
      <w:szCs w:val="24"/>
      <w:lang w:eastAsia="sk-SK"/>
    </w:rPr>
  </w:style>
  <w:style w:type="paragraph" w:customStyle="1" w:styleId="xl81">
    <w:name w:val="xl81"/>
    <w:basedOn w:val="Normlny"/>
    <w:rsid w:val="004F388F"/>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sk-SK"/>
    </w:rPr>
  </w:style>
  <w:style w:type="paragraph" w:customStyle="1" w:styleId="xl82">
    <w:name w:val="xl82"/>
    <w:basedOn w:val="Normlny"/>
    <w:rsid w:val="004F388F"/>
    <w:pPr>
      <w:pBdr>
        <w:top w:val="single" w:sz="4" w:space="0" w:color="auto"/>
      </w:pBdr>
      <w:spacing w:before="100" w:beforeAutospacing="1" w:after="100" w:afterAutospacing="1" w:line="240" w:lineRule="auto"/>
      <w:jc w:val="left"/>
    </w:pPr>
    <w:rPr>
      <w:rFonts w:eastAsia="Times New Roman" w:cs="Times New Roman"/>
      <w:sz w:val="24"/>
      <w:szCs w:val="24"/>
      <w:lang w:eastAsia="sk-SK"/>
    </w:rPr>
  </w:style>
  <w:style w:type="paragraph" w:customStyle="1" w:styleId="xl83">
    <w:name w:val="xl83"/>
    <w:basedOn w:val="Normlny"/>
    <w:rsid w:val="004F388F"/>
    <w:pPr>
      <w:pBdr>
        <w:top w:val="single" w:sz="4" w:space="0" w:color="auto"/>
      </w:pBdr>
      <w:spacing w:before="100" w:beforeAutospacing="1" w:after="100" w:afterAutospacing="1" w:line="240" w:lineRule="auto"/>
      <w:jc w:val="left"/>
    </w:pPr>
    <w:rPr>
      <w:rFonts w:eastAsia="Times New Roman" w:cs="Times New Roman"/>
      <w:sz w:val="24"/>
      <w:szCs w:val="24"/>
      <w:lang w:eastAsia="sk-SK"/>
    </w:rPr>
  </w:style>
  <w:style w:type="paragraph" w:customStyle="1" w:styleId="xl84">
    <w:name w:val="xl84"/>
    <w:basedOn w:val="Normlny"/>
    <w:rsid w:val="004F388F"/>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sk-SK"/>
    </w:rPr>
  </w:style>
  <w:style w:type="paragraph" w:customStyle="1" w:styleId="xl85">
    <w:name w:val="xl85"/>
    <w:basedOn w:val="Normlny"/>
    <w:rsid w:val="004F388F"/>
    <w:pPr>
      <w:pBdr>
        <w:top w:val="single" w:sz="4" w:space="0" w:color="auto"/>
      </w:pBdr>
      <w:spacing w:before="100" w:beforeAutospacing="1" w:after="100" w:afterAutospacing="1" w:line="240" w:lineRule="auto"/>
      <w:jc w:val="left"/>
    </w:pPr>
    <w:rPr>
      <w:rFonts w:eastAsia="Times New Roman" w:cs="Times New Roman"/>
      <w:sz w:val="24"/>
      <w:szCs w:val="24"/>
      <w:lang w:eastAsia="sk-SK"/>
    </w:rPr>
  </w:style>
  <w:style w:type="paragraph" w:customStyle="1" w:styleId="xl86">
    <w:name w:val="xl86"/>
    <w:basedOn w:val="Normlny"/>
    <w:rsid w:val="004F388F"/>
    <w:pPr>
      <w:pBdr>
        <w:top w:val="single" w:sz="4" w:space="0" w:color="auto"/>
      </w:pBdr>
      <w:spacing w:before="100" w:beforeAutospacing="1" w:after="100" w:afterAutospacing="1" w:line="240" w:lineRule="auto"/>
      <w:jc w:val="left"/>
    </w:pPr>
    <w:rPr>
      <w:rFonts w:eastAsia="Times New Roman" w:cs="Times New Roman"/>
      <w:sz w:val="24"/>
      <w:szCs w:val="24"/>
      <w:lang w:eastAsia="sk-SK"/>
    </w:rPr>
  </w:style>
  <w:style w:type="paragraph" w:customStyle="1" w:styleId="xl87">
    <w:name w:val="xl87"/>
    <w:basedOn w:val="Normlny"/>
    <w:rsid w:val="004F388F"/>
    <w:pPr>
      <w:pBdr>
        <w:bottom w:val="single" w:sz="4" w:space="0" w:color="auto"/>
      </w:pBdr>
      <w:spacing w:before="100" w:beforeAutospacing="1" w:after="100" w:afterAutospacing="1" w:line="240" w:lineRule="auto"/>
      <w:jc w:val="right"/>
    </w:pPr>
    <w:rPr>
      <w:rFonts w:ascii="Symbol" w:eastAsia="Times New Roman" w:hAnsi="Symbol" w:cs="Times New Roman"/>
      <w:sz w:val="24"/>
      <w:szCs w:val="24"/>
      <w:lang w:eastAsia="sk-SK"/>
    </w:rPr>
  </w:style>
  <w:style w:type="paragraph" w:customStyle="1" w:styleId="xl88">
    <w:name w:val="xl88"/>
    <w:basedOn w:val="Normlny"/>
    <w:rsid w:val="004F388F"/>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sk-SK"/>
    </w:rPr>
  </w:style>
  <w:style w:type="table" w:styleId="Obyajntabuka1">
    <w:name w:val="Plain Table 1"/>
    <w:basedOn w:val="Normlnatabuka"/>
    <w:uiPriority w:val="41"/>
    <w:rsid w:val="006D51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itciaHTML">
    <w:name w:val="HTML Cite"/>
    <w:basedOn w:val="Predvolenpsmoodseku"/>
    <w:uiPriority w:val="99"/>
    <w:semiHidden/>
    <w:unhideWhenUsed/>
    <w:rsid w:val="00432044"/>
    <w:rPr>
      <w:i/>
      <w:iCs/>
    </w:rPr>
  </w:style>
  <w:style w:type="table" w:styleId="Obyajntabuka2">
    <w:name w:val="Plain Table 2"/>
    <w:basedOn w:val="Normlnatabuka"/>
    <w:uiPriority w:val="42"/>
    <w:rsid w:val="00F45C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UHPGRAF6">
    <w:name w:val="UHP_GRAF6"/>
    <w:basedOn w:val="UHPTAB"/>
    <w:uiPriority w:val="99"/>
    <w:rsid w:val="004578E0"/>
    <w:tblPr/>
    <w:tcPr>
      <w:shd w:val="clear" w:color="auto" w:fill="auto"/>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1">
    <w:name w:val="Tab1"/>
    <w:basedOn w:val="Normlny"/>
    <w:next w:val="Normlny"/>
    <w:uiPriority w:val="9"/>
    <w:unhideWhenUsed/>
    <w:qFormat/>
    <w:rsid w:val="00F86A22"/>
    <w:pPr>
      <w:keepNext/>
      <w:keepLines/>
      <w:spacing w:before="40" w:after="0"/>
      <w:ind w:left="1800" w:hanging="360"/>
      <w:outlineLvl w:val="2"/>
    </w:pPr>
    <w:rPr>
      <w:rFonts w:eastAsia="Times New Roman" w:cs="Times New Roman"/>
      <w:color w:val="7F7F7F"/>
      <w:sz w:val="24"/>
      <w:szCs w:val="24"/>
    </w:rPr>
  </w:style>
  <w:style w:type="paragraph" w:customStyle="1" w:styleId="Textvysvetlivky1">
    <w:name w:val="Text vysvetlivky1"/>
    <w:basedOn w:val="Normlny"/>
    <w:next w:val="Textvysvetlivky"/>
    <w:uiPriority w:val="99"/>
    <w:semiHidden/>
    <w:unhideWhenUsed/>
    <w:rsid w:val="00F86A22"/>
    <w:pPr>
      <w:spacing w:after="0" w:line="240" w:lineRule="auto"/>
      <w:jc w:val="left"/>
    </w:pPr>
    <w:rPr>
      <w:rFonts w:asciiTheme="minorHAnsi" w:hAnsiTheme="minorHAnsi"/>
      <w:sz w:val="20"/>
      <w:szCs w:val="20"/>
    </w:rPr>
  </w:style>
  <w:style w:type="paragraph" w:customStyle="1" w:styleId="Hlavikaobsahu1">
    <w:name w:val="Hlavička obsahu1"/>
    <w:basedOn w:val="Nadpis1"/>
    <w:next w:val="Normlny"/>
    <w:uiPriority w:val="39"/>
    <w:unhideWhenUsed/>
    <w:qFormat/>
    <w:rsid w:val="00F86A22"/>
    <w:pPr>
      <w:numPr>
        <w:numId w:val="0"/>
      </w:numPr>
      <w:ind w:left="360" w:hanging="360"/>
      <w:jc w:val="left"/>
      <w:outlineLvl w:val="9"/>
    </w:pPr>
    <w:rPr>
      <w:rFonts w:ascii="Calibri Light" w:hAnsi="Calibri Light"/>
      <w:color w:val="2E74B5"/>
      <w:lang w:eastAsia="sk-SK"/>
    </w:rPr>
  </w:style>
  <w:style w:type="paragraph" w:customStyle="1" w:styleId="Nzov1">
    <w:name w:val="Názov1"/>
    <w:basedOn w:val="Normlny"/>
    <w:next w:val="Normlny"/>
    <w:uiPriority w:val="10"/>
    <w:qFormat/>
    <w:rsid w:val="00F86A22"/>
    <w:pPr>
      <w:spacing w:after="0" w:line="240" w:lineRule="auto"/>
      <w:contextualSpacing/>
    </w:pPr>
    <w:rPr>
      <w:rFonts w:eastAsia="Times New Roman" w:cs="Times New Roman"/>
      <w:color w:val="4472C4"/>
      <w:spacing w:val="-10"/>
      <w:kern w:val="28"/>
      <w:sz w:val="52"/>
      <w:szCs w:val="56"/>
    </w:rPr>
  </w:style>
  <w:style w:type="table" w:customStyle="1" w:styleId="Klasicktabuka111">
    <w:name w:val="Klasická tabuľka 111"/>
    <w:basedOn w:val="Normlnatabuka"/>
    <w:next w:val="Klasicktabuka1"/>
    <w:uiPriority w:val="99"/>
    <w:semiHidden/>
    <w:unhideWhenUsed/>
    <w:rsid w:val="00F86A22"/>
    <w:rPr>
      <w:rFonts w:ascii="Arial Narrow" w:hAnsi="Arial Narrow"/>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Bezzoznamu1111">
    <w:name w:val="Bez zoznamu1111"/>
    <w:next w:val="Bezzoznamu"/>
    <w:uiPriority w:val="99"/>
    <w:semiHidden/>
    <w:unhideWhenUsed/>
    <w:rsid w:val="00F86A22"/>
  </w:style>
  <w:style w:type="numbering" w:customStyle="1" w:styleId="tl1111">
    <w:name w:val="Štýl1111"/>
    <w:uiPriority w:val="99"/>
    <w:rsid w:val="00F86A22"/>
  </w:style>
  <w:style w:type="table" w:customStyle="1" w:styleId="Strednmrieka2zvraznenie111">
    <w:name w:val="Stredná mriežka 2 – zvýraznenie 111"/>
    <w:basedOn w:val="Normlnatabuka"/>
    <w:next w:val="Strednmrieka2zvraznenie1"/>
    <w:uiPriority w:val="68"/>
    <w:rsid w:val="00F86A22"/>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ukasozoznamom2zvraznenie611">
    <w:name w:val="Tabuľka so zoznamom 2 – zvýraznenie 611"/>
    <w:basedOn w:val="Normlnatabuka"/>
    <w:uiPriority w:val="47"/>
    <w:rsid w:val="00F86A22"/>
    <w:pPr>
      <w:spacing w:after="0" w:line="240" w:lineRule="auto"/>
    </w:p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ukasozoznamom321">
    <w:name w:val="Tabuľka so zoznamom 321"/>
    <w:basedOn w:val="Normlnatabuka"/>
    <w:uiPriority w:val="48"/>
    <w:rsid w:val="00F86A22"/>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Obyajntabuka11">
    <w:name w:val="Obyčajná tabuľka 11"/>
    <w:basedOn w:val="Normlnatabuka"/>
    <w:next w:val="Obyajntabuka1"/>
    <w:uiPriority w:val="41"/>
    <w:rsid w:val="00F86A22"/>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yajntabuka21">
    <w:name w:val="Obyčajná tabuľka 21"/>
    <w:basedOn w:val="Normlnatabuka"/>
    <w:next w:val="Obyajntabuka2"/>
    <w:uiPriority w:val="42"/>
    <w:rsid w:val="00F86A2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Nadpis3Char2">
    <w:name w:val="Nadpis 3 Char2"/>
    <w:basedOn w:val="Predvolenpsmoodseku"/>
    <w:uiPriority w:val="9"/>
    <w:semiHidden/>
    <w:rsid w:val="00F86A22"/>
    <w:rPr>
      <w:rFonts w:asciiTheme="majorHAnsi" w:eastAsiaTheme="majorEastAsia" w:hAnsiTheme="majorHAnsi" w:cstheme="majorBidi"/>
      <w:color w:val="1F4D78" w:themeColor="accent1" w:themeShade="7F"/>
      <w:sz w:val="24"/>
      <w:szCs w:val="24"/>
    </w:rPr>
  </w:style>
  <w:style w:type="character" w:customStyle="1" w:styleId="TextvysvetlivkyChar1">
    <w:name w:val="Text vysvetlivky Char1"/>
    <w:basedOn w:val="Predvolenpsmoodseku"/>
    <w:uiPriority w:val="99"/>
    <w:semiHidden/>
    <w:rsid w:val="00F86A22"/>
    <w:rPr>
      <w:rFonts w:ascii="Arial Narrow" w:hAnsi="Arial Narrow"/>
      <w:sz w:val="20"/>
      <w:szCs w:val="20"/>
    </w:rPr>
  </w:style>
  <w:style w:type="character" w:customStyle="1" w:styleId="NzovChar1">
    <w:name w:val="Názov Char1"/>
    <w:basedOn w:val="Predvolenpsmoodseku"/>
    <w:uiPriority w:val="10"/>
    <w:rsid w:val="00F86A22"/>
    <w:rPr>
      <w:rFonts w:asciiTheme="majorHAnsi" w:eastAsiaTheme="majorEastAsia" w:hAnsiTheme="majorHAnsi" w:cstheme="majorBidi"/>
      <w:spacing w:val="-10"/>
      <w:kern w:val="28"/>
      <w:sz w:val="56"/>
      <w:szCs w:val="56"/>
    </w:rPr>
  </w:style>
  <w:style w:type="table" w:customStyle="1" w:styleId="Mriekatabuky16">
    <w:name w:val="Mriežka tabuľky16"/>
    <w:basedOn w:val="Normlnatabuka"/>
    <w:next w:val="Mriekatabuky"/>
    <w:uiPriority w:val="59"/>
    <w:rsid w:val="00F86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vnezvraznenie">
    <w:name w:val="Intense Emphasis"/>
    <w:basedOn w:val="Predvolenpsmoodseku"/>
    <w:uiPriority w:val="21"/>
    <w:qFormat/>
    <w:rsid w:val="00102B68"/>
    <w:rPr>
      <w:i/>
      <w:iCs/>
      <w:color w:val="5B9BD5" w:themeColor="accent1"/>
    </w:rPr>
  </w:style>
  <w:style w:type="table" w:customStyle="1" w:styleId="Mriekatabuky17">
    <w:name w:val="Mriežka tabuľky17"/>
    <w:basedOn w:val="Normlnatabuka"/>
    <w:next w:val="Mriekatabuky"/>
    <w:uiPriority w:val="39"/>
    <w:rsid w:val="00302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kasmriekou4zvraznenie1">
    <w:name w:val="Grid Table 4 Accent 1"/>
    <w:basedOn w:val="Normlnatabuka"/>
    <w:uiPriority w:val="49"/>
    <w:rsid w:val="0044286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1">
    <w:name w:val="Table Grid11"/>
    <w:basedOn w:val="Normlnatabuka"/>
    <w:next w:val="Mriekatabuky"/>
    <w:uiPriority w:val="59"/>
    <w:rsid w:val="002D4AF8"/>
    <w:pPr>
      <w:spacing w:after="0" w:line="240" w:lineRule="auto"/>
    </w:pPr>
    <w:rPr>
      <w:rFonts w:ascii="Times New Roman" w:eastAsia="Batang"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l">
    <w:name w:val="Cell"/>
    <w:basedOn w:val="Normlny"/>
    <w:link w:val="CellChar1"/>
    <w:rsid w:val="0097185B"/>
    <w:pPr>
      <w:spacing w:after="0" w:line="240" w:lineRule="auto"/>
    </w:pPr>
    <w:rPr>
      <w:rFonts w:ascii="Arial" w:eastAsia="Batang" w:hAnsi="Arial" w:cs="Arial"/>
      <w:sz w:val="18"/>
      <w:szCs w:val="18"/>
      <w:lang w:val="en-GB" w:eastAsia="zh-CN"/>
    </w:rPr>
  </w:style>
  <w:style w:type="character" w:customStyle="1" w:styleId="CellChar1">
    <w:name w:val="Cell Char1"/>
    <w:basedOn w:val="Predvolenpsmoodseku"/>
    <w:link w:val="Cell"/>
    <w:rsid w:val="0097185B"/>
    <w:rPr>
      <w:rFonts w:ascii="Arial" w:eastAsia="Batang" w:hAnsi="Arial" w:cs="Arial"/>
      <w:sz w:val="18"/>
      <w:szCs w:val="18"/>
      <w:lang w:val="en-GB" w:eastAsia="zh-CN"/>
    </w:rPr>
  </w:style>
  <w:style w:type="table" w:styleId="Tabukasozoznamom4zvraznenie1">
    <w:name w:val="List Table 4 Accent 1"/>
    <w:basedOn w:val="Normlnatabuka"/>
    <w:uiPriority w:val="49"/>
    <w:rsid w:val="0097185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patrenie9">
    <w:name w:val="Opatrenie9"/>
    <w:basedOn w:val="Odsekzoznamu"/>
    <w:link w:val="Opatrenie9Char"/>
    <w:rsid w:val="0097185B"/>
    <w:pPr>
      <w:numPr>
        <w:numId w:val="22"/>
      </w:numPr>
      <w:ind w:left="284" w:hanging="284"/>
      <w:jc w:val="both"/>
    </w:pPr>
    <w:rPr>
      <w:b/>
    </w:rPr>
  </w:style>
  <w:style w:type="character" w:customStyle="1" w:styleId="Opatrenie9Char">
    <w:name w:val="Opatrenie9 Char"/>
    <w:basedOn w:val="OdsekzoznamuChar"/>
    <w:link w:val="Opatrenie9"/>
    <w:rsid w:val="0097185B"/>
    <w:rPr>
      <w:rFonts w:ascii="Arial Narrow" w:hAnsi="Arial Narrow"/>
      <w:b/>
    </w:rPr>
  </w:style>
  <w:style w:type="character" w:customStyle="1" w:styleId="Nevyeenzmnka1">
    <w:name w:val="Nevyřešená zmínka1"/>
    <w:basedOn w:val="Predvolenpsmoodseku"/>
    <w:uiPriority w:val="99"/>
    <w:semiHidden/>
    <w:unhideWhenUsed/>
    <w:rsid w:val="0097185B"/>
    <w:rPr>
      <w:color w:val="605E5C"/>
      <w:shd w:val="clear" w:color="auto" w:fill="E1DFDD"/>
    </w:rPr>
  </w:style>
  <w:style w:type="table" w:customStyle="1" w:styleId="TableGrid111">
    <w:name w:val="Table Grid111"/>
    <w:basedOn w:val="Normlnatabuka"/>
    <w:next w:val="Mriekatabuky"/>
    <w:uiPriority w:val="59"/>
    <w:rsid w:val="0097185B"/>
    <w:pPr>
      <w:spacing w:after="0" w:line="240" w:lineRule="auto"/>
    </w:pPr>
    <w:rPr>
      <w:rFonts w:ascii="Times New Roman" w:eastAsia="Batang"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Normlnatabuka"/>
    <w:next w:val="Mriekatabuky"/>
    <w:uiPriority w:val="59"/>
    <w:rsid w:val="000668E3"/>
    <w:pPr>
      <w:spacing w:after="0" w:line="240" w:lineRule="auto"/>
    </w:pPr>
    <w:rPr>
      <w:rFonts w:ascii="Times New Roman" w:eastAsia="Batang"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kasmriekou4zvraznenie11">
    <w:name w:val="Tabuľka s mriežkou 4 – zvýraznenie 11"/>
    <w:basedOn w:val="Normlnatabuka"/>
    <w:next w:val="Tabukasmriekou4zvraznenie1"/>
    <w:uiPriority w:val="49"/>
    <w:rsid w:val="0013518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ukasozoznamom1svetlzvraznenie3">
    <w:name w:val="List Table 1 Light Accent 3"/>
    <w:basedOn w:val="Normlnatabuka"/>
    <w:uiPriority w:val="46"/>
    <w:rsid w:val="0009340E"/>
    <w:pPr>
      <w:spacing w:after="0" w:line="240" w:lineRule="auto"/>
    </w:pPr>
    <w:rPr>
      <w:lang w:val="en-US"/>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6335">
      <w:bodyDiv w:val="1"/>
      <w:marLeft w:val="0"/>
      <w:marRight w:val="0"/>
      <w:marTop w:val="0"/>
      <w:marBottom w:val="0"/>
      <w:divBdr>
        <w:top w:val="none" w:sz="0" w:space="0" w:color="auto"/>
        <w:left w:val="none" w:sz="0" w:space="0" w:color="auto"/>
        <w:bottom w:val="none" w:sz="0" w:space="0" w:color="auto"/>
        <w:right w:val="none" w:sz="0" w:space="0" w:color="auto"/>
      </w:divBdr>
    </w:div>
    <w:div w:id="37777878">
      <w:bodyDiv w:val="1"/>
      <w:marLeft w:val="0"/>
      <w:marRight w:val="0"/>
      <w:marTop w:val="0"/>
      <w:marBottom w:val="0"/>
      <w:divBdr>
        <w:top w:val="none" w:sz="0" w:space="0" w:color="auto"/>
        <w:left w:val="none" w:sz="0" w:space="0" w:color="auto"/>
        <w:bottom w:val="none" w:sz="0" w:space="0" w:color="auto"/>
        <w:right w:val="none" w:sz="0" w:space="0" w:color="auto"/>
      </w:divBdr>
    </w:div>
    <w:div w:id="78257952">
      <w:bodyDiv w:val="1"/>
      <w:marLeft w:val="0"/>
      <w:marRight w:val="0"/>
      <w:marTop w:val="0"/>
      <w:marBottom w:val="0"/>
      <w:divBdr>
        <w:top w:val="none" w:sz="0" w:space="0" w:color="auto"/>
        <w:left w:val="none" w:sz="0" w:space="0" w:color="auto"/>
        <w:bottom w:val="none" w:sz="0" w:space="0" w:color="auto"/>
        <w:right w:val="none" w:sz="0" w:space="0" w:color="auto"/>
      </w:divBdr>
    </w:div>
    <w:div w:id="96600852">
      <w:bodyDiv w:val="1"/>
      <w:marLeft w:val="0"/>
      <w:marRight w:val="0"/>
      <w:marTop w:val="0"/>
      <w:marBottom w:val="0"/>
      <w:divBdr>
        <w:top w:val="none" w:sz="0" w:space="0" w:color="auto"/>
        <w:left w:val="none" w:sz="0" w:space="0" w:color="auto"/>
        <w:bottom w:val="none" w:sz="0" w:space="0" w:color="auto"/>
        <w:right w:val="none" w:sz="0" w:space="0" w:color="auto"/>
      </w:divBdr>
    </w:div>
    <w:div w:id="104741266">
      <w:bodyDiv w:val="1"/>
      <w:marLeft w:val="0"/>
      <w:marRight w:val="0"/>
      <w:marTop w:val="0"/>
      <w:marBottom w:val="0"/>
      <w:divBdr>
        <w:top w:val="none" w:sz="0" w:space="0" w:color="auto"/>
        <w:left w:val="none" w:sz="0" w:space="0" w:color="auto"/>
        <w:bottom w:val="none" w:sz="0" w:space="0" w:color="auto"/>
        <w:right w:val="none" w:sz="0" w:space="0" w:color="auto"/>
      </w:divBdr>
      <w:divsChild>
        <w:div w:id="165557702">
          <w:marLeft w:val="0"/>
          <w:marRight w:val="0"/>
          <w:marTop w:val="0"/>
          <w:marBottom w:val="0"/>
          <w:divBdr>
            <w:top w:val="none" w:sz="0" w:space="0" w:color="auto"/>
            <w:left w:val="none" w:sz="0" w:space="0" w:color="auto"/>
            <w:bottom w:val="none" w:sz="0" w:space="0" w:color="auto"/>
            <w:right w:val="none" w:sz="0" w:space="0" w:color="auto"/>
          </w:divBdr>
          <w:divsChild>
            <w:div w:id="7384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7272">
      <w:bodyDiv w:val="1"/>
      <w:marLeft w:val="0"/>
      <w:marRight w:val="0"/>
      <w:marTop w:val="0"/>
      <w:marBottom w:val="0"/>
      <w:divBdr>
        <w:top w:val="none" w:sz="0" w:space="0" w:color="auto"/>
        <w:left w:val="none" w:sz="0" w:space="0" w:color="auto"/>
        <w:bottom w:val="none" w:sz="0" w:space="0" w:color="auto"/>
        <w:right w:val="none" w:sz="0" w:space="0" w:color="auto"/>
      </w:divBdr>
    </w:div>
    <w:div w:id="118576377">
      <w:bodyDiv w:val="1"/>
      <w:marLeft w:val="0"/>
      <w:marRight w:val="0"/>
      <w:marTop w:val="0"/>
      <w:marBottom w:val="0"/>
      <w:divBdr>
        <w:top w:val="none" w:sz="0" w:space="0" w:color="auto"/>
        <w:left w:val="none" w:sz="0" w:space="0" w:color="auto"/>
        <w:bottom w:val="none" w:sz="0" w:space="0" w:color="auto"/>
        <w:right w:val="none" w:sz="0" w:space="0" w:color="auto"/>
      </w:divBdr>
    </w:div>
    <w:div w:id="146555454">
      <w:bodyDiv w:val="1"/>
      <w:marLeft w:val="0"/>
      <w:marRight w:val="0"/>
      <w:marTop w:val="0"/>
      <w:marBottom w:val="0"/>
      <w:divBdr>
        <w:top w:val="none" w:sz="0" w:space="0" w:color="auto"/>
        <w:left w:val="none" w:sz="0" w:space="0" w:color="auto"/>
        <w:bottom w:val="none" w:sz="0" w:space="0" w:color="auto"/>
        <w:right w:val="none" w:sz="0" w:space="0" w:color="auto"/>
      </w:divBdr>
    </w:div>
    <w:div w:id="154420385">
      <w:bodyDiv w:val="1"/>
      <w:marLeft w:val="0"/>
      <w:marRight w:val="0"/>
      <w:marTop w:val="0"/>
      <w:marBottom w:val="0"/>
      <w:divBdr>
        <w:top w:val="none" w:sz="0" w:space="0" w:color="auto"/>
        <w:left w:val="none" w:sz="0" w:space="0" w:color="auto"/>
        <w:bottom w:val="none" w:sz="0" w:space="0" w:color="auto"/>
        <w:right w:val="none" w:sz="0" w:space="0" w:color="auto"/>
      </w:divBdr>
    </w:div>
    <w:div w:id="172957520">
      <w:bodyDiv w:val="1"/>
      <w:marLeft w:val="0"/>
      <w:marRight w:val="0"/>
      <w:marTop w:val="0"/>
      <w:marBottom w:val="0"/>
      <w:divBdr>
        <w:top w:val="none" w:sz="0" w:space="0" w:color="auto"/>
        <w:left w:val="none" w:sz="0" w:space="0" w:color="auto"/>
        <w:bottom w:val="none" w:sz="0" w:space="0" w:color="auto"/>
        <w:right w:val="none" w:sz="0" w:space="0" w:color="auto"/>
      </w:divBdr>
    </w:div>
    <w:div w:id="182788826">
      <w:bodyDiv w:val="1"/>
      <w:marLeft w:val="0"/>
      <w:marRight w:val="0"/>
      <w:marTop w:val="0"/>
      <w:marBottom w:val="0"/>
      <w:divBdr>
        <w:top w:val="none" w:sz="0" w:space="0" w:color="auto"/>
        <w:left w:val="none" w:sz="0" w:space="0" w:color="auto"/>
        <w:bottom w:val="none" w:sz="0" w:space="0" w:color="auto"/>
        <w:right w:val="none" w:sz="0" w:space="0" w:color="auto"/>
      </w:divBdr>
    </w:div>
    <w:div w:id="187178295">
      <w:bodyDiv w:val="1"/>
      <w:marLeft w:val="0"/>
      <w:marRight w:val="0"/>
      <w:marTop w:val="0"/>
      <w:marBottom w:val="0"/>
      <w:divBdr>
        <w:top w:val="none" w:sz="0" w:space="0" w:color="auto"/>
        <w:left w:val="none" w:sz="0" w:space="0" w:color="auto"/>
        <w:bottom w:val="none" w:sz="0" w:space="0" w:color="auto"/>
        <w:right w:val="none" w:sz="0" w:space="0" w:color="auto"/>
      </w:divBdr>
    </w:div>
    <w:div w:id="192689068">
      <w:bodyDiv w:val="1"/>
      <w:marLeft w:val="0"/>
      <w:marRight w:val="0"/>
      <w:marTop w:val="0"/>
      <w:marBottom w:val="0"/>
      <w:divBdr>
        <w:top w:val="none" w:sz="0" w:space="0" w:color="auto"/>
        <w:left w:val="none" w:sz="0" w:space="0" w:color="auto"/>
        <w:bottom w:val="none" w:sz="0" w:space="0" w:color="auto"/>
        <w:right w:val="none" w:sz="0" w:space="0" w:color="auto"/>
      </w:divBdr>
    </w:div>
    <w:div w:id="199366808">
      <w:bodyDiv w:val="1"/>
      <w:marLeft w:val="0"/>
      <w:marRight w:val="0"/>
      <w:marTop w:val="0"/>
      <w:marBottom w:val="0"/>
      <w:divBdr>
        <w:top w:val="none" w:sz="0" w:space="0" w:color="auto"/>
        <w:left w:val="none" w:sz="0" w:space="0" w:color="auto"/>
        <w:bottom w:val="none" w:sz="0" w:space="0" w:color="auto"/>
        <w:right w:val="none" w:sz="0" w:space="0" w:color="auto"/>
      </w:divBdr>
    </w:div>
    <w:div w:id="213201745">
      <w:bodyDiv w:val="1"/>
      <w:marLeft w:val="0"/>
      <w:marRight w:val="0"/>
      <w:marTop w:val="0"/>
      <w:marBottom w:val="0"/>
      <w:divBdr>
        <w:top w:val="none" w:sz="0" w:space="0" w:color="auto"/>
        <w:left w:val="none" w:sz="0" w:space="0" w:color="auto"/>
        <w:bottom w:val="none" w:sz="0" w:space="0" w:color="auto"/>
        <w:right w:val="none" w:sz="0" w:space="0" w:color="auto"/>
      </w:divBdr>
    </w:div>
    <w:div w:id="215359102">
      <w:bodyDiv w:val="1"/>
      <w:marLeft w:val="0"/>
      <w:marRight w:val="0"/>
      <w:marTop w:val="0"/>
      <w:marBottom w:val="0"/>
      <w:divBdr>
        <w:top w:val="none" w:sz="0" w:space="0" w:color="auto"/>
        <w:left w:val="none" w:sz="0" w:space="0" w:color="auto"/>
        <w:bottom w:val="none" w:sz="0" w:space="0" w:color="auto"/>
        <w:right w:val="none" w:sz="0" w:space="0" w:color="auto"/>
      </w:divBdr>
      <w:divsChild>
        <w:div w:id="1542285947">
          <w:marLeft w:val="0"/>
          <w:marRight w:val="0"/>
          <w:marTop w:val="0"/>
          <w:marBottom w:val="0"/>
          <w:divBdr>
            <w:top w:val="none" w:sz="0" w:space="0" w:color="auto"/>
            <w:left w:val="none" w:sz="0" w:space="0" w:color="auto"/>
            <w:bottom w:val="none" w:sz="0" w:space="0" w:color="auto"/>
            <w:right w:val="none" w:sz="0" w:space="0" w:color="auto"/>
          </w:divBdr>
          <w:divsChild>
            <w:div w:id="1215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2590">
      <w:bodyDiv w:val="1"/>
      <w:marLeft w:val="0"/>
      <w:marRight w:val="0"/>
      <w:marTop w:val="0"/>
      <w:marBottom w:val="0"/>
      <w:divBdr>
        <w:top w:val="none" w:sz="0" w:space="0" w:color="auto"/>
        <w:left w:val="none" w:sz="0" w:space="0" w:color="auto"/>
        <w:bottom w:val="none" w:sz="0" w:space="0" w:color="auto"/>
        <w:right w:val="none" w:sz="0" w:space="0" w:color="auto"/>
      </w:divBdr>
    </w:div>
    <w:div w:id="225607034">
      <w:bodyDiv w:val="1"/>
      <w:marLeft w:val="0"/>
      <w:marRight w:val="0"/>
      <w:marTop w:val="0"/>
      <w:marBottom w:val="0"/>
      <w:divBdr>
        <w:top w:val="none" w:sz="0" w:space="0" w:color="auto"/>
        <w:left w:val="none" w:sz="0" w:space="0" w:color="auto"/>
        <w:bottom w:val="none" w:sz="0" w:space="0" w:color="auto"/>
        <w:right w:val="none" w:sz="0" w:space="0" w:color="auto"/>
      </w:divBdr>
    </w:div>
    <w:div w:id="227572619">
      <w:bodyDiv w:val="1"/>
      <w:marLeft w:val="0"/>
      <w:marRight w:val="0"/>
      <w:marTop w:val="0"/>
      <w:marBottom w:val="0"/>
      <w:divBdr>
        <w:top w:val="none" w:sz="0" w:space="0" w:color="auto"/>
        <w:left w:val="none" w:sz="0" w:space="0" w:color="auto"/>
        <w:bottom w:val="none" w:sz="0" w:space="0" w:color="auto"/>
        <w:right w:val="none" w:sz="0" w:space="0" w:color="auto"/>
      </w:divBdr>
    </w:div>
    <w:div w:id="233592738">
      <w:bodyDiv w:val="1"/>
      <w:marLeft w:val="0"/>
      <w:marRight w:val="0"/>
      <w:marTop w:val="0"/>
      <w:marBottom w:val="0"/>
      <w:divBdr>
        <w:top w:val="none" w:sz="0" w:space="0" w:color="auto"/>
        <w:left w:val="none" w:sz="0" w:space="0" w:color="auto"/>
        <w:bottom w:val="none" w:sz="0" w:space="0" w:color="auto"/>
        <w:right w:val="none" w:sz="0" w:space="0" w:color="auto"/>
      </w:divBdr>
    </w:div>
    <w:div w:id="234780733">
      <w:bodyDiv w:val="1"/>
      <w:marLeft w:val="0"/>
      <w:marRight w:val="0"/>
      <w:marTop w:val="0"/>
      <w:marBottom w:val="0"/>
      <w:divBdr>
        <w:top w:val="none" w:sz="0" w:space="0" w:color="auto"/>
        <w:left w:val="none" w:sz="0" w:space="0" w:color="auto"/>
        <w:bottom w:val="none" w:sz="0" w:space="0" w:color="auto"/>
        <w:right w:val="none" w:sz="0" w:space="0" w:color="auto"/>
      </w:divBdr>
    </w:div>
    <w:div w:id="252324652">
      <w:bodyDiv w:val="1"/>
      <w:marLeft w:val="0"/>
      <w:marRight w:val="0"/>
      <w:marTop w:val="0"/>
      <w:marBottom w:val="0"/>
      <w:divBdr>
        <w:top w:val="none" w:sz="0" w:space="0" w:color="auto"/>
        <w:left w:val="none" w:sz="0" w:space="0" w:color="auto"/>
        <w:bottom w:val="none" w:sz="0" w:space="0" w:color="auto"/>
        <w:right w:val="none" w:sz="0" w:space="0" w:color="auto"/>
      </w:divBdr>
    </w:div>
    <w:div w:id="255554918">
      <w:bodyDiv w:val="1"/>
      <w:marLeft w:val="0"/>
      <w:marRight w:val="0"/>
      <w:marTop w:val="0"/>
      <w:marBottom w:val="0"/>
      <w:divBdr>
        <w:top w:val="none" w:sz="0" w:space="0" w:color="auto"/>
        <w:left w:val="none" w:sz="0" w:space="0" w:color="auto"/>
        <w:bottom w:val="none" w:sz="0" w:space="0" w:color="auto"/>
        <w:right w:val="none" w:sz="0" w:space="0" w:color="auto"/>
      </w:divBdr>
    </w:div>
    <w:div w:id="271401979">
      <w:bodyDiv w:val="1"/>
      <w:marLeft w:val="0"/>
      <w:marRight w:val="0"/>
      <w:marTop w:val="0"/>
      <w:marBottom w:val="0"/>
      <w:divBdr>
        <w:top w:val="none" w:sz="0" w:space="0" w:color="auto"/>
        <w:left w:val="none" w:sz="0" w:space="0" w:color="auto"/>
        <w:bottom w:val="none" w:sz="0" w:space="0" w:color="auto"/>
        <w:right w:val="none" w:sz="0" w:space="0" w:color="auto"/>
      </w:divBdr>
    </w:div>
    <w:div w:id="288826004">
      <w:bodyDiv w:val="1"/>
      <w:marLeft w:val="0"/>
      <w:marRight w:val="0"/>
      <w:marTop w:val="0"/>
      <w:marBottom w:val="0"/>
      <w:divBdr>
        <w:top w:val="none" w:sz="0" w:space="0" w:color="auto"/>
        <w:left w:val="none" w:sz="0" w:space="0" w:color="auto"/>
        <w:bottom w:val="none" w:sz="0" w:space="0" w:color="auto"/>
        <w:right w:val="none" w:sz="0" w:space="0" w:color="auto"/>
      </w:divBdr>
    </w:div>
    <w:div w:id="291401611">
      <w:bodyDiv w:val="1"/>
      <w:marLeft w:val="0"/>
      <w:marRight w:val="0"/>
      <w:marTop w:val="0"/>
      <w:marBottom w:val="0"/>
      <w:divBdr>
        <w:top w:val="none" w:sz="0" w:space="0" w:color="auto"/>
        <w:left w:val="none" w:sz="0" w:space="0" w:color="auto"/>
        <w:bottom w:val="none" w:sz="0" w:space="0" w:color="auto"/>
        <w:right w:val="none" w:sz="0" w:space="0" w:color="auto"/>
      </w:divBdr>
    </w:div>
    <w:div w:id="295793365">
      <w:bodyDiv w:val="1"/>
      <w:marLeft w:val="0"/>
      <w:marRight w:val="0"/>
      <w:marTop w:val="0"/>
      <w:marBottom w:val="0"/>
      <w:divBdr>
        <w:top w:val="none" w:sz="0" w:space="0" w:color="auto"/>
        <w:left w:val="none" w:sz="0" w:space="0" w:color="auto"/>
        <w:bottom w:val="none" w:sz="0" w:space="0" w:color="auto"/>
        <w:right w:val="none" w:sz="0" w:space="0" w:color="auto"/>
      </w:divBdr>
    </w:div>
    <w:div w:id="301737241">
      <w:bodyDiv w:val="1"/>
      <w:marLeft w:val="0"/>
      <w:marRight w:val="0"/>
      <w:marTop w:val="0"/>
      <w:marBottom w:val="0"/>
      <w:divBdr>
        <w:top w:val="none" w:sz="0" w:space="0" w:color="auto"/>
        <w:left w:val="none" w:sz="0" w:space="0" w:color="auto"/>
        <w:bottom w:val="none" w:sz="0" w:space="0" w:color="auto"/>
        <w:right w:val="none" w:sz="0" w:space="0" w:color="auto"/>
      </w:divBdr>
    </w:div>
    <w:div w:id="311911063">
      <w:bodyDiv w:val="1"/>
      <w:marLeft w:val="0"/>
      <w:marRight w:val="0"/>
      <w:marTop w:val="0"/>
      <w:marBottom w:val="0"/>
      <w:divBdr>
        <w:top w:val="none" w:sz="0" w:space="0" w:color="auto"/>
        <w:left w:val="none" w:sz="0" w:space="0" w:color="auto"/>
        <w:bottom w:val="none" w:sz="0" w:space="0" w:color="auto"/>
        <w:right w:val="none" w:sz="0" w:space="0" w:color="auto"/>
      </w:divBdr>
    </w:div>
    <w:div w:id="342249054">
      <w:bodyDiv w:val="1"/>
      <w:marLeft w:val="0"/>
      <w:marRight w:val="0"/>
      <w:marTop w:val="0"/>
      <w:marBottom w:val="0"/>
      <w:divBdr>
        <w:top w:val="none" w:sz="0" w:space="0" w:color="auto"/>
        <w:left w:val="none" w:sz="0" w:space="0" w:color="auto"/>
        <w:bottom w:val="none" w:sz="0" w:space="0" w:color="auto"/>
        <w:right w:val="none" w:sz="0" w:space="0" w:color="auto"/>
      </w:divBdr>
    </w:div>
    <w:div w:id="343441082">
      <w:bodyDiv w:val="1"/>
      <w:marLeft w:val="0"/>
      <w:marRight w:val="0"/>
      <w:marTop w:val="0"/>
      <w:marBottom w:val="0"/>
      <w:divBdr>
        <w:top w:val="none" w:sz="0" w:space="0" w:color="auto"/>
        <w:left w:val="none" w:sz="0" w:space="0" w:color="auto"/>
        <w:bottom w:val="none" w:sz="0" w:space="0" w:color="auto"/>
        <w:right w:val="none" w:sz="0" w:space="0" w:color="auto"/>
      </w:divBdr>
    </w:div>
    <w:div w:id="353851457">
      <w:bodyDiv w:val="1"/>
      <w:marLeft w:val="0"/>
      <w:marRight w:val="0"/>
      <w:marTop w:val="0"/>
      <w:marBottom w:val="0"/>
      <w:divBdr>
        <w:top w:val="none" w:sz="0" w:space="0" w:color="auto"/>
        <w:left w:val="none" w:sz="0" w:space="0" w:color="auto"/>
        <w:bottom w:val="none" w:sz="0" w:space="0" w:color="auto"/>
        <w:right w:val="none" w:sz="0" w:space="0" w:color="auto"/>
      </w:divBdr>
    </w:div>
    <w:div w:id="365176935">
      <w:bodyDiv w:val="1"/>
      <w:marLeft w:val="0"/>
      <w:marRight w:val="0"/>
      <w:marTop w:val="0"/>
      <w:marBottom w:val="0"/>
      <w:divBdr>
        <w:top w:val="none" w:sz="0" w:space="0" w:color="auto"/>
        <w:left w:val="none" w:sz="0" w:space="0" w:color="auto"/>
        <w:bottom w:val="none" w:sz="0" w:space="0" w:color="auto"/>
        <w:right w:val="none" w:sz="0" w:space="0" w:color="auto"/>
      </w:divBdr>
    </w:div>
    <w:div w:id="366031449">
      <w:bodyDiv w:val="1"/>
      <w:marLeft w:val="0"/>
      <w:marRight w:val="0"/>
      <w:marTop w:val="0"/>
      <w:marBottom w:val="0"/>
      <w:divBdr>
        <w:top w:val="none" w:sz="0" w:space="0" w:color="auto"/>
        <w:left w:val="none" w:sz="0" w:space="0" w:color="auto"/>
        <w:bottom w:val="none" w:sz="0" w:space="0" w:color="auto"/>
        <w:right w:val="none" w:sz="0" w:space="0" w:color="auto"/>
      </w:divBdr>
    </w:div>
    <w:div w:id="368380677">
      <w:bodyDiv w:val="1"/>
      <w:marLeft w:val="0"/>
      <w:marRight w:val="0"/>
      <w:marTop w:val="0"/>
      <w:marBottom w:val="0"/>
      <w:divBdr>
        <w:top w:val="none" w:sz="0" w:space="0" w:color="auto"/>
        <w:left w:val="none" w:sz="0" w:space="0" w:color="auto"/>
        <w:bottom w:val="none" w:sz="0" w:space="0" w:color="auto"/>
        <w:right w:val="none" w:sz="0" w:space="0" w:color="auto"/>
      </w:divBdr>
    </w:div>
    <w:div w:id="383336617">
      <w:bodyDiv w:val="1"/>
      <w:marLeft w:val="0"/>
      <w:marRight w:val="0"/>
      <w:marTop w:val="0"/>
      <w:marBottom w:val="0"/>
      <w:divBdr>
        <w:top w:val="none" w:sz="0" w:space="0" w:color="auto"/>
        <w:left w:val="none" w:sz="0" w:space="0" w:color="auto"/>
        <w:bottom w:val="none" w:sz="0" w:space="0" w:color="auto"/>
        <w:right w:val="none" w:sz="0" w:space="0" w:color="auto"/>
      </w:divBdr>
    </w:div>
    <w:div w:id="394820650">
      <w:bodyDiv w:val="1"/>
      <w:marLeft w:val="0"/>
      <w:marRight w:val="0"/>
      <w:marTop w:val="0"/>
      <w:marBottom w:val="0"/>
      <w:divBdr>
        <w:top w:val="none" w:sz="0" w:space="0" w:color="auto"/>
        <w:left w:val="none" w:sz="0" w:space="0" w:color="auto"/>
        <w:bottom w:val="none" w:sz="0" w:space="0" w:color="auto"/>
        <w:right w:val="none" w:sz="0" w:space="0" w:color="auto"/>
      </w:divBdr>
    </w:div>
    <w:div w:id="395711507">
      <w:bodyDiv w:val="1"/>
      <w:marLeft w:val="0"/>
      <w:marRight w:val="0"/>
      <w:marTop w:val="0"/>
      <w:marBottom w:val="0"/>
      <w:divBdr>
        <w:top w:val="none" w:sz="0" w:space="0" w:color="auto"/>
        <w:left w:val="none" w:sz="0" w:space="0" w:color="auto"/>
        <w:bottom w:val="none" w:sz="0" w:space="0" w:color="auto"/>
        <w:right w:val="none" w:sz="0" w:space="0" w:color="auto"/>
      </w:divBdr>
    </w:div>
    <w:div w:id="412943296">
      <w:bodyDiv w:val="1"/>
      <w:marLeft w:val="0"/>
      <w:marRight w:val="0"/>
      <w:marTop w:val="0"/>
      <w:marBottom w:val="0"/>
      <w:divBdr>
        <w:top w:val="none" w:sz="0" w:space="0" w:color="auto"/>
        <w:left w:val="none" w:sz="0" w:space="0" w:color="auto"/>
        <w:bottom w:val="none" w:sz="0" w:space="0" w:color="auto"/>
        <w:right w:val="none" w:sz="0" w:space="0" w:color="auto"/>
      </w:divBdr>
    </w:div>
    <w:div w:id="418480037">
      <w:bodyDiv w:val="1"/>
      <w:marLeft w:val="0"/>
      <w:marRight w:val="0"/>
      <w:marTop w:val="0"/>
      <w:marBottom w:val="0"/>
      <w:divBdr>
        <w:top w:val="none" w:sz="0" w:space="0" w:color="auto"/>
        <w:left w:val="none" w:sz="0" w:space="0" w:color="auto"/>
        <w:bottom w:val="none" w:sz="0" w:space="0" w:color="auto"/>
        <w:right w:val="none" w:sz="0" w:space="0" w:color="auto"/>
      </w:divBdr>
    </w:div>
    <w:div w:id="422647008">
      <w:bodyDiv w:val="1"/>
      <w:marLeft w:val="0"/>
      <w:marRight w:val="0"/>
      <w:marTop w:val="0"/>
      <w:marBottom w:val="0"/>
      <w:divBdr>
        <w:top w:val="none" w:sz="0" w:space="0" w:color="auto"/>
        <w:left w:val="none" w:sz="0" w:space="0" w:color="auto"/>
        <w:bottom w:val="none" w:sz="0" w:space="0" w:color="auto"/>
        <w:right w:val="none" w:sz="0" w:space="0" w:color="auto"/>
      </w:divBdr>
    </w:div>
    <w:div w:id="425422156">
      <w:bodyDiv w:val="1"/>
      <w:marLeft w:val="0"/>
      <w:marRight w:val="0"/>
      <w:marTop w:val="0"/>
      <w:marBottom w:val="0"/>
      <w:divBdr>
        <w:top w:val="none" w:sz="0" w:space="0" w:color="auto"/>
        <w:left w:val="none" w:sz="0" w:space="0" w:color="auto"/>
        <w:bottom w:val="none" w:sz="0" w:space="0" w:color="auto"/>
        <w:right w:val="none" w:sz="0" w:space="0" w:color="auto"/>
      </w:divBdr>
    </w:div>
    <w:div w:id="438448339">
      <w:bodyDiv w:val="1"/>
      <w:marLeft w:val="0"/>
      <w:marRight w:val="0"/>
      <w:marTop w:val="0"/>
      <w:marBottom w:val="0"/>
      <w:divBdr>
        <w:top w:val="none" w:sz="0" w:space="0" w:color="auto"/>
        <w:left w:val="none" w:sz="0" w:space="0" w:color="auto"/>
        <w:bottom w:val="none" w:sz="0" w:space="0" w:color="auto"/>
        <w:right w:val="none" w:sz="0" w:space="0" w:color="auto"/>
      </w:divBdr>
    </w:div>
    <w:div w:id="442846636">
      <w:bodyDiv w:val="1"/>
      <w:marLeft w:val="0"/>
      <w:marRight w:val="0"/>
      <w:marTop w:val="0"/>
      <w:marBottom w:val="0"/>
      <w:divBdr>
        <w:top w:val="none" w:sz="0" w:space="0" w:color="auto"/>
        <w:left w:val="none" w:sz="0" w:space="0" w:color="auto"/>
        <w:bottom w:val="none" w:sz="0" w:space="0" w:color="auto"/>
        <w:right w:val="none" w:sz="0" w:space="0" w:color="auto"/>
      </w:divBdr>
    </w:div>
    <w:div w:id="463543209">
      <w:bodyDiv w:val="1"/>
      <w:marLeft w:val="0"/>
      <w:marRight w:val="0"/>
      <w:marTop w:val="0"/>
      <w:marBottom w:val="0"/>
      <w:divBdr>
        <w:top w:val="none" w:sz="0" w:space="0" w:color="auto"/>
        <w:left w:val="none" w:sz="0" w:space="0" w:color="auto"/>
        <w:bottom w:val="none" w:sz="0" w:space="0" w:color="auto"/>
        <w:right w:val="none" w:sz="0" w:space="0" w:color="auto"/>
      </w:divBdr>
    </w:div>
    <w:div w:id="475878908">
      <w:bodyDiv w:val="1"/>
      <w:marLeft w:val="0"/>
      <w:marRight w:val="0"/>
      <w:marTop w:val="0"/>
      <w:marBottom w:val="0"/>
      <w:divBdr>
        <w:top w:val="none" w:sz="0" w:space="0" w:color="auto"/>
        <w:left w:val="none" w:sz="0" w:space="0" w:color="auto"/>
        <w:bottom w:val="none" w:sz="0" w:space="0" w:color="auto"/>
        <w:right w:val="none" w:sz="0" w:space="0" w:color="auto"/>
      </w:divBdr>
    </w:div>
    <w:div w:id="509490068">
      <w:bodyDiv w:val="1"/>
      <w:marLeft w:val="0"/>
      <w:marRight w:val="0"/>
      <w:marTop w:val="0"/>
      <w:marBottom w:val="0"/>
      <w:divBdr>
        <w:top w:val="none" w:sz="0" w:space="0" w:color="auto"/>
        <w:left w:val="none" w:sz="0" w:space="0" w:color="auto"/>
        <w:bottom w:val="none" w:sz="0" w:space="0" w:color="auto"/>
        <w:right w:val="none" w:sz="0" w:space="0" w:color="auto"/>
      </w:divBdr>
    </w:div>
    <w:div w:id="509686716">
      <w:bodyDiv w:val="1"/>
      <w:marLeft w:val="0"/>
      <w:marRight w:val="0"/>
      <w:marTop w:val="0"/>
      <w:marBottom w:val="0"/>
      <w:divBdr>
        <w:top w:val="none" w:sz="0" w:space="0" w:color="auto"/>
        <w:left w:val="none" w:sz="0" w:space="0" w:color="auto"/>
        <w:bottom w:val="none" w:sz="0" w:space="0" w:color="auto"/>
        <w:right w:val="none" w:sz="0" w:space="0" w:color="auto"/>
      </w:divBdr>
    </w:div>
    <w:div w:id="524052604">
      <w:bodyDiv w:val="1"/>
      <w:marLeft w:val="0"/>
      <w:marRight w:val="0"/>
      <w:marTop w:val="0"/>
      <w:marBottom w:val="0"/>
      <w:divBdr>
        <w:top w:val="none" w:sz="0" w:space="0" w:color="auto"/>
        <w:left w:val="none" w:sz="0" w:space="0" w:color="auto"/>
        <w:bottom w:val="none" w:sz="0" w:space="0" w:color="auto"/>
        <w:right w:val="none" w:sz="0" w:space="0" w:color="auto"/>
      </w:divBdr>
    </w:div>
    <w:div w:id="524248204">
      <w:bodyDiv w:val="1"/>
      <w:marLeft w:val="0"/>
      <w:marRight w:val="0"/>
      <w:marTop w:val="0"/>
      <w:marBottom w:val="0"/>
      <w:divBdr>
        <w:top w:val="none" w:sz="0" w:space="0" w:color="auto"/>
        <w:left w:val="none" w:sz="0" w:space="0" w:color="auto"/>
        <w:bottom w:val="none" w:sz="0" w:space="0" w:color="auto"/>
        <w:right w:val="none" w:sz="0" w:space="0" w:color="auto"/>
      </w:divBdr>
    </w:div>
    <w:div w:id="534006482">
      <w:bodyDiv w:val="1"/>
      <w:marLeft w:val="0"/>
      <w:marRight w:val="0"/>
      <w:marTop w:val="0"/>
      <w:marBottom w:val="0"/>
      <w:divBdr>
        <w:top w:val="none" w:sz="0" w:space="0" w:color="auto"/>
        <w:left w:val="none" w:sz="0" w:space="0" w:color="auto"/>
        <w:bottom w:val="none" w:sz="0" w:space="0" w:color="auto"/>
        <w:right w:val="none" w:sz="0" w:space="0" w:color="auto"/>
      </w:divBdr>
    </w:div>
    <w:div w:id="537275751">
      <w:bodyDiv w:val="1"/>
      <w:marLeft w:val="0"/>
      <w:marRight w:val="0"/>
      <w:marTop w:val="0"/>
      <w:marBottom w:val="0"/>
      <w:divBdr>
        <w:top w:val="none" w:sz="0" w:space="0" w:color="auto"/>
        <w:left w:val="none" w:sz="0" w:space="0" w:color="auto"/>
        <w:bottom w:val="none" w:sz="0" w:space="0" w:color="auto"/>
        <w:right w:val="none" w:sz="0" w:space="0" w:color="auto"/>
      </w:divBdr>
    </w:div>
    <w:div w:id="537468917">
      <w:bodyDiv w:val="1"/>
      <w:marLeft w:val="0"/>
      <w:marRight w:val="0"/>
      <w:marTop w:val="0"/>
      <w:marBottom w:val="0"/>
      <w:divBdr>
        <w:top w:val="none" w:sz="0" w:space="0" w:color="auto"/>
        <w:left w:val="none" w:sz="0" w:space="0" w:color="auto"/>
        <w:bottom w:val="none" w:sz="0" w:space="0" w:color="auto"/>
        <w:right w:val="none" w:sz="0" w:space="0" w:color="auto"/>
      </w:divBdr>
    </w:div>
    <w:div w:id="565184136">
      <w:bodyDiv w:val="1"/>
      <w:marLeft w:val="0"/>
      <w:marRight w:val="0"/>
      <w:marTop w:val="0"/>
      <w:marBottom w:val="0"/>
      <w:divBdr>
        <w:top w:val="none" w:sz="0" w:space="0" w:color="auto"/>
        <w:left w:val="none" w:sz="0" w:space="0" w:color="auto"/>
        <w:bottom w:val="none" w:sz="0" w:space="0" w:color="auto"/>
        <w:right w:val="none" w:sz="0" w:space="0" w:color="auto"/>
      </w:divBdr>
    </w:div>
    <w:div w:id="601495195">
      <w:bodyDiv w:val="1"/>
      <w:marLeft w:val="0"/>
      <w:marRight w:val="0"/>
      <w:marTop w:val="0"/>
      <w:marBottom w:val="0"/>
      <w:divBdr>
        <w:top w:val="none" w:sz="0" w:space="0" w:color="auto"/>
        <w:left w:val="none" w:sz="0" w:space="0" w:color="auto"/>
        <w:bottom w:val="none" w:sz="0" w:space="0" w:color="auto"/>
        <w:right w:val="none" w:sz="0" w:space="0" w:color="auto"/>
      </w:divBdr>
    </w:div>
    <w:div w:id="610629626">
      <w:bodyDiv w:val="1"/>
      <w:marLeft w:val="0"/>
      <w:marRight w:val="0"/>
      <w:marTop w:val="0"/>
      <w:marBottom w:val="0"/>
      <w:divBdr>
        <w:top w:val="none" w:sz="0" w:space="0" w:color="auto"/>
        <w:left w:val="none" w:sz="0" w:space="0" w:color="auto"/>
        <w:bottom w:val="none" w:sz="0" w:space="0" w:color="auto"/>
        <w:right w:val="none" w:sz="0" w:space="0" w:color="auto"/>
      </w:divBdr>
    </w:div>
    <w:div w:id="630869495">
      <w:bodyDiv w:val="1"/>
      <w:marLeft w:val="0"/>
      <w:marRight w:val="0"/>
      <w:marTop w:val="0"/>
      <w:marBottom w:val="0"/>
      <w:divBdr>
        <w:top w:val="none" w:sz="0" w:space="0" w:color="auto"/>
        <w:left w:val="none" w:sz="0" w:space="0" w:color="auto"/>
        <w:bottom w:val="none" w:sz="0" w:space="0" w:color="auto"/>
        <w:right w:val="none" w:sz="0" w:space="0" w:color="auto"/>
      </w:divBdr>
    </w:div>
    <w:div w:id="657920553">
      <w:bodyDiv w:val="1"/>
      <w:marLeft w:val="0"/>
      <w:marRight w:val="0"/>
      <w:marTop w:val="0"/>
      <w:marBottom w:val="0"/>
      <w:divBdr>
        <w:top w:val="none" w:sz="0" w:space="0" w:color="auto"/>
        <w:left w:val="none" w:sz="0" w:space="0" w:color="auto"/>
        <w:bottom w:val="none" w:sz="0" w:space="0" w:color="auto"/>
        <w:right w:val="none" w:sz="0" w:space="0" w:color="auto"/>
      </w:divBdr>
    </w:div>
    <w:div w:id="678504141">
      <w:bodyDiv w:val="1"/>
      <w:marLeft w:val="0"/>
      <w:marRight w:val="0"/>
      <w:marTop w:val="0"/>
      <w:marBottom w:val="0"/>
      <w:divBdr>
        <w:top w:val="none" w:sz="0" w:space="0" w:color="auto"/>
        <w:left w:val="none" w:sz="0" w:space="0" w:color="auto"/>
        <w:bottom w:val="none" w:sz="0" w:space="0" w:color="auto"/>
        <w:right w:val="none" w:sz="0" w:space="0" w:color="auto"/>
      </w:divBdr>
    </w:div>
    <w:div w:id="680206122">
      <w:bodyDiv w:val="1"/>
      <w:marLeft w:val="0"/>
      <w:marRight w:val="0"/>
      <w:marTop w:val="0"/>
      <w:marBottom w:val="0"/>
      <w:divBdr>
        <w:top w:val="none" w:sz="0" w:space="0" w:color="auto"/>
        <w:left w:val="none" w:sz="0" w:space="0" w:color="auto"/>
        <w:bottom w:val="none" w:sz="0" w:space="0" w:color="auto"/>
        <w:right w:val="none" w:sz="0" w:space="0" w:color="auto"/>
      </w:divBdr>
    </w:div>
    <w:div w:id="683939061">
      <w:bodyDiv w:val="1"/>
      <w:marLeft w:val="0"/>
      <w:marRight w:val="0"/>
      <w:marTop w:val="0"/>
      <w:marBottom w:val="0"/>
      <w:divBdr>
        <w:top w:val="none" w:sz="0" w:space="0" w:color="auto"/>
        <w:left w:val="none" w:sz="0" w:space="0" w:color="auto"/>
        <w:bottom w:val="none" w:sz="0" w:space="0" w:color="auto"/>
        <w:right w:val="none" w:sz="0" w:space="0" w:color="auto"/>
      </w:divBdr>
    </w:div>
    <w:div w:id="688336941">
      <w:bodyDiv w:val="1"/>
      <w:marLeft w:val="0"/>
      <w:marRight w:val="0"/>
      <w:marTop w:val="0"/>
      <w:marBottom w:val="0"/>
      <w:divBdr>
        <w:top w:val="none" w:sz="0" w:space="0" w:color="auto"/>
        <w:left w:val="none" w:sz="0" w:space="0" w:color="auto"/>
        <w:bottom w:val="none" w:sz="0" w:space="0" w:color="auto"/>
        <w:right w:val="none" w:sz="0" w:space="0" w:color="auto"/>
      </w:divBdr>
    </w:div>
    <w:div w:id="708411119">
      <w:bodyDiv w:val="1"/>
      <w:marLeft w:val="0"/>
      <w:marRight w:val="0"/>
      <w:marTop w:val="0"/>
      <w:marBottom w:val="0"/>
      <w:divBdr>
        <w:top w:val="none" w:sz="0" w:space="0" w:color="auto"/>
        <w:left w:val="none" w:sz="0" w:space="0" w:color="auto"/>
        <w:bottom w:val="none" w:sz="0" w:space="0" w:color="auto"/>
        <w:right w:val="none" w:sz="0" w:space="0" w:color="auto"/>
      </w:divBdr>
    </w:div>
    <w:div w:id="719938322">
      <w:bodyDiv w:val="1"/>
      <w:marLeft w:val="0"/>
      <w:marRight w:val="0"/>
      <w:marTop w:val="0"/>
      <w:marBottom w:val="0"/>
      <w:divBdr>
        <w:top w:val="none" w:sz="0" w:space="0" w:color="auto"/>
        <w:left w:val="none" w:sz="0" w:space="0" w:color="auto"/>
        <w:bottom w:val="none" w:sz="0" w:space="0" w:color="auto"/>
        <w:right w:val="none" w:sz="0" w:space="0" w:color="auto"/>
      </w:divBdr>
    </w:div>
    <w:div w:id="722097368">
      <w:bodyDiv w:val="1"/>
      <w:marLeft w:val="0"/>
      <w:marRight w:val="0"/>
      <w:marTop w:val="0"/>
      <w:marBottom w:val="0"/>
      <w:divBdr>
        <w:top w:val="none" w:sz="0" w:space="0" w:color="auto"/>
        <w:left w:val="none" w:sz="0" w:space="0" w:color="auto"/>
        <w:bottom w:val="none" w:sz="0" w:space="0" w:color="auto"/>
        <w:right w:val="none" w:sz="0" w:space="0" w:color="auto"/>
      </w:divBdr>
    </w:div>
    <w:div w:id="723601076">
      <w:bodyDiv w:val="1"/>
      <w:marLeft w:val="0"/>
      <w:marRight w:val="0"/>
      <w:marTop w:val="0"/>
      <w:marBottom w:val="0"/>
      <w:divBdr>
        <w:top w:val="none" w:sz="0" w:space="0" w:color="auto"/>
        <w:left w:val="none" w:sz="0" w:space="0" w:color="auto"/>
        <w:bottom w:val="none" w:sz="0" w:space="0" w:color="auto"/>
        <w:right w:val="none" w:sz="0" w:space="0" w:color="auto"/>
      </w:divBdr>
    </w:div>
    <w:div w:id="745422627">
      <w:bodyDiv w:val="1"/>
      <w:marLeft w:val="0"/>
      <w:marRight w:val="0"/>
      <w:marTop w:val="0"/>
      <w:marBottom w:val="0"/>
      <w:divBdr>
        <w:top w:val="none" w:sz="0" w:space="0" w:color="auto"/>
        <w:left w:val="none" w:sz="0" w:space="0" w:color="auto"/>
        <w:bottom w:val="none" w:sz="0" w:space="0" w:color="auto"/>
        <w:right w:val="none" w:sz="0" w:space="0" w:color="auto"/>
      </w:divBdr>
    </w:div>
    <w:div w:id="760293954">
      <w:bodyDiv w:val="1"/>
      <w:marLeft w:val="0"/>
      <w:marRight w:val="0"/>
      <w:marTop w:val="0"/>
      <w:marBottom w:val="0"/>
      <w:divBdr>
        <w:top w:val="none" w:sz="0" w:space="0" w:color="auto"/>
        <w:left w:val="none" w:sz="0" w:space="0" w:color="auto"/>
        <w:bottom w:val="none" w:sz="0" w:space="0" w:color="auto"/>
        <w:right w:val="none" w:sz="0" w:space="0" w:color="auto"/>
      </w:divBdr>
    </w:div>
    <w:div w:id="766853464">
      <w:bodyDiv w:val="1"/>
      <w:marLeft w:val="0"/>
      <w:marRight w:val="0"/>
      <w:marTop w:val="0"/>
      <w:marBottom w:val="0"/>
      <w:divBdr>
        <w:top w:val="none" w:sz="0" w:space="0" w:color="auto"/>
        <w:left w:val="none" w:sz="0" w:space="0" w:color="auto"/>
        <w:bottom w:val="none" w:sz="0" w:space="0" w:color="auto"/>
        <w:right w:val="none" w:sz="0" w:space="0" w:color="auto"/>
      </w:divBdr>
      <w:divsChild>
        <w:div w:id="708993963">
          <w:marLeft w:val="0"/>
          <w:marRight w:val="0"/>
          <w:marTop w:val="0"/>
          <w:marBottom w:val="0"/>
          <w:divBdr>
            <w:top w:val="none" w:sz="0" w:space="0" w:color="auto"/>
            <w:left w:val="none" w:sz="0" w:space="0" w:color="auto"/>
            <w:bottom w:val="none" w:sz="0" w:space="0" w:color="auto"/>
            <w:right w:val="none" w:sz="0" w:space="0" w:color="auto"/>
          </w:divBdr>
          <w:divsChild>
            <w:div w:id="12614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4683">
      <w:bodyDiv w:val="1"/>
      <w:marLeft w:val="0"/>
      <w:marRight w:val="0"/>
      <w:marTop w:val="0"/>
      <w:marBottom w:val="0"/>
      <w:divBdr>
        <w:top w:val="none" w:sz="0" w:space="0" w:color="auto"/>
        <w:left w:val="none" w:sz="0" w:space="0" w:color="auto"/>
        <w:bottom w:val="none" w:sz="0" w:space="0" w:color="auto"/>
        <w:right w:val="none" w:sz="0" w:space="0" w:color="auto"/>
      </w:divBdr>
    </w:div>
    <w:div w:id="769817392">
      <w:bodyDiv w:val="1"/>
      <w:marLeft w:val="0"/>
      <w:marRight w:val="0"/>
      <w:marTop w:val="0"/>
      <w:marBottom w:val="0"/>
      <w:divBdr>
        <w:top w:val="none" w:sz="0" w:space="0" w:color="auto"/>
        <w:left w:val="none" w:sz="0" w:space="0" w:color="auto"/>
        <w:bottom w:val="none" w:sz="0" w:space="0" w:color="auto"/>
        <w:right w:val="none" w:sz="0" w:space="0" w:color="auto"/>
      </w:divBdr>
    </w:div>
    <w:div w:id="830025088">
      <w:bodyDiv w:val="1"/>
      <w:marLeft w:val="0"/>
      <w:marRight w:val="0"/>
      <w:marTop w:val="0"/>
      <w:marBottom w:val="0"/>
      <w:divBdr>
        <w:top w:val="none" w:sz="0" w:space="0" w:color="auto"/>
        <w:left w:val="none" w:sz="0" w:space="0" w:color="auto"/>
        <w:bottom w:val="none" w:sz="0" w:space="0" w:color="auto"/>
        <w:right w:val="none" w:sz="0" w:space="0" w:color="auto"/>
      </w:divBdr>
    </w:div>
    <w:div w:id="850608276">
      <w:bodyDiv w:val="1"/>
      <w:marLeft w:val="0"/>
      <w:marRight w:val="0"/>
      <w:marTop w:val="0"/>
      <w:marBottom w:val="0"/>
      <w:divBdr>
        <w:top w:val="none" w:sz="0" w:space="0" w:color="auto"/>
        <w:left w:val="none" w:sz="0" w:space="0" w:color="auto"/>
        <w:bottom w:val="none" w:sz="0" w:space="0" w:color="auto"/>
        <w:right w:val="none" w:sz="0" w:space="0" w:color="auto"/>
      </w:divBdr>
    </w:div>
    <w:div w:id="855003266">
      <w:bodyDiv w:val="1"/>
      <w:marLeft w:val="0"/>
      <w:marRight w:val="0"/>
      <w:marTop w:val="0"/>
      <w:marBottom w:val="0"/>
      <w:divBdr>
        <w:top w:val="none" w:sz="0" w:space="0" w:color="auto"/>
        <w:left w:val="none" w:sz="0" w:space="0" w:color="auto"/>
        <w:bottom w:val="none" w:sz="0" w:space="0" w:color="auto"/>
        <w:right w:val="none" w:sz="0" w:space="0" w:color="auto"/>
      </w:divBdr>
    </w:div>
    <w:div w:id="857935382">
      <w:bodyDiv w:val="1"/>
      <w:marLeft w:val="0"/>
      <w:marRight w:val="0"/>
      <w:marTop w:val="0"/>
      <w:marBottom w:val="0"/>
      <w:divBdr>
        <w:top w:val="none" w:sz="0" w:space="0" w:color="auto"/>
        <w:left w:val="none" w:sz="0" w:space="0" w:color="auto"/>
        <w:bottom w:val="none" w:sz="0" w:space="0" w:color="auto"/>
        <w:right w:val="none" w:sz="0" w:space="0" w:color="auto"/>
      </w:divBdr>
    </w:div>
    <w:div w:id="863371858">
      <w:bodyDiv w:val="1"/>
      <w:marLeft w:val="0"/>
      <w:marRight w:val="0"/>
      <w:marTop w:val="0"/>
      <w:marBottom w:val="0"/>
      <w:divBdr>
        <w:top w:val="none" w:sz="0" w:space="0" w:color="auto"/>
        <w:left w:val="none" w:sz="0" w:space="0" w:color="auto"/>
        <w:bottom w:val="none" w:sz="0" w:space="0" w:color="auto"/>
        <w:right w:val="none" w:sz="0" w:space="0" w:color="auto"/>
      </w:divBdr>
    </w:div>
    <w:div w:id="885751769">
      <w:bodyDiv w:val="1"/>
      <w:marLeft w:val="0"/>
      <w:marRight w:val="0"/>
      <w:marTop w:val="0"/>
      <w:marBottom w:val="0"/>
      <w:divBdr>
        <w:top w:val="none" w:sz="0" w:space="0" w:color="auto"/>
        <w:left w:val="none" w:sz="0" w:space="0" w:color="auto"/>
        <w:bottom w:val="none" w:sz="0" w:space="0" w:color="auto"/>
        <w:right w:val="none" w:sz="0" w:space="0" w:color="auto"/>
      </w:divBdr>
    </w:div>
    <w:div w:id="885873087">
      <w:bodyDiv w:val="1"/>
      <w:marLeft w:val="0"/>
      <w:marRight w:val="0"/>
      <w:marTop w:val="0"/>
      <w:marBottom w:val="0"/>
      <w:divBdr>
        <w:top w:val="none" w:sz="0" w:space="0" w:color="auto"/>
        <w:left w:val="none" w:sz="0" w:space="0" w:color="auto"/>
        <w:bottom w:val="none" w:sz="0" w:space="0" w:color="auto"/>
        <w:right w:val="none" w:sz="0" w:space="0" w:color="auto"/>
      </w:divBdr>
    </w:div>
    <w:div w:id="902065299">
      <w:bodyDiv w:val="1"/>
      <w:marLeft w:val="0"/>
      <w:marRight w:val="0"/>
      <w:marTop w:val="0"/>
      <w:marBottom w:val="0"/>
      <w:divBdr>
        <w:top w:val="none" w:sz="0" w:space="0" w:color="auto"/>
        <w:left w:val="none" w:sz="0" w:space="0" w:color="auto"/>
        <w:bottom w:val="none" w:sz="0" w:space="0" w:color="auto"/>
        <w:right w:val="none" w:sz="0" w:space="0" w:color="auto"/>
      </w:divBdr>
    </w:div>
    <w:div w:id="924924984">
      <w:bodyDiv w:val="1"/>
      <w:marLeft w:val="0"/>
      <w:marRight w:val="0"/>
      <w:marTop w:val="0"/>
      <w:marBottom w:val="0"/>
      <w:divBdr>
        <w:top w:val="none" w:sz="0" w:space="0" w:color="auto"/>
        <w:left w:val="none" w:sz="0" w:space="0" w:color="auto"/>
        <w:bottom w:val="none" w:sz="0" w:space="0" w:color="auto"/>
        <w:right w:val="none" w:sz="0" w:space="0" w:color="auto"/>
      </w:divBdr>
    </w:div>
    <w:div w:id="932512862">
      <w:bodyDiv w:val="1"/>
      <w:marLeft w:val="0"/>
      <w:marRight w:val="0"/>
      <w:marTop w:val="0"/>
      <w:marBottom w:val="0"/>
      <w:divBdr>
        <w:top w:val="none" w:sz="0" w:space="0" w:color="auto"/>
        <w:left w:val="none" w:sz="0" w:space="0" w:color="auto"/>
        <w:bottom w:val="none" w:sz="0" w:space="0" w:color="auto"/>
        <w:right w:val="none" w:sz="0" w:space="0" w:color="auto"/>
      </w:divBdr>
    </w:div>
    <w:div w:id="938102226">
      <w:bodyDiv w:val="1"/>
      <w:marLeft w:val="0"/>
      <w:marRight w:val="0"/>
      <w:marTop w:val="0"/>
      <w:marBottom w:val="0"/>
      <w:divBdr>
        <w:top w:val="none" w:sz="0" w:space="0" w:color="auto"/>
        <w:left w:val="none" w:sz="0" w:space="0" w:color="auto"/>
        <w:bottom w:val="none" w:sz="0" w:space="0" w:color="auto"/>
        <w:right w:val="none" w:sz="0" w:space="0" w:color="auto"/>
      </w:divBdr>
    </w:div>
    <w:div w:id="948048729">
      <w:bodyDiv w:val="1"/>
      <w:marLeft w:val="0"/>
      <w:marRight w:val="0"/>
      <w:marTop w:val="0"/>
      <w:marBottom w:val="0"/>
      <w:divBdr>
        <w:top w:val="none" w:sz="0" w:space="0" w:color="auto"/>
        <w:left w:val="none" w:sz="0" w:space="0" w:color="auto"/>
        <w:bottom w:val="none" w:sz="0" w:space="0" w:color="auto"/>
        <w:right w:val="none" w:sz="0" w:space="0" w:color="auto"/>
      </w:divBdr>
    </w:div>
    <w:div w:id="948977148">
      <w:bodyDiv w:val="1"/>
      <w:marLeft w:val="0"/>
      <w:marRight w:val="0"/>
      <w:marTop w:val="0"/>
      <w:marBottom w:val="0"/>
      <w:divBdr>
        <w:top w:val="none" w:sz="0" w:space="0" w:color="auto"/>
        <w:left w:val="none" w:sz="0" w:space="0" w:color="auto"/>
        <w:bottom w:val="none" w:sz="0" w:space="0" w:color="auto"/>
        <w:right w:val="none" w:sz="0" w:space="0" w:color="auto"/>
      </w:divBdr>
    </w:div>
    <w:div w:id="957686631">
      <w:bodyDiv w:val="1"/>
      <w:marLeft w:val="0"/>
      <w:marRight w:val="0"/>
      <w:marTop w:val="0"/>
      <w:marBottom w:val="0"/>
      <w:divBdr>
        <w:top w:val="none" w:sz="0" w:space="0" w:color="auto"/>
        <w:left w:val="none" w:sz="0" w:space="0" w:color="auto"/>
        <w:bottom w:val="none" w:sz="0" w:space="0" w:color="auto"/>
        <w:right w:val="none" w:sz="0" w:space="0" w:color="auto"/>
      </w:divBdr>
    </w:div>
    <w:div w:id="968895770">
      <w:bodyDiv w:val="1"/>
      <w:marLeft w:val="0"/>
      <w:marRight w:val="0"/>
      <w:marTop w:val="0"/>
      <w:marBottom w:val="0"/>
      <w:divBdr>
        <w:top w:val="none" w:sz="0" w:space="0" w:color="auto"/>
        <w:left w:val="none" w:sz="0" w:space="0" w:color="auto"/>
        <w:bottom w:val="none" w:sz="0" w:space="0" w:color="auto"/>
        <w:right w:val="none" w:sz="0" w:space="0" w:color="auto"/>
      </w:divBdr>
    </w:div>
    <w:div w:id="969357280">
      <w:bodyDiv w:val="1"/>
      <w:marLeft w:val="0"/>
      <w:marRight w:val="0"/>
      <w:marTop w:val="0"/>
      <w:marBottom w:val="0"/>
      <w:divBdr>
        <w:top w:val="none" w:sz="0" w:space="0" w:color="auto"/>
        <w:left w:val="none" w:sz="0" w:space="0" w:color="auto"/>
        <w:bottom w:val="none" w:sz="0" w:space="0" w:color="auto"/>
        <w:right w:val="none" w:sz="0" w:space="0" w:color="auto"/>
      </w:divBdr>
    </w:div>
    <w:div w:id="977222098">
      <w:bodyDiv w:val="1"/>
      <w:marLeft w:val="0"/>
      <w:marRight w:val="0"/>
      <w:marTop w:val="0"/>
      <w:marBottom w:val="0"/>
      <w:divBdr>
        <w:top w:val="none" w:sz="0" w:space="0" w:color="auto"/>
        <w:left w:val="none" w:sz="0" w:space="0" w:color="auto"/>
        <w:bottom w:val="none" w:sz="0" w:space="0" w:color="auto"/>
        <w:right w:val="none" w:sz="0" w:space="0" w:color="auto"/>
      </w:divBdr>
    </w:div>
    <w:div w:id="981931874">
      <w:bodyDiv w:val="1"/>
      <w:marLeft w:val="0"/>
      <w:marRight w:val="0"/>
      <w:marTop w:val="0"/>
      <w:marBottom w:val="0"/>
      <w:divBdr>
        <w:top w:val="none" w:sz="0" w:space="0" w:color="auto"/>
        <w:left w:val="none" w:sz="0" w:space="0" w:color="auto"/>
        <w:bottom w:val="none" w:sz="0" w:space="0" w:color="auto"/>
        <w:right w:val="none" w:sz="0" w:space="0" w:color="auto"/>
      </w:divBdr>
    </w:div>
    <w:div w:id="995033322">
      <w:bodyDiv w:val="1"/>
      <w:marLeft w:val="0"/>
      <w:marRight w:val="0"/>
      <w:marTop w:val="0"/>
      <w:marBottom w:val="0"/>
      <w:divBdr>
        <w:top w:val="none" w:sz="0" w:space="0" w:color="auto"/>
        <w:left w:val="none" w:sz="0" w:space="0" w:color="auto"/>
        <w:bottom w:val="none" w:sz="0" w:space="0" w:color="auto"/>
        <w:right w:val="none" w:sz="0" w:space="0" w:color="auto"/>
      </w:divBdr>
    </w:div>
    <w:div w:id="1013067717">
      <w:bodyDiv w:val="1"/>
      <w:marLeft w:val="0"/>
      <w:marRight w:val="0"/>
      <w:marTop w:val="0"/>
      <w:marBottom w:val="0"/>
      <w:divBdr>
        <w:top w:val="none" w:sz="0" w:space="0" w:color="auto"/>
        <w:left w:val="none" w:sz="0" w:space="0" w:color="auto"/>
        <w:bottom w:val="none" w:sz="0" w:space="0" w:color="auto"/>
        <w:right w:val="none" w:sz="0" w:space="0" w:color="auto"/>
      </w:divBdr>
    </w:div>
    <w:div w:id="1029070527">
      <w:bodyDiv w:val="1"/>
      <w:marLeft w:val="0"/>
      <w:marRight w:val="0"/>
      <w:marTop w:val="0"/>
      <w:marBottom w:val="0"/>
      <w:divBdr>
        <w:top w:val="none" w:sz="0" w:space="0" w:color="auto"/>
        <w:left w:val="none" w:sz="0" w:space="0" w:color="auto"/>
        <w:bottom w:val="none" w:sz="0" w:space="0" w:color="auto"/>
        <w:right w:val="none" w:sz="0" w:space="0" w:color="auto"/>
      </w:divBdr>
    </w:div>
    <w:div w:id="1037700847">
      <w:bodyDiv w:val="1"/>
      <w:marLeft w:val="0"/>
      <w:marRight w:val="0"/>
      <w:marTop w:val="0"/>
      <w:marBottom w:val="0"/>
      <w:divBdr>
        <w:top w:val="none" w:sz="0" w:space="0" w:color="auto"/>
        <w:left w:val="none" w:sz="0" w:space="0" w:color="auto"/>
        <w:bottom w:val="none" w:sz="0" w:space="0" w:color="auto"/>
        <w:right w:val="none" w:sz="0" w:space="0" w:color="auto"/>
      </w:divBdr>
    </w:div>
    <w:div w:id="1039816041">
      <w:bodyDiv w:val="1"/>
      <w:marLeft w:val="0"/>
      <w:marRight w:val="0"/>
      <w:marTop w:val="0"/>
      <w:marBottom w:val="0"/>
      <w:divBdr>
        <w:top w:val="none" w:sz="0" w:space="0" w:color="auto"/>
        <w:left w:val="none" w:sz="0" w:space="0" w:color="auto"/>
        <w:bottom w:val="none" w:sz="0" w:space="0" w:color="auto"/>
        <w:right w:val="none" w:sz="0" w:space="0" w:color="auto"/>
      </w:divBdr>
    </w:div>
    <w:div w:id="1043601505">
      <w:bodyDiv w:val="1"/>
      <w:marLeft w:val="0"/>
      <w:marRight w:val="0"/>
      <w:marTop w:val="0"/>
      <w:marBottom w:val="0"/>
      <w:divBdr>
        <w:top w:val="none" w:sz="0" w:space="0" w:color="auto"/>
        <w:left w:val="none" w:sz="0" w:space="0" w:color="auto"/>
        <w:bottom w:val="none" w:sz="0" w:space="0" w:color="auto"/>
        <w:right w:val="none" w:sz="0" w:space="0" w:color="auto"/>
      </w:divBdr>
    </w:div>
    <w:div w:id="1044214143">
      <w:bodyDiv w:val="1"/>
      <w:marLeft w:val="0"/>
      <w:marRight w:val="0"/>
      <w:marTop w:val="0"/>
      <w:marBottom w:val="0"/>
      <w:divBdr>
        <w:top w:val="none" w:sz="0" w:space="0" w:color="auto"/>
        <w:left w:val="none" w:sz="0" w:space="0" w:color="auto"/>
        <w:bottom w:val="none" w:sz="0" w:space="0" w:color="auto"/>
        <w:right w:val="none" w:sz="0" w:space="0" w:color="auto"/>
      </w:divBdr>
    </w:div>
    <w:div w:id="1045955539">
      <w:bodyDiv w:val="1"/>
      <w:marLeft w:val="0"/>
      <w:marRight w:val="0"/>
      <w:marTop w:val="0"/>
      <w:marBottom w:val="0"/>
      <w:divBdr>
        <w:top w:val="none" w:sz="0" w:space="0" w:color="auto"/>
        <w:left w:val="none" w:sz="0" w:space="0" w:color="auto"/>
        <w:bottom w:val="none" w:sz="0" w:space="0" w:color="auto"/>
        <w:right w:val="none" w:sz="0" w:space="0" w:color="auto"/>
      </w:divBdr>
    </w:div>
    <w:div w:id="1073283165">
      <w:bodyDiv w:val="1"/>
      <w:marLeft w:val="0"/>
      <w:marRight w:val="0"/>
      <w:marTop w:val="0"/>
      <w:marBottom w:val="0"/>
      <w:divBdr>
        <w:top w:val="none" w:sz="0" w:space="0" w:color="auto"/>
        <w:left w:val="none" w:sz="0" w:space="0" w:color="auto"/>
        <w:bottom w:val="none" w:sz="0" w:space="0" w:color="auto"/>
        <w:right w:val="none" w:sz="0" w:space="0" w:color="auto"/>
      </w:divBdr>
    </w:div>
    <w:div w:id="1079987271">
      <w:bodyDiv w:val="1"/>
      <w:marLeft w:val="0"/>
      <w:marRight w:val="0"/>
      <w:marTop w:val="0"/>
      <w:marBottom w:val="0"/>
      <w:divBdr>
        <w:top w:val="none" w:sz="0" w:space="0" w:color="auto"/>
        <w:left w:val="none" w:sz="0" w:space="0" w:color="auto"/>
        <w:bottom w:val="none" w:sz="0" w:space="0" w:color="auto"/>
        <w:right w:val="none" w:sz="0" w:space="0" w:color="auto"/>
      </w:divBdr>
    </w:div>
    <w:div w:id="1084033457">
      <w:bodyDiv w:val="1"/>
      <w:marLeft w:val="0"/>
      <w:marRight w:val="0"/>
      <w:marTop w:val="0"/>
      <w:marBottom w:val="0"/>
      <w:divBdr>
        <w:top w:val="none" w:sz="0" w:space="0" w:color="auto"/>
        <w:left w:val="none" w:sz="0" w:space="0" w:color="auto"/>
        <w:bottom w:val="none" w:sz="0" w:space="0" w:color="auto"/>
        <w:right w:val="none" w:sz="0" w:space="0" w:color="auto"/>
      </w:divBdr>
    </w:div>
    <w:div w:id="1089275649">
      <w:bodyDiv w:val="1"/>
      <w:marLeft w:val="0"/>
      <w:marRight w:val="0"/>
      <w:marTop w:val="0"/>
      <w:marBottom w:val="0"/>
      <w:divBdr>
        <w:top w:val="none" w:sz="0" w:space="0" w:color="auto"/>
        <w:left w:val="none" w:sz="0" w:space="0" w:color="auto"/>
        <w:bottom w:val="none" w:sz="0" w:space="0" w:color="auto"/>
        <w:right w:val="none" w:sz="0" w:space="0" w:color="auto"/>
      </w:divBdr>
    </w:div>
    <w:div w:id="1109199837">
      <w:bodyDiv w:val="1"/>
      <w:marLeft w:val="0"/>
      <w:marRight w:val="0"/>
      <w:marTop w:val="0"/>
      <w:marBottom w:val="0"/>
      <w:divBdr>
        <w:top w:val="none" w:sz="0" w:space="0" w:color="auto"/>
        <w:left w:val="none" w:sz="0" w:space="0" w:color="auto"/>
        <w:bottom w:val="none" w:sz="0" w:space="0" w:color="auto"/>
        <w:right w:val="none" w:sz="0" w:space="0" w:color="auto"/>
      </w:divBdr>
    </w:div>
    <w:div w:id="1122841622">
      <w:bodyDiv w:val="1"/>
      <w:marLeft w:val="0"/>
      <w:marRight w:val="0"/>
      <w:marTop w:val="0"/>
      <w:marBottom w:val="0"/>
      <w:divBdr>
        <w:top w:val="none" w:sz="0" w:space="0" w:color="auto"/>
        <w:left w:val="none" w:sz="0" w:space="0" w:color="auto"/>
        <w:bottom w:val="none" w:sz="0" w:space="0" w:color="auto"/>
        <w:right w:val="none" w:sz="0" w:space="0" w:color="auto"/>
      </w:divBdr>
    </w:div>
    <w:div w:id="1141506081">
      <w:bodyDiv w:val="1"/>
      <w:marLeft w:val="0"/>
      <w:marRight w:val="0"/>
      <w:marTop w:val="0"/>
      <w:marBottom w:val="0"/>
      <w:divBdr>
        <w:top w:val="none" w:sz="0" w:space="0" w:color="auto"/>
        <w:left w:val="none" w:sz="0" w:space="0" w:color="auto"/>
        <w:bottom w:val="none" w:sz="0" w:space="0" w:color="auto"/>
        <w:right w:val="none" w:sz="0" w:space="0" w:color="auto"/>
      </w:divBdr>
    </w:div>
    <w:div w:id="1153988094">
      <w:bodyDiv w:val="1"/>
      <w:marLeft w:val="0"/>
      <w:marRight w:val="0"/>
      <w:marTop w:val="0"/>
      <w:marBottom w:val="0"/>
      <w:divBdr>
        <w:top w:val="none" w:sz="0" w:space="0" w:color="auto"/>
        <w:left w:val="none" w:sz="0" w:space="0" w:color="auto"/>
        <w:bottom w:val="none" w:sz="0" w:space="0" w:color="auto"/>
        <w:right w:val="none" w:sz="0" w:space="0" w:color="auto"/>
      </w:divBdr>
    </w:div>
    <w:div w:id="1176654444">
      <w:bodyDiv w:val="1"/>
      <w:marLeft w:val="0"/>
      <w:marRight w:val="0"/>
      <w:marTop w:val="0"/>
      <w:marBottom w:val="0"/>
      <w:divBdr>
        <w:top w:val="none" w:sz="0" w:space="0" w:color="auto"/>
        <w:left w:val="none" w:sz="0" w:space="0" w:color="auto"/>
        <w:bottom w:val="none" w:sz="0" w:space="0" w:color="auto"/>
        <w:right w:val="none" w:sz="0" w:space="0" w:color="auto"/>
      </w:divBdr>
    </w:div>
    <w:div w:id="1180003474">
      <w:bodyDiv w:val="1"/>
      <w:marLeft w:val="0"/>
      <w:marRight w:val="0"/>
      <w:marTop w:val="0"/>
      <w:marBottom w:val="0"/>
      <w:divBdr>
        <w:top w:val="none" w:sz="0" w:space="0" w:color="auto"/>
        <w:left w:val="none" w:sz="0" w:space="0" w:color="auto"/>
        <w:bottom w:val="none" w:sz="0" w:space="0" w:color="auto"/>
        <w:right w:val="none" w:sz="0" w:space="0" w:color="auto"/>
      </w:divBdr>
    </w:div>
    <w:div w:id="1211188262">
      <w:bodyDiv w:val="1"/>
      <w:marLeft w:val="0"/>
      <w:marRight w:val="0"/>
      <w:marTop w:val="0"/>
      <w:marBottom w:val="0"/>
      <w:divBdr>
        <w:top w:val="none" w:sz="0" w:space="0" w:color="auto"/>
        <w:left w:val="none" w:sz="0" w:space="0" w:color="auto"/>
        <w:bottom w:val="none" w:sz="0" w:space="0" w:color="auto"/>
        <w:right w:val="none" w:sz="0" w:space="0" w:color="auto"/>
      </w:divBdr>
      <w:divsChild>
        <w:div w:id="25254370">
          <w:marLeft w:val="255"/>
          <w:marRight w:val="0"/>
          <w:marTop w:val="75"/>
          <w:marBottom w:val="0"/>
          <w:divBdr>
            <w:top w:val="none" w:sz="0" w:space="0" w:color="auto"/>
            <w:left w:val="none" w:sz="0" w:space="0" w:color="auto"/>
            <w:bottom w:val="none" w:sz="0" w:space="0" w:color="auto"/>
            <w:right w:val="none" w:sz="0" w:space="0" w:color="auto"/>
          </w:divBdr>
        </w:div>
        <w:div w:id="1647932918">
          <w:marLeft w:val="255"/>
          <w:marRight w:val="0"/>
          <w:marTop w:val="75"/>
          <w:marBottom w:val="0"/>
          <w:divBdr>
            <w:top w:val="none" w:sz="0" w:space="0" w:color="auto"/>
            <w:left w:val="none" w:sz="0" w:space="0" w:color="auto"/>
            <w:bottom w:val="none" w:sz="0" w:space="0" w:color="auto"/>
            <w:right w:val="none" w:sz="0" w:space="0" w:color="auto"/>
          </w:divBdr>
        </w:div>
      </w:divsChild>
    </w:div>
    <w:div w:id="1212108772">
      <w:bodyDiv w:val="1"/>
      <w:marLeft w:val="0"/>
      <w:marRight w:val="0"/>
      <w:marTop w:val="0"/>
      <w:marBottom w:val="0"/>
      <w:divBdr>
        <w:top w:val="none" w:sz="0" w:space="0" w:color="auto"/>
        <w:left w:val="none" w:sz="0" w:space="0" w:color="auto"/>
        <w:bottom w:val="none" w:sz="0" w:space="0" w:color="auto"/>
        <w:right w:val="none" w:sz="0" w:space="0" w:color="auto"/>
      </w:divBdr>
    </w:div>
    <w:div w:id="1222712934">
      <w:bodyDiv w:val="1"/>
      <w:marLeft w:val="0"/>
      <w:marRight w:val="0"/>
      <w:marTop w:val="0"/>
      <w:marBottom w:val="0"/>
      <w:divBdr>
        <w:top w:val="none" w:sz="0" w:space="0" w:color="auto"/>
        <w:left w:val="none" w:sz="0" w:space="0" w:color="auto"/>
        <w:bottom w:val="none" w:sz="0" w:space="0" w:color="auto"/>
        <w:right w:val="none" w:sz="0" w:space="0" w:color="auto"/>
      </w:divBdr>
    </w:div>
    <w:div w:id="1224487154">
      <w:bodyDiv w:val="1"/>
      <w:marLeft w:val="0"/>
      <w:marRight w:val="0"/>
      <w:marTop w:val="0"/>
      <w:marBottom w:val="0"/>
      <w:divBdr>
        <w:top w:val="none" w:sz="0" w:space="0" w:color="auto"/>
        <w:left w:val="none" w:sz="0" w:space="0" w:color="auto"/>
        <w:bottom w:val="none" w:sz="0" w:space="0" w:color="auto"/>
        <w:right w:val="none" w:sz="0" w:space="0" w:color="auto"/>
      </w:divBdr>
    </w:div>
    <w:div w:id="1236013207">
      <w:bodyDiv w:val="1"/>
      <w:marLeft w:val="0"/>
      <w:marRight w:val="0"/>
      <w:marTop w:val="0"/>
      <w:marBottom w:val="0"/>
      <w:divBdr>
        <w:top w:val="none" w:sz="0" w:space="0" w:color="auto"/>
        <w:left w:val="none" w:sz="0" w:space="0" w:color="auto"/>
        <w:bottom w:val="none" w:sz="0" w:space="0" w:color="auto"/>
        <w:right w:val="none" w:sz="0" w:space="0" w:color="auto"/>
      </w:divBdr>
      <w:divsChild>
        <w:div w:id="1102602592">
          <w:marLeft w:val="0"/>
          <w:marRight w:val="0"/>
          <w:marTop w:val="0"/>
          <w:marBottom w:val="0"/>
          <w:divBdr>
            <w:top w:val="none" w:sz="0" w:space="0" w:color="auto"/>
            <w:left w:val="none" w:sz="0" w:space="0" w:color="auto"/>
            <w:bottom w:val="none" w:sz="0" w:space="0" w:color="auto"/>
            <w:right w:val="none" w:sz="0" w:space="0" w:color="auto"/>
          </w:divBdr>
          <w:divsChild>
            <w:div w:id="10795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07816">
      <w:bodyDiv w:val="1"/>
      <w:marLeft w:val="0"/>
      <w:marRight w:val="0"/>
      <w:marTop w:val="0"/>
      <w:marBottom w:val="0"/>
      <w:divBdr>
        <w:top w:val="none" w:sz="0" w:space="0" w:color="auto"/>
        <w:left w:val="none" w:sz="0" w:space="0" w:color="auto"/>
        <w:bottom w:val="none" w:sz="0" w:space="0" w:color="auto"/>
        <w:right w:val="none" w:sz="0" w:space="0" w:color="auto"/>
      </w:divBdr>
    </w:div>
    <w:div w:id="1245989531">
      <w:bodyDiv w:val="1"/>
      <w:marLeft w:val="0"/>
      <w:marRight w:val="0"/>
      <w:marTop w:val="0"/>
      <w:marBottom w:val="0"/>
      <w:divBdr>
        <w:top w:val="none" w:sz="0" w:space="0" w:color="auto"/>
        <w:left w:val="none" w:sz="0" w:space="0" w:color="auto"/>
        <w:bottom w:val="none" w:sz="0" w:space="0" w:color="auto"/>
        <w:right w:val="none" w:sz="0" w:space="0" w:color="auto"/>
      </w:divBdr>
    </w:div>
    <w:div w:id="1252592722">
      <w:bodyDiv w:val="1"/>
      <w:marLeft w:val="0"/>
      <w:marRight w:val="0"/>
      <w:marTop w:val="0"/>
      <w:marBottom w:val="0"/>
      <w:divBdr>
        <w:top w:val="none" w:sz="0" w:space="0" w:color="auto"/>
        <w:left w:val="none" w:sz="0" w:space="0" w:color="auto"/>
        <w:bottom w:val="none" w:sz="0" w:space="0" w:color="auto"/>
        <w:right w:val="none" w:sz="0" w:space="0" w:color="auto"/>
      </w:divBdr>
    </w:div>
    <w:div w:id="1260407527">
      <w:bodyDiv w:val="1"/>
      <w:marLeft w:val="0"/>
      <w:marRight w:val="0"/>
      <w:marTop w:val="0"/>
      <w:marBottom w:val="0"/>
      <w:divBdr>
        <w:top w:val="none" w:sz="0" w:space="0" w:color="auto"/>
        <w:left w:val="none" w:sz="0" w:space="0" w:color="auto"/>
        <w:bottom w:val="none" w:sz="0" w:space="0" w:color="auto"/>
        <w:right w:val="none" w:sz="0" w:space="0" w:color="auto"/>
      </w:divBdr>
    </w:div>
    <w:div w:id="1313485318">
      <w:bodyDiv w:val="1"/>
      <w:marLeft w:val="0"/>
      <w:marRight w:val="0"/>
      <w:marTop w:val="0"/>
      <w:marBottom w:val="0"/>
      <w:divBdr>
        <w:top w:val="none" w:sz="0" w:space="0" w:color="auto"/>
        <w:left w:val="none" w:sz="0" w:space="0" w:color="auto"/>
        <w:bottom w:val="none" w:sz="0" w:space="0" w:color="auto"/>
        <w:right w:val="none" w:sz="0" w:space="0" w:color="auto"/>
      </w:divBdr>
    </w:div>
    <w:div w:id="1314290500">
      <w:bodyDiv w:val="1"/>
      <w:marLeft w:val="0"/>
      <w:marRight w:val="0"/>
      <w:marTop w:val="0"/>
      <w:marBottom w:val="0"/>
      <w:divBdr>
        <w:top w:val="none" w:sz="0" w:space="0" w:color="auto"/>
        <w:left w:val="none" w:sz="0" w:space="0" w:color="auto"/>
        <w:bottom w:val="none" w:sz="0" w:space="0" w:color="auto"/>
        <w:right w:val="none" w:sz="0" w:space="0" w:color="auto"/>
      </w:divBdr>
    </w:div>
    <w:div w:id="1320841724">
      <w:bodyDiv w:val="1"/>
      <w:marLeft w:val="0"/>
      <w:marRight w:val="0"/>
      <w:marTop w:val="0"/>
      <w:marBottom w:val="0"/>
      <w:divBdr>
        <w:top w:val="none" w:sz="0" w:space="0" w:color="auto"/>
        <w:left w:val="none" w:sz="0" w:space="0" w:color="auto"/>
        <w:bottom w:val="none" w:sz="0" w:space="0" w:color="auto"/>
        <w:right w:val="none" w:sz="0" w:space="0" w:color="auto"/>
      </w:divBdr>
    </w:div>
    <w:div w:id="1325205505">
      <w:bodyDiv w:val="1"/>
      <w:marLeft w:val="0"/>
      <w:marRight w:val="0"/>
      <w:marTop w:val="0"/>
      <w:marBottom w:val="0"/>
      <w:divBdr>
        <w:top w:val="none" w:sz="0" w:space="0" w:color="auto"/>
        <w:left w:val="none" w:sz="0" w:space="0" w:color="auto"/>
        <w:bottom w:val="none" w:sz="0" w:space="0" w:color="auto"/>
        <w:right w:val="none" w:sz="0" w:space="0" w:color="auto"/>
      </w:divBdr>
    </w:div>
    <w:div w:id="1329598797">
      <w:bodyDiv w:val="1"/>
      <w:marLeft w:val="0"/>
      <w:marRight w:val="0"/>
      <w:marTop w:val="0"/>
      <w:marBottom w:val="0"/>
      <w:divBdr>
        <w:top w:val="none" w:sz="0" w:space="0" w:color="auto"/>
        <w:left w:val="none" w:sz="0" w:space="0" w:color="auto"/>
        <w:bottom w:val="none" w:sz="0" w:space="0" w:color="auto"/>
        <w:right w:val="none" w:sz="0" w:space="0" w:color="auto"/>
      </w:divBdr>
    </w:div>
    <w:div w:id="1341396687">
      <w:bodyDiv w:val="1"/>
      <w:marLeft w:val="0"/>
      <w:marRight w:val="0"/>
      <w:marTop w:val="0"/>
      <w:marBottom w:val="0"/>
      <w:divBdr>
        <w:top w:val="none" w:sz="0" w:space="0" w:color="auto"/>
        <w:left w:val="none" w:sz="0" w:space="0" w:color="auto"/>
        <w:bottom w:val="none" w:sz="0" w:space="0" w:color="auto"/>
        <w:right w:val="none" w:sz="0" w:space="0" w:color="auto"/>
      </w:divBdr>
    </w:div>
    <w:div w:id="1344433525">
      <w:bodyDiv w:val="1"/>
      <w:marLeft w:val="0"/>
      <w:marRight w:val="0"/>
      <w:marTop w:val="0"/>
      <w:marBottom w:val="0"/>
      <w:divBdr>
        <w:top w:val="none" w:sz="0" w:space="0" w:color="auto"/>
        <w:left w:val="none" w:sz="0" w:space="0" w:color="auto"/>
        <w:bottom w:val="none" w:sz="0" w:space="0" w:color="auto"/>
        <w:right w:val="none" w:sz="0" w:space="0" w:color="auto"/>
      </w:divBdr>
    </w:div>
    <w:div w:id="1351026048">
      <w:bodyDiv w:val="1"/>
      <w:marLeft w:val="0"/>
      <w:marRight w:val="0"/>
      <w:marTop w:val="0"/>
      <w:marBottom w:val="0"/>
      <w:divBdr>
        <w:top w:val="none" w:sz="0" w:space="0" w:color="auto"/>
        <w:left w:val="none" w:sz="0" w:space="0" w:color="auto"/>
        <w:bottom w:val="none" w:sz="0" w:space="0" w:color="auto"/>
        <w:right w:val="none" w:sz="0" w:space="0" w:color="auto"/>
      </w:divBdr>
    </w:div>
    <w:div w:id="1357004607">
      <w:bodyDiv w:val="1"/>
      <w:marLeft w:val="0"/>
      <w:marRight w:val="0"/>
      <w:marTop w:val="0"/>
      <w:marBottom w:val="0"/>
      <w:divBdr>
        <w:top w:val="none" w:sz="0" w:space="0" w:color="auto"/>
        <w:left w:val="none" w:sz="0" w:space="0" w:color="auto"/>
        <w:bottom w:val="none" w:sz="0" w:space="0" w:color="auto"/>
        <w:right w:val="none" w:sz="0" w:space="0" w:color="auto"/>
      </w:divBdr>
    </w:div>
    <w:div w:id="1362972196">
      <w:bodyDiv w:val="1"/>
      <w:marLeft w:val="0"/>
      <w:marRight w:val="0"/>
      <w:marTop w:val="0"/>
      <w:marBottom w:val="0"/>
      <w:divBdr>
        <w:top w:val="none" w:sz="0" w:space="0" w:color="auto"/>
        <w:left w:val="none" w:sz="0" w:space="0" w:color="auto"/>
        <w:bottom w:val="none" w:sz="0" w:space="0" w:color="auto"/>
        <w:right w:val="none" w:sz="0" w:space="0" w:color="auto"/>
      </w:divBdr>
    </w:div>
    <w:div w:id="1366784909">
      <w:bodyDiv w:val="1"/>
      <w:marLeft w:val="0"/>
      <w:marRight w:val="0"/>
      <w:marTop w:val="0"/>
      <w:marBottom w:val="0"/>
      <w:divBdr>
        <w:top w:val="none" w:sz="0" w:space="0" w:color="auto"/>
        <w:left w:val="none" w:sz="0" w:space="0" w:color="auto"/>
        <w:bottom w:val="none" w:sz="0" w:space="0" w:color="auto"/>
        <w:right w:val="none" w:sz="0" w:space="0" w:color="auto"/>
      </w:divBdr>
    </w:div>
    <w:div w:id="1386637773">
      <w:bodyDiv w:val="1"/>
      <w:marLeft w:val="0"/>
      <w:marRight w:val="0"/>
      <w:marTop w:val="0"/>
      <w:marBottom w:val="0"/>
      <w:divBdr>
        <w:top w:val="none" w:sz="0" w:space="0" w:color="auto"/>
        <w:left w:val="none" w:sz="0" w:space="0" w:color="auto"/>
        <w:bottom w:val="none" w:sz="0" w:space="0" w:color="auto"/>
        <w:right w:val="none" w:sz="0" w:space="0" w:color="auto"/>
      </w:divBdr>
    </w:div>
    <w:div w:id="1388263882">
      <w:bodyDiv w:val="1"/>
      <w:marLeft w:val="0"/>
      <w:marRight w:val="0"/>
      <w:marTop w:val="0"/>
      <w:marBottom w:val="0"/>
      <w:divBdr>
        <w:top w:val="none" w:sz="0" w:space="0" w:color="auto"/>
        <w:left w:val="none" w:sz="0" w:space="0" w:color="auto"/>
        <w:bottom w:val="none" w:sz="0" w:space="0" w:color="auto"/>
        <w:right w:val="none" w:sz="0" w:space="0" w:color="auto"/>
      </w:divBdr>
    </w:div>
    <w:div w:id="1400010185">
      <w:bodyDiv w:val="1"/>
      <w:marLeft w:val="0"/>
      <w:marRight w:val="0"/>
      <w:marTop w:val="0"/>
      <w:marBottom w:val="0"/>
      <w:divBdr>
        <w:top w:val="none" w:sz="0" w:space="0" w:color="auto"/>
        <w:left w:val="none" w:sz="0" w:space="0" w:color="auto"/>
        <w:bottom w:val="none" w:sz="0" w:space="0" w:color="auto"/>
        <w:right w:val="none" w:sz="0" w:space="0" w:color="auto"/>
      </w:divBdr>
    </w:div>
    <w:div w:id="1407877019">
      <w:bodyDiv w:val="1"/>
      <w:marLeft w:val="0"/>
      <w:marRight w:val="0"/>
      <w:marTop w:val="0"/>
      <w:marBottom w:val="0"/>
      <w:divBdr>
        <w:top w:val="none" w:sz="0" w:space="0" w:color="auto"/>
        <w:left w:val="none" w:sz="0" w:space="0" w:color="auto"/>
        <w:bottom w:val="none" w:sz="0" w:space="0" w:color="auto"/>
        <w:right w:val="none" w:sz="0" w:space="0" w:color="auto"/>
      </w:divBdr>
    </w:div>
    <w:div w:id="1408844997">
      <w:bodyDiv w:val="1"/>
      <w:marLeft w:val="0"/>
      <w:marRight w:val="0"/>
      <w:marTop w:val="0"/>
      <w:marBottom w:val="0"/>
      <w:divBdr>
        <w:top w:val="none" w:sz="0" w:space="0" w:color="auto"/>
        <w:left w:val="none" w:sz="0" w:space="0" w:color="auto"/>
        <w:bottom w:val="none" w:sz="0" w:space="0" w:color="auto"/>
        <w:right w:val="none" w:sz="0" w:space="0" w:color="auto"/>
      </w:divBdr>
    </w:div>
    <w:div w:id="1411389899">
      <w:bodyDiv w:val="1"/>
      <w:marLeft w:val="0"/>
      <w:marRight w:val="0"/>
      <w:marTop w:val="0"/>
      <w:marBottom w:val="0"/>
      <w:divBdr>
        <w:top w:val="none" w:sz="0" w:space="0" w:color="auto"/>
        <w:left w:val="none" w:sz="0" w:space="0" w:color="auto"/>
        <w:bottom w:val="none" w:sz="0" w:space="0" w:color="auto"/>
        <w:right w:val="none" w:sz="0" w:space="0" w:color="auto"/>
      </w:divBdr>
    </w:div>
    <w:div w:id="1415124034">
      <w:bodyDiv w:val="1"/>
      <w:marLeft w:val="0"/>
      <w:marRight w:val="0"/>
      <w:marTop w:val="0"/>
      <w:marBottom w:val="0"/>
      <w:divBdr>
        <w:top w:val="none" w:sz="0" w:space="0" w:color="auto"/>
        <w:left w:val="none" w:sz="0" w:space="0" w:color="auto"/>
        <w:bottom w:val="none" w:sz="0" w:space="0" w:color="auto"/>
        <w:right w:val="none" w:sz="0" w:space="0" w:color="auto"/>
      </w:divBdr>
    </w:div>
    <w:div w:id="1421172759">
      <w:bodyDiv w:val="1"/>
      <w:marLeft w:val="0"/>
      <w:marRight w:val="0"/>
      <w:marTop w:val="0"/>
      <w:marBottom w:val="0"/>
      <w:divBdr>
        <w:top w:val="none" w:sz="0" w:space="0" w:color="auto"/>
        <w:left w:val="none" w:sz="0" w:space="0" w:color="auto"/>
        <w:bottom w:val="none" w:sz="0" w:space="0" w:color="auto"/>
        <w:right w:val="none" w:sz="0" w:space="0" w:color="auto"/>
      </w:divBdr>
    </w:div>
    <w:div w:id="1436748164">
      <w:bodyDiv w:val="1"/>
      <w:marLeft w:val="0"/>
      <w:marRight w:val="0"/>
      <w:marTop w:val="0"/>
      <w:marBottom w:val="0"/>
      <w:divBdr>
        <w:top w:val="none" w:sz="0" w:space="0" w:color="auto"/>
        <w:left w:val="none" w:sz="0" w:space="0" w:color="auto"/>
        <w:bottom w:val="none" w:sz="0" w:space="0" w:color="auto"/>
        <w:right w:val="none" w:sz="0" w:space="0" w:color="auto"/>
      </w:divBdr>
    </w:div>
    <w:div w:id="1457678638">
      <w:bodyDiv w:val="1"/>
      <w:marLeft w:val="0"/>
      <w:marRight w:val="0"/>
      <w:marTop w:val="0"/>
      <w:marBottom w:val="0"/>
      <w:divBdr>
        <w:top w:val="none" w:sz="0" w:space="0" w:color="auto"/>
        <w:left w:val="none" w:sz="0" w:space="0" w:color="auto"/>
        <w:bottom w:val="none" w:sz="0" w:space="0" w:color="auto"/>
        <w:right w:val="none" w:sz="0" w:space="0" w:color="auto"/>
      </w:divBdr>
    </w:div>
    <w:div w:id="1461265895">
      <w:bodyDiv w:val="1"/>
      <w:marLeft w:val="0"/>
      <w:marRight w:val="0"/>
      <w:marTop w:val="0"/>
      <w:marBottom w:val="0"/>
      <w:divBdr>
        <w:top w:val="none" w:sz="0" w:space="0" w:color="auto"/>
        <w:left w:val="none" w:sz="0" w:space="0" w:color="auto"/>
        <w:bottom w:val="none" w:sz="0" w:space="0" w:color="auto"/>
        <w:right w:val="none" w:sz="0" w:space="0" w:color="auto"/>
      </w:divBdr>
    </w:div>
    <w:div w:id="1466199154">
      <w:bodyDiv w:val="1"/>
      <w:marLeft w:val="0"/>
      <w:marRight w:val="0"/>
      <w:marTop w:val="0"/>
      <w:marBottom w:val="0"/>
      <w:divBdr>
        <w:top w:val="none" w:sz="0" w:space="0" w:color="auto"/>
        <w:left w:val="none" w:sz="0" w:space="0" w:color="auto"/>
        <w:bottom w:val="none" w:sz="0" w:space="0" w:color="auto"/>
        <w:right w:val="none" w:sz="0" w:space="0" w:color="auto"/>
      </w:divBdr>
    </w:div>
    <w:div w:id="1469129678">
      <w:bodyDiv w:val="1"/>
      <w:marLeft w:val="0"/>
      <w:marRight w:val="0"/>
      <w:marTop w:val="0"/>
      <w:marBottom w:val="0"/>
      <w:divBdr>
        <w:top w:val="none" w:sz="0" w:space="0" w:color="auto"/>
        <w:left w:val="none" w:sz="0" w:space="0" w:color="auto"/>
        <w:bottom w:val="none" w:sz="0" w:space="0" w:color="auto"/>
        <w:right w:val="none" w:sz="0" w:space="0" w:color="auto"/>
      </w:divBdr>
    </w:div>
    <w:div w:id="1500777164">
      <w:bodyDiv w:val="1"/>
      <w:marLeft w:val="0"/>
      <w:marRight w:val="0"/>
      <w:marTop w:val="0"/>
      <w:marBottom w:val="0"/>
      <w:divBdr>
        <w:top w:val="none" w:sz="0" w:space="0" w:color="auto"/>
        <w:left w:val="none" w:sz="0" w:space="0" w:color="auto"/>
        <w:bottom w:val="none" w:sz="0" w:space="0" w:color="auto"/>
        <w:right w:val="none" w:sz="0" w:space="0" w:color="auto"/>
      </w:divBdr>
    </w:div>
    <w:div w:id="1504321761">
      <w:bodyDiv w:val="1"/>
      <w:marLeft w:val="0"/>
      <w:marRight w:val="0"/>
      <w:marTop w:val="0"/>
      <w:marBottom w:val="0"/>
      <w:divBdr>
        <w:top w:val="none" w:sz="0" w:space="0" w:color="auto"/>
        <w:left w:val="none" w:sz="0" w:space="0" w:color="auto"/>
        <w:bottom w:val="none" w:sz="0" w:space="0" w:color="auto"/>
        <w:right w:val="none" w:sz="0" w:space="0" w:color="auto"/>
      </w:divBdr>
    </w:div>
    <w:div w:id="1505822401">
      <w:bodyDiv w:val="1"/>
      <w:marLeft w:val="0"/>
      <w:marRight w:val="0"/>
      <w:marTop w:val="0"/>
      <w:marBottom w:val="0"/>
      <w:divBdr>
        <w:top w:val="none" w:sz="0" w:space="0" w:color="auto"/>
        <w:left w:val="none" w:sz="0" w:space="0" w:color="auto"/>
        <w:bottom w:val="none" w:sz="0" w:space="0" w:color="auto"/>
        <w:right w:val="none" w:sz="0" w:space="0" w:color="auto"/>
      </w:divBdr>
    </w:div>
    <w:div w:id="1506556798">
      <w:bodyDiv w:val="1"/>
      <w:marLeft w:val="0"/>
      <w:marRight w:val="0"/>
      <w:marTop w:val="0"/>
      <w:marBottom w:val="0"/>
      <w:divBdr>
        <w:top w:val="none" w:sz="0" w:space="0" w:color="auto"/>
        <w:left w:val="none" w:sz="0" w:space="0" w:color="auto"/>
        <w:bottom w:val="none" w:sz="0" w:space="0" w:color="auto"/>
        <w:right w:val="none" w:sz="0" w:space="0" w:color="auto"/>
      </w:divBdr>
    </w:div>
    <w:div w:id="1511532275">
      <w:bodyDiv w:val="1"/>
      <w:marLeft w:val="0"/>
      <w:marRight w:val="0"/>
      <w:marTop w:val="0"/>
      <w:marBottom w:val="0"/>
      <w:divBdr>
        <w:top w:val="none" w:sz="0" w:space="0" w:color="auto"/>
        <w:left w:val="none" w:sz="0" w:space="0" w:color="auto"/>
        <w:bottom w:val="none" w:sz="0" w:space="0" w:color="auto"/>
        <w:right w:val="none" w:sz="0" w:space="0" w:color="auto"/>
      </w:divBdr>
    </w:div>
    <w:div w:id="1548758377">
      <w:bodyDiv w:val="1"/>
      <w:marLeft w:val="0"/>
      <w:marRight w:val="0"/>
      <w:marTop w:val="0"/>
      <w:marBottom w:val="0"/>
      <w:divBdr>
        <w:top w:val="none" w:sz="0" w:space="0" w:color="auto"/>
        <w:left w:val="none" w:sz="0" w:space="0" w:color="auto"/>
        <w:bottom w:val="none" w:sz="0" w:space="0" w:color="auto"/>
        <w:right w:val="none" w:sz="0" w:space="0" w:color="auto"/>
      </w:divBdr>
    </w:div>
    <w:div w:id="1576165263">
      <w:bodyDiv w:val="1"/>
      <w:marLeft w:val="0"/>
      <w:marRight w:val="0"/>
      <w:marTop w:val="0"/>
      <w:marBottom w:val="0"/>
      <w:divBdr>
        <w:top w:val="none" w:sz="0" w:space="0" w:color="auto"/>
        <w:left w:val="none" w:sz="0" w:space="0" w:color="auto"/>
        <w:bottom w:val="none" w:sz="0" w:space="0" w:color="auto"/>
        <w:right w:val="none" w:sz="0" w:space="0" w:color="auto"/>
      </w:divBdr>
    </w:div>
    <w:div w:id="1583297842">
      <w:bodyDiv w:val="1"/>
      <w:marLeft w:val="0"/>
      <w:marRight w:val="0"/>
      <w:marTop w:val="0"/>
      <w:marBottom w:val="0"/>
      <w:divBdr>
        <w:top w:val="none" w:sz="0" w:space="0" w:color="auto"/>
        <w:left w:val="none" w:sz="0" w:space="0" w:color="auto"/>
        <w:bottom w:val="none" w:sz="0" w:space="0" w:color="auto"/>
        <w:right w:val="none" w:sz="0" w:space="0" w:color="auto"/>
      </w:divBdr>
    </w:div>
    <w:div w:id="1586263431">
      <w:bodyDiv w:val="1"/>
      <w:marLeft w:val="0"/>
      <w:marRight w:val="0"/>
      <w:marTop w:val="0"/>
      <w:marBottom w:val="0"/>
      <w:divBdr>
        <w:top w:val="none" w:sz="0" w:space="0" w:color="auto"/>
        <w:left w:val="none" w:sz="0" w:space="0" w:color="auto"/>
        <w:bottom w:val="none" w:sz="0" w:space="0" w:color="auto"/>
        <w:right w:val="none" w:sz="0" w:space="0" w:color="auto"/>
      </w:divBdr>
    </w:div>
    <w:div w:id="1607694069">
      <w:bodyDiv w:val="1"/>
      <w:marLeft w:val="0"/>
      <w:marRight w:val="0"/>
      <w:marTop w:val="0"/>
      <w:marBottom w:val="0"/>
      <w:divBdr>
        <w:top w:val="none" w:sz="0" w:space="0" w:color="auto"/>
        <w:left w:val="none" w:sz="0" w:space="0" w:color="auto"/>
        <w:bottom w:val="none" w:sz="0" w:space="0" w:color="auto"/>
        <w:right w:val="none" w:sz="0" w:space="0" w:color="auto"/>
      </w:divBdr>
    </w:div>
    <w:div w:id="1625966400">
      <w:bodyDiv w:val="1"/>
      <w:marLeft w:val="0"/>
      <w:marRight w:val="0"/>
      <w:marTop w:val="0"/>
      <w:marBottom w:val="0"/>
      <w:divBdr>
        <w:top w:val="none" w:sz="0" w:space="0" w:color="auto"/>
        <w:left w:val="none" w:sz="0" w:space="0" w:color="auto"/>
        <w:bottom w:val="none" w:sz="0" w:space="0" w:color="auto"/>
        <w:right w:val="none" w:sz="0" w:space="0" w:color="auto"/>
      </w:divBdr>
    </w:div>
    <w:div w:id="1671450700">
      <w:bodyDiv w:val="1"/>
      <w:marLeft w:val="0"/>
      <w:marRight w:val="0"/>
      <w:marTop w:val="0"/>
      <w:marBottom w:val="0"/>
      <w:divBdr>
        <w:top w:val="none" w:sz="0" w:space="0" w:color="auto"/>
        <w:left w:val="none" w:sz="0" w:space="0" w:color="auto"/>
        <w:bottom w:val="none" w:sz="0" w:space="0" w:color="auto"/>
        <w:right w:val="none" w:sz="0" w:space="0" w:color="auto"/>
      </w:divBdr>
    </w:div>
    <w:div w:id="1674724363">
      <w:bodyDiv w:val="1"/>
      <w:marLeft w:val="0"/>
      <w:marRight w:val="0"/>
      <w:marTop w:val="0"/>
      <w:marBottom w:val="0"/>
      <w:divBdr>
        <w:top w:val="none" w:sz="0" w:space="0" w:color="auto"/>
        <w:left w:val="none" w:sz="0" w:space="0" w:color="auto"/>
        <w:bottom w:val="none" w:sz="0" w:space="0" w:color="auto"/>
        <w:right w:val="none" w:sz="0" w:space="0" w:color="auto"/>
      </w:divBdr>
    </w:div>
    <w:div w:id="1676809135">
      <w:bodyDiv w:val="1"/>
      <w:marLeft w:val="0"/>
      <w:marRight w:val="0"/>
      <w:marTop w:val="0"/>
      <w:marBottom w:val="0"/>
      <w:divBdr>
        <w:top w:val="none" w:sz="0" w:space="0" w:color="auto"/>
        <w:left w:val="none" w:sz="0" w:space="0" w:color="auto"/>
        <w:bottom w:val="none" w:sz="0" w:space="0" w:color="auto"/>
        <w:right w:val="none" w:sz="0" w:space="0" w:color="auto"/>
      </w:divBdr>
    </w:div>
    <w:div w:id="1682970606">
      <w:bodyDiv w:val="1"/>
      <w:marLeft w:val="0"/>
      <w:marRight w:val="0"/>
      <w:marTop w:val="0"/>
      <w:marBottom w:val="0"/>
      <w:divBdr>
        <w:top w:val="none" w:sz="0" w:space="0" w:color="auto"/>
        <w:left w:val="none" w:sz="0" w:space="0" w:color="auto"/>
        <w:bottom w:val="none" w:sz="0" w:space="0" w:color="auto"/>
        <w:right w:val="none" w:sz="0" w:space="0" w:color="auto"/>
      </w:divBdr>
    </w:div>
    <w:div w:id="1704867728">
      <w:bodyDiv w:val="1"/>
      <w:marLeft w:val="0"/>
      <w:marRight w:val="0"/>
      <w:marTop w:val="0"/>
      <w:marBottom w:val="0"/>
      <w:divBdr>
        <w:top w:val="none" w:sz="0" w:space="0" w:color="auto"/>
        <w:left w:val="none" w:sz="0" w:space="0" w:color="auto"/>
        <w:bottom w:val="none" w:sz="0" w:space="0" w:color="auto"/>
        <w:right w:val="none" w:sz="0" w:space="0" w:color="auto"/>
      </w:divBdr>
    </w:div>
    <w:div w:id="1709334405">
      <w:bodyDiv w:val="1"/>
      <w:marLeft w:val="0"/>
      <w:marRight w:val="0"/>
      <w:marTop w:val="0"/>
      <w:marBottom w:val="0"/>
      <w:divBdr>
        <w:top w:val="none" w:sz="0" w:space="0" w:color="auto"/>
        <w:left w:val="none" w:sz="0" w:space="0" w:color="auto"/>
        <w:bottom w:val="none" w:sz="0" w:space="0" w:color="auto"/>
        <w:right w:val="none" w:sz="0" w:space="0" w:color="auto"/>
      </w:divBdr>
    </w:div>
    <w:div w:id="1723672480">
      <w:bodyDiv w:val="1"/>
      <w:marLeft w:val="0"/>
      <w:marRight w:val="0"/>
      <w:marTop w:val="0"/>
      <w:marBottom w:val="0"/>
      <w:divBdr>
        <w:top w:val="none" w:sz="0" w:space="0" w:color="auto"/>
        <w:left w:val="none" w:sz="0" w:space="0" w:color="auto"/>
        <w:bottom w:val="none" w:sz="0" w:space="0" w:color="auto"/>
        <w:right w:val="none" w:sz="0" w:space="0" w:color="auto"/>
      </w:divBdr>
    </w:div>
    <w:div w:id="1729454268">
      <w:bodyDiv w:val="1"/>
      <w:marLeft w:val="0"/>
      <w:marRight w:val="0"/>
      <w:marTop w:val="0"/>
      <w:marBottom w:val="0"/>
      <w:divBdr>
        <w:top w:val="none" w:sz="0" w:space="0" w:color="auto"/>
        <w:left w:val="none" w:sz="0" w:space="0" w:color="auto"/>
        <w:bottom w:val="none" w:sz="0" w:space="0" w:color="auto"/>
        <w:right w:val="none" w:sz="0" w:space="0" w:color="auto"/>
      </w:divBdr>
    </w:div>
    <w:div w:id="1731921732">
      <w:bodyDiv w:val="1"/>
      <w:marLeft w:val="0"/>
      <w:marRight w:val="0"/>
      <w:marTop w:val="0"/>
      <w:marBottom w:val="0"/>
      <w:divBdr>
        <w:top w:val="none" w:sz="0" w:space="0" w:color="auto"/>
        <w:left w:val="none" w:sz="0" w:space="0" w:color="auto"/>
        <w:bottom w:val="none" w:sz="0" w:space="0" w:color="auto"/>
        <w:right w:val="none" w:sz="0" w:space="0" w:color="auto"/>
      </w:divBdr>
    </w:div>
    <w:div w:id="1737388543">
      <w:bodyDiv w:val="1"/>
      <w:marLeft w:val="0"/>
      <w:marRight w:val="0"/>
      <w:marTop w:val="0"/>
      <w:marBottom w:val="0"/>
      <w:divBdr>
        <w:top w:val="none" w:sz="0" w:space="0" w:color="auto"/>
        <w:left w:val="none" w:sz="0" w:space="0" w:color="auto"/>
        <w:bottom w:val="none" w:sz="0" w:space="0" w:color="auto"/>
        <w:right w:val="none" w:sz="0" w:space="0" w:color="auto"/>
      </w:divBdr>
    </w:div>
    <w:div w:id="1789084999">
      <w:bodyDiv w:val="1"/>
      <w:marLeft w:val="0"/>
      <w:marRight w:val="0"/>
      <w:marTop w:val="0"/>
      <w:marBottom w:val="0"/>
      <w:divBdr>
        <w:top w:val="none" w:sz="0" w:space="0" w:color="auto"/>
        <w:left w:val="none" w:sz="0" w:space="0" w:color="auto"/>
        <w:bottom w:val="none" w:sz="0" w:space="0" w:color="auto"/>
        <w:right w:val="none" w:sz="0" w:space="0" w:color="auto"/>
      </w:divBdr>
    </w:div>
    <w:div w:id="1789353918">
      <w:bodyDiv w:val="1"/>
      <w:marLeft w:val="0"/>
      <w:marRight w:val="0"/>
      <w:marTop w:val="0"/>
      <w:marBottom w:val="0"/>
      <w:divBdr>
        <w:top w:val="none" w:sz="0" w:space="0" w:color="auto"/>
        <w:left w:val="none" w:sz="0" w:space="0" w:color="auto"/>
        <w:bottom w:val="none" w:sz="0" w:space="0" w:color="auto"/>
        <w:right w:val="none" w:sz="0" w:space="0" w:color="auto"/>
      </w:divBdr>
    </w:div>
    <w:div w:id="1798378127">
      <w:bodyDiv w:val="1"/>
      <w:marLeft w:val="0"/>
      <w:marRight w:val="0"/>
      <w:marTop w:val="0"/>
      <w:marBottom w:val="0"/>
      <w:divBdr>
        <w:top w:val="none" w:sz="0" w:space="0" w:color="auto"/>
        <w:left w:val="none" w:sz="0" w:space="0" w:color="auto"/>
        <w:bottom w:val="none" w:sz="0" w:space="0" w:color="auto"/>
        <w:right w:val="none" w:sz="0" w:space="0" w:color="auto"/>
      </w:divBdr>
    </w:div>
    <w:div w:id="1798601532">
      <w:bodyDiv w:val="1"/>
      <w:marLeft w:val="0"/>
      <w:marRight w:val="0"/>
      <w:marTop w:val="0"/>
      <w:marBottom w:val="0"/>
      <w:divBdr>
        <w:top w:val="none" w:sz="0" w:space="0" w:color="auto"/>
        <w:left w:val="none" w:sz="0" w:space="0" w:color="auto"/>
        <w:bottom w:val="none" w:sz="0" w:space="0" w:color="auto"/>
        <w:right w:val="none" w:sz="0" w:space="0" w:color="auto"/>
      </w:divBdr>
    </w:div>
    <w:div w:id="1815223285">
      <w:bodyDiv w:val="1"/>
      <w:marLeft w:val="0"/>
      <w:marRight w:val="0"/>
      <w:marTop w:val="0"/>
      <w:marBottom w:val="0"/>
      <w:divBdr>
        <w:top w:val="none" w:sz="0" w:space="0" w:color="auto"/>
        <w:left w:val="none" w:sz="0" w:space="0" w:color="auto"/>
        <w:bottom w:val="none" w:sz="0" w:space="0" w:color="auto"/>
        <w:right w:val="none" w:sz="0" w:space="0" w:color="auto"/>
      </w:divBdr>
    </w:div>
    <w:div w:id="1822115994">
      <w:bodyDiv w:val="1"/>
      <w:marLeft w:val="0"/>
      <w:marRight w:val="0"/>
      <w:marTop w:val="0"/>
      <w:marBottom w:val="0"/>
      <w:divBdr>
        <w:top w:val="none" w:sz="0" w:space="0" w:color="auto"/>
        <w:left w:val="none" w:sz="0" w:space="0" w:color="auto"/>
        <w:bottom w:val="none" w:sz="0" w:space="0" w:color="auto"/>
        <w:right w:val="none" w:sz="0" w:space="0" w:color="auto"/>
      </w:divBdr>
    </w:div>
    <w:div w:id="1846624494">
      <w:bodyDiv w:val="1"/>
      <w:marLeft w:val="0"/>
      <w:marRight w:val="0"/>
      <w:marTop w:val="0"/>
      <w:marBottom w:val="0"/>
      <w:divBdr>
        <w:top w:val="none" w:sz="0" w:space="0" w:color="auto"/>
        <w:left w:val="none" w:sz="0" w:space="0" w:color="auto"/>
        <w:bottom w:val="none" w:sz="0" w:space="0" w:color="auto"/>
        <w:right w:val="none" w:sz="0" w:space="0" w:color="auto"/>
      </w:divBdr>
    </w:div>
    <w:div w:id="1854303512">
      <w:bodyDiv w:val="1"/>
      <w:marLeft w:val="0"/>
      <w:marRight w:val="0"/>
      <w:marTop w:val="0"/>
      <w:marBottom w:val="0"/>
      <w:divBdr>
        <w:top w:val="none" w:sz="0" w:space="0" w:color="auto"/>
        <w:left w:val="none" w:sz="0" w:space="0" w:color="auto"/>
        <w:bottom w:val="none" w:sz="0" w:space="0" w:color="auto"/>
        <w:right w:val="none" w:sz="0" w:space="0" w:color="auto"/>
      </w:divBdr>
    </w:div>
    <w:div w:id="1866481640">
      <w:bodyDiv w:val="1"/>
      <w:marLeft w:val="0"/>
      <w:marRight w:val="0"/>
      <w:marTop w:val="0"/>
      <w:marBottom w:val="0"/>
      <w:divBdr>
        <w:top w:val="none" w:sz="0" w:space="0" w:color="auto"/>
        <w:left w:val="none" w:sz="0" w:space="0" w:color="auto"/>
        <w:bottom w:val="none" w:sz="0" w:space="0" w:color="auto"/>
        <w:right w:val="none" w:sz="0" w:space="0" w:color="auto"/>
      </w:divBdr>
    </w:div>
    <w:div w:id="1870757002">
      <w:bodyDiv w:val="1"/>
      <w:marLeft w:val="0"/>
      <w:marRight w:val="0"/>
      <w:marTop w:val="0"/>
      <w:marBottom w:val="0"/>
      <w:divBdr>
        <w:top w:val="none" w:sz="0" w:space="0" w:color="auto"/>
        <w:left w:val="none" w:sz="0" w:space="0" w:color="auto"/>
        <w:bottom w:val="none" w:sz="0" w:space="0" w:color="auto"/>
        <w:right w:val="none" w:sz="0" w:space="0" w:color="auto"/>
      </w:divBdr>
    </w:div>
    <w:div w:id="1892381357">
      <w:bodyDiv w:val="1"/>
      <w:marLeft w:val="0"/>
      <w:marRight w:val="0"/>
      <w:marTop w:val="0"/>
      <w:marBottom w:val="0"/>
      <w:divBdr>
        <w:top w:val="none" w:sz="0" w:space="0" w:color="auto"/>
        <w:left w:val="none" w:sz="0" w:space="0" w:color="auto"/>
        <w:bottom w:val="none" w:sz="0" w:space="0" w:color="auto"/>
        <w:right w:val="none" w:sz="0" w:space="0" w:color="auto"/>
      </w:divBdr>
    </w:div>
    <w:div w:id="1907254462">
      <w:bodyDiv w:val="1"/>
      <w:marLeft w:val="0"/>
      <w:marRight w:val="0"/>
      <w:marTop w:val="0"/>
      <w:marBottom w:val="0"/>
      <w:divBdr>
        <w:top w:val="none" w:sz="0" w:space="0" w:color="auto"/>
        <w:left w:val="none" w:sz="0" w:space="0" w:color="auto"/>
        <w:bottom w:val="none" w:sz="0" w:space="0" w:color="auto"/>
        <w:right w:val="none" w:sz="0" w:space="0" w:color="auto"/>
      </w:divBdr>
    </w:div>
    <w:div w:id="1912080274">
      <w:bodyDiv w:val="1"/>
      <w:marLeft w:val="0"/>
      <w:marRight w:val="0"/>
      <w:marTop w:val="0"/>
      <w:marBottom w:val="0"/>
      <w:divBdr>
        <w:top w:val="none" w:sz="0" w:space="0" w:color="auto"/>
        <w:left w:val="none" w:sz="0" w:space="0" w:color="auto"/>
        <w:bottom w:val="none" w:sz="0" w:space="0" w:color="auto"/>
        <w:right w:val="none" w:sz="0" w:space="0" w:color="auto"/>
      </w:divBdr>
    </w:div>
    <w:div w:id="1948656833">
      <w:bodyDiv w:val="1"/>
      <w:marLeft w:val="0"/>
      <w:marRight w:val="0"/>
      <w:marTop w:val="0"/>
      <w:marBottom w:val="0"/>
      <w:divBdr>
        <w:top w:val="none" w:sz="0" w:space="0" w:color="auto"/>
        <w:left w:val="none" w:sz="0" w:space="0" w:color="auto"/>
        <w:bottom w:val="none" w:sz="0" w:space="0" w:color="auto"/>
        <w:right w:val="none" w:sz="0" w:space="0" w:color="auto"/>
      </w:divBdr>
    </w:div>
    <w:div w:id="1966698195">
      <w:bodyDiv w:val="1"/>
      <w:marLeft w:val="0"/>
      <w:marRight w:val="0"/>
      <w:marTop w:val="0"/>
      <w:marBottom w:val="0"/>
      <w:divBdr>
        <w:top w:val="none" w:sz="0" w:space="0" w:color="auto"/>
        <w:left w:val="none" w:sz="0" w:space="0" w:color="auto"/>
        <w:bottom w:val="none" w:sz="0" w:space="0" w:color="auto"/>
        <w:right w:val="none" w:sz="0" w:space="0" w:color="auto"/>
      </w:divBdr>
    </w:div>
    <w:div w:id="1988971188">
      <w:bodyDiv w:val="1"/>
      <w:marLeft w:val="0"/>
      <w:marRight w:val="0"/>
      <w:marTop w:val="0"/>
      <w:marBottom w:val="0"/>
      <w:divBdr>
        <w:top w:val="none" w:sz="0" w:space="0" w:color="auto"/>
        <w:left w:val="none" w:sz="0" w:space="0" w:color="auto"/>
        <w:bottom w:val="none" w:sz="0" w:space="0" w:color="auto"/>
        <w:right w:val="none" w:sz="0" w:space="0" w:color="auto"/>
      </w:divBdr>
    </w:div>
    <w:div w:id="2010793398">
      <w:bodyDiv w:val="1"/>
      <w:marLeft w:val="0"/>
      <w:marRight w:val="0"/>
      <w:marTop w:val="0"/>
      <w:marBottom w:val="0"/>
      <w:divBdr>
        <w:top w:val="none" w:sz="0" w:space="0" w:color="auto"/>
        <w:left w:val="none" w:sz="0" w:space="0" w:color="auto"/>
        <w:bottom w:val="none" w:sz="0" w:space="0" w:color="auto"/>
        <w:right w:val="none" w:sz="0" w:space="0" w:color="auto"/>
      </w:divBdr>
    </w:div>
    <w:div w:id="2013337309">
      <w:bodyDiv w:val="1"/>
      <w:marLeft w:val="0"/>
      <w:marRight w:val="0"/>
      <w:marTop w:val="0"/>
      <w:marBottom w:val="0"/>
      <w:divBdr>
        <w:top w:val="none" w:sz="0" w:space="0" w:color="auto"/>
        <w:left w:val="none" w:sz="0" w:space="0" w:color="auto"/>
        <w:bottom w:val="none" w:sz="0" w:space="0" w:color="auto"/>
        <w:right w:val="none" w:sz="0" w:space="0" w:color="auto"/>
      </w:divBdr>
    </w:div>
    <w:div w:id="2061054377">
      <w:bodyDiv w:val="1"/>
      <w:marLeft w:val="0"/>
      <w:marRight w:val="0"/>
      <w:marTop w:val="0"/>
      <w:marBottom w:val="0"/>
      <w:divBdr>
        <w:top w:val="none" w:sz="0" w:space="0" w:color="auto"/>
        <w:left w:val="none" w:sz="0" w:space="0" w:color="auto"/>
        <w:bottom w:val="none" w:sz="0" w:space="0" w:color="auto"/>
        <w:right w:val="none" w:sz="0" w:space="0" w:color="auto"/>
      </w:divBdr>
    </w:div>
    <w:div w:id="2070304690">
      <w:bodyDiv w:val="1"/>
      <w:marLeft w:val="0"/>
      <w:marRight w:val="0"/>
      <w:marTop w:val="0"/>
      <w:marBottom w:val="0"/>
      <w:divBdr>
        <w:top w:val="none" w:sz="0" w:space="0" w:color="auto"/>
        <w:left w:val="none" w:sz="0" w:space="0" w:color="auto"/>
        <w:bottom w:val="none" w:sz="0" w:space="0" w:color="auto"/>
        <w:right w:val="none" w:sz="0" w:space="0" w:color="auto"/>
      </w:divBdr>
    </w:div>
    <w:div w:id="2081558888">
      <w:bodyDiv w:val="1"/>
      <w:marLeft w:val="0"/>
      <w:marRight w:val="0"/>
      <w:marTop w:val="0"/>
      <w:marBottom w:val="0"/>
      <w:divBdr>
        <w:top w:val="none" w:sz="0" w:space="0" w:color="auto"/>
        <w:left w:val="none" w:sz="0" w:space="0" w:color="auto"/>
        <w:bottom w:val="none" w:sz="0" w:space="0" w:color="auto"/>
        <w:right w:val="none" w:sz="0" w:space="0" w:color="auto"/>
      </w:divBdr>
    </w:div>
    <w:div w:id="2085759301">
      <w:bodyDiv w:val="1"/>
      <w:marLeft w:val="0"/>
      <w:marRight w:val="0"/>
      <w:marTop w:val="0"/>
      <w:marBottom w:val="0"/>
      <w:divBdr>
        <w:top w:val="none" w:sz="0" w:space="0" w:color="auto"/>
        <w:left w:val="none" w:sz="0" w:space="0" w:color="auto"/>
        <w:bottom w:val="none" w:sz="0" w:space="0" w:color="auto"/>
        <w:right w:val="none" w:sz="0" w:space="0" w:color="auto"/>
      </w:divBdr>
    </w:div>
    <w:div w:id="2086222741">
      <w:bodyDiv w:val="1"/>
      <w:marLeft w:val="0"/>
      <w:marRight w:val="0"/>
      <w:marTop w:val="0"/>
      <w:marBottom w:val="0"/>
      <w:divBdr>
        <w:top w:val="none" w:sz="0" w:space="0" w:color="auto"/>
        <w:left w:val="none" w:sz="0" w:space="0" w:color="auto"/>
        <w:bottom w:val="none" w:sz="0" w:space="0" w:color="auto"/>
        <w:right w:val="none" w:sz="0" w:space="0" w:color="auto"/>
      </w:divBdr>
    </w:div>
    <w:div w:id="2088383583">
      <w:bodyDiv w:val="1"/>
      <w:marLeft w:val="0"/>
      <w:marRight w:val="0"/>
      <w:marTop w:val="0"/>
      <w:marBottom w:val="0"/>
      <w:divBdr>
        <w:top w:val="none" w:sz="0" w:space="0" w:color="auto"/>
        <w:left w:val="none" w:sz="0" w:space="0" w:color="auto"/>
        <w:bottom w:val="none" w:sz="0" w:space="0" w:color="auto"/>
        <w:right w:val="none" w:sz="0" w:space="0" w:color="auto"/>
      </w:divBdr>
    </w:div>
    <w:div w:id="2092579653">
      <w:bodyDiv w:val="1"/>
      <w:marLeft w:val="0"/>
      <w:marRight w:val="0"/>
      <w:marTop w:val="0"/>
      <w:marBottom w:val="0"/>
      <w:divBdr>
        <w:top w:val="none" w:sz="0" w:space="0" w:color="auto"/>
        <w:left w:val="none" w:sz="0" w:space="0" w:color="auto"/>
        <w:bottom w:val="none" w:sz="0" w:space="0" w:color="auto"/>
        <w:right w:val="none" w:sz="0" w:space="0" w:color="auto"/>
      </w:divBdr>
    </w:div>
    <w:div w:id="2097242166">
      <w:bodyDiv w:val="1"/>
      <w:marLeft w:val="0"/>
      <w:marRight w:val="0"/>
      <w:marTop w:val="0"/>
      <w:marBottom w:val="0"/>
      <w:divBdr>
        <w:top w:val="none" w:sz="0" w:space="0" w:color="auto"/>
        <w:left w:val="none" w:sz="0" w:space="0" w:color="auto"/>
        <w:bottom w:val="none" w:sz="0" w:space="0" w:color="auto"/>
        <w:right w:val="none" w:sz="0" w:space="0" w:color="auto"/>
      </w:divBdr>
    </w:div>
    <w:div w:id="2116057246">
      <w:bodyDiv w:val="1"/>
      <w:marLeft w:val="0"/>
      <w:marRight w:val="0"/>
      <w:marTop w:val="0"/>
      <w:marBottom w:val="0"/>
      <w:divBdr>
        <w:top w:val="none" w:sz="0" w:space="0" w:color="auto"/>
        <w:left w:val="none" w:sz="0" w:space="0" w:color="auto"/>
        <w:bottom w:val="none" w:sz="0" w:space="0" w:color="auto"/>
        <w:right w:val="none" w:sz="0" w:space="0" w:color="auto"/>
      </w:divBdr>
    </w:div>
    <w:div w:id="2126150640">
      <w:bodyDiv w:val="1"/>
      <w:marLeft w:val="0"/>
      <w:marRight w:val="0"/>
      <w:marTop w:val="0"/>
      <w:marBottom w:val="0"/>
      <w:divBdr>
        <w:top w:val="none" w:sz="0" w:space="0" w:color="auto"/>
        <w:left w:val="none" w:sz="0" w:space="0" w:color="auto"/>
        <w:bottom w:val="none" w:sz="0" w:space="0" w:color="auto"/>
        <w:right w:val="none" w:sz="0" w:space="0" w:color="auto"/>
      </w:divBdr>
    </w:div>
    <w:div w:id="214310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117" Type="http://schemas.openxmlformats.org/officeDocument/2006/relationships/hyperlink" Target="http://dx.doi.org/10.1787/gov_glance-2017-en" TargetMode="Externa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50.xml"/><Relationship Id="rId68" Type="http://schemas.openxmlformats.org/officeDocument/2006/relationships/chart" Target="charts/chart55.xml"/><Relationship Id="rId84" Type="http://schemas.openxmlformats.org/officeDocument/2006/relationships/chart" Target="charts/chart70.xml"/><Relationship Id="rId89" Type="http://schemas.openxmlformats.org/officeDocument/2006/relationships/hyperlink" Target="https://ec.europa.eu/info/sites/info/files/file_import/2019-european-semester-country-report-slovakia_en_0.pdf" TargetMode="External"/><Relationship Id="rId112" Type="http://schemas.openxmlformats.org/officeDocument/2006/relationships/hyperlink" Target="https://www.nasuwt.org.uk/uploads/assets/uploaded/48e500c4-2404-4ee5-8b8588916a973a50.pdf" TargetMode="External"/><Relationship Id="rId16" Type="http://schemas.openxmlformats.org/officeDocument/2006/relationships/chart" Target="charts/chart4.xml"/><Relationship Id="rId107" Type="http://schemas.openxmlformats.org/officeDocument/2006/relationships/hyperlink" Target="https://goo.gl/dcV3fr" TargetMode="External"/><Relationship Id="rId11" Type="http://schemas.openxmlformats.org/officeDocument/2006/relationships/image" Target="media/image4.png"/><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40.xml"/><Relationship Id="rId58" Type="http://schemas.openxmlformats.org/officeDocument/2006/relationships/chart" Target="charts/chart45.xml"/><Relationship Id="rId74" Type="http://schemas.openxmlformats.org/officeDocument/2006/relationships/chart" Target="charts/chart61.xml"/><Relationship Id="rId79" Type="http://schemas.openxmlformats.org/officeDocument/2006/relationships/chart" Target="charts/chart65.xml"/><Relationship Id="rId102" Type="http://schemas.openxmlformats.org/officeDocument/2006/relationships/hyperlink" Target="https://www.minedu.sk/data/att/9665.pdf" TargetMode="External"/><Relationship Id="rId123" Type="http://schemas.openxmlformats.org/officeDocument/2006/relationships/hyperlink" Target="https://essay.utwente.nl/62028/1/Master_thesis_Arnaud_Paagman_FINAL.PDF" TargetMode="External"/><Relationship Id="rId128" Type="http://schemas.openxmlformats.org/officeDocument/2006/relationships/hyperlink" Target="http://www.eupan.eu/files/repository/20171220100120_EUPAN_Remuneration_and_benefits_in_central_government_civil_service_in_eu_member_states_and_ec.pdf" TargetMode="External"/><Relationship Id="rId5" Type="http://schemas.openxmlformats.org/officeDocument/2006/relationships/webSettings" Target="webSettings.xml"/><Relationship Id="rId90" Type="http://schemas.openxmlformats.org/officeDocument/2006/relationships/hyperlink" Target="http://www.equip123.net/docs/E2-Power_of_Persistence.pdf" TargetMode="External"/><Relationship Id="rId95" Type="http://schemas.openxmlformats.org/officeDocument/2006/relationships/hyperlink" Target="http://www.finance.gov.sk/Default.aspx?CatID=11457" TargetMode="Externa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3.xml"/><Relationship Id="rId64" Type="http://schemas.openxmlformats.org/officeDocument/2006/relationships/chart" Target="charts/chart51.xml"/><Relationship Id="rId69" Type="http://schemas.openxmlformats.org/officeDocument/2006/relationships/chart" Target="charts/chart56.xml"/><Relationship Id="rId77" Type="http://schemas.openxmlformats.org/officeDocument/2006/relationships/chart" Target="charts/chart64.xml"/><Relationship Id="rId100" Type="http://schemas.openxmlformats.org/officeDocument/2006/relationships/hyperlink" Target="https://www.imf.org/en/Publications/Policy-Papers/Issues/2016/12/31/Managing-Government-Compensation-and-Employment-Institutions-Policies-and-Reform-Challenges-PP5044" TargetMode="External"/><Relationship Id="rId105" Type="http://schemas.openxmlformats.org/officeDocument/2006/relationships/hyperlink" Target="http://bit.ly/2OGJna2" TargetMode="External"/><Relationship Id="rId113" Type="http://schemas.openxmlformats.org/officeDocument/2006/relationships/hyperlink" Target="https://www.nasuwt.org.uk/uploads/assets/uploaded/e2c3ba3f-20f3-410c-ae4b83329cbe3e4a.pdf" TargetMode="External"/><Relationship Id="rId118" Type="http://schemas.openxmlformats.org/officeDocument/2006/relationships/hyperlink" Target="http://dx.doi.org/10.1787/health_glance-2017-en" TargetMode="External"/><Relationship Id="rId126" Type="http://schemas.openxmlformats.org/officeDocument/2006/relationships/hyperlink" Target="http://www.nispa.org/files/conferences/2013/papers/201305070652020.paper_Rabrenovic.pdf?fs_papersPage=4" TargetMode="External"/><Relationship Id="rId8" Type="http://schemas.openxmlformats.org/officeDocument/2006/relationships/image" Target="media/image1.png"/><Relationship Id="rId51" Type="http://schemas.openxmlformats.org/officeDocument/2006/relationships/chart" Target="charts/chart39.xml"/><Relationship Id="rId72" Type="http://schemas.openxmlformats.org/officeDocument/2006/relationships/chart" Target="charts/chart59.xml"/><Relationship Id="rId80" Type="http://schemas.openxmlformats.org/officeDocument/2006/relationships/chart" Target="charts/chart66.xml"/><Relationship Id="rId85" Type="http://schemas.openxmlformats.org/officeDocument/2006/relationships/chart" Target="charts/chart71.xml"/><Relationship Id="rId93" Type="http://schemas.openxmlformats.org/officeDocument/2006/relationships/hyperlink" Target="https://goo.gl/oCxtGh" TargetMode="External"/><Relationship Id="rId98" Type="http://schemas.openxmlformats.org/officeDocument/2006/relationships/hyperlink" Target="https://www.ilo.org/public/english/bureau/stat/isco/isco08/index.htm" TargetMode="External"/><Relationship Id="rId121" Type="http://schemas.openxmlformats.org/officeDocument/2006/relationships/hyperlink" Target="https://doi.org/10.1787/19991487"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6.xml"/><Relationship Id="rId67" Type="http://schemas.openxmlformats.org/officeDocument/2006/relationships/chart" Target="charts/chart54.xml"/><Relationship Id="rId103" Type="http://schemas.openxmlformats.org/officeDocument/2006/relationships/hyperlink" Target="https://www.minedu.sk/data/att/10293.pdf" TargetMode="External"/><Relationship Id="rId108" Type="http://schemas.openxmlformats.org/officeDocument/2006/relationships/hyperlink" Target="https://www.finance.gov.sk/sk/financie/institut-financnej-politiky/strategicke-materialy/narodny-program-reforiem/narodny-program-reforiem.html" TargetMode="External"/><Relationship Id="rId116" Type="http://schemas.openxmlformats.org/officeDocument/2006/relationships/hyperlink" Target="https://www.oecd-ilibrary.org/education/education-at-a-glance-2012_eag-2012-en" TargetMode="External"/><Relationship Id="rId124" Type="http://schemas.openxmlformats.org/officeDocument/2006/relationships/hyperlink" Target="https://www.oecd-ilibrary.org/governance/employment-in-government-in-the-perspective-of-the-production-costs-of-goods-and-services-in-the-public-domain_245160338300" TargetMode="External"/><Relationship Id="rId129" Type="http://schemas.openxmlformats.org/officeDocument/2006/relationships/hyperlink" Target="http://www.worldbank.org/en/country/kyrgyzrepublic/publication/kyrgyz-republic-public-expenditure-review-2015" TargetMode="Externa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chart" Target="charts/chart57.xml"/><Relationship Id="rId75" Type="http://schemas.openxmlformats.org/officeDocument/2006/relationships/chart" Target="charts/chart62.xml"/><Relationship Id="rId83" Type="http://schemas.openxmlformats.org/officeDocument/2006/relationships/chart" Target="charts/chart69.xml"/><Relationship Id="rId88" Type="http://schemas.openxmlformats.org/officeDocument/2006/relationships/hyperlink" Target="https://www.czso.cz/csu/czso/struktura-mezd-zamestnancu-2017" TargetMode="External"/><Relationship Id="rId91" Type="http://schemas.openxmlformats.org/officeDocument/2006/relationships/hyperlink" Target="http://www.imf.org/external/pubs/ft/sdn/2015/sdn1520.pdf" TargetMode="External"/><Relationship Id="rId96" Type="http://schemas.openxmlformats.org/officeDocument/2006/relationships/hyperlink" Target="https://www.vlada.gov.sk/data/files/7386_priebezna-implementacna-sprava-2018.pdf" TargetMode="External"/><Relationship Id="rId111" Type="http://schemas.openxmlformats.org/officeDocument/2006/relationships/hyperlink" Target="https://www.employment.gov.sk/files/slovensky/ministerstvo/analyticke-centrum/sprava-socialnej-situacii-obyvatelstva-za-rok-2015.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4.xml"/><Relationship Id="rId106" Type="http://schemas.openxmlformats.org/officeDocument/2006/relationships/hyperlink" Target="https://www.mfsr.sk/files/archiv/44/revizia_zdravotnictvo_2.pdf" TargetMode="External"/><Relationship Id="rId114" Type="http://schemas.openxmlformats.org/officeDocument/2006/relationships/hyperlink" Target="https://www.nato.int/cps/em/natohq/news_156770.htm" TargetMode="External"/><Relationship Id="rId119" Type="http://schemas.openxmlformats.org/officeDocument/2006/relationships/hyperlink" Target="http://dx.doi.org/10.1787/empl_outlook-2018-en" TargetMode="External"/><Relationship Id="rId127" Type="http://schemas.openxmlformats.org/officeDocument/2006/relationships/hyperlink" Target="http://sku.sk/vyhodnotenie-dotaznika-ku-kariernemu-rastu-a-kreditovemu-systemu-zakon-c-317-2009/" TargetMode="External"/><Relationship Id="rId10" Type="http://schemas.openxmlformats.org/officeDocument/2006/relationships/image" Target="media/image3.png"/><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image" Target="media/image5.PNG"/><Relationship Id="rId60" Type="http://schemas.openxmlformats.org/officeDocument/2006/relationships/chart" Target="charts/chart47.xml"/><Relationship Id="rId65" Type="http://schemas.openxmlformats.org/officeDocument/2006/relationships/chart" Target="charts/chart52.xml"/><Relationship Id="rId73" Type="http://schemas.openxmlformats.org/officeDocument/2006/relationships/chart" Target="charts/chart60.xml"/><Relationship Id="rId78" Type="http://schemas.openxmlformats.org/officeDocument/2006/relationships/footer" Target="footer2.xml"/><Relationship Id="rId81" Type="http://schemas.openxmlformats.org/officeDocument/2006/relationships/chart" Target="charts/chart67.xml"/><Relationship Id="rId86" Type="http://schemas.openxmlformats.org/officeDocument/2006/relationships/hyperlink" Target="http://www.bristol.ac.uk/cmpo/%20publications/papers/2003/wp91.pdf" TargetMode="External"/><Relationship Id="rId94" Type="http://schemas.openxmlformats.org/officeDocument/2006/relationships/hyperlink" Target="https://www.finance.gov.sk/sk/financie/institut-financnej-politiky/publikacie-ifp/ekonomicke-analyzy/28-malo-zdravia-za-vela-penazi-analyza-efektivnosti-slovenskeho-zdravotnictva-december-2012.html" TargetMode="External"/><Relationship Id="rId99" Type="http://schemas.openxmlformats.org/officeDocument/2006/relationships/hyperlink" Target="http://www.mfsr.sk/Components/CategoryDocuments/s_LoadDocument.aspx?categoryId=11190&amp;documentId=14813" TargetMode="External"/><Relationship Id="rId101" Type="http://schemas.openxmlformats.org/officeDocument/2006/relationships/hyperlink" Target="https://goo.gl/dcV3fr" TargetMode="External"/><Relationship Id="rId122" Type="http://schemas.openxmlformats.org/officeDocument/2006/relationships/hyperlink" Target="https://www.ons.gov.uk/economy/economicoutputandproductivity/publicservicesproductivity/methodologies/publicserviceproductivityestimatestotalpublicservicesqmi"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7.xml"/><Relationship Id="rId109" Type="http://schemas.openxmlformats.org/officeDocument/2006/relationships/hyperlink" Target="https://todarozum.sk/aktualita/586-profesijny-rozvoj-ucitelov-a-uciteliek/" TargetMode="Externa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2.xml"/><Relationship Id="rId76" Type="http://schemas.openxmlformats.org/officeDocument/2006/relationships/chart" Target="charts/chart63.xml"/><Relationship Id="rId97" Type="http://schemas.openxmlformats.org/officeDocument/2006/relationships/hyperlink" Target="https://www.vlada.gov.sk/data/files/7635_priebezna-implementacna-sprava-2019-ij-uv-sr_final.pdf" TargetMode="External"/><Relationship Id="rId104" Type="http://schemas.openxmlformats.org/officeDocument/2006/relationships/hyperlink" Target="https://goo.gl/WZa3ga" TargetMode="External"/><Relationship Id="rId120" Type="http://schemas.openxmlformats.org/officeDocument/2006/relationships/hyperlink" Target="http://dx.doi.org/10.1787/eag-2018-en" TargetMode="External"/><Relationship Id="rId125" Type="http://schemas.openxmlformats.org/officeDocument/2006/relationships/hyperlink" Target="http://www.bristol.ac.uk/media-library/sites/cmpo/migrated/documents/wp293.pdf" TargetMode="External"/><Relationship Id="rId7" Type="http://schemas.openxmlformats.org/officeDocument/2006/relationships/endnotes" Target="endnotes.xml"/><Relationship Id="rId71" Type="http://schemas.openxmlformats.org/officeDocument/2006/relationships/chart" Target="charts/chart58.xml"/><Relationship Id="rId92" Type="http://schemas.openxmlformats.org/officeDocument/2006/relationships/hyperlink" Target="http://cep.lse.ac.uk/pubs/download/dp0843.pdf" TargetMode="Externa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3.xml"/><Relationship Id="rId87" Type="http://schemas.openxmlformats.org/officeDocument/2006/relationships/hyperlink" Target="https://www.psp.cz/sqw/text/orig2.sqw?idd=138427" TargetMode="External"/><Relationship Id="rId110" Type="http://schemas.openxmlformats.org/officeDocument/2006/relationships/hyperlink" Target="https://www.mpsv.cz/files/clanky/31493/Statisticka_rocenka_z_oblasti_prace_a_socialnich_veci_2016.pdf?fbclid=IwAR2LRT_he4kv0BZSigZvNzGndtxS06sSHQDByUh0WdBGtMZlEGtE5_DaGr4" TargetMode="External"/><Relationship Id="rId115" Type="http://schemas.openxmlformats.org/officeDocument/2006/relationships/hyperlink" Target="https://www.oecd.org/pisa/pisaproducts/pisainfocus/49685503.pdf" TargetMode="External"/><Relationship Id="rId131" Type="http://schemas.openxmlformats.org/officeDocument/2006/relationships/theme" Target="theme/theme1.xml"/><Relationship Id="rId61" Type="http://schemas.openxmlformats.org/officeDocument/2006/relationships/chart" Target="charts/chart48.xml"/><Relationship Id="rId82" Type="http://schemas.openxmlformats.org/officeDocument/2006/relationships/chart" Target="charts/chart68.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SK/TXT/PDF/?uri=CELEX:32006R1893&amp;from=SK" TargetMode="External"/><Relationship Id="rId13" Type="http://schemas.openxmlformats.org/officeDocument/2006/relationships/hyperlink" Target="https://www.trendyprace.sk/sk/metodika" TargetMode="External"/><Relationship Id="rId3" Type="http://schemas.openxmlformats.org/officeDocument/2006/relationships/hyperlink" Target="http://www.minv.sk/?np-optimalizacia-procesov-vo-verejnej-sprave" TargetMode="External"/><Relationship Id="rId7" Type="http://schemas.openxmlformats.org/officeDocument/2006/relationships/hyperlink" Target="http://www.nbs.sk/_img/Documents/_Statistika/manual_ESA_2010_SK.pdf" TargetMode="External"/><Relationship Id="rId12" Type="http://schemas.openxmlformats.org/officeDocument/2006/relationships/hyperlink" Target="https://ec.europa.eu/eurostat/documents/341520/8195276/Quality_of_employment.pdf" TargetMode="External"/><Relationship Id="rId17" Type="http://schemas.openxmlformats.org/officeDocument/2006/relationships/hyperlink" Target="http://www.nucem.sk/sk/medzinarodne_merania/project/5" TargetMode="External"/><Relationship Id="rId2" Type="http://schemas.openxmlformats.org/officeDocument/2006/relationships/hyperlink" Target="https://ec.europa.eu/eurostat/web/microdata/structure-of-earnings-survey" TargetMode="External"/><Relationship Id="rId16" Type="http://schemas.openxmlformats.org/officeDocument/2006/relationships/hyperlink" Target="https://rokovania.gov.sk/RVL/Material/22980/1" TargetMode="External"/><Relationship Id="rId1" Type="http://schemas.openxmlformats.org/officeDocument/2006/relationships/hyperlink" Target="https://ec.europa.eu/eurostat/web/microdata/structure-of-earnings-survey" TargetMode="External"/><Relationship Id="rId6" Type="http://schemas.openxmlformats.org/officeDocument/2006/relationships/hyperlink" Target="https://www.ilo.org/public/english/bureau/stat/isco/isco08/index.htm" TargetMode="External"/><Relationship Id="rId11" Type="http://schemas.openxmlformats.org/officeDocument/2006/relationships/hyperlink" Target="https://ec.europa.eu/eurostat/web/labour-market/quality-of-employment" TargetMode="External"/><Relationship Id="rId5" Type="http://schemas.openxmlformats.org/officeDocument/2006/relationships/hyperlink" Target="http://www.finance.gov.sk/Default.aspx?CatID=11839" TargetMode="External"/><Relationship Id="rId15" Type="http://schemas.openxmlformats.org/officeDocument/2006/relationships/hyperlink" Target="https://ec.europa.eu/eurostat/web/labour-market/job-vacancies/database" TargetMode="External"/><Relationship Id="rId10" Type="http://schemas.openxmlformats.org/officeDocument/2006/relationships/hyperlink" Target="http://www.oecd.org/sdd/labour-stats/Job-quality-OECD.pdf" TargetMode="External"/><Relationship Id="rId4" Type="http://schemas.openxmlformats.org/officeDocument/2006/relationships/hyperlink" Target="https://data.oecd.org/gga/government-production-costs.htm" TargetMode="External"/><Relationship Id="rId9" Type="http://schemas.openxmlformats.org/officeDocument/2006/relationships/hyperlink" Target="https://www.coe.int/en/web/cepej" TargetMode="External"/><Relationship Id="rId14" Type="http://schemas.openxmlformats.org/officeDocument/2006/relationships/hyperlink" Target="http://jaspi.justice.gov.sk/jaspidd/vzory/011516Pr.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regresia\data%20trexima\exporty%20z%20treximy%20-%20excel\vekstruktur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scope\scope%202018.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scope\scope%202018.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4_PODKLADY\pocet%20uradnikov\prepocty.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erdelyiova\Desktop\benchmarking%20na%20kontrolu%20opravene%20sestry%20podla%20IZP_2019_smart_countries.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erdelyiova\Desktop\benchmarking%20na%20kontrolu%20opravene%20sestry%20podla%20IZP_2019_smart_countries.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mf.mfsr.sk\DfsRoot\ADRESARE\UHP\00_HODNOTA_ZA_PENIAZE\00_SPENDING_REVIEW\11_Wage_Bill\02_V&#221;STUPY\04_Z&#193;VERE&#268;N&#193;_SPR&#193;VA\D&#225;tov&#225;%20pr&#237;loha\d&#225;tov&#225;_pr&#237;loha_zaverecna_nazverejnenie.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4_PODKLADY\OECD%20Government%20at%20a%20Glance\2016%20OECD%20Survey_Compensation%20data_FINAL_20190228.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rdelyiova\AppData\Roaming\Microsoft\Excel\mzdy_vek%20(version%202).xlsb"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xlsx" TargetMode="External"/><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Mato%20-%20benchmarky%20skupin%20zamestnancov\vojaci%25platy.xlsx" TargetMode="External"/><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prognozovanie\SAV%20prognozy%202030.xlsx" TargetMode="External"/><Relationship Id="rId2" Type="http://schemas.microsoft.com/office/2011/relationships/chartColorStyle" Target="colors18.xml"/><Relationship Id="rId1" Type="http://schemas.microsoft.com/office/2011/relationships/chartStyle" Target="style18.xml"/></Relationships>
</file>

<file path=word/charts/_rels/chart2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3_PRIEBE&#381;N&#193;_SPR&#193;VA\02_d&#225;tov&#225;_pr&#237;loha\d&#225;tov&#225;_pr&#237;loha_priebe&#382;n&#225;_20181130.xlsx" TargetMode="External"/><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3_PRIEBE&#381;N&#193;_SPR&#193;VA\02_d&#225;tov&#225;_pr&#237;loha\d&#225;tov&#225;_pr&#237;loha_priebe&#382;n&#225;_20181123.xlsx" TargetMode="External"/><Relationship Id="rId2" Type="http://schemas.microsoft.com/office/2011/relationships/chartColorStyle" Target="colors20.xml"/><Relationship Id="rId1" Type="http://schemas.microsoft.com/office/2011/relationships/chartStyle" Target="style20.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mf.mfsr.sk\DfsRoot\ADRESARE\UHP\00_HODNOTA_ZA_PENIAZE\00_SPENDING_REVIEW\11_Wage_Bill\03_OBLASTI_REV&#205;ZIE\Porovnanie%20verejny-sukromny\piaac\skill_private_public_me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mf.mfsr.sk\DfsRoot\ADRESARE\UHP\00_HODNOTA_ZA_PENIAZE\00_SPENDING_REVIEW\11_Wage_Bill\03_OBLASTI_REV&#205;ZIE\Porovnanie%20verejny-sukromny\piaac\skill_private_public_me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mf.mfsr.sk\DfsRoot\ADRESARE\UHP\00_HODNOTA_ZA_PENIAZE\00_SPENDING_REVIEW\11_Wage_Bill\03_OBLASTI_REV&#205;ZIE\Porovnanie%20verejny-sukromny\piaac\skill_private_public_women.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regresia\data%20trexima\exporty%20z%20treximy%20-%20excel\vekstruktura.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2.xml"/></Relationships>
</file>

<file path=word/charts/_rels/chart29.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regresia\data%20trexima\exporty%20z%20treximy%20-%20excel\pohlavie.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regresia\data%20trexima\exporty%20z%20treximy%20-%20excel\mzda_tenure_nace_isco_vzdelanie.xlsx"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3.xml"/></Relationships>
</file>

<file path=word/charts/_rels/chart31.xml.rels><?xml version="1.0" encoding="UTF-8" standalone="yes"?>
<Relationships xmlns="http://schemas.openxmlformats.org/package/2006/relationships"><Relationship Id="rId3" Type="http://schemas.openxmlformats.org/officeDocument/2006/relationships/oleObject" Target="file:///\\mf.mfsr.sk\DfsRoot\ADRESARE\UHP\99_VSEOBECNE\00_LUDIA\Erdelyiova_Gancarova\mzdova%20revizia\d&#225;tov&#225;_pr&#237;loha.xlsx" TargetMode="External"/><Relationship Id="rId2" Type="http://schemas.microsoft.com/office/2011/relationships/chartColorStyle" Target="colors25.xml"/><Relationship Id="rId1" Type="http://schemas.microsoft.com/office/2011/relationships/chartStyle" Target="style25.xml"/></Relationships>
</file>

<file path=word/charts/_rels/chart32.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kolekt&#237;vne_vyjedn&#225;vanie\kompresia.xlsx" TargetMode="External"/><Relationship Id="rId2" Type="http://schemas.microsoft.com/office/2011/relationships/chartColorStyle" Target="colors26.xml"/><Relationship Id="rId1" Type="http://schemas.microsoft.com/office/2011/relationships/chartStyle" Target="style26.xml"/></Relationships>
</file>

<file path=word/charts/_rels/chart3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kolekt&#237;vne_vyjedn&#225;vanie\kompresia.xlsx" TargetMode="External"/><Relationship Id="rId2" Type="http://schemas.microsoft.com/office/2011/relationships/chartColorStyle" Target="colors27.xml"/><Relationship Id="rId1" Type="http://schemas.microsoft.com/office/2011/relationships/chartStyle" Target="style27.xml"/></Relationships>
</file>

<file path=word/charts/_rels/chart3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3_PRIEBE&#381;N&#193;_SPR&#193;VA\02_d&#225;tov&#225;_pr&#237;loha\d&#225;tov&#225;_pr&#237;loha_priebe&#382;n&#225;_20181129.xlsx" TargetMode="External"/><Relationship Id="rId2" Type="http://schemas.microsoft.com/office/2011/relationships/chartColorStyle" Target="colors28.xml"/><Relationship Id="rId1" Type="http://schemas.microsoft.com/office/2011/relationships/chartStyle" Target="style28.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mf.mfsr.sk\DfsRoot\ADRESARE\UHP\00_HODNOTA_ZA_PENIAZE\00_SPENDING_REVIEW\11_Wage_Bill\02_V&#221;STUPY\03_PRIEBE&#381;N&#193;_SPR&#193;VA\02_d&#225;tov&#225;_pr&#237;loha\d&#225;tov&#225;_pr&#237;loha_priebe&#382;n&#225;_20181129.xlsx" TargetMode="External"/></Relationships>
</file>

<file path=word/charts/_rels/chart3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3_PRIEBE&#381;N&#193;_SPR&#193;VA\02_d&#225;tov&#225;_pr&#237;loha\d&#225;tov&#225;_pr&#237;loha_priebe&#382;n&#225;_20181123.xlsx" TargetMode="External"/><Relationship Id="rId2" Type="http://schemas.microsoft.com/office/2011/relationships/chartColorStyle" Target="colors30.xml"/><Relationship Id="rId1" Type="http://schemas.microsoft.com/office/2011/relationships/chartStyle" Target="style30.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phroncek\Desktop\mzdov&#233;_intervaly.xlsx" TargetMode="External"/><Relationship Id="rId2" Type="http://schemas.microsoft.com/office/2011/relationships/chartColorStyle" Target="colors31.xml"/><Relationship Id="rId1" Type="http://schemas.microsoft.com/office/2011/relationships/chartStyle" Target="style31.xml"/></Relationships>
</file>

<file path=word/charts/_rels/chart3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regresia\data%20trexima\exporty%20z%20treximy%20-%20excel\histogram%20opraveny.xlsx" TargetMode="Externa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4.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mf.mfsr.sk\DfsRoot\ADRESARE\UHP\00_HODNOTA_ZA_PENIAZE\00_SPENDING_REVIEW\11_Wage_Bill\02_V&#221;STUPY\04_Z&#193;VERE&#268;N&#193;_SPR&#193;VA\D&#225;tov&#225;%20pr&#237;loha\d&#225;tov&#225;_pr&#237;loha_zaverecna.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kolekt&#237;vne_vyjedn&#225;vanie\Zo&#353;it1.xlsx" TargetMode="External"/><Relationship Id="rId2" Type="http://schemas.microsoft.com/office/2011/relationships/chartColorStyle" Target="colors34.xml"/><Relationship Id="rId1" Type="http://schemas.microsoft.com/office/2011/relationships/chartStyle" Target="style34.xml"/></Relationships>
</file>

<file path=word/charts/_rels/chart41.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V&#253;voj%20zamestnanosti%20vo%20verejnej%20spr&#225;ve\EXCELY\Pocty%20podla%20zakonov.xlsx" TargetMode="External"/><Relationship Id="rId2" Type="http://schemas.microsoft.com/office/2011/relationships/chartColorStyle" Target="colors35.xml"/><Relationship Id="rId1" Type="http://schemas.microsoft.com/office/2011/relationships/chartStyle" Target="style35.xml"/></Relationships>
</file>

<file path=word/charts/_rels/chart42.xml.rels><?xml version="1.0" encoding="UTF-8" standalone="yes"?>
<Relationships xmlns="http://schemas.openxmlformats.org/package/2006/relationships"><Relationship Id="rId1"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2" Type="http://schemas.microsoft.com/office/2011/relationships/chartColorStyle" Target="colors36.xml"/><Relationship Id="rId1" Type="http://schemas.microsoft.com/office/2011/relationships/chartStyle" Target="style36.xml"/></Relationships>
</file>

<file path=word/charts/_rels/chart4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2" Type="http://schemas.microsoft.com/office/2011/relationships/chartColorStyle" Target="colors37.xml"/><Relationship Id="rId1" Type="http://schemas.microsoft.com/office/2011/relationships/chartStyle" Target="style37.xml"/></Relationships>
</file>

<file path=word/charts/_rels/chart45.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2" Type="http://schemas.microsoft.com/office/2011/relationships/chartColorStyle" Target="colors38.xml"/><Relationship Id="rId1" Type="http://schemas.microsoft.com/office/2011/relationships/chartStyle" Target="style38.xml"/></Relationships>
</file>

<file path=word/charts/_rels/chart4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Personalistika%20a%20Benchmarking\Delegovanie%20riadenia%20&#318;udsk&#253;ch%20zdrojov%20OECD.xlsx" TargetMode="External"/><Relationship Id="rId2" Type="http://schemas.microsoft.com/office/2011/relationships/chartColorStyle" Target="colors39.xml"/><Relationship Id="rId1" Type="http://schemas.microsoft.com/office/2011/relationships/chartStyle" Target="style39.xml"/></Relationships>
</file>

<file path=word/charts/_rels/chart47.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Back-office%20benchmarking\06%20Analyses\Dotaznik_consolidated_v70LM_LEN%20MZV%20UPRAVA_paste.xlsx" TargetMode="External"/><Relationship Id="rId2" Type="http://schemas.microsoft.com/office/2011/relationships/chartColorStyle" Target="colors40.xml"/><Relationship Id="rId1" Type="http://schemas.microsoft.com/office/2011/relationships/chartStyle" Target="style40.xm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embeddings/oleObject1.bin"/></Relationships>
</file>

<file path=word/charts/_rels/chart49.xml.rels><?xml version="1.0" encoding="UTF-8" standalone="yes"?>
<Relationships xmlns="http://schemas.openxmlformats.org/package/2006/relationships"><Relationship Id="rId3" Type="http://schemas.openxmlformats.org/officeDocument/2006/relationships/oleObject" Target="file:///C:\Users\lmartiskova\Documents\nede&#318;a\Dotaznik_consolidated_v70LM_LEN%20MZV%20UPRAVA.xlsx" TargetMode="External"/><Relationship Id="rId2" Type="http://schemas.microsoft.com/office/2011/relationships/chartColorStyle" Target="colors42.xml"/><Relationship Id="rId1" Type="http://schemas.microsoft.com/office/2011/relationships/chartStyle" Target="style42.xml"/></Relationships>
</file>

<file path=word/charts/_rels/chart5.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C:\Users\lmartiskova\Documents\nede&#318;a\Dotaznik_consolidated_v70LM_LEN%20MZV%20UPRAVA.xlsx" TargetMode="External"/></Relationships>
</file>

<file path=word/charts/_rels/chart51.xml.rels><?xml version="1.0" encoding="UTF-8" standalone="yes"?>
<Relationships xmlns="http://schemas.openxmlformats.org/package/2006/relationships"><Relationship Id="rId3" Type="http://schemas.openxmlformats.org/officeDocument/2006/relationships/oleObject" Target="file:///C:\Users\lmartiskova\Documents\nede&#318;a\&#218;pora_nov&#225;_2019_0411_1830.xlsx" TargetMode="External"/><Relationship Id="rId2" Type="http://schemas.microsoft.com/office/2011/relationships/chartColorStyle" Target="colors44.xml"/><Relationship Id="rId1" Type="http://schemas.microsoft.com/office/2011/relationships/chartStyle" Target="style44.xml"/></Relationships>
</file>

<file path=word/charts/_rels/chart52.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2" Type="http://schemas.microsoft.com/office/2011/relationships/chartColorStyle" Target="colors45.xml"/><Relationship Id="rId1" Type="http://schemas.microsoft.com/office/2011/relationships/chartStyle" Target="style45.xml"/></Relationships>
</file>

<file path=word/charts/_rels/chart5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353;kolstvo\platy%20tarifne%20medzinarodne.xlsx" TargetMode="External"/><Relationship Id="rId2" Type="http://schemas.microsoft.com/office/2011/relationships/chartColorStyle" Target="colors46.xml"/><Relationship Id="rId1" Type="http://schemas.microsoft.com/office/2011/relationships/chartStyle" Target="style46.xml"/></Relationships>
</file>

<file path=word/charts/_rels/chart5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2" Type="http://schemas.microsoft.com/office/2011/relationships/chartColorStyle" Target="colors47.xml"/><Relationship Id="rId1" Type="http://schemas.microsoft.com/office/2011/relationships/chartStyle" Target="style47.xml"/></Relationships>
</file>

<file path=word/charts/_rels/chart55.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2" Type="http://schemas.microsoft.com/office/2011/relationships/chartColorStyle" Target="colors48.xml"/><Relationship Id="rId1" Type="http://schemas.microsoft.com/office/2011/relationships/chartStyle" Target="style48.xml"/></Relationships>
</file>

<file path=word/charts/_rels/chart56.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1" Type="http://schemas.openxmlformats.org/officeDocument/2006/relationships/themeOverride" Target="../theme/themeOverride11.xml"/></Relationships>
</file>

<file path=word/charts/_rels/chart57.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2" Type="http://schemas.microsoft.com/office/2011/relationships/chartColorStyle" Target="colors49.xml"/><Relationship Id="rId1" Type="http://schemas.microsoft.com/office/2011/relationships/chartStyle" Target="style49.xml"/></Relationships>
</file>

<file path=word/charts/_rels/chart5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2" Type="http://schemas.microsoft.com/office/2011/relationships/chartColorStyle" Target="colors50.xml"/><Relationship Id="rId1" Type="http://schemas.microsoft.com/office/2011/relationships/chartStyle" Target="style50.xm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mf.mfsr.sk\DfsRoot\ADRESARE\UHP\00_HODNOTA_ZA_PENIAZE\00_SPENDING_REVIEW\11_Wage_Bill\03_OBLASTI_REV&#205;ZIE\&#353;t&#225;tne_podniky\02_d&#225;ta_&#218;HP\&#353;t&#225;tne_podniky_d&#225;ta\trexima\histogram_skil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mf.mfsr.sk\DfsRoot\ADRESARE\UHP\00_HODNOTA_ZA_PENIAZE\00_SPENDING_REVIEW\11_Wage_Bill\03_OBLASTI_REV&#205;ZIE\V&#253;voj%20zamestnanosti%20vo%20verejnej%20spr&#225;ve\EXCELY\oursourcing.xlsx"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mf.mfsr.sk\DfsRoot\ADRESARE\UHP\00_HODNOTA_ZA_PENIAZE\00_SPENDING_REVIEW\11_Wage_Bill\03_OBLASTI_REV&#205;ZIE\&#353;t&#225;tne_podniky\02_d&#225;ta_&#218;HP\&#353;t&#225;tne_podniky_d&#225;ta\trexima\histogram_skill.xlsx" TargetMode="External"/></Relationships>
</file>

<file path=word/charts/_rels/chart61.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2" Type="http://schemas.microsoft.com/office/2011/relationships/chartColorStyle" Target="colors53.xml"/><Relationship Id="rId1" Type="http://schemas.microsoft.com/office/2011/relationships/chartStyle" Target="style53.xml"/></Relationships>
</file>

<file path=word/charts/_rels/chart62.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2" Type="http://schemas.microsoft.com/office/2011/relationships/chartColorStyle" Target="colors54.xml"/><Relationship Id="rId1" Type="http://schemas.microsoft.com/office/2011/relationships/chartStyle" Target="style54.xml"/></Relationships>
</file>

<file path=word/charts/_rels/chart6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2" Type="http://schemas.microsoft.com/office/2011/relationships/chartColorStyle" Target="colors55.xml"/><Relationship Id="rId1" Type="http://schemas.microsoft.com/office/2011/relationships/chartStyle" Target="style55.xml"/></Relationships>
</file>

<file path=word/charts/_rels/chart6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3_PRIEBE&#381;N&#193;_SPR&#193;VA\03_kapitoly\07_samospr&#225;vy\Data_ifp_skryty_poklad_v_samosprave_public.xlsx" TargetMode="External"/><Relationship Id="rId2" Type="http://schemas.microsoft.com/office/2011/relationships/chartColorStyle" Target="colors56.xml"/><Relationship Id="rId1" Type="http://schemas.microsoft.com/office/2011/relationships/chartStyle" Target="style56.xml"/></Relationships>
</file>

<file path=word/charts/_rels/chart65.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3_OBLASTI_REV&#205;ZIE\V&#253;voj%20zamestnanosti%20vo%20verejnej%20spr&#225;ve\EXCELY\medzinarodny%20benchmarking\Medzin&#225;rodn&#233;%20porovnanie%20v&#253;davky%20WB.xlsx" TargetMode="External"/><Relationship Id="rId2" Type="http://schemas.microsoft.com/office/2011/relationships/chartColorStyle" Target="colors57.xml"/><Relationship Id="rId1" Type="http://schemas.microsoft.com/office/2011/relationships/chartStyle" Target="style57.xml"/></Relationships>
</file>

<file path=word/charts/_rels/chart66.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11_Wage_Bill\03_OBLASTI_REV&#205;ZIE\V&#253;voj%20zamestnanosti%20vo%20verejnej%20spr&#225;ve\EXCELY\medzinarodny%20benchmarking\GG%20empl%20Eurostat.xlsx" TargetMode="External"/><Relationship Id="rId1" Type="http://schemas.openxmlformats.org/officeDocument/2006/relationships/themeOverride" Target="../theme/themeOverride14.xm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mf.mfsr.sk\DfsRoot\ADRESARE\UHP\00_HODNOTA_ZA_PENIAZE\00_SPENDING_REVIEW\11_Wage_Bill\03_OBLASTI_REV&#205;ZIE\Mato%20-%20benchmarky%20skupin%20zamestnancov\medzin&#225;rodn&#233;%20mikrod&#225;ta\cel&#233;%202014%20s&#250;hrn.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mf.mfsr.sk\DfsRoot\ADRESARE\UHP\00_HODNOTA_ZA_PENIAZE\00_SPENDING_REVIEW\11_Wage_Bill\03_OBLASTI_REV&#205;ZIE\Mato%20-%20benchmarky%20skupin%20zamestnancov\medzin&#225;rodn&#233;%20mikrod&#225;ta\2014%20s&#250;hrn.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mf.mfsr.sk\DfsRoot\ADRESARE\UHP\00_HODNOTA_ZA_PENIAZE\00_SPENDING_REVIEW\11_Wage_Bill\03_OBLASTI_REV&#205;ZIE\Mato%20-%20benchmarky%20skupin%20zamestnancov\medzin&#225;rodn&#233;%20mikrod&#225;ta\2014%20s&#250;hrn.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mf.mfsr.sk\DfsRoot\ADRESARE\UHP\00_HODNOTA_ZA_PENIAZE\00_SPENDING_REVIEW\11_Wage_Bill\03_OBLASTI_REV&#205;ZIE\Mato%20-%20benchmarky%20skupin%20zamestnancov\medzin&#225;rodn&#233;%20mikrod&#225;ta\2014%20s&#250;hrn.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mf.mfsr.sk\DfsRoot\ADRESARE\UHP\00_HODNOTA_ZA_PENIAZE\00_SPENDING_REVIEW\11_Wage_Bill\03_OBLASTI_REV&#205;ZIE\Mato%20-%20benchmarky%20skupin%20zamestnancov\medzin&#225;rodn&#233;%20mikrod&#225;ta\2014%20s&#250;hrn.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20200206.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1_Wage_Bill\02_V&#221;STUPY\04_Z&#193;VERE&#268;N&#193;_SPR&#193;VA\D&#225;tov&#225;%20pr&#237;loha\d&#225;tov&#225;_pr&#237;loha_zaverecna_nazverejneni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60528409558562E-2"/>
          <c:y val="7.9319553805774282E-2"/>
          <c:w val="0.88342012126532965"/>
          <c:h val="0.82678969816272962"/>
        </c:manualLayout>
      </c:layout>
      <c:barChart>
        <c:barDir val="bar"/>
        <c:grouping val="stacked"/>
        <c:varyColors val="0"/>
        <c:ser>
          <c:idx val="3"/>
          <c:order val="0"/>
          <c:tx>
            <c:strRef>
              <c:f>'nová veková štruktúra bez OZ'!$E$1</c:f>
              <c:strCache>
                <c:ptCount val="1"/>
                <c:pt idx="0">
                  <c:v>súkromný sektor</c:v>
                </c:pt>
              </c:strCache>
            </c:strRef>
          </c:tx>
          <c:spPr>
            <a:solidFill>
              <a:schemeClr val="tx1">
                <a:lumMod val="95000"/>
                <a:lumOff val="5000"/>
              </a:schemeClr>
            </a:solidFill>
            <a:ln>
              <a:noFill/>
            </a:ln>
            <a:effectLst/>
          </c:spPr>
          <c:invertIfNegative val="0"/>
          <c:cat>
            <c:strRef>
              <c:f>'nová veková štruktúra s OZ'!$G$2:$G$50</c:f>
              <c:strCache>
                <c:ptCount val="49"/>
                <c:pt idx="0">
                  <c:v>do 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nad 64</c:v>
                </c:pt>
                <c:pt idx="48">
                  <c:v>nad 64</c:v>
                </c:pt>
              </c:strCache>
            </c:strRef>
          </c:cat>
          <c:val>
            <c:numRef>
              <c:f>'nová veková štruktúra bez OZ'!$H$2:$H$49</c:f>
              <c:numCache>
                <c:formatCode>0.00%</c:formatCode>
                <c:ptCount val="48"/>
                <c:pt idx="0">
                  <c:v>-8.4740433867259545E-4</c:v>
                </c:pt>
                <c:pt idx="1">
                  <c:v>-3.2736948677114688E-3</c:v>
                </c:pt>
                <c:pt idx="2">
                  <c:v>-6.4324029005990348E-3</c:v>
                </c:pt>
                <c:pt idx="3">
                  <c:v>-8.059961789517749E-3</c:v>
                </c:pt>
                <c:pt idx="4">
                  <c:v>-8.7794513986966267E-3</c:v>
                </c:pt>
                <c:pt idx="5">
                  <c:v>-9.4561314610851366E-3</c:v>
                </c:pt>
                <c:pt idx="6">
                  <c:v>-1.1684427224491123E-2</c:v>
                </c:pt>
                <c:pt idx="7">
                  <c:v>-1.27628646591527E-2</c:v>
                </c:pt>
                <c:pt idx="8">
                  <c:v>-1.3736686411117905E-2</c:v>
                </c:pt>
                <c:pt idx="9">
                  <c:v>-1.4001528165707161E-2</c:v>
                </c:pt>
                <c:pt idx="10">
                  <c:v>-1.466298285995276E-2</c:v>
                </c:pt>
                <c:pt idx="11">
                  <c:v>-1.4490657846976526E-2</c:v>
                </c:pt>
                <c:pt idx="12">
                  <c:v>-1.4157243246766781E-2</c:v>
                </c:pt>
                <c:pt idx="13">
                  <c:v>-1.487933990744689E-2</c:v>
                </c:pt>
                <c:pt idx="14">
                  <c:v>-1.5006883868126882E-2</c:v>
                </c:pt>
                <c:pt idx="15">
                  <c:v>-1.5417576262785365E-2</c:v>
                </c:pt>
                <c:pt idx="16">
                  <c:v>-1.5371764399059889E-2</c:v>
                </c:pt>
                <c:pt idx="17">
                  <c:v>-1.5195986179013118E-2</c:v>
                </c:pt>
                <c:pt idx="18">
                  <c:v>-1.433298236252321E-2</c:v>
                </c:pt>
                <c:pt idx="19">
                  <c:v>-1.5408130648164209E-2</c:v>
                </c:pt>
                <c:pt idx="20">
                  <c:v>-1.5582391920977805E-2</c:v>
                </c:pt>
                <c:pt idx="21">
                  <c:v>-1.5946327218597199E-2</c:v>
                </c:pt>
                <c:pt idx="22">
                  <c:v>-1.5918328047720531E-2</c:v>
                </c:pt>
                <c:pt idx="23">
                  <c:v>-1.5786806122236249E-2</c:v>
                </c:pt>
                <c:pt idx="24">
                  <c:v>-1.5082419044537011E-2</c:v>
                </c:pt>
                <c:pt idx="25">
                  <c:v>-1.5005873431276406E-2</c:v>
                </c:pt>
                <c:pt idx="26">
                  <c:v>-1.4309837440817317E-2</c:v>
                </c:pt>
                <c:pt idx="27">
                  <c:v>-1.3699904381636275E-2</c:v>
                </c:pt>
                <c:pt idx="28">
                  <c:v>-1.3438920858633348E-2</c:v>
                </c:pt>
                <c:pt idx="29">
                  <c:v>-1.3166392045884561E-2</c:v>
                </c:pt>
                <c:pt idx="30">
                  <c:v>-1.2355465169525482E-2</c:v>
                </c:pt>
                <c:pt idx="31">
                  <c:v>-1.1721451087205275E-2</c:v>
                </c:pt>
                <c:pt idx="32">
                  <c:v>-1.1950355568594114E-2</c:v>
                </c:pt>
                <c:pt idx="33">
                  <c:v>-1.1865391569689935E-2</c:v>
                </c:pt>
                <c:pt idx="34">
                  <c:v>-1.2531139533952221E-2</c:v>
                </c:pt>
                <c:pt idx="35">
                  <c:v>-1.3005497433518861E-2</c:v>
                </c:pt>
                <c:pt idx="36">
                  <c:v>-1.2624992769447172E-2</c:v>
                </c:pt>
                <c:pt idx="37">
                  <c:v>-1.2231075935933471E-2</c:v>
                </c:pt>
                <c:pt idx="38">
                  <c:v>-1.2534075633356121E-2</c:v>
                </c:pt>
                <c:pt idx="39">
                  <c:v>-1.2121624401013685E-2</c:v>
                </c:pt>
                <c:pt idx="40">
                  <c:v>-1.1439891430106748E-2</c:v>
                </c:pt>
                <c:pt idx="41">
                  <c:v>-1.127922981929296E-2</c:v>
                </c:pt>
                <c:pt idx="42">
                  <c:v>-1.0880351084757562E-2</c:v>
                </c:pt>
                <c:pt idx="43">
                  <c:v>-8.0634890134727386E-3</c:v>
                </c:pt>
                <c:pt idx="44">
                  <c:v>-6.7351214686954923E-3</c:v>
                </c:pt>
                <c:pt idx="45">
                  <c:v>-4.0752451139770543E-3</c:v>
                </c:pt>
                <c:pt idx="46">
                  <c:v>-2.8161127128429261E-3</c:v>
                </c:pt>
                <c:pt idx="47">
                  <c:v>-8.1811322365547348E-3</c:v>
                </c:pt>
              </c:numCache>
            </c:numRef>
          </c:val>
          <c:extLst xmlns:c16r2="http://schemas.microsoft.com/office/drawing/2015/06/chart">
            <c:ext xmlns:c16="http://schemas.microsoft.com/office/drawing/2014/chart" uri="{C3380CC4-5D6E-409C-BE32-E72D297353CC}">
              <c16:uniqueId val="{00000000-BD12-464F-A097-F603891D15E2}"/>
            </c:ext>
          </c:extLst>
        </c:ser>
        <c:ser>
          <c:idx val="0"/>
          <c:order val="1"/>
          <c:tx>
            <c:strRef>
              <c:f>'nová veková štruktúra bez OZ'!$C$1</c:f>
              <c:strCache>
                <c:ptCount val="1"/>
                <c:pt idx="0">
                  <c:v>verejný sektor</c:v>
                </c:pt>
              </c:strCache>
            </c:strRef>
          </c:tx>
          <c:spPr>
            <a:solidFill>
              <a:schemeClr val="accent1">
                <a:lumMod val="75000"/>
              </a:schemeClr>
            </a:solidFill>
            <a:ln>
              <a:noFill/>
            </a:ln>
            <a:effectLst/>
          </c:spPr>
          <c:invertIfNegative val="0"/>
          <c:cat>
            <c:strRef>
              <c:f>'nová veková štruktúra s OZ'!$G$2:$G$50</c:f>
              <c:strCache>
                <c:ptCount val="49"/>
                <c:pt idx="0">
                  <c:v>do 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nad 64</c:v>
                </c:pt>
                <c:pt idx="48">
                  <c:v>nad 64</c:v>
                </c:pt>
              </c:strCache>
            </c:strRef>
          </c:cat>
          <c:val>
            <c:numRef>
              <c:f>'nová veková štruktúra bez OZ'!$J$2:$J$50</c:f>
              <c:numCache>
                <c:formatCode>0.00%</c:formatCode>
                <c:ptCount val="49"/>
                <c:pt idx="0">
                  <c:v>9.2992615874938159E-5</c:v>
                </c:pt>
                <c:pt idx="1">
                  <c:v>5.0926343733251529E-4</c:v>
                </c:pt>
                <c:pt idx="2">
                  <c:v>1.339389228107148E-3</c:v>
                </c:pt>
                <c:pt idx="3">
                  <c:v>1.6421605565638008E-3</c:v>
                </c:pt>
                <c:pt idx="4">
                  <c:v>2.4334820511931208E-3</c:v>
                </c:pt>
                <c:pt idx="5">
                  <c:v>3.2085294563015715E-3</c:v>
                </c:pt>
                <c:pt idx="6">
                  <c:v>5.2209855700856662E-3</c:v>
                </c:pt>
                <c:pt idx="7">
                  <c:v>7.1205789472952846E-3</c:v>
                </c:pt>
                <c:pt idx="8">
                  <c:v>9.1985981731759724E-3</c:v>
                </c:pt>
                <c:pt idx="9">
                  <c:v>9.8020268167292798E-3</c:v>
                </c:pt>
                <c:pt idx="10">
                  <c:v>9.8248309937532807E-3</c:v>
                </c:pt>
                <c:pt idx="11">
                  <c:v>9.5498781212260651E-3</c:v>
                </c:pt>
                <c:pt idx="12">
                  <c:v>9.6496802162056097E-3</c:v>
                </c:pt>
                <c:pt idx="13">
                  <c:v>9.8141119417447659E-3</c:v>
                </c:pt>
                <c:pt idx="14">
                  <c:v>1.0945313119988514E-2</c:v>
                </c:pt>
                <c:pt idx="15">
                  <c:v>1.0823956605520267E-2</c:v>
                </c:pt>
                <c:pt idx="16">
                  <c:v>1.0938243986525143E-2</c:v>
                </c:pt>
                <c:pt idx="17">
                  <c:v>1.1738993707309813E-2</c:v>
                </c:pt>
                <c:pt idx="18">
                  <c:v>1.3100388656083664E-2</c:v>
                </c:pt>
                <c:pt idx="19">
                  <c:v>1.3354147487699886E-2</c:v>
                </c:pt>
                <c:pt idx="20">
                  <c:v>1.6244063160262882E-2</c:v>
                </c:pt>
                <c:pt idx="21">
                  <c:v>1.7683374093712494E-2</c:v>
                </c:pt>
                <c:pt idx="22">
                  <c:v>1.846358002872046E-2</c:v>
                </c:pt>
                <c:pt idx="23">
                  <c:v>1.9324965516501952E-2</c:v>
                </c:pt>
                <c:pt idx="24">
                  <c:v>1.9611815024856098E-2</c:v>
                </c:pt>
                <c:pt idx="25">
                  <c:v>2.0489496229407569E-2</c:v>
                </c:pt>
                <c:pt idx="26">
                  <c:v>1.995535289179251E-2</c:v>
                </c:pt>
                <c:pt idx="27">
                  <c:v>1.988512798866551E-2</c:v>
                </c:pt>
                <c:pt idx="28">
                  <c:v>1.8873494060582093E-2</c:v>
                </c:pt>
                <c:pt idx="29">
                  <c:v>1.9401174169271881E-2</c:v>
                </c:pt>
                <c:pt idx="30">
                  <c:v>1.8955523089895801E-2</c:v>
                </c:pt>
                <c:pt idx="31">
                  <c:v>1.7594854717260276E-2</c:v>
                </c:pt>
                <c:pt idx="32">
                  <c:v>1.8863705623440079E-2</c:v>
                </c:pt>
                <c:pt idx="33">
                  <c:v>1.9716687491767644E-2</c:v>
                </c:pt>
                <c:pt idx="34">
                  <c:v>2.1059749614547214E-2</c:v>
                </c:pt>
                <c:pt idx="35">
                  <c:v>2.234207657340103E-2</c:v>
                </c:pt>
                <c:pt idx="36">
                  <c:v>2.1875210795886734E-2</c:v>
                </c:pt>
                <c:pt idx="37">
                  <c:v>2.0886320279794215E-2</c:v>
                </c:pt>
                <c:pt idx="38">
                  <c:v>2.1865706435868347E-2</c:v>
                </c:pt>
                <c:pt idx="39">
                  <c:v>2.1562665119055024E-2</c:v>
                </c:pt>
                <c:pt idx="40">
                  <c:v>2.1988914925852136E-2</c:v>
                </c:pt>
                <c:pt idx="41">
                  <c:v>2.2133490782398065E-2</c:v>
                </c:pt>
                <c:pt idx="42">
                  <c:v>2.022145214186646E-2</c:v>
                </c:pt>
                <c:pt idx="43">
                  <c:v>1.6429308406813229E-2</c:v>
                </c:pt>
                <c:pt idx="44">
                  <c:v>1.1799224013209663E-2</c:v>
                </c:pt>
                <c:pt idx="45">
                  <c:v>8.0238944024362702E-3</c:v>
                </c:pt>
                <c:pt idx="46">
                  <c:v>5.5099328249859801E-3</c:v>
                </c:pt>
                <c:pt idx="47">
                  <c:v>1.463101749303054E-2</c:v>
                </c:pt>
              </c:numCache>
            </c:numRef>
          </c:val>
          <c:extLst xmlns:c16r2="http://schemas.microsoft.com/office/drawing/2015/06/chart">
            <c:ext xmlns:c16="http://schemas.microsoft.com/office/drawing/2014/chart" uri="{C3380CC4-5D6E-409C-BE32-E72D297353CC}">
              <c16:uniqueId val="{00000001-BD12-464F-A097-F603891D15E2}"/>
            </c:ext>
          </c:extLst>
        </c:ser>
        <c:ser>
          <c:idx val="1"/>
          <c:order val="2"/>
          <c:tx>
            <c:strRef>
              <c:f>'nová veková štruktúra bez OZ'!$B$1</c:f>
              <c:strCache>
                <c:ptCount val="1"/>
                <c:pt idx="0">
                  <c:v>verejný sektor</c:v>
                </c:pt>
              </c:strCache>
            </c:strRef>
          </c:tx>
          <c:spPr>
            <a:solidFill>
              <a:srgbClr val="0070C0"/>
            </a:solidFill>
            <a:ln>
              <a:noFill/>
            </a:ln>
            <a:effectLst/>
          </c:spPr>
          <c:invertIfNegative val="0"/>
          <c:cat>
            <c:strRef>
              <c:f>'nová veková štruktúra s OZ'!$G$2:$G$50</c:f>
              <c:strCache>
                <c:ptCount val="49"/>
                <c:pt idx="0">
                  <c:v>do 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nad 64</c:v>
                </c:pt>
                <c:pt idx="48">
                  <c:v>nad 64</c:v>
                </c:pt>
              </c:strCache>
            </c:strRef>
          </c:cat>
          <c:val>
            <c:numRef>
              <c:f>'nová veková štruktúra bez OZ'!$K$2:$K$50</c:f>
              <c:numCache>
                <c:formatCode>0.00%</c:formatCode>
                <c:ptCount val="49"/>
                <c:pt idx="0">
                  <c:v>1.9887448146275197E-4</c:v>
                </c:pt>
                <c:pt idx="1">
                  <c:v>4.8992660543803728E-4</c:v>
                </c:pt>
                <c:pt idx="2">
                  <c:v>1.1332947115547927E-3</c:v>
                </c:pt>
                <c:pt idx="3">
                  <c:v>1.6084769852342156E-3</c:v>
                </c:pt>
                <c:pt idx="4">
                  <c:v>1.7117212959965413E-3</c:v>
                </c:pt>
                <c:pt idx="5">
                  <c:v>2.1643426924284415E-3</c:v>
                </c:pt>
                <c:pt idx="6">
                  <c:v>3.1180435607409719E-3</c:v>
                </c:pt>
                <c:pt idx="7">
                  <c:v>3.7482482034718323E-3</c:v>
                </c:pt>
                <c:pt idx="8">
                  <c:v>4.4358393593768395E-3</c:v>
                </c:pt>
                <c:pt idx="9">
                  <c:v>4.6533883171824128E-3</c:v>
                </c:pt>
                <c:pt idx="10">
                  <c:v>5.2143653196846688E-3</c:v>
                </c:pt>
                <c:pt idx="11">
                  <c:v>5.8027129360184535E-3</c:v>
                </c:pt>
                <c:pt idx="12">
                  <c:v>5.7734194080728786E-3</c:v>
                </c:pt>
                <c:pt idx="13">
                  <c:v>5.8888146097453862E-3</c:v>
                </c:pt>
                <c:pt idx="14">
                  <c:v>6.096091814880189E-3</c:v>
                </c:pt>
                <c:pt idx="15">
                  <c:v>6.3649287644205362E-3</c:v>
                </c:pt>
                <c:pt idx="16">
                  <c:v>6.3138843411571369E-3</c:v>
                </c:pt>
                <c:pt idx="17">
                  <c:v>6.5707512549051982E-3</c:v>
                </c:pt>
                <c:pt idx="18">
                  <c:v>6.1208064013562056E-3</c:v>
                </c:pt>
                <c:pt idx="19">
                  <c:v>6.8506286465893022E-3</c:v>
                </c:pt>
                <c:pt idx="20">
                  <c:v>7.376220753794514E-3</c:v>
                </c:pt>
                <c:pt idx="21">
                  <c:v>7.4388991421598522E-3</c:v>
                </c:pt>
                <c:pt idx="22">
                  <c:v>9.0704182454810055E-3</c:v>
                </c:pt>
                <c:pt idx="23">
                  <c:v>8.5364560459980678E-3</c:v>
                </c:pt>
                <c:pt idx="24">
                  <c:v>8.8951244967047875E-3</c:v>
                </c:pt>
                <c:pt idx="25">
                  <c:v>9.3251944782361783E-3</c:v>
                </c:pt>
                <c:pt idx="26">
                  <c:v>8.7977971427866831E-3</c:v>
                </c:pt>
                <c:pt idx="27">
                  <c:v>8.4574181153799204E-3</c:v>
                </c:pt>
                <c:pt idx="28">
                  <c:v>8.3206733887771084E-3</c:v>
                </c:pt>
                <c:pt idx="29">
                  <c:v>8.1931077734180655E-3</c:v>
                </c:pt>
                <c:pt idx="30">
                  <c:v>8.3263672812825072E-3</c:v>
                </c:pt>
                <c:pt idx="31">
                  <c:v>8.3524232312047978E-3</c:v>
                </c:pt>
                <c:pt idx="32">
                  <c:v>7.9750383025552901E-3</c:v>
                </c:pt>
                <c:pt idx="33">
                  <c:v>9.4171086833801706E-3</c:v>
                </c:pt>
                <c:pt idx="34">
                  <c:v>9.7548534207485011E-3</c:v>
                </c:pt>
                <c:pt idx="35">
                  <c:v>1.0052023562214478E-2</c:v>
                </c:pt>
                <c:pt idx="36">
                  <c:v>9.8395728741600026E-3</c:v>
                </c:pt>
                <c:pt idx="37">
                  <c:v>9.8631753945328422E-3</c:v>
                </c:pt>
                <c:pt idx="38">
                  <c:v>1.0591808279002276E-2</c:v>
                </c:pt>
                <c:pt idx="39">
                  <c:v>9.9718289141128742E-3</c:v>
                </c:pt>
                <c:pt idx="40">
                  <c:v>1.0236797536774487E-2</c:v>
                </c:pt>
                <c:pt idx="41">
                  <c:v>1.0299006834300597E-2</c:v>
                </c:pt>
                <c:pt idx="42">
                  <c:v>1.0932103519879822E-2</c:v>
                </c:pt>
                <c:pt idx="43">
                  <c:v>8.5416754547516446E-3</c:v>
                </c:pt>
                <c:pt idx="44">
                  <c:v>7.3018318740461288E-3</c:v>
                </c:pt>
                <c:pt idx="45">
                  <c:v>5.2280406859036739E-3</c:v>
                </c:pt>
                <c:pt idx="46">
                  <c:v>4.55334048784963E-3</c:v>
                </c:pt>
                <c:pt idx="47">
                  <c:v>1.4393404786849194E-2</c:v>
                </c:pt>
              </c:numCache>
            </c:numRef>
          </c:val>
          <c:extLst xmlns:c16r2="http://schemas.microsoft.com/office/drawing/2015/06/chart">
            <c:ext xmlns:c16="http://schemas.microsoft.com/office/drawing/2014/chart" uri="{C3380CC4-5D6E-409C-BE32-E72D297353CC}">
              <c16:uniqueId val="{00000002-BD12-464F-A097-F603891D15E2}"/>
            </c:ext>
          </c:extLst>
        </c:ser>
        <c:ser>
          <c:idx val="2"/>
          <c:order val="3"/>
          <c:tx>
            <c:strRef>
              <c:f>'nová veková štruktúra bez OZ'!$D$1</c:f>
              <c:strCache>
                <c:ptCount val="1"/>
                <c:pt idx="0">
                  <c:v>súkromný sektor</c:v>
                </c:pt>
              </c:strCache>
            </c:strRef>
          </c:tx>
          <c:spPr>
            <a:solidFill>
              <a:schemeClr val="tx1"/>
            </a:solidFill>
            <a:ln>
              <a:noFill/>
            </a:ln>
            <a:effectLst/>
          </c:spPr>
          <c:invertIfNegative val="0"/>
          <c:cat>
            <c:strRef>
              <c:f>'nová veková štruktúra s OZ'!$G$2:$G$50</c:f>
              <c:strCache>
                <c:ptCount val="49"/>
                <c:pt idx="0">
                  <c:v>do 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nad 64</c:v>
                </c:pt>
                <c:pt idx="48">
                  <c:v>nad 64</c:v>
                </c:pt>
              </c:strCache>
            </c:strRef>
          </c:cat>
          <c:val>
            <c:numRef>
              <c:f>'nová veková štruktúra bez OZ'!$I$2:$I$50</c:f>
              <c:numCache>
                <c:formatCode>0.00%</c:formatCode>
                <c:ptCount val="49"/>
                <c:pt idx="0">
                  <c:v>-5.7042150357338155E-4</c:v>
                </c:pt>
                <c:pt idx="1">
                  <c:v>-1.915086097872267E-3</c:v>
                </c:pt>
                <c:pt idx="2">
                  <c:v>-3.814575410397376E-3</c:v>
                </c:pt>
                <c:pt idx="3">
                  <c:v>-5.0403359477352375E-3</c:v>
                </c:pt>
                <c:pt idx="4">
                  <c:v>-5.4297112140298566E-3</c:v>
                </c:pt>
                <c:pt idx="5">
                  <c:v>-6.2618805780882102E-3</c:v>
                </c:pt>
                <c:pt idx="6">
                  <c:v>-8.4621621195624976E-3</c:v>
                </c:pt>
                <c:pt idx="7">
                  <c:v>-9.9031736146717262E-3</c:v>
                </c:pt>
                <c:pt idx="8">
                  <c:v>-1.0482066220888635E-2</c:v>
                </c:pt>
                <c:pt idx="9">
                  <c:v>-1.1046705047606556E-2</c:v>
                </c:pt>
                <c:pt idx="10">
                  <c:v>-1.0133312581582475E-2</c:v>
                </c:pt>
                <c:pt idx="11">
                  <c:v>-9.7342175393242067E-3</c:v>
                </c:pt>
                <c:pt idx="12">
                  <c:v>-1.0188710664402334E-2</c:v>
                </c:pt>
                <c:pt idx="13">
                  <c:v>-9.9516605166530235E-3</c:v>
                </c:pt>
                <c:pt idx="14">
                  <c:v>-9.5870059149817596E-3</c:v>
                </c:pt>
                <c:pt idx="15">
                  <c:v>-9.4518953057790567E-3</c:v>
                </c:pt>
                <c:pt idx="16">
                  <c:v>-9.7439723990968927E-3</c:v>
                </c:pt>
                <c:pt idx="17">
                  <c:v>-1.0008231934182234E-2</c:v>
                </c:pt>
                <c:pt idx="18">
                  <c:v>-1.035495466458989E-2</c:v>
                </c:pt>
                <c:pt idx="19">
                  <c:v>-1.1156940573333187E-2</c:v>
                </c:pt>
                <c:pt idx="20">
                  <c:v>-1.1979081732076515E-2</c:v>
                </c:pt>
                <c:pt idx="21">
                  <c:v>-1.2421619810694912E-2</c:v>
                </c:pt>
                <c:pt idx="22">
                  <c:v>-1.2191261930396546E-2</c:v>
                </c:pt>
                <c:pt idx="23">
                  <c:v>-1.304027591504534E-2</c:v>
                </c:pt>
                <c:pt idx="24">
                  <c:v>-1.3203324804380209E-2</c:v>
                </c:pt>
                <c:pt idx="25">
                  <c:v>-1.2743796134156955E-2</c:v>
                </c:pt>
                <c:pt idx="26">
                  <c:v>-1.2854881498702194E-2</c:v>
                </c:pt>
                <c:pt idx="27">
                  <c:v>-1.1965424955559127E-2</c:v>
                </c:pt>
                <c:pt idx="28">
                  <c:v>-1.1553967183873838E-2</c:v>
                </c:pt>
                <c:pt idx="29">
                  <c:v>-1.0744404586221848E-2</c:v>
                </c:pt>
                <c:pt idx="30">
                  <c:v>-1.0353931828037203E-2</c:v>
                </c:pt>
                <c:pt idx="31">
                  <c:v>-9.9830728937580684E-3</c:v>
                </c:pt>
                <c:pt idx="32">
                  <c:v>-9.8387127957028173E-3</c:v>
                </c:pt>
                <c:pt idx="33">
                  <c:v>-1.0746193661946858E-2</c:v>
                </c:pt>
                <c:pt idx="34">
                  <c:v>-1.0472832601517842E-2</c:v>
                </c:pt>
                <c:pt idx="35">
                  <c:v>-1.0309963272608498E-2</c:v>
                </c:pt>
                <c:pt idx="36">
                  <c:v>-1.0388646314175458E-2</c:v>
                </c:pt>
                <c:pt idx="37">
                  <c:v>-9.6193884582814661E-3</c:v>
                </c:pt>
                <c:pt idx="38">
                  <c:v>-9.8260197988655172E-3</c:v>
                </c:pt>
                <c:pt idx="39">
                  <c:v>-9.4471725158119576E-3</c:v>
                </c:pt>
                <c:pt idx="40">
                  <c:v>-8.7307847871307184E-3</c:v>
                </c:pt>
                <c:pt idx="41">
                  <c:v>-8.7147555478580621E-3</c:v>
                </c:pt>
                <c:pt idx="42">
                  <c:v>-7.1664663841932682E-3</c:v>
                </c:pt>
                <c:pt idx="43">
                  <c:v>-5.1077295706701839E-3</c:v>
                </c:pt>
                <c:pt idx="44">
                  <c:v>-3.0627907628108146E-3</c:v>
                </c:pt>
                <c:pt idx="45">
                  <c:v>-2.0688535638956132E-3</c:v>
                </c:pt>
                <c:pt idx="46">
                  <c:v>-1.4140666574517305E-3</c:v>
                </c:pt>
                <c:pt idx="47">
                  <c:v>-4.50661689400534E-3</c:v>
                </c:pt>
              </c:numCache>
            </c:numRef>
          </c:val>
          <c:extLst xmlns:c16r2="http://schemas.microsoft.com/office/drawing/2015/06/chart">
            <c:ext xmlns:c16="http://schemas.microsoft.com/office/drawing/2014/chart" uri="{C3380CC4-5D6E-409C-BE32-E72D297353CC}">
              <c16:uniqueId val="{00000003-BD12-464F-A097-F603891D15E2}"/>
            </c:ext>
          </c:extLst>
        </c:ser>
        <c:dLbls>
          <c:showLegendKey val="0"/>
          <c:showVal val="0"/>
          <c:showCatName val="0"/>
          <c:showSerName val="0"/>
          <c:showPercent val="0"/>
          <c:showBubbleSize val="0"/>
        </c:dLbls>
        <c:gapWidth val="96"/>
        <c:overlap val="100"/>
        <c:axId val="175216424"/>
        <c:axId val="175216816"/>
      </c:barChart>
      <c:catAx>
        <c:axId val="175216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175216816"/>
        <c:crossesAt val="-6.0000000000000012E-2"/>
        <c:auto val="1"/>
        <c:lblAlgn val="ctr"/>
        <c:lblOffset val="100"/>
        <c:noMultiLvlLbl val="0"/>
      </c:catAx>
      <c:valAx>
        <c:axId val="175216816"/>
        <c:scaling>
          <c:orientation val="minMax"/>
          <c:max val="4.0000000000000008E-2"/>
          <c:min val="-4.0000000000000008E-2"/>
        </c:scaling>
        <c:delete val="0"/>
        <c:axPos val="b"/>
        <c:majorGridlines>
          <c:spPr>
            <a:ln w="9525" cap="flat" cmpd="sng" algn="ctr">
              <a:solidFill>
                <a:schemeClr val="bg1">
                  <a:lumMod val="75000"/>
                </a:schemeClr>
              </a:solidFill>
              <a:prstDash val="dash"/>
              <a:round/>
            </a:ln>
            <a:effectLst/>
          </c:spPr>
        </c:majorGridlines>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175216424"/>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0.16169856450347142"/>
          <c:y val="1.2767388451443569E-2"/>
          <c:w val="0.80122184297778243"/>
          <c:h val="5.336023295595513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6612874804077"/>
          <c:y val="4.4715447154471545E-2"/>
          <c:w val="0.83550819398458587"/>
          <c:h val="0.70066897125664174"/>
        </c:manualLayout>
      </c:layout>
      <c:barChart>
        <c:barDir val="col"/>
        <c:grouping val="stacked"/>
        <c:varyColors val="0"/>
        <c:ser>
          <c:idx val="0"/>
          <c:order val="0"/>
          <c:spPr>
            <a:noFill/>
            <a:ln>
              <a:noFill/>
            </a:ln>
            <a:effectLst/>
          </c:spPr>
          <c:invertIfNegative val="0"/>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graf'!$B$19:$B$31</c:f>
              <c:numCache>
                <c:formatCode>General</c:formatCode>
                <c:ptCount val="13"/>
                <c:pt idx="0">
                  <c:v>0</c:v>
                </c:pt>
                <c:pt idx="1">
                  <c:v>137362.39999999997</c:v>
                </c:pt>
                <c:pt idx="2">
                  <c:v>181206.09999999998</c:v>
                </c:pt>
                <c:pt idx="3">
                  <c:v>219939.99999999997</c:v>
                </c:pt>
                <c:pt idx="4">
                  <c:v>246429.39999999997</c:v>
                </c:pt>
                <c:pt idx="5">
                  <c:v>259488.69999999995</c:v>
                </c:pt>
                <c:pt idx="6">
                  <c:v>263821.89999999997</c:v>
                </c:pt>
                <c:pt idx="7">
                  <c:v>266801.89999999997</c:v>
                </c:pt>
                <c:pt idx="8">
                  <c:v>269086.99999999994</c:v>
                </c:pt>
                <c:pt idx="9">
                  <c:v>304076.49999999994</c:v>
                </c:pt>
                <c:pt idx="10">
                  <c:v>328652.39999999991</c:v>
                </c:pt>
                <c:pt idx="11">
                  <c:v>337655.69999999984</c:v>
                </c:pt>
              </c:numCache>
            </c:numRef>
          </c:val>
        </c:ser>
        <c:ser>
          <c:idx val="1"/>
          <c:order val="1"/>
          <c:spPr>
            <a:solidFill>
              <a:srgbClr val="00B0F0"/>
            </a:solidFill>
            <a:ln>
              <a:noFill/>
            </a:ln>
            <a:effectLst/>
          </c:spPr>
          <c:invertIfNegative val="0"/>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graf'!$C$19:$C$31</c:f>
              <c:numCache>
                <c:formatCode>General</c:formatCode>
                <c:ptCount val="13"/>
                <c:pt idx="0" formatCode="#,##0">
                  <c:v>137362.39999999997</c:v>
                </c:pt>
              </c:numCache>
            </c:numRef>
          </c:val>
        </c:ser>
        <c:ser>
          <c:idx val="2"/>
          <c:order val="2"/>
          <c:spPr>
            <a:solidFill>
              <a:srgbClr val="00B0F0"/>
            </a:solidFill>
            <a:ln>
              <a:noFill/>
            </a:ln>
            <a:effectLst/>
          </c:spPr>
          <c:invertIfNegative val="0"/>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graf'!$D$19:$D$31</c:f>
              <c:numCache>
                <c:formatCode>#,##0</c:formatCode>
                <c:ptCount val="13"/>
                <c:pt idx="1">
                  <c:v>43843.7</c:v>
                </c:pt>
              </c:numCache>
            </c:numRef>
          </c:val>
        </c:ser>
        <c:ser>
          <c:idx val="3"/>
          <c:order val="3"/>
          <c:spPr>
            <a:solidFill>
              <a:srgbClr val="00B0F0"/>
            </a:solidFill>
            <a:ln>
              <a:noFill/>
            </a:ln>
            <a:effectLst/>
          </c:spPr>
          <c:invertIfNegative val="0"/>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graf'!$E$19:$E$31</c:f>
              <c:numCache>
                <c:formatCode>General</c:formatCode>
                <c:ptCount val="13"/>
                <c:pt idx="2" formatCode="#,##0">
                  <c:v>38733.9</c:v>
                </c:pt>
              </c:numCache>
            </c:numRef>
          </c:val>
        </c:ser>
        <c:ser>
          <c:idx val="4"/>
          <c:order val="4"/>
          <c:spPr>
            <a:solidFill>
              <a:srgbClr val="00B0F0"/>
            </a:solidFill>
            <a:ln>
              <a:noFill/>
            </a:ln>
            <a:effectLst/>
          </c:spPr>
          <c:invertIfNegative val="0"/>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graf'!$F$19:$F$31</c:f>
              <c:numCache>
                <c:formatCode>General</c:formatCode>
                <c:ptCount val="13"/>
                <c:pt idx="3" formatCode="#,##0">
                  <c:v>26489.399999999998</c:v>
                </c:pt>
              </c:numCache>
            </c:numRef>
          </c:val>
        </c:ser>
        <c:ser>
          <c:idx val="5"/>
          <c:order val="5"/>
          <c:spPr>
            <a:solidFill>
              <a:srgbClr val="00B0F0"/>
            </a:solidFill>
            <a:ln>
              <a:noFill/>
            </a:ln>
            <a:effectLst/>
          </c:spPr>
          <c:invertIfNegative val="0"/>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graf'!$G$19:$G$31</c:f>
              <c:numCache>
                <c:formatCode>General</c:formatCode>
                <c:ptCount val="13"/>
                <c:pt idx="4" formatCode="#,##0">
                  <c:v>13059.3</c:v>
                </c:pt>
              </c:numCache>
            </c:numRef>
          </c:val>
        </c:ser>
        <c:ser>
          <c:idx val="6"/>
          <c:order val="6"/>
          <c:spPr>
            <a:solidFill>
              <a:srgbClr val="00B0F0"/>
            </a:solidFill>
            <a:ln>
              <a:noFill/>
            </a:ln>
            <a:effectLst/>
          </c:spPr>
          <c:invertIfNegative val="0"/>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graf'!$H$19:$H$31</c:f>
              <c:numCache>
                <c:formatCode>General</c:formatCode>
                <c:ptCount val="13"/>
                <c:pt idx="5" formatCode="#,##0">
                  <c:v>4333.2</c:v>
                </c:pt>
              </c:numCache>
            </c:numRef>
          </c:val>
        </c:ser>
        <c:ser>
          <c:idx val="7"/>
          <c:order val="7"/>
          <c:spPr>
            <a:solidFill>
              <a:srgbClr val="0070C0"/>
            </a:solidFill>
            <a:ln>
              <a:noFill/>
            </a:ln>
            <a:effectLst/>
          </c:spPr>
          <c:invertIfNegative val="0"/>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graf'!$I$19:$I$31</c:f>
              <c:numCache>
                <c:formatCode>General</c:formatCode>
                <c:ptCount val="13"/>
                <c:pt idx="6" formatCode="#,##0">
                  <c:v>2980</c:v>
                </c:pt>
              </c:numCache>
            </c:numRef>
          </c:val>
        </c:ser>
        <c:ser>
          <c:idx val="8"/>
          <c:order val="8"/>
          <c:spPr>
            <a:solidFill>
              <a:srgbClr val="0070C0"/>
            </a:solidFill>
            <a:ln>
              <a:noFill/>
            </a:ln>
            <a:effectLst/>
          </c:spPr>
          <c:invertIfNegative val="0"/>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graf'!$J$19:$J$31</c:f>
              <c:numCache>
                <c:formatCode>General</c:formatCode>
                <c:ptCount val="13"/>
                <c:pt idx="7" formatCode="#,##0">
                  <c:v>2285.1</c:v>
                </c:pt>
              </c:numCache>
            </c:numRef>
          </c:val>
        </c:ser>
        <c:ser>
          <c:idx val="9"/>
          <c:order val="9"/>
          <c:spPr>
            <a:solidFill>
              <a:srgbClr val="00B0F0"/>
            </a:solidFill>
            <a:ln>
              <a:noFill/>
            </a:ln>
            <a:effectLst/>
          </c:spPr>
          <c:invertIfNegative val="0"/>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graf'!$K$19:$K$31</c:f>
              <c:numCache>
                <c:formatCode>General</c:formatCode>
                <c:ptCount val="13"/>
                <c:pt idx="8" formatCode="#,##0">
                  <c:v>34989.5</c:v>
                </c:pt>
              </c:numCache>
            </c:numRef>
          </c:val>
        </c:ser>
        <c:ser>
          <c:idx val="10"/>
          <c:order val="10"/>
          <c:spPr>
            <a:solidFill>
              <a:srgbClr val="00B0F0"/>
            </a:solidFill>
            <a:ln>
              <a:noFill/>
            </a:ln>
            <a:effectLst/>
          </c:spPr>
          <c:invertIfNegative val="0"/>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graf'!$L$19:$L$31</c:f>
              <c:numCache>
                <c:formatCode>General</c:formatCode>
                <c:ptCount val="13"/>
                <c:pt idx="9" formatCode="#,##0">
                  <c:v>24575.899999999994</c:v>
                </c:pt>
              </c:numCache>
            </c:numRef>
          </c:val>
        </c:ser>
        <c:ser>
          <c:idx val="11"/>
          <c:order val="11"/>
          <c:spPr>
            <a:solidFill>
              <a:srgbClr val="00B0F0"/>
            </a:solidFill>
            <a:ln>
              <a:noFill/>
            </a:ln>
            <a:effectLst/>
          </c:spPr>
          <c:invertIfNegative val="0"/>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graf'!$M$19:$M$31</c:f>
              <c:numCache>
                <c:formatCode>General</c:formatCode>
                <c:ptCount val="13"/>
                <c:pt idx="10" formatCode="#,##0">
                  <c:v>9003.2999999999302</c:v>
                </c:pt>
              </c:numCache>
            </c:numRef>
          </c:val>
        </c:ser>
        <c:ser>
          <c:idx val="12"/>
          <c:order val="12"/>
          <c:spPr>
            <a:solidFill>
              <a:srgbClr val="00B0F0"/>
            </a:solidFill>
            <a:ln>
              <a:noFill/>
            </a:ln>
            <a:effectLst/>
          </c:spPr>
          <c:invertIfNegative val="0"/>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graf'!$N$19:$N$31</c:f>
              <c:numCache>
                <c:formatCode>General</c:formatCode>
                <c:ptCount val="13"/>
                <c:pt idx="11" formatCode="#,##0">
                  <c:v>78589.60000000002</c:v>
                </c:pt>
              </c:numCache>
            </c:numRef>
          </c:val>
        </c:ser>
        <c:ser>
          <c:idx val="13"/>
          <c:order val="13"/>
          <c:spPr>
            <a:solidFill>
              <a:schemeClr val="bg1">
                <a:lumMod val="50000"/>
              </a:schemeClr>
            </a:solidFill>
            <a:ln>
              <a:solidFill>
                <a:schemeClr val="bg1">
                  <a:lumMod val="50000"/>
                </a:schemeClr>
              </a:solidFill>
            </a:ln>
            <a:effectLst/>
          </c:spPr>
          <c:invertIfNegative val="0"/>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graf'!$O$19:$O$31</c:f>
              <c:numCache>
                <c:formatCode>General</c:formatCode>
                <c:ptCount val="13"/>
                <c:pt idx="12" formatCode="#,##0">
                  <c:v>416245.29999999987</c:v>
                </c:pt>
              </c:numCache>
            </c:numRef>
          </c:val>
        </c:ser>
        <c:ser>
          <c:idx val="14"/>
          <c:order val="14"/>
          <c:spPr>
            <a:solidFill>
              <a:schemeClr val="bg1">
                <a:lumMod val="65000"/>
              </a:schemeClr>
            </a:solidFill>
            <a:ln>
              <a:noFill/>
            </a:ln>
            <a:effectLst/>
          </c:spPr>
          <c:invertIfNegative val="0"/>
          <c:dLbls>
            <c:dLbl>
              <c:idx val="0"/>
              <c:tx>
                <c:rich>
                  <a:bodyPr/>
                  <a:lstStyle/>
                  <a:p>
                    <a:fld id="{1E6A8216-91E5-43C8-BF72-251D5404AB09}" type="CELLRANGE">
                      <a:rPr lang="en-US"/>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B7AD17F0-62D9-4025-A3E2-F5456D8F0262}"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8881C792-2650-4E43-9863-AB8A6A73607F}"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E1D5FFA6-B1F9-45E2-9CD4-C4F0268A26FE}"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04970AF9-15CD-43A9-AD83-11EF8017EBD3}"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90DF6A9B-0296-42EC-AC09-93E89ECB10D0}"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C6C88E96-17B9-4104-AE60-BA1DD98E5395}"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5473C5C8-18C9-41BE-85ED-B71CCC9E727F}"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843744AD-5E9C-4632-A340-EBFCD8652028}"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394E556E-E2B2-4DDE-873F-1A58A1E6BAAA}"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F5E30055-C15B-4E15-A372-F031DC6A434E}"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1F0D0A56-9F6C-45EF-9733-5B4992926271}"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2"/>
              <c:tx>
                <c:rich>
                  <a:bodyPr/>
                  <a:lstStyle/>
                  <a:p>
                    <a:fld id="{8422F0B3-81F3-449F-BF3A-A0B56427B71E}"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'počty2018 graf'!$A$19:$A$31</c:f>
              <c:strCache>
                <c:ptCount val="13"/>
                <c:pt idx="0">
                  <c:v>školstvo</c:v>
                </c:pt>
                <c:pt idx="1">
                  <c:v>zdravotníctvo</c:v>
                </c:pt>
                <c:pt idx="2">
                  <c:v>štátna služba</c:v>
                </c:pt>
                <c:pt idx="3">
                  <c:v>polícia</c:v>
                </c:pt>
                <c:pt idx="4">
                  <c:v>vojaci</c:v>
                </c:pt>
                <c:pt idx="5">
                  <c:v>hasiči</c:v>
                </c:pt>
                <c:pt idx="6">
                  <c:v>colníci</c:v>
                </c:pt>
                <c:pt idx="7">
                  <c:v>sudcovia a prokurátori</c:v>
                </c:pt>
                <c:pt idx="8">
                  <c:v>ústredná - ver.služba</c:v>
                </c:pt>
                <c:pt idx="9">
                  <c:v>štátne podniky</c:v>
                </c:pt>
                <c:pt idx="10">
                  <c:v>ostatné</c:v>
                </c:pt>
                <c:pt idx="11">
                  <c:v>samospráva - ostatní</c:v>
                </c:pt>
                <c:pt idx="12">
                  <c:v>spolu</c:v>
                </c:pt>
              </c:strCache>
            </c:strRef>
          </c:cat>
          <c:val>
            <c:numRef>
              <c:f>'počty2018 graf'!$P$19:$P$31</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formatCode="#,##0">
                  <c:v>0</c:v>
                </c:pt>
              </c:numCache>
            </c:numRef>
          </c:val>
          <c:extLst>
            <c:ext xmlns:c15="http://schemas.microsoft.com/office/drawing/2012/chart" uri="{02D57815-91ED-43cb-92C2-25804820EDAC}">
              <c15:datalabelsRange>
                <c15:f>'počty2018 graf'!$C$33:$O$33</c15:f>
                <c15:dlblRangeCache>
                  <c:ptCount val="13"/>
                  <c:pt idx="0">
                    <c:v>137</c:v>
                  </c:pt>
                  <c:pt idx="1">
                    <c:v>44</c:v>
                  </c:pt>
                  <c:pt idx="2">
                    <c:v>39</c:v>
                  </c:pt>
                  <c:pt idx="3">
                    <c:v>26</c:v>
                  </c:pt>
                  <c:pt idx="4">
                    <c:v>13</c:v>
                  </c:pt>
                  <c:pt idx="5">
                    <c:v>4</c:v>
                  </c:pt>
                  <c:pt idx="6">
                    <c:v>3</c:v>
                  </c:pt>
                  <c:pt idx="7">
                    <c:v>2</c:v>
                  </c:pt>
                  <c:pt idx="8">
                    <c:v>35</c:v>
                  </c:pt>
                  <c:pt idx="9">
                    <c:v>25</c:v>
                  </c:pt>
                  <c:pt idx="10">
                    <c:v>9</c:v>
                  </c:pt>
                  <c:pt idx="11">
                    <c:v>79</c:v>
                  </c:pt>
                  <c:pt idx="12">
                    <c:v>416</c:v>
                  </c:pt>
                </c15:dlblRangeCache>
              </c15:datalabelsRange>
            </c:ext>
          </c:extLst>
        </c:ser>
        <c:dLbls>
          <c:showLegendKey val="0"/>
          <c:showVal val="0"/>
          <c:showCatName val="0"/>
          <c:showSerName val="0"/>
          <c:showPercent val="0"/>
          <c:showBubbleSize val="0"/>
        </c:dLbls>
        <c:gapWidth val="150"/>
        <c:overlap val="100"/>
        <c:axId val="222229728"/>
        <c:axId val="222230120"/>
      </c:barChart>
      <c:catAx>
        <c:axId val="2222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2230120"/>
        <c:crosses val="autoZero"/>
        <c:auto val="1"/>
        <c:lblAlgn val="ctr"/>
        <c:lblOffset val="100"/>
        <c:noMultiLvlLbl val="0"/>
      </c:catAx>
      <c:valAx>
        <c:axId val="222230120"/>
        <c:scaling>
          <c:orientation val="minMax"/>
        </c:scaling>
        <c:delete val="0"/>
        <c:axPos val="l"/>
        <c:majorGridlines>
          <c:spPr>
            <a:ln w="9525" cap="flat" cmpd="sng" algn="ctr">
              <a:solidFill>
                <a:schemeClr val="bg1">
                  <a:lumMod val="75000"/>
                </a:schemeClr>
              </a:solidFill>
              <a:prstDash val="dash"/>
              <a:round/>
            </a:ln>
            <a:effectLst/>
          </c:spPr>
        </c:majorGridlines>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2229728"/>
        <c:crosses val="autoZero"/>
        <c:crossBetween val="between"/>
        <c:dispUnits>
          <c:builtInUnit val="thousands"/>
        </c:dispUnits>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'mzdy 2018 graf'!$C$1</c:f>
              <c:strCache>
                <c:ptCount val="1"/>
                <c:pt idx="0">
                  <c:v>ústredná správa</c:v>
                </c:pt>
              </c:strCache>
            </c:strRef>
          </c:tx>
          <c:spPr>
            <a:solidFill>
              <a:srgbClr val="00B0F0"/>
            </a:solidFill>
            <a:ln>
              <a:solidFill>
                <a:srgbClr val="00B0F0"/>
              </a:solidFill>
            </a:ln>
            <a:effectLst/>
          </c:spPr>
          <c:invertIfNegative val="0"/>
          <c:cat>
            <c:strRef>
              <c:f>'mzdy 2018 graf'!$A$2:$A$14</c:f>
              <c:strCache>
                <c:ptCount val="13"/>
                <c:pt idx="0">
                  <c:v>školstvo</c:v>
                </c:pt>
                <c:pt idx="1">
                  <c:v>zdravotníctvo</c:v>
                </c:pt>
                <c:pt idx="2">
                  <c:v>ústredná - štátna služba</c:v>
                </c:pt>
                <c:pt idx="3">
                  <c:v>polícia</c:v>
                </c:pt>
                <c:pt idx="4">
                  <c:v>ústredná - verejná služba</c:v>
                </c:pt>
                <c:pt idx="5">
                  <c:v>ústredná - podniky</c:v>
                </c:pt>
                <c:pt idx="6">
                  <c:v>vojaci</c:v>
                </c:pt>
                <c:pt idx="7">
                  <c:v>ostatné</c:v>
                </c:pt>
                <c:pt idx="8">
                  <c:v>hasiči</c:v>
                </c:pt>
                <c:pt idx="9">
                  <c:v>sudcovia</c:v>
                </c:pt>
                <c:pt idx="10">
                  <c:v>colníci</c:v>
                </c:pt>
                <c:pt idx="11">
                  <c:v>prokurátori</c:v>
                </c:pt>
                <c:pt idx="12">
                  <c:v>samosprávy - ostatní</c:v>
                </c:pt>
              </c:strCache>
            </c:strRef>
          </c:cat>
          <c:val>
            <c:numRef>
              <c:f>'mzdy 2018 graf'!$C$2:$C$14</c:f>
              <c:numCache>
                <c:formatCode>#,##0</c:formatCode>
                <c:ptCount val="13"/>
                <c:pt idx="0">
                  <c:v>595211642.54999995</c:v>
                </c:pt>
                <c:pt idx="1">
                  <c:v>823958183.25</c:v>
                </c:pt>
                <c:pt idx="2">
                  <c:v>823269343.05000007</c:v>
                </c:pt>
                <c:pt idx="3">
                  <c:v>693294431.12</c:v>
                </c:pt>
                <c:pt idx="4">
                  <c:v>569415364.6500001</c:v>
                </c:pt>
                <c:pt idx="5">
                  <c:v>465018425.55000001</c:v>
                </c:pt>
                <c:pt idx="6">
                  <c:v>322172027.92000002</c:v>
                </c:pt>
                <c:pt idx="7">
                  <c:v>23934232.349999428</c:v>
                </c:pt>
                <c:pt idx="8">
                  <c:v>102818241.28</c:v>
                </c:pt>
                <c:pt idx="9">
                  <c:v>94568804.100000009</c:v>
                </c:pt>
                <c:pt idx="10">
                  <c:v>72483793.520000011</c:v>
                </c:pt>
                <c:pt idx="11">
                  <c:v>63296307.900000006</c:v>
                </c:pt>
              </c:numCache>
            </c:numRef>
          </c:val>
        </c:ser>
        <c:ser>
          <c:idx val="2"/>
          <c:order val="1"/>
          <c:tx>
            <c:strRef>
              <c:f>'mzdy 2018 graf'!$D$1</c:f>
              <c:strCache>
                <c:ptCount val="1"/>
                <c:pt idx="0">
                  <c:v>samospráva</c:v>
                </c:pt>
              </c:strCache>
            </c:strRef>
          </c:tx>
          <c:spPr>
            <a:solidFill>
              <a:schemeClr val="bg1">
                <a:lumMod val="75000"/>
              </a:schemeClr>
            </a:solidFill>
            <a:ln>
              <a:solidFill>
                <a:schemeClr val="bg1">
                  <a:lumMod val="75000"/>
                </a:schemeClr>
              </a:solidFill>
            </a:ln>
            <a:effectLst/>
          </c:spPr>
          <c:invertIfNegative val="0"/>
          <c:cat>
            <c:strRef>
              <c:f>'mzdy 2018 graf'!$A$2:$A$14</c:f>
              <c:strCache>
                <c:ptCount val="13"/>
                <c:pt idx="0">
                  <c:v>školstvo</c:v>
                </c:pt>
                <c:pt idx="1">
                  <c:v>zdravotníctvo</c:v>
                </c:pt>
                <c:pt idx="2">
                  <c:v>ústredná - štátna služba</c:v>
                </c:pt>
                <c:pt idx="3">
                  <c:v>polícia</c:v>
                </c:pt>
                <c:pt idx="4">
                  <c:v>ústredná - verejná služba</c:v>
                </c:pt>
                <c:pt idx="5">
                  <c:v>ústredná - podniky</c:v>
                </c:pt>
                <c:pt idx="6">
                  <c:v>vojaci</c:v>
                </c:pt>
                <c:pt idx="7">
                  <c:v>ostatné</c:v>
                </c:pt>
                <c:pt idx="8">
                  <c:v>hasiči</c:v>
                </c:pt>
                <c:pt idx="9">
                  <c:v>sudcovia</c:v>
                </c:pt>
                <c:pt idx="10">
                  <c:v>colníci</c:v>
                </c:pt>
                <c:pt idx="11">
                  <c:v>prokurátori</c:v>
                </c:pt>
                <c:pt idx="12">
                  <c:v>samosprávy - ostatní</c:v>
                </c:pt>
              </c:strCache>
            </c:strRef>
          </c:cat>
          <c:val>
            <c:numRef>
              <c:f>'mzdy 2018 graf'!$D$2:$D$14</c:f>
              <c:numCache>
                <c:formatCode>#,##0</c:formatCode>
                <c:ptCount val="13"/>
                <c:pt idx="0">
                  <c:v>1656101744.5500002</c:v>
                </c:pt>
                <c:pt idx="1">
                  <c:v>108769921.2</c:v>
                </c:pt>
                <c:pt idx="12">
                  <c:v>1174711727.25</c:v>
                </c:pt>
              </c:numCache>
            </c:numRef>
          </c:val>
        </c:ser>
        <c:ser>
          <c:idx val="0"/>
          <c:order val="2"/>
          <c:tx>
            <c:strRef>
              <c:f>'mzdy 2018 graf'!$E$1</c:f>
              <c:strCache>
                <c:ptCount val="1"/>
                <c:pt idx="0">
                  <c:v>fondy soc. a zdrav. zabezpečenia</c:v>
                </c:pt>
              </c:strCache>
            </c:strRef>
          </c:tx>
          <c:spPr>
            <a:solidFill>
              <a:schemeClr val="tx1">
                <a:lumMod val="65000"/>
                <a:lumOff val="35000"/>
              </a:schemeClr>
            </a:solidFill>
            <a:ln>
              <a:solidFill>
                <a:schemeClr val="tx1">
                  <a:lumMod val="65000"/>
                  <a:lumOff val="35000"/>
                </a:schemeClr>
              </a:solidFill>
            </a:ln>
            <a:effectLst/>
          </c:spPr>
          <c:invertIfNegative val="0"/>
          <c:val>
            <c:numRef>
              <c:f>'mzdy 2018 graf'!$E$2:$E$14</c:f>
              <c:numCache>
                <c:formatCode>General</c:formatCode>
                <c:ptCount val="13"/>
                <c:pt idx="7" formatCode="#,##0">
                  <c:v>149271896.25</c:v>
                </c:pt>
              </c:numCache>
            </c:numRef>
          </c:val>
        </c:ser>
        <c:ser>
          <c:idx val="3"/>
          <c:order val="3"/>
          <c:tx>
            <c:v>fake</c:v>
          </c:tx>
          <c:spPr>
            <a:noFill/>
            <a:ln>
              <a:noFill/>
            </a:ln>
            <a:effectLst/>
          </c:spPr>
          <c:invertIfNegative val="0"/>
          <c:dLbls>
            <c:dLbl>
              <c:idx val="0"/>
              <c:tx>
                <c:rich>
                  <a:bodyPr/>
                  <a:lstStyle/>
                  <a:p>
                    <a:fld id="{64BE8F55-A59C-47E8-A422-32C4019008F3}"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9A8838C5-3E88-4262-8BC1-8E45AB3274B0}"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9EBC5FBE-BFD3-4671-847E-C7D531611D01}"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C3C338D6-FA61-4DF3-8E44-13628F13EF27}"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C043DF2A-54E7-43E3-BC41-94D31326A3AF}"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9DFD263A-BB1F-4616-9ED9-BFA79885C66E}"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3641FAE2-C40D-41EB-9206-A3DFF4F594C1}"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000BDE98-EBC0-4F4A-BCC4-19AA6F3B4E4F}"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B5FBD97A-FFA3-4585-93DF-72DE99071638}"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EE76BF5A-887F-493E-A16A-F85CDEACE4E3}"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97759B68-6FF3-4248-B869-DB135A75BFEF}"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EA888657-FC2F-4854-8B95-2AA61C0C05B5}"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2"/>
              <c:tx>
                <c:rich>
                  <a:bodyPr/>
                  <a:lstStyle/>
                  <a:p>
                    <a:fld id="{45C62B9F-6F94-497B-BA29-9728764B6A2E}"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'mzdy 2018 graf'!$F$2:$F$14</c:f>
              <c:numCache>
                <c:formatCode>#,##0</c:formatCode>
                <c:ptCount val="13"/>
                <c:pt idx="0">
                  <c:v>200000000</c:v>
                </c:pt>
                <c:pt idx="1">
                  <c:v>200000000</c:v>
                </c:pt>
                <c:pt idx="2">
                  <c:v>200000000</c:v>
                </c:pt>
                <c:pt idx="3">
                  <c:v>200000000</c:v>
                </c:pt>
                <c:pt idx="4">
                  <c:v>200000000</c:v>
                </c:pt>
                <c:pt idx="5">
                  <c:v>200000000</c:v>
                </c:pt>
                <c:pt idx="6">
                  <c:v>200000000</c:v>
                </c:pt>
                <c:pt idx="7">
                  <c:v>200000000</c:v>
                </c:pt>
                <c:pt idx="8">
                  <c:v>200000000</c:v>
                </c:pt>
                <c:pt idx="9">
                  <c:v>200000000</c:v>
                </c:pt>
                <c:pt idx="10">
                  <c:v>200000000</c:v>
                </c:pt>
                <c:pt idx="11">
                  <c:v>200000000</c:v>
                </c:pt>
                <c:pt idx="12">
                  <c:v>200000000</c:v>
                </c:pt>
              </c:numCache>
            </c:numRef>
          </c:val>
          <c:extLst>
            <c:ext xmlns:c15="http://schemas.microsoft.com/office/drawing/2012/chart" uri="{02D57815-91ED-43cb-92C2-25804820EDAC}">
              <c15:datalabelsRange>
                <c15:f>'mzdy 2018 graf'!$H$2:$H$14</c15:f>
                <c15:dlblRangeCache>
                  <c:ptCount val="13"/>
                  <c:pt idx="0">
                    <c:v>29%</c:v>
                  </c:pt>
                  <c:pt idx="1">
                    <c:v>12%</c:v>
                  </c:pt>
                  <c:pt idx="2">
                    <c:v>11%</c:v>
                  </c:pt>
                  <c:pt idx="3">
                    <c:v>9%</c:v>
                  </c:pt>
                  <c:pt idx="4">
                    <c:v>7%</c:v>
                  </c:pt>
                  <c:pt idx="5">
                    <c:v>6%</c:v>
                  </c:pt>
                  <c:pt idx="6">
                    <c:v>4%</c:v>
                  </c:pt>
                  <c:pt idx="7">
                    <c:v>2%</c:v>
                  </c:pt>
                  <c:pt idx="8">
                    <c:v>1%</c:v>
                  </c:pt>
                  <c:pt idx="9">
                    <c:v>1%</c:v>
                  </c:pt>
                  <c:pt idx="10">
                    <c:v>1%</c:v>
                  </c:pt>
                  <c:pt idx="11">
                    <c:v>1%</c:v>
                  </c:pt>
                  <c:pt idx="12">
                    <c:v>15%</c:v>
                  </c:pt>
                </c15:dlblRangeCache>
              </c15:datalabelsRange>
            </c:ext>
          </c:extLst>
        </c:ser>
        <c:dLbls>
          <c:showLegendKey val="0"/>
          <c:showVal val="0"/>
          <c:showCatName val="0"/>
          <c:showSerName val="0"/>
          <c:showPercent val="0"/>
          <c:showBubbleSize val="0"/>
        </c:dLbls>
        <c:gapWidth val="219"/>
        <c:overlap val="100"/>
        <c:axId val="222915968"/>
        <c:axId val="222916360"/>
      </c:barChart>
      <c:catAx>
        <c:axId val="22291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2916360"/>
        <c:crosses val="autoZero"/>
        <c:auto val="1"/>
        <c:lblAlgn val="ctr"/>
        <c:lblOffset val="100"/>
        <c:noMultiLvlLbl val="0"/>
      </c:catAx>
      <c:valAx>
        <c:axId val="22291636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915968"/>
        <c:crosses val="autoZero"/>
        <c:crossBetween val="between"/>
        <c:dispUnits>
          <c:builtInUnit val="billions"/>
        </c:dispUnits>
      </c:valAx>
      <c:spPr>
        <a:noFill/>
        <a:ln>
          <a:noFill/>
        </a:ln>
        <a:effectLst/>
      </c:spPr>
    </c:plotArea>
    <c:legend>
      <c:legendPos val="t"/>
      <c:legendEntry>
        <c:idx val="3"/>
        <c:delete val="1"/>
      </c:legendEntry>
      <c:layout>
        <c:manualLayout>
          <c:xMode val="edge"/>
          <c:yMode val="edge"/>
          <c:x val="0.35548813613929808"/>
          <c:y val="0.11981025545060439"/>
          <c:w val="0.40203856249254977"/>
          <c:h val="0.16798544633046725"/>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50627793147481E-2"/>
          <c:y val="4.5627296587926511E-2"/>
          <c:w val="0.92223391674030708"/>
          <c:h val="0.7098158104686253"/>
        </c:manualLayout>
      </c:layout>
      <c:barChart>
        <c:barDir val="col"/>
        <c:grouping val="stacked"/>
        <c:varyColors val="0"/>
        <c:ser>
          <c:idx val="0"/>
          <c:order val="1"/>
          <c:tx>
            <c:strRef>
              <c:f>'total O isco 1-4'!$AA$11</c:f>
              <c:strCache>
                <c:ptCount val="1"/>
                <c:pt idx="0">
                  <c:v>kvalifikovaní pracovníci na úradoch</c:v>
                </c:pt>
              </c:strCache>
            </c:strRef>
          </c:tx>
          <c:spPr>
            <a:solidFill>
              <a:schemeClr val="bg2">
                <a:lumMod val="50000"/>
              </a:schemeClr>
            </a:solidFill>
            <a:ln>
              <a:noFill/>
            </a:ln>
            <a:effectLst/>
          </c:spPr>
          <c:invertIfNegative val="0"/>
          <c:dPt>
            <c:idx val="15"/>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1-2D74-4E1D-AA90-193AEBECC942}"/>
              </c:ext>
            </c:extLst>
          </c:dPt>
          <c:cat>
            <c:strRef>
              <c:f>'total O isco 1-4'!$X$12:$X$40</c:f>
              <c:strCache>
                <c:ptCount val="29"/>
                <c:pt idx="0">
                  <c:v>Luxembursko</c:v>
                </c:pt>
                <c:pt idx="1">
                  <c:v>Švédsko</c:v>
                </c:pt>
                <c:pt idx="2">
                  <c:v>Nemecko</c:v>
                </c:pt>
                <c:pt idx="3">
                  <c:v>Lotyšsko</c:v>
                </c:pt>
                <c:pt idx="4">
                  <c:v>Belgicko</c:v>
                </c:pt>
                <c:pt idx="5">
                  <c:v>Holansko</c:v>
                </c:pt>
                <c:pt idx="6">
                  <c:v>Francúzsko</c:v>
                </c:pt>
                <c:pt idx="7">
                  <c:v>Litva</c:v>
                </c:pt>
                <c:pt idx="8">
                  <c:v>Poľsko</c:v>
                </c:pt>
                <c:pt idx="9">
                  <c:v>UK</c:v>
                </c:pt>
                <c:pt idx="10">
                  <c:v>Česko</c:v>
                </c:pt>
                <c:pt idx="11">
                  <c:v>Rakúsko</c:v>
                </c:pt>
                <c:pt idx="12">
                  <c:v>Estónsko</c:v>
                </c:pt>
                <c:pt idx="13">
                  <c:v>Slovinsko</c:v>
                </c:pt>
                <c:pt idx="14">
                  <c:v>Maďarsko</c:v>
                </c:pt>
                <c:pt idx="15">
                  <c:v>Slovensko</c:v>
                </c:pt>
                <c:pt idx="16">
                  <c:v>Malta</c:v>
                </c:pt>
                <c:pt idx="17">
                  <c:v>priemer EÚ</c:v>
                </c:pt>
                <c:pt idx="18">
                  <c:v>Dánsko</c:v>
                </c:pt>
                <c:pt idx="19">
                  <c:v>Bulharsko</c:v>
                </c:pt>
                <c:pt idx="20">
                  <c:v>Chorvátsko</c:v>
                </c:pt>
                <c:pt idx="21">
                  <c:v>Fínsko</c:v>
                </c:pt>
                <c:pt idx="22">
                  <c:v>Cyprus</c:v>
                </c:pt>
                <c:pt idx="23">
                  <c:v>Portugalsko</c:v>
                </c:pt>
                <c:pt idx="24">
                  <c:v>Grécko</c:v>
                </c:pt>
                <c:pt idx="25">
                  <c:v>Španielsko</c:v>
                </c:pt>
                <c:pt idx="26">
                  <c:v>Írsko</c:v>
                </c:pt>
                <c:pt idx="27">
                  <c:v>Rumunsko</c:v>
                </c:pt>
                <c:pt idx="28">
                  <c:v>Taliansko</c:v>
                </c:pt>
              </c:strCache>
            </c:strRef>
          </c:cat>
          <c:val>
            <c:numRef>
              <c:f>'total O isco 1-4'!$AA$12:$AA$40</c:f>
              <c:numCache>
                <c:formatCode>0.0</c:formatCode>
                <c:ptCount val="29"/>
                <c:pt idx="0">
                  <c:v>26.225121079615391</c:v>
                </c:pt>
                <c:pt idx="1">
                  <c:v>25.992598612547503</c:v>
                </c:pt>
                <c:pt idx="2">
                  <c:v>22.783111239906937</c:v>
                </c:pt>
                <c:pt idx="3">
                  <c:v>24.254967396811267</c:v>
                </c:pt>
                <c:pt idx="4">
                  <c:v>15.918282742352771</c:v>
                </c:pt>
                <c:pt idx="5">
                  <c:v>18.891775766622935</c:v>
                </c:pt>
                <c:pt idx="6">
                  <c:v>16.483282805946153</c:v>
                </c:pt>
                <c:pt idx="7">
                  <c:v>19.979606054136656</c:v>
                </c:pt>
                <c:pt idx="8">
                  <c:v>18.752815819170713</c:v>
                </c:pt>
                <c:pt idx="9">
                  <c:v>16.75921463910181</c:v>
                </c:pt>
                <c:pt idx="10">
                  <c:v>16.183279420578096</c:v>
                </c:pt>
                <c:pt idx="11">
                  <c:v>17.371747997945938</c:v>
                </c:pt>
                <c:pt idx="12">
                  <c:v>19.762320096379316</c:v>
                </c:pt>
                <c:pt idx="13">
                  <c:v>17.619482113079322</c:v>
                </c:pt>
                <c:pt idx="14">
                  <c:v>16.58576047651043</c:v>
                </c:pt>
                <c:pt idx="15">
                  <c:v>13.522605657085487</c:v>
                </c:pt>
                <c:pt idx="16">
                  <c:v>15.207572502101904</c:v>
                </c:pt>
                <c:pt idx="17">
                  <c:v>15.636257107360935</c:v>
                </c:pt>
                <c:pt idx="18">
                  <c:v>16.38611674951629</c:v>
                </c:pt>
                <c:pt idx="19">
                  <c:v>15.686033755387145</c:v>
                </c:pt>
                <c:pt idx="20">
                  <c:v>12.445197201010153</c:v>
                </c:pt>
                <c:pt idx="21">
                  <c:v>14.59125320694122</c:v>
                </c:pt>
                <c:pt idx="22">
                  <c:v>12.049574053406522</c:v>
                </c:pt>
                <c:pt idx="23">
                  <c:v>13.628110494973944</c:v>
                </c:pt>
                <c:pt idx="24">
                  <c:v>7.8750445873323409</c:v>
                </c:pt>
                <c:pt idx="25">
                  <c:v>10.421676192395362</c:v>
                </c:pt>
                <c:pt idx="26">
                  <c:v>10.596977708515393</c:v>
                </c:pt>
                <c:pt idx="27">
                  <c:v>9.0254958804949013</c:v>
                </c:pt>
                <c:pt idx="28">
                  <c:v>6.6447217002895478</c:v>
                </c:pt>
              </c:numCache>
            </c:numRef>
          </c:val>
          <c:extLst xmlns:c16r2="http://schemas.microsoft.com/office/drawing/2015/06/chart">
            <c:ext xmlns:c16="http://schemas.microsoft.com/office/drawing/2014/chart" uri="{C3380CC4-5D6E-409C-BE32-E72D297353CC}">
              <c16:uniqueId val="{00000002-2D74-4E1D-AA90-193AEBECC942}"/>
            </c:ext>
          </c:extLst>
        </c:ser>
        <c:ser>
          <c:idx val="2"/>
          <c:order val="2"/>
          <c:tx>
            <c:strRef>
              <c:f>'total O isco 1-4'!$AB$11</c:f>
              <c:strCache>
                <c:ptCount val="1"/>
                <c:pt idx="0">
                  <c:v>administratívni pracovníci na úradoch</c:v>
                </c:pt>
              </c:strCache>
            </c:strRef>
          </c:tx>
          <c:spPr>
            <a:solidFill>
              <a:schemeClr val="bg1">
                <a:lumMod val="75000"/>
              </a:schemeClr>
            </a:solidFill>
            <a:ln>
              <a:noFill/>
            </a:ln>
            <a:effectLst/>
          </c:spPr>
          <c:invertIfNegative val="0"/>
          <c:dPt>
            <c:idx val="15"/>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04-2D74-4E1D-AA90-193AEBECC942}"/>
              </c:ext>
            </c:extLst>
          </c:dPt>
          <c:cat>
            <c:strRef>
              <c:f>'total O isco 1-4'!$X$12:$X$40</c:f>
              <c:strCache>
                <c:ptCount val="29"/>
                <c:pt idx="0">
                  <c:v>Luxembursko</c:v>
                </c:pt>
                <c:pt idx="1">
                  <c:v>Švédsko</c:v>
                </c:pt>
                <c:pt idx="2">
                  <c:v>Nemecko</c:v>
                </c:pt>
                <c:pt idx="3">
                  <c:v>Lotyšsko</c:v>
                </c:pt>
                <c:pt idx="4">
                  <c:v>Belgicko</c:v>
                </c:pt>
                <c:pt idx="5">
                  <c:v>Holansko</c:v>
                </c:pt>
                <c:pt idx="6">
                  <c:v>Francúzsko</c:v>
                </c:pt>
                <c:pt idx="7">
                  <c:v>Litva</c:v>
                </c:pt>
                <c:pt idx="8">
                  <c:v>Poľsko</c:v>
                </c:pt>
                <c:pt idx="9">
                  <c:v>UK</c:v>
                </c:pt>
                <c:pt idx="10">
                  <c:v>Česko</c:v>
                </c:pt>
                <c:pt idx="11">
                  <c:v>Rakúsko</c:v>
                </c:pt>
                <c:pt idx="12">
                  <c:v>Estónsko</c:v>
                </c:pt>
                <c:pt idx="13">
                  <c:v>Slovinsko</c:v>
                </c:pt>
                <c:pt idx="14">
                  <c:v>Maďarsko</c:v>
                </c:pt>
                <c:pt idx="15">
                  <c:v>Slovensko</c:v>
                </c:pt>
                <c:pt idx="16">
                  <c:v>Malta</c:v>
                </c:pt>
                <c:pt idx="17">
                  <c:v>priemer EÚ</c:v>
                </c:pt>
                <c:pt idx="18">
                  <c:v>Dánsko</c:v>
                </c:pt>
                <c:pt idx="19">
                  <c:v>Bulharsko</c:v>
                </c:pt>
                <c:pt idx="20">
                  <c:v>Chorvátsko</c:v>
                </c:pt>
                <c:pt idx="21">
                  <c:v>Fínsko</c:v>
                </c:pt>
                <c:pt idx="22">
                  <c:v>Cyprus</c:v>
                </c:pt>
                <c:pt idx="23">
                  <c:v>Portugalsko</c:v>
                </c:pt>
                <c:pt idx="24">
                  <c:v>Grécko</c:v>
                </c:pt>
                <c:pt idx="25">
                  <c:v>Španielsko</c:v>
                </c:pt>
                <c:pt idx="26">
                  <c:v>Írsko</c:v>
                </c:pt>
                <c:pt idx="27">
                  <c:v>Rumunsko</c:v>
                </c:pt>
                <c:pt idx="28">
                  <c:v>Taliansko</c:v>
                </c:pt>
              </c:strCache>
            </c:strRef>
          </c:cat>
          <c:val>
            <c:numRef>
              <c:f>'total O isco 1-4'!$AB$12:$AB$40</c:f>
              <c:numCache>
                <c:formatCode>#\ ##0.0</c:formatCode>
                <c:ptCount val="29"/>
                <c:pt idx="0">
                  <c:v>4.6643034573469322</c:v>
                </c:pt>
                <c:pt idx="1">
                  <c:v>2.2010668571056407</c:v>
                </c:pt>
                <c:pt idx="2">
                  <c:v>3.6523747288484394</c:v>
                </c:pt>
                <c:pt idx="3">
                  <c:v>1.0255800167784876</c:v>
                </c:pt>
                <c:pt idx="4">
                  <c:v>8.227822955925566</c:v>
                </c:pt>
                <c:pt idx="5">
                  <c:v>3.79357629277089</c:v>
                </c:pt>
                <c:pt idx="6">
                  <c:v>5.8860336989536037</c:v>
                </c:pt>
                <c:pt idx="7">
                  <c:v>2.0716990460352598</c:v>
                </c:pt>
                <c:pt idx="8">
                  <c:v>3.1917445264478168</c:v>
                </c:pt>
                <c:pt idx="9">
                  <c:v>5.1117959965489632</c:v>
                </c:pt>
                <c:pt idx="10">
                  <c:v>5.4921059248574053</c:v>
                </c:pt>
                <c:pt idx="11">
                  <c:v>4.1947527974042664</c:v>
                </c:pt>
                <c:pt idx="12">
                  <c:v>1.5201784689522562</c:v>
                </c:pt>
                <c:pt idx="13">
                  <c:v>3.6303877980245858</c:v>
                </c:pt>
                <c:pt idx="14">
                  <c:v>4.1745083291647802</c:v>
                </c:pt>
                <c:pt idx="15">
                  <c:v>6.9728810122930636</c:v>
                </c:pt>
                <c:pt idx="16">
                  <c:v>5.2140248578635102</c:v>
                </c:pt>
                <c:pt idx="17">
                  <c:v>4.6576625730827086</c:v>
                </c:pt>
                <c:pt idx="18">
                  <c:v>3.5833758496819037</c:v>
                </c:pt>
                <c:pt idx="19">
                  <c:v>2.745759948205114</c:v>
                </c:pt>
                <c:pt idx="20">
                  <c:v>5.5846919741476917</c:v>
                </c:pt>
                <c:pt idx="21">
                  <c:v>2.5621005008452205</c:v>
                </c:pt>
                <c:pt idx="22">
                  <c:v>4.6794462343326284</c:v>
                </c:pt>
                <c:pt idx="23">
                  <c:v>2.5413273663225429</c:v>
                </c:pt>
                <c:pt idx="24">
                  <c:v>7.6150195302034431</c:v>
                </c:pt>
                <c:pt idx="25">
                  <c:v>4.803556669417123</c:v>
                </c:pt>
                <c:pt idx="26">
                  <c:v>3.365115209212977</c:v>
                </c:pt>
                <c:pt idx="27">
                  <c:v>3.5684560700659471</c:v>
                </c:pt>
                <c:pt idx="28">
                  <c:v>5.8326990781975301</c:v>
                </c:pt>
              </c:numCache>
            </c:numRef>
          </c:val>
          <c:extLst xmlns:c16r2="http://schemas.microsoft.com/office/drawing/2015/06/chart">
            <c:ext xmlns:c16="http://schemas.microsoft.com/office/drawing/2014/chart" uri="{C3380CC4-5D6E-409C-BE32-E72D297353CC}">
              <c16:uniqueId val="{00000005-2D74-4E1D-AA90-193AEBECC942}"/>
            </c:ext>
          </c:extLst>
        </c:ser>
        <c:dLbls>
          <c:showLegendKey val="0"/>
          <c:showVal val="0"/>
          <c:showCatName val="0"/>
          <c:showSerName val="0"/>
          <c:showPercent val="0"/>
          <c:showBubbleSize val="0"/>
        </c:dLbls>
        <c:gapWidth val="77"/>
        <c:overlap val="100"/>
        <c:axId val="222917144"/>
        <c:axId val="222917536"/>
      </c:barChart>
      <c:lineChart>
        <c:grouping val="standard"/>
        <c:varyColors val="0"/>
        <c:ser>
          <c:idx val="1"/>
          <c:order val="0"/>
          <c:tx>
            <c:strRef>
              <c:f>'total O isco 1-4'!$Z$11</c:f>
              <c:strCache>
                <c:ptCount val="1"/>
                <c:pt idx="0">
                  <c:v>priemer EÚ</c:v>
                </c:pt>
              </c:strCache>
            </c:strRef>
          </c:tx>
          <c:spPr>
            <a:ln w="28575" cap="rnd">
              <a:solidFill>
                <a:schemeClr val="tx1"/>
              </a:solidFill>
              <a:round/>
            </a:ln>
            <a:effectLst/>
          </c:spPr>
          <c:marker>
            <c:symbol val="none"/>
          </c:marker>
          <c:dLbls>
            <c:dLbl>
              <c:idx val="29"/>
              <c:layout>
                <c:manualLayout>
                  <c:x val="-3.2673973185784209E-2"/>
                  <c:y val="-5.04520663730593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D74-4E1D-AA90-193AEBECC942}"/>
                </c:ext>
                <c:ext xmlns:c15="http://schemas.microsoft.com/office/drawing/2012/chart" uri="{CE6537A1-D6FC-4f65-9D91-7224C49458BB}"/>
              </c:extLst>
            </c:dLbl>
            <c:dLbl>
              <c:idx val="32"/>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D74-4E1D-AA90-193AEBECC94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O isco 1-4'!$X$12:$X$40</c:f>
              <c:strCache>
                <c:ptCount val="29"/>
                <c:pt idx="0">
                  <c:v>Luxembursko</c:v>
                </c:pt>
                <c:pt idx="1">
                  <c:v>Švédsko</c:v>
                </c:pt>
                <c:pt idx="2">
                  <c:v>Nemecko</c:v>
                </c:pt>
                <c:pt idx="3">
                  <c:v>Lotyšsko</c:v>
                </c:pt>
                <c:pt idx="4">
                  <c:v>Belgicko</c:v>
                </c:pt>
                <c:pt idx="5">
                  <c:v>Holansko</c:v>
                </c:pt>
                <c:pt idx="6">
                  <c:v>Francúzsko</c:v>
                </c:pt>
                <c:pt idx="7">
                  <c:v>Litva</c:v>
                </c:pt>
                <c:pt idx="8">
                  <c:v>Poľsko</c:v>
                </c:pt>
                <c:pt idx="9">
                  <c:v>UK</c:v>
                </c:pt>
                <c:pt idx="10">
                  <c:v>Česko</c:v>
                </c:pt>
                <c:pt idx="11">
                  <c:v>Rakúsko</c:v>
                </c:pt>
                <c:pt idx="12">
                  <c:v>Estónsko</c:v>
                </c:pt>
                <c:pt idx="13">
                  <c:v>Slovinsko</c:v>
                </c:pt>
                <c:pt idx="14">
                  <c:v>Maďarsko</c:v>
                </c:pt>
                <c:pt idx="15">
                  <c:v>Slovensko</c:v>
                </c:pt>
                <c:pt idx="16">
                  <c:v>Malta</c:v>
                </c:pt>
                <c:pt idx="17">
                  <c:v>priemer EÚ</c:v>
                </c:pt>
                <c:pt idx="18">
                  <c:v>Dánsko</c:v>
                </c:pt>
                <c:pt idx="19">
                  <c:v>Bulharsko</c:v>
                </c:pt>
                <c:pt idx="20">
                  <c:v>Chorvátsko</c:v>
                </c:pt>
                <c:pt idx="21">
                  <c:v>Fínsko</c:v>
                </c:pt>
                <c:pt idx="22">
                  <c:v>Cyprus</c:v>
                </c:pt>
                <c:pt idx="23">
                  <c:v>Portugalsko</c:v>
                </c:pt>
                <c:pt idx="24">
                  <c:v>Grécko</c:v>
                </c:pt>
                <c:pt idx="25">
                  <c:v>Španielsko</c:v>
                </c:pt>
                <c:pt idx="26">
                  <c:v>Írsko</c:v>
                </c:pt>
                <c:pt idx="27">
                  <c:v>Rumunsko</c:v>
                </c:pt>
                <c:pt idx="28">
                  <c:v>Taliansko</c:v>
                </c:pt>
              </c:strCache>
            </c:strRef>
          </c:cat>
          <c:val>
            <c:numRef>
              <c:f>'total O isco 1-4'!$Z$12:$Z$40</c:f>
              <c:numCache>
                <c:formatCode>0.0</c:formatCode>
                <c:ptCount val="29"/>
                <c:pt idx="0">
                  <c:v>20.293919680443643</c:v>
                </c:pt>
                <c:pt idx="1">
                  <c:v>20.293919680443643</c:v>
                </c:pt>
                <c:pt idx="2">
                  <c:v>20.293919680443643</c:v>
                </c:pt>
                <c:pt idx="3">
                  <c:v>20.293919680443643</c:v>
                </c:pt>
                <c:pt idx="4">
                  <c:v>20.293919680443643</c:v>
                </c:pt>
                <c:pt idx="5">
                  <c:v>20.293919680443643</c:v>
                </c:pt>
                <c:pt idx="6">
                  <c:v>20.293919680443643</c:v>
                </c:pt>
                <c:pt idx="7">
                  <c:v>20.293919680443643</c:v>
                </c:pt>
                <c:pt idx="8">
                  <c:v>20.293919680443643</c:v>
                </c:pt>
                <c:pt idx="9">
                  <c:v>20.293919680443643</c:v>
                </c:pt>
                <c:pt idx="10">
                  <c:v>20.293919680443643</c:v>
                </c:pt>
                <c:pt idx="11">
                  <c:v>20.293919680443643</c:v>
                </c:pt>
                <c:pt idx="12">
                  <c:v>20.293919680443643</c:v>
                </c:pt>
                <c:pt idx="13">
                  <c:v>20.293919680443643</c:v>
                </c:pt>
                <c:pt idx="14">
                  <c:v>20.293919680443643</c:v>
                </c:pt>
                <c:pt idx="15">
                  <c:v>20.293919680443643</c:v>
                </c:pt>
                <c:pt idx="16">
                  <c:v>20.293919680443643</c:v>
                </c:pt>
                <c:pt idx="17">
                  <c:v>20.293919680443643</c:v>
                </c:pt>
                <c:pt idx="18">
                  <c:v>20.293919680443643</c:v>
                </c:pt>
                <c:pt idx="19">
                  <c:v>20.293919680443643</c:v>
                </c:pt>
                <c:pt idx="20">
                  <c:v>20.293919680443643</c:v>
                </c:pt>
                <c:pt idx="21">
                  <c:v>20.293919680443643</c:v>
                </c:pt>
                <c:pt idx="22">
                  <c:v>20.293919680443643</c:v>
                </c:pt>
                <c:pt idx="23">
                  <c:v>20.293919680443643</c:v>
                </c:pt>
                <c:pt idx="24">
                  <c:v>20.293919680443643</c:v>
                </c:pt>
                <c:pt idx="25">
                  <c:v>20.293919680443643</c:v>
                </c:pt>
                <c:pt idx="26">
                  <c:v>20.293919680443643</c:v>
                </c:pt>
                <c:pt idx="27">
                  <c:v>20.293919680443643</c:v>
                </c:pt>
                <c:pt idx="28">
                  <c:v>20.293919680443643</c:v>
                </c:pt>
              </c:numCache>
            </c:numRef>
          </c:val>
          <c:smooth val="0"/>
          <c:extLst xmlns:c16r2="http://schemas.microsoft.com/office/drawing/2015/06/chart">
            <c:ext xmlns:c16="http://schemas.microsoft.com/office/drawing/2014/chart" uri="{C3380CC4-5D6E-409C-BE32-E72D297353CC}">
              <c16:uniqueId val="{00000008-2D74-4E1D-AA90-193AEBECC942}"/>
            </c:ext>
          </c:extLst>
        </c:ser>
        <c:dLbls>
          <c:showLegendKey val="0"/>
          <c:showVal val="0"/>
          <c:showCatName val="0"/>
          <c:showSerName val="0"/>
          <c:showPercent val="0"/>
          <c:showBubbleSize val="0"/>
        </c:dLbls>
        <c:marker val="1"/>
        <c:smooth val="0"/>
        <c:axId val="222917144"/>
        <c:axId val="222917536"/>
      </c:lineChart>
      <c:catAx>
        <c:axId val="222917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2917536"/>
        <c:crosses val="autoZero"/>
        <c:auto val="1"/>
        <c:lblAlgn val="ctr"/>
        <c:lblOffset val="100"/>
        <c:noMultiLvlLbl val="0"/>
      </c:catAx>
      <c:valAx>
        <c:axId val="222917536"/>
        <c:scaling>
          <c:orientation val="minMax"/>
        </c:scaling>
        <c:delete val="0"/>
        <c:axPos val="l"/>
        <c:majorGridlines>
          <c:spPr>
            <a:ln w="9525" cap="flat" cmpd="sng" algn="ctr">
              <a:solidFill>
                <a:schemeClr val="bg1">
                  <a:lumMod val="75000"/>
                </a:schemeClr>
              </a:solidFill>
              <a:prstDash val="dash"/>
              <a:round/>
            </a:ln>
            <a:effectLst/>
          </c:spPr>
        </c:majorGridlines>
        <c:numFmt formatCode="#\ ##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917144"/>
        <c:crosses val="autoZero"/>
        <c:crossBetween val="between"/>
      </c:valAx>
      <c:spPr>
        <a:noFill/>
        <a:ln>
          <a:noFill/>
        </a:ln>
        <a:effectLst/>
      </c:spPr>
    </c:plotArea>
    <c:legend>
      <c:legendPos val="t"/>
      <c:layout>
        <c:manualLayout>
          <c:xMode val="edge"/>
          <c:yMode val="edge"/>
          <c:x val="0.4111804868612528"/>
          <c:y val="4.0677966101694912E-2"/>
          <c:w val="0.57765274315584925"/>
          <c:h val="0.2037880688642733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Graf_11!$A$6</c:f>
              <c:strCache>
                <c:ptCount val="1"/>
                <c:pt idx="0">
                  <c:v>Slovensko</c:v>
                </c:pt>
              </c:strCache>
            </c:strRef>
          </c:tx>
          <c:spPr>
            <a:solidFill>
              <a:srgbClr val="002060"/>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Graf_11!$B$5:$E$5</c:f>
              <c:strCache>
                <c:ptCount val="4"/>
                <c:pt idx="0">
                  <c:v>spolu</c:v>
                </c:pt>
                <c:pt idx="1">
                  <c:v>Verejná správa, obrana a povinné soc. zabezpečenie</c:v>
                </c:pt>
                <c:pt idx="2">
                  <c:v>Vzdelávanie</c:v>
                </c:pt>
                <c:pt idx="3">
                  <c:v>Zdravotníctvo a soc. pomoc</c:v>
                </c:pt>
              </c:strCache>
            </c:strRef>
          </c:cat>
          <c:val>
            <c:numRef>
              <c:f>Graf_11!$B$6:$E$6</c:f>
              <c:numCache>
                <c:formatCode>0.0</c:formatCode>
                <c:ptCount val="4"/>
                <c:pt idx="0">
                  <c:v>87.967930157703677</c:v>
                </c:pt>
                <c:pt idx="1">
                  <c:v>30.592748276723647</c:v>
                </c:pt>
                <c:pt idx="2">
                  <c:v>32.312350269698264</c:v>
                </c:pt>
                <c:pt idx="3">
                  <c:v>25.062831611281762</c:v>
                </c:pt>
              </c:numCache>
            </c:numRef>
          </c:val>
        </c:ser>
        <c:ser>
          <c:idx val="1"/>
          <c:order val="1"/>
          <c:tx>
            <c:strRef>
              <c:f>Graf_11!$A$7</c:f>
              <c:strCache>
                <c:ptCount val="1"/>
                <c:pt idx="0">
                  <c:v>priemer V3</c:v>
                </c:pt>
              </c:strCache>
            </c:strRef>
          </c:tx>
          <c:spPr>
            <a:solidFill>
              <a:srgbClr val="00B0F0"/>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Graf_11!$B$5:$E$5</c:f>
              <c:strCache>
                <c:ptCount val="4"/>
                <c:pt idx="0">
                  <c:v>spolu</c:v>
                </c:pt>
                <c:pt idx="1">
                  <c:v>Verejná správa, obrana a povinné soc. zabezpečenie</c:v>
                </c:pt>
                <c:pt idx="2">
                  <c:v>Vzdelávanie</c:v>
                </c:pt>
                <c:pt idx="3">
                  <c:v>Zdravotníctvo a soc. pomoc</c:v>
                </c:pt>
              </c:strCache>
            </c:strRef>
          </c:cat>
          <c:val>
            <c:numRef>
              <c:f>Graf_11!$B$7:$E$7</c:f>
              <c:numCache>
                <c:formatCode>0.0</c:formatCode>
                <c:ptCount val="4"/>
                <c:pt idx="0">
                  <c:v>95.051872505457979</c:v>
                </c:pt>
                <c:pt idx="1">
                  <c:v>32.974184031396966</c:v>
                </c:pt>
                <c:pt idx="2">
                  <c:v>31.400434851622141</c:v>
                </c:pt>
                <c:pt idx="3">
                  <c:v>30.677253622438855</c:v>
                </c:pt>
              </c:numCache>
            </c:numRef>
          </c:val>
        </c:ser>
        <c:ser>
          <c:idx val="2"/>
          <c:order val="2"/>
          <c:tx>
            <c:strRef>
              <c:f>Graf_11!$A$8</c:f>
              <c:strCache>
                <c:ptCount val="1"/>
                <c:pt idx="0">
                  <c:v>priemer EÚ</c:v>
                </c:pt>
              </c:strCache>
            </c:strRef>
          </c:tx>
          <c:spPr>
            <a:solidFill>
              <a:schemeClr val="bg1">
                <a:lumMod val="8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Graf_11!$B$5:$E$5</c:f>
              <c:strCache>
                <c:ptCount val="4"/>
                <c:pt idx="0">
                  <c:v>spolu</c:v>
                </c:pt>
                <c:pt idx="1">
                  <c:v>Verejná správa, obrana a povinné soc. zabezpečenie</c:v>
                </c:pt>
                <c:pt idx="2">
                  <c:v>Vzdelávanie</c:v>
                </c:pt>
                <c:pt idx="3">
                  <c:v>Zdravotníctvo a soc. pomoc</c:v>
                </c:pt>
              </c:strCache>
            </c:strRef>
          </c:cat>
          <c:val>
            <c:numRef>
              <c:f>Graf_11!$B$8:$E$8</c:f>
              <c:numCache>
                <c:formatCode>0.0</c:formatCode>
                <c:ptCount val="4"/>
                <c:pt idx="0">
                  <c:v>109.27494354657594</c:v>
                </c:pt>
                <c:pt idx="1">
                  <c:v>30.492173985043763</c:v>
                </c:pt>
                <c:pt idx="2">
                  <c:v>33.928921324907215</c:v>
                </c:pt>
                <c:pt idx="3">
                  <c:v>44.85384823662497</c:v>
                </c:pt>
              </c:numCache>
            </c:numRef>
          </c:val>
        </c:ser>
        <c:dLbls>
          <c:showLegendKey val="0"/>
          <c:showVal val="0"/>
          <c:showCatName val="0"/>
          <c:showSerName val="0"/>
          <c:showPercent val="0"/>
          <c:showBubbleSize val="0"/>
        </c:dLbls>
        <c:gapWidth val="219"/>
        <c:overlap val="-27"/>
        <c:axId val="222918712"/>
        <c:axId val="222919104"/>
      </c:barChart>
      <c:catAx>
        <c:axId val="2229187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2919104"/>
        <c:crosses val="autoZero"/>
        <c:auto val="1"/>
        <c:lblAlgn val="ctr"/>
        <c:lblOffset val="100"/>
        <c:noMultiLvlLbl val="0"/>
      </c:catAx>
      <c:valAx>
        <c:axId val="222919104"/>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918712"/>
        <c:crosses val="autoZero"/>
        <c:crossBetween val="between"/>
      </c:valAx>
      <c:spPr>
        <a:noFill/>
        <a:ln>
          <a:noFill/>
        </a:ln>
        <a:effectLst/>
      </c:spPr>
    </c:plotArea>
    <c:legend>
      <c:legendPos val="t"/>
      <c:layout>
        <c:manualLayout>
          <c:xMode val="edge"/>
          <c:yMode val="edge"/>
          <c:x val="0.58852582410249565"/>
          <c:y val="9.2592592592592587E-2"/>
          <c:w val="0.24196912674051338"/>
          <c:h val="0.2519780283041815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417436997626964E-2"/>
          <c:y val="4.2759961127308101E-2"/>
          <c:w val="0.93616132135261021"/>
          <c:h val="0.77747718002848121"/>
        </c:manualLayout>
      </c:layout>
      <c:barChart>
        <c:barDir val="col"/>
        <c:grouping val="clustered"/>
        <c:varyColors val="0"/>
        <c:ser>
          <c:idx val="0"/>
          <c:order val="0"/>
          <c:spPr>
            <a:solidFill>
              <a:srgbClr val="00B0F0"/>
            </a:solidFill>
            <a:ln>
              <a:noFill/>
            </a:ln>
          </c:spPr>
          <c:invertIfNegative val="0"/>
          <c:dPt>
            <c:idx val="9"/>
            <c:invertIfNegative val="0"/>
            <c:bubble3D val="0"/>
          </c:dPt>
          <c:dPt>
            <c:idx val="12"/>
            <c:invertIfNegative val="0"/>
            <c:bubble3D val="0"/>
          </c:dPt>
          <c:dPt>
            <c:idx val="18"/>
            <c:invertIfNegative val="0"/>
            <c:bubble3D val="0"/>
          </c:dPt>
          <c:dPt>
            <c:idx val="19"/>
            <c:invertIfNegative val="0"/>
            <c:bubble3D val="0"/>
          </c:dPt>
          <c:dPt>
            <c:idx val="20"/>
            <c:invertIfNegative val="0"/>
            <c:bubble3D val="0"/>
          </c:dPt>
          <c:dPt>
            <c:idx val="21"/>
            <c:invertIfNegative val="0"/>
            <c:bubble3D val="0"/>
            <c:spPr>
              <a:solidFill>
                <a:srgbClr val="00B0F0"/>
              </a:solidFill>
              <a:ln>
                <a:solidFill>
                  <a:srgbClr val="00B0F0"/>
                </a:solidFill>
              </a:ln>
            </c:spPr>
          </c:dPt>
          <c:dPt>
            <c:idx val="22"/>
            <c:invertIfNegative val="0"/>
            <c:bubble3D val="0"/>
          </c:dPt>
          <c:dPt>
            <c:idx val="23"/>
            <c:invertIfNegative val="0"/>
            <c:bubble3D val="0"/>
            <c:spPr>
              <a:solidFill>
                <a:srgbClr val="002060"/>
              </a:solidFill>
              <a:ln>
                <a:solidFill>
                  <a:srgbClr val="002060"/>
                </a:solidFill>
              </a:ln>
            </c:spPr>
          </c:dPt>
          <c:dLbls>
            <c:dLbl>
              <c:idx val="23"/>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Graf_12!$A$6:$A$33</c:f>
              <c:strCache>
                <c:ptCount val="28"/>
                <c:pt idx="0">
                  <c:v>Dánsko</c:v>
                </c:pt>
                <c:pt idx="1">
                  <c:v>Švédsko</c:v>
                </c:pt>
                <c:pt idx="2">
                  <c:v>Holandsko</c:v>
                </c:pt>
                <c:pt idx="3">
                  <c:v>Luxembursko</c:v>
                </c:pt>
                <c:pt idx="4">
                  <c:v>Fínsko</c:v>
                </c:pt>
                <c:pt idx="5">
                  <c:v>Nemecko</c:v>
                </c:pt>
                <c:pt idx="6">
                  <c:v>UK</c:v>
                </c:pt>
                <c:pt idx="7">
                  <c:v>Francúzsko</c:v>
                </c:pt>
                <c:pt idx="8">
                  <c:v>Belgicko</c:v>
                </c:pt>
                <c:pt idx="9">
                  <c:v>Írsko</c:v>
                </c:pt>
                <c:pt idx="10">
                  <c:v>Rakúsko</c:v>
                </c:pt>
                <c:pt idx="11">
                  <c:v>Malta</c:v>
                </c:pt>
                <c:pt idx="12">
                  <c:v>Portugalsko</c:v>
                </c:pt>
                <c:pt idx="13">
                  <c:v>Litva</c:v>
                </c:pt>
                <c:pt idx="14">
                  <c:v>Maďarsko</c:v>
                </c:pt>
                <c:pt idx="15">
                  <c:v>Česká republika</c:v>
                </c:pt>
                <c:pt idx="16">
                  <c:v>Taliansko</c:v>
                </c:pt>
                <c:pt idx="17">
                  <c:v>Slovinsko</c:v>
                </c:pt>
                <c:pt idx="18">
                  <c:v>Španielsko</c:v>
                </c:pt>
                <c:pt idx="19">
                  <c:v>Estónsko</c:v>
                </c:pt>
                <c:pt idx="20">
                  <c:v>Poľsko</c:v>
                </c:pt>
                <c:pt idx="21">
                  <c:v>Lotyšsko</c:v>
                </c:pt>
                <c:pt idx="22">
                  <c:v>Chorvátsko</c:v>
                </c:pt>
                <c:pt idx="23">
                  <c:v>Slovensko</c:v>
                </c:pt>
                <c:pt idx="24">
                  <c:v>Bulharsko</c:v>
                </c:pt>
                <c:pt idx="25">
                  <c:v>Cyprus</c:v>
                </c:pt>
                <c:pt idx="26">
                  <c:v>Grécko</c:v>
                </c:pt>
                <c:pt idx="27">
                  <c:v>Rumunsko</c:v>
                </c:pt>
              </c:strCache>
            </c:strRef>
          </c:cat>
          <c:val>
            <c:numRef>
              <c:f>Graf_12!$B$6:$B$33</c:f>
              <c:numCache>
                <c:formatCode>0.0</c:formatCode>
                <c:ptCount val="28"/>
                <c:pt idx="0">
                  <c:v>89.773904680524254</c:v>
                </c:pt>
                <c:pt idx="1">
                  <c:v>83.397215204932834</c:v>
                </c:pt>
                <c:pt idx="2">
                  <c:v>83.347476794828538</c:v>
                </c:pt>
                <c:pt idx="3">
                  <c:v>77.939551997076435</c:v>
                </c:pt>
                <c:pt idx="4">
                  <c:v>76.925448882939463</c:v>
                </c:pt>
                <c:pt idx="5">
                  <c:v>71.769915073434746</c:v>
                </c:pt>
                <c:pt idx="6">
                  <c:v>60.83616191164937</c:v>
                </c:pt>
                <c:pt idx="7">
                  <c:v>58.288114098751748</c:v>
                </c:pt>
                <c:pt idx="8">
                  <c:v>55.498097176764595</c:v>
                </c:pt>
                <c:pt idx="9">
                  <c:v>53.707856422418722</c:v>
                </c:pt>
                <c:pt idx="10">
                  <c:v>52.573788573843885</c:v>
                </c:pt>
                <c:pt idx="11">
                  <c:v>38.868953397196975</c:v>
                </c:pt>
                <c:pt idx="12">
                  <c:v>38.829943794725253</c:v>
                </c:pt>
                <c:pt idx="13">
                  <c:v>33.568288807615502</c:v>
                </c:pt>
                <c:pt idx="14">
                  <c:v>33.316387770519235</c:v>
                </c:pt>
                <c:pt idx="15">
                  <c:v>32.894268691349858</c:v>
                </c:pt>
                <c:pt idx="16">
                  <c:v>32.615251646911489</c:v>
                </c:pt>
                <c:pt idx="17">
                  <c:v>31.699953553181608</c:v>
                </c:pt>
                <c:pt idx="18">
                  <c:v>31.306228430620504</c:v>
                </c:pt>
                <c:pt idx="19">
                  <c:v>29.860522024693495</c:v>
                </c:pt>
                <c:pt idx="20">
                  <c:v>25.821104405447478</c:v>
                </c:pt>
                <c:pt idx="21">
                  <c:v>25.563759738913628</c:v>
                </c:pt>
                <c:pt idx="22">
                  <c:v>25.180897884858162</c:v>
                </c:pt>
                <c:pt idx="23">
                  <c:v>25.062831611281762</c:v>
                </c:pt>
                <c:pt idx="24">
                  <c:v>23.443858568625345</c:v>
                </c:pt>
                <c:pt idx="25">
                  <c:v>22.933550557949449</c:v>
                </c:pt>
                <c:pt idx="26">
                  <c:v>20.782661843477872</c:v>
                </c:pt>
                <c:pt idx="27">
                  <c:v>20.101757080966816</c:v>
                </c:pt>
              </c:numCache>
            </c:numRef>
          </c:val>
        </c:ser>
        <c:dLbls>
          <c:showLegendKey val="0"/>
          <c:showVal val="0"/>
          <c:showCatName val="0"/>
          <c:showSerName val="0"/>
          <c:showPercent val="0"/>
          <c:showBubbleSize val="0"/>
        </c:dLbls>
        <c:gapWidth val="150"/>
        <c:axId val="222973744"/>
        <c:axId val="222974136"/>
      </c:barChart>
      <c:lineChart>
        <c:grouping val="standard"/>
        <c:varyColors val="0"/>
        <c:ser>
          <c:idx val="2"/>
          <c:order val="1"/>
          <c:spPr>
            <a:ln>
              <a:solidFill>
                <a:sysClr val="windowText" lastClr="000000"/>
              </a:solidFill>
            </a:ln>
          </c:spPr>
          <c:marker>
            <c:symbol val="none"/>
          </c:marker>
          <c:dLbls>
            <c:dLbl>
              <c:idx val="25"/>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1"/>
              </c:ext>
            </c:extLst>
          </c:dLbls>
          <c:cat>
            <c:strRef>
              <c:f>Graf_12!$A$6:$A$33</c:f>
              <c:strCache>
                <c:ptCount val="28"/>
                <c:pt idx="0">
                  <c:v>Dánsko</c:v>
                </c:pt>
                <c:pt idx="1">
                  <c:v>Švédsko</c:v>
                </c:pt>
                <c:pt idx="2">
                  <c:v>Holandsko</c:v>
                </c:pt>
                <c:pt idx="3">
                  <c:v>Luxembursko</c:v>
                </c:pt>
                <c:pt idx="4">
                  <c:v>Fínsko</c:v>
                </c:pt>
                <c:pt idx="5">
                  <c:v>Nemecko</c:v>
                </c:pt>
                <c:pt idx="6">
                  <c:v>UK</c:v>
                </c:pt>
                <c:pt idx="7">
                  <c:v>Francúzsko</c:v>
                </c:pt>
                <c:pt idx="8">
                  <c:v>Belgicko</c:v>
                </c:pt>
                <c:pt idx="9">
                  <c:v>Írsko</c:v>
                </c:pt>
                <c:pt idx="10">
                  <c:v>Rakúsko</c:v>
                </c:pt>
                <c:pt idx="11">
                  <c:v>Malta</c:v>
                </c:pt>
                <c:pt idx="12">
                  <c:v>Portugalsko</c:v>
                </c:pt>
                <c:pt idx="13">
                  <c:v>Litva</c:v>
                </c:pt>
                <c:pt idx="14">
                  <c:v>Maďarsko</c:v>
                </c:pt>
                <c:pt idx="15">
                  <c:v>Česká republika</c:v>
                </c:pt>
                <c:pt idx="16">
                  <c:v>Taliansko</c:v>
                </c:pt>
                <c:pt idx="17">
                  <c:v>Slovinsko</c:v>
                </c:pt>
                <c:pt idx="18">
                  <c:v>Španielsko</c:v>
                </c:pt>
                <c:pt idx="19">
                  <c:v>Estónsko</c:v>
                </c:pt>
                <c:pt idx="20">
                  <c:v>Poľsko</c:v>
                </c:pt>
                <c:pt idx="21">
                  <c:v>Lotyšsko</c:v>
                </c:pt>
                <c:pt idx="22">
                  <c:v>Chorvátsko</c:v>
                </c:pt>
                <c:pt idx="23">
                  <c:v>Slovensko</c:v>
                </c:pt>
                <c:pt idx="24">
                  <c:v>Bulharsko</c:v>
                </c:pt>
                <c:pt idx="25">
                  <c:v>Cyprus</c:v>
                </c:pt>
                <c:pt idx="26">
                  <c:v>Grécko</c:v>
                </c:pt>
                <c:pt idx="27">
                  <c:v>Rumunsko</c:v>
                </c:pt>
              </c:strCache>
            </c:strRef>
          </c:cat>
          <c:val>
            <c:numRef>
              <c:f>Graf_12!$C$6:$C$33</c:f>
              <c:numCache>
                <c:formatCode>0.0</c:formatCode>
                <c:ptCount val="28"/>
                <c:pt idx="0">
                  <c:v>44.853848236624962</c:v>
                </c:pt>
                <c:pt idx="1">
                  <c:v>44.853848236624962</c:v>
                </c:pt>
                <c:pt idx="2">
                  <c:v>44.853848236624962</c:v>
                </c:pt>
                <c:pt idx="3">
                  <c:v>44.853848236624962</c:v>
                </c:pt>
                <c:pt idx="4">
                  <c:v>44.853848236624962</c:v>
                </c:pt>
                <c:pt idx="5">
                  <c:v>44.853848236624962</c:v>
                </c:pt>
                <c:pt idx="6">
                  <c:v>44.853848236624962</c:v>
                </c:pt>
                <c:pt idx="7">
                  <c:v>44.853848236624962</c:v>
                </c:pt>
                <c:pt idx="8">
                  <c:v>44.853848236624962</c:v>
                </c:pt>
                <c:pt idx="9">
                  <c:v>44.853848236624962</c:v>
                </c:pt>
                <c:pt idx="10">
                  <c:v>44.853848236624962</c:v>
                </c:pt>
                <c:pt idx="11">
                  <c:v>44.853848236624962</c:v>
                </c:pt>
                <c:pt idx="12">
                  <c:v>44.853848236624962</c:v>
                </c:pt>
                <c:pt idx="13">
                  <c:v>44.853848236624962</c:v>
                </c:pt>
                <c:pt idx="14">
                  <c:v>44.853848236624962</c:v>
                </c:pt>
                <c:pt idx="15">
                  <c:v>44.853848236624962</c:v>
                </c:pt>
                <c:pt idx="16">
                  <c:v>44.853848236624962</c:v>
                </c:pt>
                <c:pt idx="17">
                  <c:v>44.853848236624962</c:v>
                </c:pt>
                <c:pt idx="18">
                  <c:v>44.853848236624962</c:v>
                </c:pt>
                <c:pt idx="19">
                  <c:v>44.853848236624962</c:v>
                </c:pt>
                <c:pt idx="20">
                  <c:v>44.853848236624962</c:v>
                </c:pt>
                <c:pt idx="21">
                  <c:v>44.853848236624962</c:v>
                </c:pt>
                <c:pt idx="22">
                  <c:v>44.853848236624962</c:v>
                </c:pt>
                <c:pt idx="23">
                  <c:v>44.853848236624962</c:v>
                </c:pt>
                <c:pt idx="24">
                  <c:v>44.853848236624962</c:v>
                </c:pt>
                <c:pt idx="25">
                  <c:v>44.853848236624962</c:v>
                </c:pt>
                <c:pt idx="26">
                  <c:v>44.853848236624962</c:v>
                </c:pt>
                <c:pt idx="27">
                  <c:v>44.853848236624962</c:v>
                </c:pt>
              </c:numCache>
            </c:numRef>
          </c:val>
          <c:smooth val="0"/>
        </c:ser>
        <c:dLbls>
          <c:showLegendKey val="0"/>
          <c:showVal val="0"/>
          <c:showCatName val="0"/>
          <c:showSerName val="0"/>
          <c:showPercent val="0"/>
          <c:showBubbleSize val="0"/>
        </c:dLbls>
        <c:marker val="1"/>
        <c:smooth val="0"/>
        <c:axId val="222973744"/>
        <c:axId val="222974136"/>
      </c:lineChart>
      <c:catAx>
        <c:axId val="222973744"/>
        <c:scaling>
          <c:orientation val="minMax"/>
        </c:scaling>
        <c:delete val="0"/>
        <c:axPos val="b"/>
        <c:numFmt formatCode="General" sourceLinked="1"/>
        <c:majorTickMark val="none"/>
        <c:minorTickMark val="none"/>
        <c:tickLblPos val="nextTo"/>
        <c:spPr>
          <a:ln>
            <a:solidFill>
              <a:sysClr val="window" lastClr="FFFFFF">
                <a:lumMod val="75000"/>
              </a:sysClr>
            </a:solidFill>
          </a:ln>
        </c:spPr>
        <c:txPr>
          <a:bodyPr rot="-5400000" vert="horz"/>
          <a:lstStyle/>
          <a:p>
            <a:pPr>
              <a:defRPr sz="600"/>
            </a:pPr>
            <a:endParaRPr lang="sk-SK"/>
          </a:p>
        </c:txPr>
        <c:crossAx val="222974136"/>
        <c:crosses val="autoZero"/>
        <c:auto val="1"/>
        <c:lblAlgn val="ctr"/>
        <c:lblOffset val="100"/>
        <c:noMultiLvlLbl val="0"/>
      </c:catAx>
      <c:valAx>
        <c:axId val="222974136"/>
        <c:scaling>
          <c:orientation val="minMax"/>
          <c:min val="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a:lstStyle/>
          <a:p>
            <a:pPr>
              <a:defRPr sz="900"/>
            </a:pPr>
            <a:endParaRPr lang="sk-SK"/>
          </a:p>
        </c:txPr>
        <c:crossAx val="222973744"/>
        <c:crosses val="autoZero"/>
        <c:crossBetween val="between"/>
      </c:valAx>
    </c:plotArea>
    <c:plotVisOnly val="1"/>
    <c:dispBlanksAs val="gap"/>
    <c:showDLblsOverMax val="0"/>
  </c:chart>
  <c:spPr>
    <a:ln>
      <a:noFill/>
    </a:ln>
  </c:spPr>
  <c:txPr>
    <a:bodyPr/>
    <a:lstStyle/>
    <a:p>
      <a:pPr>
        <a:defRPr sz="900">
          <a:latin typeface="Arial Narrow" pitchFamily="34" charset="0"/>
        </a:defRPr>
      </a:pPr>
      <a:endParaRPr lang="sk-SK"/>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134105452740872E-2"/>
          <c:y val="8.2317735760736917E-3"/>
          <c:w val="0.82948878387983793"/>
          <c:h val="0.88428325440211697"/>
        </c:manualLayout>
      </c:layout>
      <c:barChart>
        <c:barDir val="bar"/>
        <c:grouping val="clustered"/>
        <c:varyColors val="0"/>
        <c:ser>
          <c:idx val="1"/>
          <c:order val="0"/>
          <c:tx>
            <c:strRef>
              <c:f>'súhrn počty revidovane'!$C$15</c:f>
              <c:strCache>
                <c:ptCount val="1"/>
                <c:pt idx="0">
                  <c:v>priebežná správa</c:v>
                </c:pt>
              </c:strCache>
            </c:strRef>
          </c:tx>
          <c:spPr>
            <a:solidFill>
              <a:srgbClr val="00B0F0"/>
            </a:solidFill>
            <a:ln>
              <a:noFill/>
            </a:ln>
            <a:effectLst/>
          </c:spPr>
          <c:invertIfNegative val="0"/>
          <c:cat>
            <c:strRef>
              <c:f>'súhrn počty revidovane'!$A$16:$A$26</c:f>
              <c:strCache>
                <c:ptCount val="11"/>
                <c:pt idx="0">
                  <c:v>policajti </c:v>
                </c:pt>
                <c:pt idx="1">
                  <c:v>učitelia VŠ</c:v>
                </c:pt>
                <c:pt idx="2">
                  <c:v>prokurátori</c:v>
                </c:pt>
                <c:pt idx="3">
                  <c:v>učitelia ZŠ5-SŠ (vrátane cirk. a súkr.)</c:v>
                </c:pt>
                <c:pt idx="4">
                  <c:v>sudcovia</c:v>
                </c:pt>
                <c:pt idx="5">
                  <c:v>úradníci (štátna služba)</c:v>
                </c:pt>
                <c:pt idx="6">
                  <c:v>hasiči</c:v>
                </c:pt>
                <c:pt idx="7">
                  <c:v>lekári (ústavní aj ambulantní)</c:v>
                </c:pt>
                <c:pt idx="8">
                  <c:v>učitelia ZŠ1-4 (vrátane cirk. a súkr.)</c:v>
                </c:pt>
                <c:pt idx="9">
                  <c:v>zdravotné zdrav. sestry (ústavné aj ambulantné)</c:v>
                </c:pt>
                <c:pt idx="10">
                  <c:v>sociálni pracovníci</c:v>
                </c:pt>
              </c:strCache>
            </c:strRef>
          </c:cat>
          <c:val>
            <c:numRef>
              <c:f>'súhrn počty revidovane'!$E$16:$E$26</c:f>
              <c:numCache>
                <c:formatCode>#,##0</c:formatCode>
                <c:ptCount val="11"/>
                <c:pt idx="0">
                  <c:v>3719.9418648874052</c:v>
                </c:pt>
                <c:pt idx="1">
                  <c:v>2103.0072150455217</c:v>
                </c:pt>
                <c:pt idx="2">
                  <c:v>377.42938822184101</c:v>
                </c:pt>
                <c:pt idx="3">
                  <c:v>105.60975972068991</c:v>
                </c:pt>
                <c:pt idx="4">
                  <c:v>59.992370149240287</c:v>
                </c:pt>
                <c:pt idx="5">
                  <c:v>-130</c:v>
                </c:pt>
                <c:pt idx="6">
                  <c:v>-132.75865160662443</c:v>
                </c:pt>
                <c:pt idx="7">
                  <c:v>-185.31497062278868</c:v>
                </c:pt>
                <c:pt idx="8">
                  <c:v>-2077.4951757595227</c:v>
                </c:pt>
                <c:pt idx="9">
                  <c:v>-3610.6631578947345</c:v>
                </c:pt>
                <c:pt idx="10">
                  <c:v>-8479.0107600059055</c:v>
                </c:pt>
              </c:numCache>
            </c:numRef>
          </c:val>
          <c:extLst/>
        </c:ser>
        <c:dLbls>
          <c:showLegendKey val="0"/>
          <c:showVal val="0"/>
          <c:showCatName val="0"/>
          <c:showSerName val="0"/>
          <c:showPercent val="0"/>
          <c:showBubbleSize val="0"/>
        </c:dLbls>
        <c:gapWidth val="150"/>
        <c:overlap val="100"/>
        <c:axId val="222974528"/>
        <c:axId val="222974920"/>
      </c:barChart>
      <c:catAx>
        <c:axId val="22297452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974920"/>
        <c:crosses val="autoZero"/>
        <c:auto val="1"/>
        <c:lblAlgn val="ctr"/>
        <c:lblOffset val="100"/>
        <c:noMultiLvlLbl val="0"/>
      </c:catAx>
      <c:valAx>
        <c:axId val="222974920"/>
        <c:scaling>
          <c:orientation val="minMax"/>
          <c:max val="4000"/>
          <c:min val="-10000"/>
        </c:scaling>
        <c:delete val="0"/>
        <c:axPos val="b"/>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9745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02482150951372"/>
          <c:y val="2.0661325631239326E-2"/>
          <c:w val="0.78167603643441541"/>
          <c:h val="0.8790766656351362"/>
        </c:manualLayout>
      </c:layout>
      <c:barChart>
        <c:barDir val="bar"/>
        <c:grouping val="clustered"/>
        <c:varyColors val="0"/>
        <c:ser>
          <c:idx val="0"/>
          <c:order val="0"/>
          <c:tx>
            <c:strRef>
              <c:f>'súhrn platy revidovane'!$G$28</c:f>
              <c:strCache>
                <c:ptCount val="1"/>
                <c:pt idx="0">
                  <c:v>porovnanie s EÚ/OECD</c:v>
                </c:pt>
              </c:strCache>
            </c:strRef>
          </c:tx>
          <c:spPr>
            <a:solidFill>
              <a:srgbClr val="00B0F0"/>
            </a:solidFill>
            <a:ln>
              <a:noFill/>
            </a:ln>
            <a:effectLst/>
          </c:spPr>
          <c:invertIfNegative val="0"/>
          <c:cat>
            <c:strRef>
              <c:f>'súhrn platy revidovane'!$A$29:$A$40</c:f>
              <c:strCache>
                <c:ptCount val="12"/>
                <c:pt idx="0">
                  <c:v>učitelia regionálne školstvo</c:v>
                </c:pt>
                <c:pt idx="1">
                  <c:v>sociálne služby</c:v>
                </c:pt>
                <c:pt idx="2">
                  <c:v>VŠ učitelia</c:v>
                </c:pt>
                <c:pt idx="3">
                  <c:v>štátni úradníci</c:v>
                </c:pt>
                <c:pt idx="4">
                  <c:v>ústavné zdravotné sestry</c:v>
                </c:pt>
                <c:pt idx="5">
                  <c:v>hasiči</c:v>
                </c:pt>
                <c:pt idx="6">
                  <c:v>ústavní lekári</c:v>
                </c:pt>
                <c:pt idx="7">
                  <c:v>colníci</c:v>
                </c:pt>
                <c:pt idx="8">
                  <c:v>vybraní ústavní činitelia</c:v>
                </c:pt>
                <c:pt idx="9">
                  <c:v>policajti</c:v>
                </c:pt>
                <c:pt idx="10">
                  <c:v>sudcovia</c:v>
                </c:pt>
                <c:pt idx="11">
                  <c:v>prokurátori</c:v>
                </c:pt>
              </c:strCache>
              <c:extLst/>
            </c:strRef>
          </c:cat>
          <c:val>
            <c:numRef>
              <c:f>'súhrn platy revidovane'!$G$29:$G$40</c:f>
              <c:numCache>
                <c:formatCode>General</c:formatCode>
                <c:ptCount val="12"/>
                <c:pt idx="0" formatCode="0%">
                  <c:v>-0.30021685550592503</c:v>
                </c:pt>
                <c:pt idx="2" formatCode="0%">
                  <c:v>-0.20923488553909719</c:v>
                </c:pt>
                <c:pt idx="3" formatCode="0%">
                  <c:v>-0.13636467232182381</c:v>
                </c:pt>
                <c:pt idx="4" formatCode="0%">
                  <c:v>-0.14834998486224626</c:v>
                </c:pt>
                <c:pt idx="6" formatCode="0%">
                  <c:v>-0.13215137067938021</c:v>
                </c:pt>
                <c:pt idx="7" formatCode="0%">
                  <c:v>-5.92088445825113E-2</c:v>
                </c:pt>
                <c:pt idx="8" formatCode="0%">
                  <c:v>2.9710436305770527E-2</c:v>
                </c:pt>
                <c:pt idx="9" formatCode="0%">
                  <c:v>3.6957367687655118E-2</c:v>
                </c:pt>
                <c:pt idx="10" formatCode="0%">
                  <c:v>4.3711558467631306E-2</c:v>
                </c:pt>
                <c:pt idx="11" formatCode="0%">
                  <c:v>0.25623735670937298</c:v>
                </c:pt>
              </c:numCache>
              <c:extLst/>
            </c:numRef>
          </c:val>
        </c:ser>
        <c:ser>
          <c:idx val="1"/>
          <c:order val="1"/>
          <c:tx>
            <c:strRef>
              <c:f>'súhrn platy revidovane'!$H$28</c:f>
              <c:strCache>
                <c:ptCount val="1"/>
                <c:pt idx="0">
                  <c:v>porovnanie s ČR</c:v>
                </c:pt>
              </c:strCache>
            </c:strRef>
          </c:tx>
          <c:spPr>
            <a:solidFill>
              <a:schemeClr val="bg1">
                <a:lumMod val="65000"/>
              </a:schemeClr>
            </a:solidFill>
            <a:ln>
              <a:noFill/>
            </a:ln>
            <a:effectLst/>
          </c:spPr>
          <c:invertIfNegative val="0"/>
          <c:cat>
            <c:strLit>
              <c:ptCount val="12"/>
              <c:pt idx="0">
                <c:v>učitelia regionálne školstvo</c:v>
              </c:pt>
              <c:pt idx="1">
                <c:v>sociálne služby</c:v>
              </c:pt>
              <c:pt idx="2">
                <c:v>VŠ učitelia</c:v>
              </c:pt>
              <c:pt idx="3">
                <c:v>štátni úradníci</c:v>
              </c:pt>
              <c:pt idx="4">
                <c:v>ústavné zdravotné sestry</c:v>
              </c:pt>
              <c:pt idx="5">
                <c:v>hasiči</c:v>
              </c:pt>
              <c:pt idx="6">
                <c:v>ústavní lekári</c:v>
              </c:pt>
              <c:pt idx="7">
                <c:v>colníci</c:v>
              </c:pt>
              <c:pt idx="8">
                <c:v>vybraní ústavní činitelia</c:v>
              </c:pt>
              <c:pt idx="9">
                <c:v>policajti</c:v>
              </c:pt>
              <c:pt idx="10">
                <c:v>sudcovia</c:v>
              </c:pt>
              <c:pt idx="11">
                <c:v>prokurátori</c:v>
              </c:pt>
              <c:extLst>
                <c:ext xmlns:c15="http://schemas.microsoft.com/office/drawing/2012/chart" uri="{02D57815-91ED-43cb-92C2-25804820EDAC}">
                  <c15:autoCat val="1"/>
                </c:ext>
              </c:extLst>
            </c:strLit>
          </c:cat>
          <c:val>
            <c:numRef>
              <c:f>'súhrn platy revidovane'!$H$29:$H$40</c:f>
              <c:numCache>
                <c:formatCode>0%</c:formatCode>
                <c:ptCount val="12"/>
                <c:pt idx="1">
                  <c:v>-0.21453407616263398</c:v>
                </c:pt>
                <c:pt idx="5">
                  <c:v>-0.13659586559512782</c:v>
                </c:pt>
              </c:numCache>
            </c:numRef>
          </c:val>
        </c:ser>
        <c:dLbls>
          <c:showLegendKey val="0"/>
          <c:showVal val="0"/>
          <c:showCatName val="0"/>
          <c:showSerName val="0"/>
          <c:showPercent val="0"/>
          <c:showBubbleSize val="0"/>
        </c:dLbls>
        <c:gapWidth val="135"/>
        <c:overlap val="100"/>
        <c:axId val="222976096"/>
        <c:axId val="222976488"/>
      </c:barChart>
      <c:catAx>
        <c:axId val="2229760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976488"/>
        <c:crosses val="autoZero"/>
        <c:auto val="1"/>
        <c:lblAlgn val="ctr"/>
        <c:lblOffset val="100"/>
        <c:noMultiLvlLbl val="0"/>
      </c:catAx>
      <c:valAx>
        <c:axId val="222976488"/>
        <c:scaling>
          <c:orientation val="minMax"/>
          <c:max val="0.30000000000000004"/>
        </c:scaling>
        <c:delete val="0"/>
        <c:axPos val="b"/>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976096"/>
        <c:crosses val="autoZero"/>
        <c:crossBetween val="between"/>
      </c:valAx>
      <c:spPr>
        <a:noFill/>
        <a:ln>
          <a:noFill/>
        </a:ln>
        <a:effectLst/>
      </c:spPr>
    </c:plotArea>
    <c:legend>
      <c:legendPos val="r"/>
      <c:layout>
        <c:manualLayout>
          <c:xMode val="edge"/>
          <c:yMode val="edge"/>
          <c:x val="0.68579864377021127"/>
          <c:y val="0.37721601393712251"/>
          <c:w val="0.21181227773149516"/>
          <c:h val="0.1873433506401219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639913001529015E-2"/>
          <c:y val="1.9968800196271761E-2"/>
          <c:w val="0.91502315051481242"/>
          <c:h val="0.9125414878695719"/>
        </c:manualLayout>
      </c:layout>
      <c:lineChart>
        <c:grouping val="standard"/>
        <c:varyColors val="0"/>
        <c:ser>
          <c:idx val="3"/>
          <c:order val="0"/>
          <c:tx>
            <c:strRef>
              <c:f>Graf_15!$A$4</c:f>
              <c:strCache>
                <c:ptCount val="1"/>
                <c:pt idx="0">
                  <c:v>profesia</c:v>
                </c:pt>
              </c:strCache>
            </c:strRef>
          </c:tx>
          <c:spPr>
            <a:ln w="28575" cap="rnd">
              <a:solidFill>
                <a:srgbClr val="002060"/>
              </a:solidFill>
              <a:prstDash val="dash"/>
              <a:round/>
            </a:ln>
            <a:effectLst/>
          </c:spPr>
          <c:marker>
            <c:symbol val="none"/>
          </c:marker>
          <c:cat>
            <c:numRef>
              <c:f>Graf_15!$B$4:$J$4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Graf_15!$B$4:$J$4</c:f>
              <c:numCache>
                <c:formatCode>General</c:formatCode>
                <c:ptCount val="9"/>
                <c:pt idx="0">
                  <c:v>2010</c:v>
                </c:pt>
                <c:pt idx="1">
                  <c:v>2011</c:v>
                </c:pt>
                <c:pt idx="2">
                  <c:v>2012</c:v>
                </c:pt>
                <c:pt idx="3">
                  <c:v>2013</c:v>
                </c:pt>
                <c:pt idx="4">
                  <c:v>2014</c:v>
                </c:pt>
                <c:pt idx="5">
                  <c:v>2015</c:v>
                </c:pt>
                <c:pt idx="6">
                  <c:v>2016</c:v>
                </c:pt>
                <c:pt idx="7">
                  <c:v>2017</c:v>
                </c:pt>
                <c:pt idx="8">
                  <c:v>2018</c:v>
                </c:pt>
              </c:numCache>
            </c:numRef>
          </c:val>
          <c:smooth val="0"/>
        </c:ser>
        <c:ser>
          <c:idx val="9"/>
          <c:order val="1"/>
          <c:tx>
            <c:strRef>
              <c:f>Graf_15!$A$5</c:f>
              <c:strCache>
                <c:ptCount val="1"/>
                <c:pt idx="0">
                  <c:v>lekári</c:v>
                </c:pt>
              </c:strCache>
            </c:strRef>
          </c:tx>
          <c:spPr>
            <a:ln w="28575" cap="rnd">
              <a:solidFill>
                <a:srgbClr val="00B0F0"/>
              </a:solidFill>
              <a:round/>
            </a:ln>
            <a:effectLst/>
          </c:spPr>
          <c:marker>
            <c:symbol val="none"/>
          </c:marker>
          <c:cat>
            <c:numRef>
              <c:f>Graf_15!$B$4:$J$4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Graf_15!$B$5:$J$5</c:f>
              <c:numCache>
                <c:formatCode>0%</c:formatCode>
                <c:ptCount val="9"/>
                <c:pt idx="0">
                  <c:v>1.3232644956314537</c:v>
                </c:pt>
                <c:pt idx="1">
                  <c:v>1.2994757433489827</c:v>
                </c:pt>
                <c:pt idx="2">
                  <c:v>1.5168437259430332</c:v>
                </c:pt>
                <c:pt idx="3">
                  <c:v>1.56954169797145</c:v>
                </c:pt>
                <c:pt idx="4">
                  <c:v>1.5885826771653544</c:v>
                </c:pt>
                <c:pt idx="5">
                  <c:v>1.6540124309392266</c:v>
                </c:pt>
                <c:pt idx="6">
                  <c:v>1.6641821808510637</c:v>
                </c:pt>
                <c:pt idx="7">
                  <c:v>1.6596353166986566</c:v>
                </c:pt>
                <c:pt idx="8">
                  <c:v>1.650292504570384</c:v>
                </c:pt>
              </c:numCache>
            </c:numRef>
          </c:val>
          <c:smooth val="0"/>
        </c:ser>
        <c:ser>
          <c:idx val="6"/>
          <c:order val="2"/>
          <c:tx>
            <c:strRef>
              <c:f>Graf_15!$A$6</c:f>
              <c:strCache>
                <c:ptCount val="1"/>
                <c:pt idx="0">
                  <c:v>učitelia VŠ</c:v>
                </c:pt>
              </c:strCache>
            </c:strRef>
          </c:tx>
          <c:spPr>
            <a:ln w="28575" cap="rnd">
              <a:solidFill>
                <a:srgbClr val="0070C0"/>
              </a:solidFill>
              <a:round/>
            </a:ln>
            <a:effectLst/>
          </c:spPr>
          <c:marker>
            <c:symbol val="none"/>
          </c:marker>
          <c:cat>
            <c:numRef>
              <c:f>Graf_15!$B$4:$J$4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Graf_15!$B$6:$J$6</c:f>
              <c:numCache>
                <c:formatCode>0%</c:formatCode>
                <c:ptCount val="9"/>
                <c:pt idx="0">
                  <c:v>0.90909451945988873</c:v>
                </c:pt>
                <c:pt idx="1">
                  <c:v>0.90492175273865416</c:v>
                </c:pt>
                <c:pt idx="2">
                  <c:v>0.92283054552887323</c:v>
                </c:pt>
                <c:pt idx="3">
                  <c:v>0.93552967693463562</c:v>
                </c:pt>
                <c:pt idx="4">
                  <c:v>0.94677693970144627</c:v>
                </c:pt>
                <c:pt idx="5">
                  <c:v>0.92439409528739069</c:v>
                </c:pt>
                <c:pt idx="6">
                  <c:v>0.95542410628145935</c:v>
                </c:pt>
                <c:pt idx="7">
                  <c:v>0.96839326556524463</c:v>
                </c:pt>
                <c:pt idx="8">
                  <c:v>0.97257769652650827</c:v>
                </c:pt>
              </c:numCache>
            </c:numRef>
          </c:val>
          <c:smooth val="0"/>
        </c:ser>
        <c:ser>
          <c:idx val="5"/>
          <c:order val="3"/>
          <c:tx>
            <c:strRef>
              <c:f>Graf_15!$A$7</c:f>
              <c:strCache>
                <c:ptCount val="1"/>
                <c:pt idx="0">
                  <c:v>policajti</c:v>
                </c:pt>
              </c:strCache>
            </c:strRef>
          </c:tx>
          <c:spPr>
            <a:ln w="28575" cap="rnd">
              <a:solidFill>
                <a:schemeClr val="bg1">
                  <a:lumMod val="50000"/>
                </a:schemeClr>
              </a:solidFill>
              <a:prstDash val="dash"/>
              <a:round/>
            </a:ln>
            <a:effectLst/>
          </c:spPr>
          <c:marker>
            <c:symbol val="none"/>
          </c:marker>
          <c:cat>
            <c:numRef>
              <c:f>Graf_15!$B$4:$J$4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Graf_15!$B$7:$J$7</c:f>
              <c:numCache>
                <c:formatCode>0%</c:formatCode>
                <c:ptCount val="9"/>
                <c:pt idx="0">
                  <c:v>0.99790339212703827</c:v>
                </c:pt>
                <c:pt idx="1">
                  <c:v>0.95773539608884228</c:v>
                </c:pt>
                <c:pt idx="2">
                  <c:v>0.94874720837477133</c:v>
                </c:pt>
                <c:pt idx="3">
                  <c:v>0.9146563950304536</c:v>
                </c:pt>
                <c:pt idx="4">
                  <c:v>0.91441213909119134</c:v>
                </c:pt>
                <c:pt idx="5">
                  <c:v>0.91952284918943927</c:v>
                </c:pt>
                <c:pt idx="6">
                  <c:v>0.94060371602195203</c:v>
                </c:pt>
                <c:pt idx="7">
                  <c:v>0.94729350092060183</c:v>
                </c:pt>
                <c:pt idx="8">
                  <c:v>0.97727605118829985</c:v>
                </c:pt>
              </c:numCache>
            </c:numRef>
          </c:val>
          <c:smooth val="0"/>
        </c:ser>
        <c:ser>
          <c:idx val="11"/>
          <c:order val="4"/>
          <c:tx>
            <c:strRef>
              <c:f>Graf_15!$A$8</c:f>
              <c:strCache>
                <c:ptCount val="1"/>
                <c:pt idx="0">
                  <c:v>colníci</c:v>
                </c:pt>
              </c:strCache>
            </c:strRef>
          </c:tx>
          <c:spPr>
            <a:ln w="28575" cap="rnd">
              <a:solidFill>
                <a:schemeClr val="accent1"/>
              </a:solidFill>
              <a:prstDash val="dash"/>
              <a:round/>
            </a:ln>
            <a:effectLst/>
          </c:spPr>
          <c:marker>
            <c:symbol val="none"/>
          </c:marker>
          <c:cat>
            <c:numRef>
              <c:f>Graf_15!$B$4:$J$4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Graf_15!$B$8:$J$8</c:f>
              <c:numCache>
                <c:formatCode>0%</c:formatCode>
                <c:ptCount val="9"/>
                <c:pt idx="0">
                  <c:v>0.88098654998209225</c:v>
                </c:pt>
                <c:pt idx="1">
                  <c:v>0.85544313676599337</c:v>
                </c:pt>
                <c:pt idx="2">
                  <c:v>0.85418934934005497</c:v>
                </c:pt>
                <c:pt idx="3">
                  <c:v>0.87055257457051027</c:v>
                </c:pt>
                <c:pt idx="4">
                  <c:v>0.85753972028130943</c:v>
                </c:pt>
                <c:pt idx="5">
                  <c:v>0.84823858651634731</c:v>
                </c:pt>
                <c:pt idx="6">
                  <c:v>0.85858865248226957</c:v>
                </c:pt>
                <c:pt idx="7">
                  <c:v>0.8687123381508457</c:v>
                </c:pt>
                <c:pt idx="8">
                  <c:v>0.90823278488726389</c:v>
                </c:pt>
              </c:numCache>
            </c:numRef>
          </c:val>
          <c:smooth val="0"/>
        </c:ser>
        <c:ser>
          <c:idx val="2"/>
          <c:order val="5"/>
          <c:tx>
            <c:strRef>
              <c:f>Graf_15!$A$9</c:f>
              <c:strCache>
                <c:ptCount val="1"/>
                <c:pt idx="0">
                  <c:v>hasiči</c:v>
                </c:pt>
              </c:strCache>
            </c:strRef>
          </c:tx>
          <c:spPr>
            <a:ln w="28575" cap="rnd">
              <a:solidFill>
                <a:schemeClr val="accent1"/>
              </a:solidFill>
              <a:prstDash val="dashDot"/>
              <a:round/>
            </a:ln>
            <a:effectLst/>
          </c:spPr>
          <c:marker>
            <c:symbol val="none"/>
          </c:marker>
          <c:cat>
            <c:numRef>
              <c:f>Graf_15!$B$4:$J$4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Graf_15!$B$9:$J$9</c:f>
              <c:numCache>
                <c:formatCode>0%</c:formatCode>
                <c:ptCount val="9"/>
                <c:pt idx="0">
                  <c:v>0.88487592269193183</c:v>
                </c:pt>
                <c:pt idx="1">
                  <c:v>0.82505781655831156</c:v>
                </c:pt>
                <c:pt idx="2">
                  <c:v>0.83523002247709321</c:v>
                </c:pt>
                <c:pt idx="3">
                  <c:v>0.80662220301527121</c:v>
                </c:pt>
                <c:pt idx="4">
                  <c:v>0.79401999304374382</c:v>
                </c:pt>
                <c:pt idx="5">
                  <c:v>0.82491712332695211</c:v>
                </c:pt>
                <c:pt idx="6">
                  <c:v>0.83612638351852375</c:v>
                </c:pt>
                <c:pt idx="7">
                  <c:v>0.8578362756315091</c:v>
                </c:pt>
                <c:pt idx="8">
                  <c:v>0.88599634369287028</c:v>
                </c:pt>
              </c:numCache>
            </c:numRef>
          </c:val>
          <c:smooth val="0"/>
        </c:ser>
        <c:ser>
          <c:idx val="7"/>
          <c:order val="6"/>
          <c:tx>
            <c:strRef>
              <c:f>Graf_15!$A$10</c:f>
              <c:strCache>
                <c:ptCount val="1"/>
                <c:pt idx="0">
                  <c:v>vojaci</c:v>
                </c:pt>
              </c:strCache>
            </c:strRef>
          </c:tx>
          <c:spPr>
            <a:ln w="28575" cap="rnd">
              <a:solidFill>
                <a:srgbClr val="00B0F0"/>
              </a:solidFill>
              <a:prstDash val="sysDot"/>
              <a:round/>
            </a:ln>
            <a:effectLst/>
          </c:spPr>
          <c:marker>
            <c:symbol val="none"/>
          </c:marker>
          <c:cat>
            <c:numRef>
              <c:f>Graf_15!$B$4:$J$4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Graf_15!$B$10:$J$10</c:f>
              <c:numCache>
                <c:formatCode>0%</c:formatCode>
                <c:ptCount val="9"/>
                <c:pt idx="0">
                  <c:v>0.91416345217720485</c:v>
                </c:pt>
                <c:pt idx="1">
                  <c:v>0.9042879574748337</c:v>
                </c:pt>
                <c:pt idx="2">
                  <c:v>0.89002773332582918</c:v>
                </c:pt>
                <c:pt idx="3">
                  <c:v>0.87551160436694875</c:v>
                </c:pt>
                <c:pt idx="4">
                  <c:v>0.85830269459816277</c:v>
                </c:pt>
                <c:pt idx="5">
                  <c:v>0.8002238386340208</c:v>
                </c:pt>
                <c:pt idx="6">
                  <c:v>0.84097769780880838</c:v>
                </c:pt>
                <c:pt idx="7">
                  <c:v>0.85087069205537025</c:v>
                </c:pt>
                <c:pt idx="8">
                  <c:v>0.92117001828153566</c:v>
                </c:pt>
              </c:numCache>
            </c:numRef>
          </c:val>
          <c:smooth val="0"/>
        </c:ser>
        <c:ser>
          <c:idx val="1"/>
          <c:order val="7"/>
          <c:tx>
            <c:strRef>
              <c:f>Graf_15!$A$11</c:f>
              <c:strCache>
                <c:ptCount val="1"/>
                <c:pt idx="0">
                  <c:v>štátna služba</c:v>
                </c:pt>
              </c:strCache>
            </c:strRef>
          </c:tx>
          <c:spPr>
            <a:ln w="28575" cap="rnd">
              <a:solidFill>
                <a:schemeClr val="tx1"/>
              </a:solidFill>
              <a:prstDash val="sysDot"/>
              <a:round/>
            </a:ln>
            <a:effectLst/>
          </c:spPr>
          <c:marker>
            <c:symbol val="none"/>
          </c:marker>
          <c:cat>
            <c:numRef>
              <c:f>Graf_15!$B$4:$J$4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Graf_15!$B$11:$J$11</c:f>
              <c:numCache>
                <c:formatCode>0%</c:formatCode>
                <c:ptCount val="9"/>
                <c:pt idx="0">
                  <c:v>0.76103922561629822</c:v>
                </c:pt>
                <c:pt idx="1">
                  <c:v>0.7459506330303084</c:v>
                </c:pt>
                <c:pt idx="2">
                  <c:v>0.74582154159727709</c:v>
                </c:pt>
                <c:pt idx="3">
                  <c:v>0.74248949750907123</c:v>
                </c:pt>
                <c:pt idx="4">
                  <c:v>0.73267657597383318</c:v>
                </c:pt>
                <c:pt idx="5">
                  <c:v>0.74379977324394897</c:v>
                </c:pt>
                <c:pt idx="6">
                  <c:v>0.76193446018886968</c:v>
                </c:pt>
                <c:pt idx="7">
                  <c:v>0.77511249428554996</c:v>
                </c:pt>
                <c:pt idx="8">
                  <c:v>0.79951858622790983</c:v>
                </c:pt>
              </c:numCache>
            </c:numRef>
          </c:val>
          <c:smooth val="0"/>
        </c:ser>
        <c:ser>
          <c:idx val="10"/>
          <c:order val="8"/>
          <c:tx>
            <c:strRef>
              <c:f>Graf_15!$A$12</c:f>
              <c:strCache>
                <c:ptCount val="1"/>
                <c:pt idx="0">
                  <c:v>zdravotné sestry</c:v>
                </c:pt>
              </c:strCache>
            </c:strRef>
          </c:tx>
          <c:spPr>
            <a:ln w="28575" cap="rnd">
              <a:solidFill>
                <a:schemeClr val="bg1">
                  <a:lumMod val="50000"/>
                </a:schemeClr>
              </a:solidFill>
              <a:prstDash val="dashDot"/>
              <a:round/>
            </a:ln>
            <a:effectLst/>
          </c:spPr>
          <c:marker>
            <c:symbol val="none"/>
          </c:marker>
          <c:cat>
            <c:numRef>
              <c:f>Graf_15!$B$4:$J$4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Graf_15!$B$12:$J$12</c:f>
              <c:numCache>
                <c:formatCode>0%</c:formatCode>
                <c:ptCount val="9"/>
                <c:pt idx="0">
                  <c:v>0.61217633042096908</c:v>
                </c:pt>
                <c:pt idx="1">
                  <c:v>0.60890453834115799</c:v>
                </c:pt>
                <c:pt idx="2">
                  <c:v>0.67642802155504234</c:v>
                </c:pt>
                <c:pt idx="3">
                  <c:v>0.68728775356874527</c:v>
                </c:pt>
                <c:pt idx="4">
                  <c:v>0.66480314960629927</c:v>
                </c:pt>
                <c:pt idx="5">
                  <c:v>0.68862569060773482</c:v>
                </c:pt>
                <c:pt idx="6">
                  <c:v>0.70920212765957458</c:v>
                </c:pt>
                <c:pt idx="7">
                  <c:v>0.70692258477287273</c:v>
                </c:pt>
                <c:pt idx="8">
                  <c:v>0.71985984156002436</c:v>
                </c:pt>
              </c:numCache>
            </c:numRef>
          </c:val>
          <c:smooth val="0"/>
        </c:ser>
        <c:ser>
          <c:idx val="12"/>
          <c:order val="9"/>
          <c:tx>
            <c:strRef>
              <c:f>Graf_15!$A$13</c:f>
              <c:strCache>
                <c:ptCount val="1"/>
                <c:pt idx="0">
                  <c:v>učitelia RŠ</c:v>
                </c:pt>
              </c:strCache>
            </c:strRef>
          </c:tx>
          <c:spPr>
            <a:ln w="28575" cap="rnd">
              <a:solidFill>
                <a:schemeClr val="tx1"/>
              </a:solidFill>
              <a:round/>
            </a:ln>
            <a:effectLst/>
          </c:spPr>
          <c:marker>
            <c:symbol val="none"/>
          </c:marker>
          <c:cat>
            <c:numRef>
              <c:f>Graf_15!$B$4:$J$4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Graf_15!$B$13:$J$13</c:f>
              <c:numCache>
                <c:formatCode>0%</c:formatCode>
                <c:ptCount val="9"/>
                <c:pt idx="0">
                  <c:v>0.60300828949098306</c:v>
                </c:pt>
                <c:pt idx="1">
                  <c:v>0.59316323671788762</c:v>
                </c:pt>
                <c:pt idx="2">
                  <c:v>0.61369995328014471</c:v>
                </c:pt>
                <c:pt idx="3">
                  <c:v>0.63882191569827773</c:v>
                </c:pt>
                <c:pt idx="4">
                  <c:v>0.64998617571336736</c:v>
                </c:pt>
                <c:pt idx="5">
                  <c:v>0.65926293973403161</c:v>
                </c:pt>
                <c:pt idx="6">
                  <c:v>0.66944115125146719</c:v>
                </c:pt>
                <c:pt idx="7">
                  <c:v>0.68669225847728721</c:v>
                </c:pt>
                <c:pt idx="8">
                  <c:v>0.68222425350396099</c:v>
                </c:pt>
              </c:numCache>
            </c:numRef>
          </c:val>
          <c:smooth val="0"/>
        </c:ser>
        <c:ser>
          <c:idx val="13"/>
          <c:order val="10"/>
          <c:tx>
            <c:strRef>
              <c:f>Graf_15!$A$14</c:f>
              <c:strCache>
                <c:ptCount val="1"/>
                <c:pt idx="0">
                  <c:v>SŠ vzdelaní zamestnanci</c:v>
                </c:pt>
              </c:strCache>
            </c:strRef>
          </c:tx>
          <c:spPr>
            <a:ln w="28575" cap="rnd">
              <a:solidFill>
                <a:schemeClr val="bg1">
                  <a:lumMod val="50000"/>
                </a:schemeClr>
              </a:solidFill>
              <a:prstDash val="sysDot"/>
              <a:round/>
            </a:ln>
            <a:effectLst/>
          </c:spPr>
          <c:marker>
            <c:symbol val="none"/>
          </c:marker>
          <c:cat>
            <c:numRef>
              <c:f>Graf_15!$B$4:$J$4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Graf_15!$B$14:$J$14</c:f>
              <c:numCache>
                <c:formatCode>0%</c:formatCode>
                <c:ptCount val="9"/>
                <c:pt idx="0">
                  <c:v>0.62589356632247817</c:v>
                </c:pt>
                <c:pt idx="1">
                  <c:v>0.63693270735524254</c:v>
                </c:pt>
                <c:pt idx="2">
                  <c:v>0.64742109314857588</c:v>
                </c:pt>
                <c:pt idx="3">
                  <c:v>0.64988730277986473</c:v>
                </c:pt>
                <c:pt idx="4">
                  <c:v>0.65068002863278451</c:v>
                </c:pt>
                <c:pt idx="5">
                  <c:v>0.64848066298342544</c:v>
                </c:pt>
                <c:pt idx="6">
                  <c:v>0.65558510638297873</c:v>
                </c:pt>
                <c:pt idx="7">
                  <c:v>0.66282789507357642</c:v>
                </c:pt>
                <c:pt idx="8">
                  <c:v>0.67763558805606339</c:v>
                </c:pt>
              </c:numCache>
            </c:numRef>
          </c:val>
          <c:smooth val="0"/>
        </c:ser>
        <c:ser>
          <c:idx val="0"/>
          <c:order val="11"/>
          <c:tx>
            <c:strRef>
              <c:f>Graf_15!$A$15</c:f>
              <c:strCache>
                <c:ptCount val="1"/>
                <c:pt idx="0">
                  <c:v>obce a VÚC bez škol. a zdrav.</c:v>
                </c:pt>
              </c:strCache>
            </c:strRef>
          </c:tx>
          <c:spPr>
            <a:ln w="28575" cap="rnd">
              <a:solidFill>
                <a:schemeClr val="accent1"/>
              </a:solidFill>
              <a:round/>
            </a:ln>
            <a:effectLst/>
          </c:spPr>
          <c:marker>
            <c:symbol val="none"/>
          </c:marker>
          <c:cat>
            <c:numRef>
              <c:f>Graf_15!$B$4:$J$4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Graf_15!$B$15:$J$15</c:f>
              <c:numCache>
                <c:formatCode>0%</c:formatCode>
                <c:ptCount val="9"/>
                <c:pt idx="0">
                  <c:v>0.48282473788985336</c:v>
                </c:pt>
                <c:pt idx="1">
                  <c:v>0.47023318295988825</c:v>
                </c:pt>
                <c:pt idx="2">
                  <c:v>0.47820837233639102</c:v>
                </c:pt>
                <c:pt idx="3">
                  <c:v>0.48652061019022624</c:v>
                </c:pt>
                <c:pt idx="4">
                  <c:v>0.4839719030347846</c:v>
                </c:pt>
                <c:pt idx="5">
                  <c:v>0.47519006682259413</c:v>
                </c:pt>
                <c:pt idx="6">
                  <c:v>0.47864194479196015</c:v>
                </c:pt>
                <c:pt idx="7">
                  <c:v>0.49364853959827648</c:v>
                </c:pt>
                <c:pt idx="8">
                  <c:v>0.50670322973796467</c:v>
                </c:pt>
              </c:numCache>
            </c:numRef>
          </c:val>
          <c:smooth val="0"/>
        </c:ser>
        <c:dLbls>
          <c:showLegendKey val="0"/>
          <c:showVal val="0"/>
          <c:showCatName val="0"/>
          <c:showSerName val="0"/>
          <c:showPercent val="0"/>
          <c:showBubbleSize val="0"/>
        </c:dLbls>
        <c:smooth val="0"/>
        <c:axId val="223537328"/>
        <c:axId val="223537720"/>
        <c:extLst/>
      </c:lineChart>
      <c:catAx>
        <c:axId val="22353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537720"/>
        <c:crosses val="autoZero"/>
        <c:auto val="1"/>
        <c:lblAlgn val="ctr"/>
        <c:lblOffset val="100"/>
        <c:noMultiLvlLbl val="0"/>
      </c:catAx>
      <c:valAx>
        <c:axId val="223537720"/>
        <c:scaling>
          <c:orientation val="minMax"/>
          <c:max val="1.7500000000000002"/>
          <c:min val="0.4"/>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537328"/>
        <c:crosses val="autoZero"/>
        <c:crossBetween val="between"/>
        <c:majorUnit val="0.25"/>
      </c:valAx>
      <c:spPr>
        <a:noFill/>
        <a:ln>
          <a:noFill/>
        </a:ln>
        <a:effectLst/>
      </c:spPr>
    </c:plotArea>
    <c:legend>
      <c:legendPos val="b"/>
      <c:legendEntry>
        <c:idx val="0"/>
        <c:delete val="1"/>
      </c:legendEntry>
      <c:legendEntry>
        <c:idx val="3"/>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Entry>
      <c:layout>
        <c:manualLayout>
          <c:xMode val="edge"/>
          <c:yMode val="edge"/>
          <c:x val="0.42146277017386252"/>
          <c:y val="0.18535738588232026"/>
          <c:w val="0.57702971692296856"/>
          <c:h val="0.34757846627196293"/>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434096599993961E-2"/>
          <c:y val="3.7391511831772015E-2"/>
          <c:w val="0.85888391106284123"/>
          <c:h val="0.8335272011453112"/>
        </c:manualLayout>
      </c:layout>
      <c:lineChart>
        <c:grouping val="standard"/>
        <c:varyColors val="0"/>
        <c:ser>
          <c:idx val="0"/>
          <c:order val="0"/>
          <c:tx>
            <c:strRef>
              <c:f>Porovnanie!$B$45</c:f>
              <c:strCache>
                <c:ptCount val="1"/>
                <c:pt idx="0">
                  <c:v>Slovensko</c:v>
                </c:pt>
              </c:strCache>
            </c:strRef>
          </c:tx>
          <c:spPr>
            <a:ln w="28575" cap="rnd">
              <a:noFill/>
              <a:round/>
            </a:ln>
            <a:effectLst/>
          </c:spPr>
          <c:marker>
            <c:symbol val="square"/>
            <c:size val="7"/>
            <c:spPr>
              <a:solidFill>
                <a:srgbClr val="00B0F0"/>
              </a:solidFill>
              <a:ln w="9525">
                <a:noFill/>
              </a:ln>
              <a:effectLst/>
            </c:spPr>
          </c:marker>
          <c:cat>
            <c:strRef>
              <c:f>Porovnanie!$A$46:$A$54</c:f>
              <c:strCache>
                <c:ptCount val="5"/>
                <c:pt idx="0">
                  <c:v>Najvyšší manažment</c:v>
                </c:pt>
                <c:pt idx="1">
                  <c:v>Vysoký  manažment</c:v>
                </c:pt>
                <c:pt idx="2">
                  <c:v>Stredný manažment</c:v>
                </c:pt>
                <c:pt idx="3">
                  <c:v>Senior analytici</c:v>
                </c:pt>
                <c:pt idx="4">
                  <c:v>Podporný administr. personál</c:v>
                </c:pt>
              </c:strCache>
            </c:strRef>
          </c:cat>
          <c:val>
            <c:numRef>
              <c:f>Porovnanie!$B$46:$B$54</c:f>
              <c:numCache>
                <c:formatCode>0.00</c:formatCode>
                <c:ptCount val="5"/>
                <c:pt idx="0">
                  <c:v>3.9042246287323819</c:v>
                </c:pt>
                <c:pt idx="1">
                  <c:v>3.3389335325432032</c:v>
                </c:pt>
                <c:pt idx="2">
                  <c:v>2.9433810798070978</c:v>
                </c:pt>
                <c:pt idx="3">
                  <c:v>2.3000380478174498</c:v>
                </c:pt>
                <c:pt idx="4">
                  <c:v>1.400300144003038</c:v>
                </c:pt>
              </c:numCache>
            </c:numRef>
          </c:val>
          <c:smooth val="0"/>
        </c:ser>
        <c:ser>
          <c:idx val="1"/>
          <c:order val="1"/>
          <c:tx>
            <c:strRef>
              <c:f>Porovnanie!$C$45</c:f>
              <c:strCache>
                <c:ptCount val="1"/>
                <c:pt idx="0">
                  <c:v>Rakúsko</c:v>
                </c:pt>
              </c:strCache>
            </c:strRef>
          </c:tx>
          <c:spPr>
            <a:ln w="28575" cap="rnd">
              <a:noFill/>
              <a:round/>
            </a:ln>
            <a:effectLst/>
          </c:spPr>
          <c:marker>
            <c:symbol val="diamond"/>
            <c:size val="7"/>
            <c:spPr>
              <a:solidFill>
                <a:srgbClr val="002060"/>
              </a:solidFill>
              <a:ln w="9525">
                <a:noFill/>
              </a:ln>
              <a:effectLst/>
            </c:spPr>
          </c:marker>
          <c:cat>
            <c:strRef>
              <c:f>Porovnanie!$A$46:$A$54</c:f>
              <c:strCache>
                <c:ptCount val="5"/>
                <c:pt idx="0">
                  <c:v>Najvyšší manažment</c:v>
                </c:pt>
                <c:pt idx="1">
                  <c:v>Vysoký  manažment</c:v>
                </c:pt>
                <c:pt idx="2">
                  <c:v>Stredný manažment</c:v>
                </c:pt>
                <c:pt idx="3">
                  <c:v>Senior analytici</c:v>
                </c:pt>
                <c:pt idx="4">
                  <c:v>Podporný administr. personál</c:v>
                </c:pt>
              </c:strCache>
            </c:strRef>
          </c:cat>
          <c:val>
            <c:numRef>
              <c:f>Porovnanie!$C$46:$C$54</c:f>
              <c:numCache>
                <c:formatCode>0.00</c:formatCode>
                <c:ptCount val="5"/>
                <c:pt idx="0">
                  <c:v>4.0486015656800198</c:v>
                </c:pt>
                <c:pt idx="1">
                  <c:v>3.6800827416939921</c:v>
                </c:pt>
                <c:pt idx="2">
                  <c:v>2.4390528201720993</c:v>
                </c:pt>
                <c:pt idx="3">
                  <c:v>1.9033296484897586</c:v>
                </c:pt>
                <c:pt idx="4">
                  <c:v>1.0137024139884956</c:v>
                </c:pt>
              </c:numCache>
            </c:numRef>
          </c:val>
          <c:smooth val="0"/>
        </c:ser>
        <c:ser>
          <c:idx val="3"/>
          <c:order val="2"/>
          <c:tx>
            <c:strRef>
              <c:f>Porovnanie!$E$45</c:f>
              <c:strCache>
                <c:ptCount val="1"/>
                <c:pt idx="0">
                  <c:v>Estónsko</c:v>
                </c:pt>
              </c:strCache>
            </c:strRef>
          </c:tx>
          <c:spPr>
            <a:ln w="28575" cap="rnd">
              <a:noFill/>
              <a:round/>
            </a:ln>
            <a:effectLst/>
          </c:spPr>
          <c:marker>
            <c:symbol val="diamond"/>
            <c:size val="8"/>
            <c:spPr>
              <a:solidFill>
                <a:schemeClr val="bg1">
                  <a:lumMod val="75000"/>
                </a:schemeClr>
              </a:solidFill>
              <a:ln w="9525">
                <a:noFill/>
              </a:ln>
              <a:effectLst/>
            </c:spPr>
          </c:marker>
          <c:cat>
            <c:strRef>
              <c:f>Porovnanie!$A$46:$A$54</c:f>
              <c:strCache>
                <c:ptCount val="5"/>
                <c:pt idx="0">
                  <c:v>Najvyšší manažment</c:v>
                </c:pt>
                <c:pt idx="1">
                  <c:v>Vysoký  manažment</c:v>
                </c:pt>
                <c:pt idx="2">
                  <c:v>Stredný manažment</c:v>
                </c:pt>
                <c:pt idx="3">
                  <c:v>Senior analytici</c:v>
                </c:pt>
                <c:pt idx="4">
                  <c:v>Podporný administr. personál</c:v>
                </c:pt>
              </c:strCache>
            </c:strRef>
          </c:cat>
          <c:val>
            <c:numRef>
              <c:f>Porovnanie!$E$46:$E$54</c:f>
              <c:numCache>
                <c:formatCode>0.00</c:formatCode>
                <c:ptCount val="5"/>
                <c:pt idx="0">
                  <c:v>6.060888509507488</c:v>
                </c:pt>
                <c:pt idx="1">
                  <c:v>5.1770298634742664</c:v>
                </c:pt>
                <c:pt idx="2">
                  <c:v>4.0198486468467927</c:v>
                </c:pt>
                <c:pt idx="3">
                  <c:v>2.664051327121419</c:v>
                </c:pt>
              </c:numCache>
            </c:numRef>
          </c:val>
          <c:smooth val="0"/>
        </c:ser>
        <c:ser>
          <c:idx val="4"/>
          <c:order val="3"/>
          <c:tx>
            <c:strRef>
              <c:f>Porovnanie!$F$45</c:f>
              <c:strCache>
                <c:ptCount val="1"/>
                <c:pt idx="0">
                  <c:v>OECD</c:v>
                </c:pt>
              </c:strCache>
            </c:strRef>
          </c:tx>
          <c:spPr>
            <a:ln w="25400" cap="rnd">
              <a:noFill/>
              <a:round/>
            </a:ln>
            <a:effectLst/>
          </c:spPr>
          <c:marker>
            <c:symbol val="triangle"/>
            <c:size val="8"/>
            <c:spPr>
              <a:solidFill>
                <a:schemeClr val="tx1"/>
              </a:solidFill>
              <a:ln w="9525">
                <a:noFill/>
              </a:ln>
              <a:effectLst/>
            </c:spPr>
          </c:marker>
          <c:cat>
            <c:strRef>
              <c:f>Porovnanie!$A$46:$A$54</c:f>
              <c:strCache>
                <c:ptCount val="5"/>
                <c:pt idx="0">
                  <c:v>Najvyšší manažment</c:v>
                </c:pt>
                <c:pt idx="1">
                  <c:v>Vysoký  manažment</c:v>
                </c:pt>
                <c:pt idx="2">
                  <c:v>Stredný manažment</c:v>
                </c:pt>
                <c:pt idx="3">
                  <c:v>Senior analytici</c:v>
                </c:pt>
                <c:pt idx="4">
                  <c:v>Podporný administr. personál</c:v>
                </c:pt>
              </c:strCache>
            </c:strRef>
          </c:cat>
          <c:val>
            <c:numRef>
              <c:f>Porovnanie!$F$46:$F$54</c:f>
              <c:numCache>
                <c:formatCode>0.00</c:formatCode>
                <c:ptCount val="5"/>
                <c:pt idx="0">
                  <c:v>6.0025060143071407</c:v>
                </c:pt>
                <c:pt idx="1">
                  <c:v>4.7244633914068768</c:v>
                </c:pt>
                <c:pt idx="2">
                  <c:v>3.4872924270599546</c:v>
                </c:pt>
                <c:pt idx="3">
                  <c:v>2.2985662297894813</c:v>
                </c:pt>
                <c:pt idx="4">
                  <c:v>1.3674263397620052</c:v>
                </c:pt>
              </c:numCache>
            </c:numRef>
          </c:val>
          <c:smooth val="0"/>
        </c:ser>
        <c:dLbls>
          <c:showLegendKey val="0"/>
          <c:showVal val="0"/>
          <c:showCatName val="0"/>
          <c:showSerName val="0"/>
          <c:showPercent val="0"/>
          <c:showBubbleSize val="0"/>
        </c:dLbls>
        <c:marker val="1"/>
        <c:smooth val="0"/>
        <c:axId val="223538112"/>
        <c:axId val="223538504"/>
      </c:lineChart>
      <c:catAx>
        <c:axId val="22353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crossAx val="223538504"/>
        <c:crosses val="autoZero"/>
        <c:auto val="1"/>
        <c:lblAlgn val="ctr"/>
        <c:lblOffset val="100"/>
        <c:noMultiLvlLbl val="0"/>
      </c:catAx>
      <c:valAx>
        <c:axId val="223538504"/>
        <c:scaling>
          <c:orientation val="minMax"/>
          <c:max val="7"/>
          <c:min val="0"/>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3538112"/>
        <c:crosses val="autoZero"/>
        <c:crossBetween val="between"/>
        <c:majorUnit val="1"/>
      </c:valAx>
      <c:spPr>
        <a:noFill/>
        <a:ln>
          <a:noFill/>
        </a:ln>
        <a:effectLst/>
      </c:spPr>
    </c:plotArea>
    <c:legend>
      <c:legendPos val="t"/>
      <c:layout>
        <c:manualLayout>
          <c:xMode val="edge"/>
          <c:yMode val="edge"/>
          <c:x val="0.37498076749027065"/>
          <c:y val="6.2968472814415991E-2"/>
          <c:w val="0.58773398468451732"/>
          <c:h val="0.1753733154897139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52724592906974"/>
          <c:y val="3.1129792986403015E-2"/>
          <c:w val="0.79785717761793995"/>
          <c:h val="0.91316259316025317"/>
        </c:manualLayout>
      </c:layout>
      <c:barChart>
        <c:barDir val="bar"/>
        <c:grouping val="clustered"/>
        <c:varyColors val="0"/>
        <c:ser>
          <c:idx val="0"/>
          <c:order val="0"/>
          <c:tx>
            <c:strRef>
              <c:f>Graf_17!$B$6</c:f>
              <c:strCache>
                <c:ptCount val="1"/>
                <c:pt idx="0">
                  <c:v>medzinárodné porovnanie 
počtov aj miezd</c:v>
                </c:pt>
              </c:strCache>
            </c:strRef>
          </c:tx>
          <c:spPr>
            <a:solidFill>
              <a:srgbClr val="00B0F0"/>
            </a:solidFill>
            <a:ln>
              <a:noFill/>
            </a:ln>
            <a:effectLst/>
          </c:spPr>
          <c:invertIfNegative val="0"/>
          <c:cat>
            <c:strRef>
              <c:f>Graf_17!$A$7:$A$15</c:f>
              <c:strCache>
                <c:ptCount val="9"/>
                <c:pt idx="0">
                  <c:v>učitelia - regionálne školstvo</c:v>
                </c:pt>
                <c:pt idx="1">
                  <c:v>sociálne služby</c:v>
                </c:pt>
                <c:pt idx="2">
                  <c:v>ústavné sestry vrátane neverejných</c:v>
                </c:pt>
                <c:pt idx="3">
                  <c:v>ústavní lekári vrátane neverejných</c:v>
                </c:pt>
                <c:pt idx="4">
                  <c:v>VŠ učitelia</c:v>
                </c:pt>
                <c:pt idx="5">
                  <c:v>hasiči</c:v>
                </c:pt>
                <c:pt idx="6">
                  <c:v>sudcovia</c:v>
                </c:pt>
                <c:pt idx="7">
                  <c:v>prokurátori</c:v>
                </c:pt>
                <c:pt idx="8">
                  <c:v>policajti</c:v>
                </c:pt>
              </c:strCache>
            </c:strRef>
          </c:cat>
          <c:val>
            <c:numRef>
              <c:f>Graf_17!$B$7:$B$15</c:f>
              <c:numCache>
                <c:formatCode>General</c:formatCode>
                <c:ptCount val="9"/>
                <c:pt idx="0" formatCode="0.0">
                  <c:v>-886.32315638662203</c:v>
                </c:pt>
                <c:pt idx="2" formatCode="0.0">
                  <c:v>-66.636198844117075</c:v>
                </c:pt>
                <c:pt idx="3" formatCode="0.0">
                  <c:v>-76.950331948619521</c:v>
                </c:pt>
                <c:pt idx="4" formatCode="0.0">
                  <c:v>-6.3847647031059864</c:v>
                </c:pt>
                <c:pt idx="6" formatCode="0.0">
                  <c:v>8.6676423748898515</c:v>
                </c:pt>
                <c:pt idx="7" formatCode="0.0">
                  <c:v>34.334378433029052</c:v>
                </c:pt>
                <c:pt idx="8" formatCode="0.0">
                  <c:v>144.19730435731208</c:v>
                </c:pt>
              </c:numCache>
            </c:numRef>
          </c:val>
          <c:extLst/>
        </c:ser>
        <c:ser>
          <c:idx val="1"/>
          <c:order val="1"/>
          <c:tx>
            <c:strRef>
              <c:f>Graf_17!$C$6</c:f>
              <c:strCache>
                <c:ptCount val="1"/>
                <c:pt idx="0">
                  <c:v>medzinárodné porovnanie počtov, porovnanie miezd s ČR</c:v>
                </c:pt>
              </c:strCache>
            </c:strRef>
          </c:tx>
          <c:spPr>
            <a:solidFill>
              <a:schemeClr val="bg1">
                <a:lumMod val="65000"/>
              </a:schemeClr>
            </a:solidFill>
            <a:ln>
              <a:noFill/>
            </a:ln>
            <a:effectLst/>
          </c:spPr>
          <c:invertIfNegative val="0"/>
          <c:dLbls>
            <c:dLbl>
              <c:idx val="0"/>
              <c:tx>
                <c:rich>
                  <a:bodyPr/>
                  <a:lstStyle/>
                  <a:p>
                    <a:fld id="{9C1FC1ED-91C3-4EB9-B6E3-48415DD38434}"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9B1CDBB9-FE58-4AA4-A4CE-871D0CA10024}"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BCD46EB6-8287-4E67-AD3D-5887BAEE1BBC}"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3"/>
              <c:tx>
                <c:rich>
                  <a:bodyPr/>
                  <a:lstStyle/>
                  <a:p>
                    <a:fld id="{B2C0500E-4355-4FAC-8604-790BB33A2395}"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tx>
                <c:rich>
                  <a:bodyPr/>
                  <a:lstStyle/>
                  <a:p>
                    <a:fld id="{DC4FE07F-CF92-4E63-BC3E-B9984279B811}"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5"/>
              <c:tx>
                <c:rich>
                  <a:bodyPr/>
                  <a:lstStyle/>
                  <a:p>
                    <a:fld id="{D566D85B-4AB0-476A-B454-EA1EEDB25CF9}"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Lst>
            </c:dLbl>
            <c:dLbl>
              <c:idx val="7"/>
              <c:tx>
                <c:rich>
                  <a:bodyPr/>
                  <a:lstStyle/>
                  <a:p>
                    <a:fld id="{8D850419-FD5A-4181-BDBF-3FC46722730D}"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Graf_17!$A$7:$A$15</c:f>
              <c:strCache>
                <c:ptCount val="9"/>
                <c:pt idx="0">
                  <c:v>učitelia - regionálne školstvo</c:v>
                </c:pt>
                <c:pt idx="1">
                  <c:v>sociálne služby</c:v>
                </c:pt>
                <c:pt idx="2">
                  <c:v>ústavné sestry vrátane neverejných</c:v>
                </c:pt>
                <c:pt idx="3">
                  <c:v>ústavní lekári vrátane neverejných</c:v>
                </c:pt>
                <c:pt idx="4">
                  <c:v>VŠ učitelia</c:v>
                </c:pt>
                <c:pt idx="5">
                  <c:v>hasiči</c:v>
                </c:pt>
                <c:pt idx="6">
                  <c:v>sudcovia</c:v>
                </c:pt>
                <c:pt idx="7">
                  <c:v>prokurátori</c:v>
                </c:pt>
                <c:pt idx="8">
                  <c:v>policajti</c:v>
                </c:pt>
              </c:strCache>
            </c:strRef>
          </c:cat>
          <c:val>
            <c:numRef>
              <c:f>Graf_17!$C$7:$C$15</c:f>
              <c:numCache>
                <c:formatCode>0.0</c:formatCode>
                <c:ptCount val="9"/>
                <c:pt idx="1">
                  <c:v>-226.90919973257382</c:v>
                </c:pt>
                <c:pt idx="5">
                  <c:v>-21.453428208052799</c:v>
                </c:pt>
              </c:numCache>
            </c:numRef>
          </c:val>
          <c:extLst>
            <c:ext xmlns:c15="http://schemas.microsoft.com/office/drawing/2012/chart" uri="{02D57815-91ED-43cb-92C2-25804820EDAC}">
              <c15:datalabelsRange>
                <c15:f>Graf_17!$D$7:$D$13</c15:f>
                <c15:dlblRangeCache>
                  <c:ptCount val="7"/>
                </c15:dlblRangeCache>
              </c15:datalabelsRange>
            </c:ext>
          </c:extLst>
        </c:ser>
        <c:dLbls>
          <c:showLegendKey val="0"/>
          <c:showVal val="0"/>
          <c:showCatName val="0"/>
          <c:showSerName val="0"/>
          <c:showPercent val="0"/>
          <c:showBubbleSize val="0"/>
        </c:dLbls>
        <c:gapWidth val="219"/>
        <c:overlap val="100"/>
        <c:axId val="223539288"/>
        <c:axId val="223539680"/>
      </c:barChart>
      <c:catAx>
        <c:axId val="22353928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539680"/>
        <c:crosses val="autoZero"/>
        <c:auto val="1"/>
        <c:lblAlgn val="ctr"/>
        <c:lblOffset val="100"/>
        <c:noMultiLvlLbl val="0"/>
      </c:catAx>
      <c:valAx>
        <c:axId val="223539680"/>
        <c:scaling>
          <c:orientation val="minMax"/>
          <c:max val="150"/>
          <c:min val="-900"/>
        </c:scaling>
        <c:delete val="0"/>
        <c:axPos val="b"/>
        <c:majorGridlines>
          <c:spPr>
            <a:ln w="9525" cap="flat" cmpd="sng" algn="ctr">
              <a:solidFill>
                <a:schemeClr val="tx1">
                  <a:lumMod val="15000"/>
                  <a:lumOff val="85000"/>
                </a:schemeClr>
              </a:solidFill>
              <a:prstDash val="dash"/>
              <a:round/>
            </a:ln>
            <a:effectLst/>
          </c:spPr>
        </c:majorGridlines>
        <c:numFmt formatCode="0.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539288"/>
        <c:crosses val="autoZero"/>
        <c:crossBetween val="between"/>
      </c:valAx>
      <c:spPr>
        <a:noFill/>
        <a:ln>
          <a:noFill/>
        </a:ln>
        <a:effectLst/>
      </c:spPr>
    </c:plotArea>
    <c:legend>
      <c:legendPos val="b"/>
      <c:layout>
        <c:manualLayout>
          <c:xMode val="edge"/>
          <c:yMode val="edge"/>
          <c:x val="0.34355533523170512"/>
          <c:y val="0.10402213733791159"/>
          <c:w val="0.27496800820834444"/>
          <c:h val="0.230273564797688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58423925383029"/>
          <c:y val="4.6709129511677279E-2"/>
          <c:w val="0.88480215059622735"/>
          <c:h val="0.74057555972763189"/>
        </c:manualLayout>
      </c:layout>
      <c:lineChart>
        <c:grouping val="standard"/>
        <c:varyColors val="0"/>
        <c:ser>
          <c:idx val="0"/>
          <c:order val="0"/>
          <c:tx>
            <c:strRef>
              <c:f>[mzdy_vek_2.xlsx]Hárok2!$B$1</c:f>
              <c:strCache>
                <c:ptCount val="1"/>
                <c:pt idx="0">
                  <c:v>súkromný sektor</c:v>
                </c:pt>
              </c:strCache>
            </c:strRef>
          </c:tx>
          <c:spPr>
            <a:ln w="28575" cap="rnd">
              <a:solidFill>
                <a:schemeClr val="tx1"/>
              </a:solidFill>
              <a:round/>
            </a:ln>
            <a:effectLst/>
          </c:spPr>
          <c:marker>
            <c:symbol val="none"/>
          </c:marker>
          <c:cat>
            <c:strRef>
              <c:f>[mzdy_vek_2.xlsx]Hárok2!$A$2:$A$16</c:f>
              <c:strCache>
                <c:ptCount val="15"/>
                <c:pt idx="0">
                  <c:v>22-24</c:v>
                </c:pt>
                <c:pt idx="1">
                  <c:v>25-27</c:v>
                </c:pt>
                <c:pt idx="2">
                  <c:v>28-30</c:v>
                </c:pt>
                <c:pt idx="3">
                  <c:v>31-33</c:v>
                </c:pt>
                <c:pt idx="4">
                  <c:v>34-36</c:v>
                </c:pt>
                <c:pt idx="5">
                  <c:v>37-39</c:v>
                </c:pt>
                <c:pt idx="6">
                  <c:v>40-42</c:v>
                </c:pt>
                <c:pt idx="7">
                  <c:v>43-45</c:v>
                </c:pt>
                <c:pt idx="8">
                  <c:v>46-48</c:v>
                </c:pt>
                <c:pt idx="9">
                  <c:v>49-51</c:v>
                </c:pt>
                <c:pt idx="10">
                  <c:v>52-54</c:v>
                </c:pt>
                <c:pt idx="11">
                  <c:v>55-57</c:v>
                </c:pt>
                <c:pt idx="12">
                  <c:v>58-60</c:v>
                </c:pt>
                <c:pt idx="13">
                  <c:v>61-63</c:v>
                </c:pt>
                <c:pt idx="14">
                  <c:v>64+</c:v>
                </c:pt>
              </c:strCache>
            </c:strRef>
          </c:cat>
          <c:val>
            <c:numRef>
              <c:f>[mzdy_vek_2.xlsx]Hárok2!$B$2:$B$16</c:f>
              <c:numCache>
                <c:formatCode>0.00000000</c:formatCode>
                <c:ptCount val="15"/>
                <c:pt idx="0">
                  <c:v>6.5037547351474014</c:v>
                </c:pt>
                <c:pt idx="1">
                  <c:v>7.5234780022130243</c:v>
                </c:pt>
                <c:pt idx="2">
                  <c:v>8.8940833636162377</c:v>
                </c:pt>
                <c:pt idx="3">
                  <c:v>10.331966657845056</c:v>
                </c:pt>
                <c:pt idx="4">
                  <c:v>12.471977974975324</c:v>
                </c:pt>
                <c:pt idx="5">
                  <c:v>13.407406497686422</c:v>
                </c:pt>
                <c:pt idx="6">
                  <c:v>14.55946106276231</c:v>
                </c:pt>
                <c:pt idx="7">
                  <c:v>14.551527772329969</c:v>
                </c:pt>
                <c:pt idx="8">
                  <c:v>14.233236747377848</c:v>
                </c:pt>
                <c:pt idx="9">
                  <c:v>13.248071559605698</c:v>
                </c:pt>
                <c:pt idx="10">
                  <c:v>12.732730634053807</c:v>
                </c:pt>
                <c:pt idx="11">
                  <c:v>12.920249006001214</c:v>
                </c:pt>
                <c:pt idx="12">
                  <c:v>12.317168565325922</c:v>
                </c:pt>
                <c:pt idx="13">
                  <c:v>11.522483083132375</c:v>
                </c:pt>
                <c:pt idx="14">
                  <c:v>11.11030692201625</c:v>
                </c:pt>
              </c:numCache>
            </c:numRef>
          </c:val>
          <c:smooth val="0"/>
          <c:extLst xmlns:c16r2="http://schemas.microsoft.com/office/drawing/2015/06/chart">
            <c:ext xmlns:c16="http://schemas.microsoft.com/office/drawing/2014/chart" uri="{C3380CC4-5D6E-409C-BE32-E72D297353CC}">
              <c16:uniqueId val="{00000000-08CF-4CE9-91BA-AADAE3B8B61A}"/>
            </c:ext>
          </c:extLst>
        </c:ser>
        <c:ser>
          <c:idx val="1"/>
          <c:order val="1"/>
          <c:tx>
            <c:strRef>
              <c:f>[mzdy_vek_2.xlsx]Hárok2!$C$1</c:f>
              <c:strCache>
                <c:ptCount val="1"/>
                <c:pt idx="0">
                  <c:v>verejný sektor</c:v>
                </c:pt>
              </c:strCache>
            </c:strRef>
          </c:tx>
          <c:spPr>
            <a:ln w="28575" cap="rnd">
              <a:solidFill>
                <a:srgbClr val="0070C0"/>
              </a:solidFill>
              <a:round/>
            </a:ln>
            <a:effectLst/>
          </c:spPr>
          <c:marker>
            <c:symbol val="none"/>
          </c:marker>
          <c:cat>
            <c:strRef>
              <c:f>[mzdy_vek_2.xlsx]Hárok2!$A$2:$A$16</c:f>
              <c:strCache>
                <c:ptCount val="15"/>
                <c:pt idx="0">
                  <c:v>22-24</c:v>
                </c:pt>
                <c:pt idx="1">
                  <c:v>25-27</c:v>
                </c:pt>
                <c:pt idx="2">
                  <c:v>28-30</c:v>
                </c:pt>
                <c:pt idx="3">
                  <c:v>31-33</c:v>
                </c:pt>
                <c:pt idx="4">
                  <c:v>34-36</c:v>
                </c:pt>
                <c:pt idx="5">
                  <c:v>37-39</c:v>
                </c:pt>
                <c:pt idx="6">
                  <c:v>40-42</c:v>
                </c:pt>
                <c:pt idx="7">
                  <c:v>43-45</c:v>
                </c:pt>
                <c:pt idx="8">
                  <c:v>46-48</c:v>
                </c:pt>
                <c:pt idx="9">
                  <c:v>49-51</c:v>
                </c:pt>
                <c:pt idx="10">
                  <c:v>52-54</c:v>
                </c:pt>
                <c:pt idx="11">
                  <c:v>55-57</c:v>
                </c:pt>
                <c:pt idx="12">
                  <c:v>58-60</c:v>
                </c:pt>
                <c:pt idx="13">
                  <c:v>61-63</c:v>
                </c:pt>
                <c:pt idx="14">
                  <c:v>64+</c:v>
                </c:pt>
              </c:strCache>
            </c:strRef>
          </c:cat>
          <c:val>
            <c:numRef>
              <c:f>[mzdy_vek_2.xlsx]Hárok2!$C$2:$C$16</c:f>
              <c:numCache>
                <c:formatCode>0.00000000</c:formatCode>
                <c:ptCount val="15"/>
                <c:pt idx="0">
                  <c:v>5.8305665852812352</c:v>
                </c:pt>
                <c:pt idx="1">
                  <c:v>6.6793656986364889</c:v>
                </c:pt>
                <c:pt idx="2">
                  <c:v>7.5720272335371677</c:v>
                </c:pt>
                <c:pt idx="3">
                  <c:v>8.5239032750854165</c:v>
                </c:pt>
                <c:pt idx="4">
                  <c:v>9.2621768801001796</c:v>
                </c:pt>
                <c:pt idx="5">
                  <c:v>9.4228755620757525</c:v>
                </c:pt>
                <c:pt idx="6">
                  <c:v>9.6790356803836222</c:v>
                </c:pt>
                <c:pt idx="7">
                  <c:v>10.109318314863593</c:v>
                </c:pt>
                <c:pt idx="8">
                  <c:v>10.510775989699093</c:v>
                </c:pt>
                <c:pt idx="9">
                  <c:v>10.550105007642989</c:v>
                </c:pt>
                <c:pt idx="10">
                  <c:v>10.479561302181917</c:v>
                </c:pt>
                <c:pt idx="11">
                  <c:v>10.69010280307767</c:v>
                </c:pt>
                <c:pt idx="12">
                  <c:v>10.62270770682445</c:v>
                </c:pt>
                <c:pt idx="13">
                  <c:v>11.163899214866134</c:v>
                </c:pt>
                <c:pt idx="14">
                  <c:v>11.697409274754623</c:v>
                </c:pt>
              </c:numCache>
            </c:numRef>
          </c:val>
          <c:smooth val="0"/>
          <c:extLst xmlns:c16r2="http://schemas.microsoft.com/office/drawing/2015/06/chart">
            <c:ext xmlns:c16="http://schemas.microsoft.com/office/drawing/2014/chart" uri="{C3380CC4-5D6E-409C-BE32-E72D297353CC}">
              <c16:uniqueId val="{00000001-08CF-4CE9-91BA-AADAE3B8B61A}"/>
            </c:ext>
          </c:extLst>
        </c:ser>
        <c:dLbls>
          <c:showLegendKey val="0"/>
          <c:showVal val="0"/>
          <c:showCatName val="0"/>
          <c:showSerName val="0"/>
          <c:showPercent val="0"/>
          <c:showBubbleSize val="0"/>
        </c:dLbls>
        <c:smooth val="0"/>
        <c:axId val="221620816"/>
        <c:axId val="221621208"/>
      </c:lineChart>
      <c:catAx>
        <c:axId val="221620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1621208"/>
        <c:crosses val="autoZero"/>
        <c:auto val="1"/>
        <c:lblAlgn val="ctr"/>
        <c:lblOffset val="100"/>
        <c:noMultiLvlLbl val="0"/>
      </c:catAx>
      <c:valAx>
        <c:axId val="221621208"/>
        <c:scaling>
          <c:orientation val="minMax"/>
          <c:max val="20"/>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1620816"/>
        <c:crosses val="autoZero"/>
        <c:crossBetween val="between"/>
      </c:valAx>
      <c:spPr>
        <a:noFill/>
        <a:ln>
          <a:noFill/>
        </a:ln>
        <a:effectLst/>
      </c:spPr>
    </c:plotArea>
    <c:legend>
      <c:legendPos val="b"/>
      <c:layout>
        <c:manualLayout>
          <c:xMode val="edge"/>
          <c:yMode val="edge"/>
          <c:x val="0.37618338663298495"/>
          <c:y val="0.46566007206088489"/>
          <c:w val="0.54751782324787246"/>
          <c:h val="0.180831418735547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82895055394794"/>
          <c:y val="9.9533494708921072E-4"/>
          <c:w val="0.71303443584925241"/>
          <c:h val="0.91316259316025317"/>
        </c:manualLayout>
      </c:layout>
      <c:barChart>
        <c:barDir val="bar"/>
        <c:grouping val="clustered"/>
        <c:varyColors val="0"/>
        <c:ser>
          <c:idx val="1"/>
          <c:order val="0"/>
          <c:tx>
            <c:strRef>
              <c:f>Graf_18!$C$5</c:f>
              <c:strCache>
                <c:ptCount val="1"/>
                <c:pt idx="0">
                  <c:v>porovnanie so "smart" krajinami</c:v>
                </c:pt>
              </c:strCache>
            </c:strRef>
          </c:tx>
          <c:spPr>
            <a:solidFill>
              <a:srgbClr val="00B0F0"/>
            </a:solidFill>
            <a:ln>
              <a:noFill/>
            </a:ln>
            <a:effectLst/>
          </c:spPr>
          <c:invertIfNegative val="0"/>
          <c:dLbls>
            <c:dLbl>
              <c:idx val="0"/>
              <c:tx>
                <c:rich>
                  <a:bodyPr/>
                  <a:lstStyle/>
                  <a:p>
                    <a:fld id="{0D9E2BEC-A271-4B49-879E-814B1332FC1A}"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56DA6417-0592-4FEB-80E5-B8E6A71134AF}"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6143C433-87B8-471E-9D6B-BCA692516988}"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3"/>
              <c:tx>
                <c:rich>
                  <a:bodyPr/>
                  <a:lstStyle/>
                  <a:p>
                    <a:fld id="{86A6111D-7804-4788-A10C-EF431FCB4E0E}"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tx>
                <c:rich>
                  <a:bodyPr/>
                  <a:lstStyle/>
                  <a:p>
                    <a:fld id="{2C49A480-A076-40D3-B359-B606C9E8476D}"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5"/>
              <c:tx>
                <c:rich>
                  <a:bodyPr/>
                  <a:lstStyle/>
                  <a:p>
                    <a:fld id="{1BDCE1E6-D92A-476E-8F6D-6EEEB534CF7E}"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6"/>
              <c:tx>
                <c:rich>
                  <a:bodyPr/>
                  <a:lstStyle/>
                  <a:p>
                    <a:fld id="{574E1E87-C012-4483-8FED-EA116868E7C7}"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7"/>
              <c:tx>
                <c:rich>
                  <a:bodyPr/>
                  <a:lstStyle/>
                  <a:p>
                    <a:fld id="{8E9E0A13-8E7B-45BD-ADB7-03EBF1EFED59}"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Graf_18!$A$6:$A$15</c:f>
              <c:strCache>
                <c:ptCount val="10"/>
                <c:pt idx="0">
                  <c:v>policajti </c:v>
                </c:pt>
                <c:pt idx="1">
                  <c:v>učitelia VŠ</c:v>
                </c:pt>
                <c:pt idx="2">
                  <c:v>prokurátori</c:v>
                </c:pt>
                <c:pt idx="3">
                  <c:v>učitelia ZŠ5-SŠ (vrátane cirk. a súkr.)</c:v>
                </c:pt>
                <c:pt idx="4">
                  <c:v>sudcovia</c:v>
                </c:pt>
                <c:pt idx="5">
                  <c:v>úradníci</c:v>
                </c:pt>
                <c:pt idx="6">
                  <c:v>hasiči</c:v>
                </c:pt>
                <c:pt idx="7">
                  <c:v>lekári (ústavní aj ambulantní)</c:v>
                </c:pt>
                <c:pt idx="8">
                  <c:v>učitelia ZŠ1-4 (vrátane cirk. a súkr.)</c:v>
                </c:pt>
                <c:pt idx="9">
                  <c:v>zdravotné sestry (ústavné aj ambulantné)</c:v>
                </c:pt>
              </c:strCache>
            </c:strRef>
          </c:cat>
          <c:val>
            <c:numRef>
              <c:f>Graf_18!$C$6:$C$15</c:f>
              <c:numCache>
                <c:formatCode>0%</c:formatCode>
                <c:ptCount val="10"/>
                <c:pt idx="0">
                  <c:v>0.5059652370667489</c:v>
                </c:pt>
                <c:pt idx="1">
                  <c:v>0.11969928547635322</c:v>
                </c:pt>
                <c:pt idx="2">
                  <c:v>1.6607505070993911</c:v>
                </c:pt>
                <c:pt idx="3">
                  <c:v>-7.9277819618064349E-3</c:v>
                </c:pt>
                <c:pt idx="4">
                  <c:v>0.33950814368655258</c:v>
                </c:pt>
                <c:pt idx="5">
                  <c:v>5.3887320372858705E-2</c:v>
                </c:pt>
                <c:pt idx="6">
                  <c:v>0.5967949577621634</c:v>
                </c:pt>
                <c:pt idx="7">
                  <c:v>-5.3153928317113963E-2</c:v>
                </c:pt>
                <c:pt idx="8">
                  <c:v>-0.16640532575000389</c:v>
                </c:pt>
                <c:pt idx="9">
                  <c:v>-0.32604197457877615</c:v>
                </c:pt>
              </c:numCache>
            </c:numRef>
          </c:val>
          <c:extLst>
            <c:ext xmlns:c15="http://schemas.microsoft.com/office/drawing/2012/chart" uri="{02D57815-91ED-43cb-92C2-25804820EDAC}">
              <c15:datalabelsRange>
                <c15:f>Graf_18!$D$6:$D$13</c15:f>
                <c15:dlblRangeCache>
                  <c:ptCount val="8"/>
                </c15:dlblRangeCache>
              </c15:datalabelsRange>
            </c:ext>
          </c:extLst>
        </c:ser>
        <c:ser>
          <c:idx val="0"/>
          <c:order val="1"/>
          <c:tx>
            <c:strRef>
              <c:f>Graf_18!$B$5</c:f>
              <c:strCache>
                <c:ptCount val="1"/>
                <c:pt idx="0">
                  <c:v>porovnanie s priemerom EÚ/OECD</c:v>
                </c:pt>
              </c:strCache>
            </c:strRef>
          </c:tx>
          <c:spPr>
            <a:solidFill>
              <a:schemeClr val="bg1">
                <a:lumMod val="75000"/>
              </a:schemeClr>
            </a:solidFill>
            <a:ln>
              <a:noFill/>
            </a:ln>
            <a:effectLst/>
          </c:spPr>
          <c:invertIfNegative val="0"/>
          <c:cat>
            <c:strRef>
              <c:f>Graf_18!$A$6:$A$15</c:f>
              <c:strCache>
                <c:ptCount val="10"/>
                <c:pt idx="0">
                  <c:v>policajti </c:v>
                </c:pt>
                <c:pt idx="1">
                  <c:v>učitelia VŠ</c:v>
                </c:pt>
                <c:pt idx="2">
                  <c:v>prokurátori</c:v>
                </c:pt>
                <c:pt idx="3">
                  <c:v>učitelia ZŠ5-SŠ (vrátane cirk. a súkr.)</c:v>
                </c:pt>
                <c:pt idx="4">
                  <c:v>sudcovia</c:v>
                </c:pt>
                <c:pt idx="5">
                  <c:v>úradníci</c:v>
                </c:pt>
                <c:pt idx="6">
                  <c:v>hasiči</c:v>
                </c:pt>
                <c:pt idx="7">
                  <c:v>lekári (ústavní aj ambulantní)</c:v>
                </c:pt>
                <c:pt idx="8">
                  <c:v>učitelia ZŠ1-4 (vrátane cirk. a súkr.)</c:v>
                </c:pt>
                <c:pt idx="9">
                  <c:v>zdravotné sestry (ústavné aj ambulantné)</c:v>
                </c:pt>
              </c:strCache>
            </c:strRef>
          </c:cat>
          <c:val>
            <c:numRef>
              <c:f>Graf_18!$B$6:$B$15</c:f>
              <c:numCache>
                <c:formatCode>0%</c:formatCode>
                <c:ptCount val="10"/>
                <c:pt idx="0">
                  <c:v>0.20078427118644093</c:v>
                </c:pt>
                <c:pt idx="1">
                  <c:v>0.23555207376394005</c:v>
                </c:pt>
                <c:pt idx="2">
                  <c:v>0.66149461684610489</c:v>
                </c:pt>
                <c:pt idx="3">
                  <c:v>2.9446969267605816E-3</c:v>
                </c:pt>
                <c:pt idx="4">
                  <c:v>5.1539499064050087E-2</c:v>
                </c:pt>
                <c:pt idx="5">
                  <c:v>0</c:v>
                </c:pt>
                <c:pt idx="6">
                  <c:v>-3.4280125241357151E-2</c:v>
                </c:pt>
                <c:pt idx="7">
                  <c:v>-9.7281698007815054E-3</c:v>
                </c:pt>
                <c:pt idx="8">
                  <c:v>-0.12116857252957647</c:v>
                </c:pt>
                <c:pt idx="9">
                  <c:v>-0.10377358490566035</c:v>
                </c:pt>
              </c:numCache>
            </c:numRef>
          </c:val>
          <c:extLst/>
        </c:ser>
        <c:dLbls>
          <c:showLegendKey val="0"/>
          <c:showVal val="0"/>
          <c:showCatName val="0"/>
          <c:showSerName val="0"/>
          <c:showPercent val="0"/>
          <c:showBubbleSize val="0"/>
        </c:dLbls>
        <c:gapWidth val="219"/>
        <c:overlap val="6"/>
        <c:axId val="223870400"/>
        <c:axId val="223870792"/>
      </c:barChart>
      <c:catAx>
        <c:axId val="223870400"/>
        <c:scaling>
          <c:orientation val="minMax"/>
        </c:scaling>
        <c:delete val="0"/>
        <c:axPos val="l"/>
        <c:numFmt formatCode="General"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870792"/>
        <c:crosses val="autoZero"/>
        <c:auto val="1"/>
        <c:lblAlgn val="ctr"/>
        <c:lblOffset val="100"/>
        <c:noMultiLvlLbl val="0"/>
      </c:catAx>
      <c:valAx>
        <c:axId val="223870792"/>
        <c:scaling>
          <c:orientation val="minMax"/>
          <c:max val="1.7000000000000002"/>
          <c:min val="-0.5"/>
        </c:scaling>
        <c:delete val="0"/>
        <c:axPos val="b"/>
        <c:majorGridlines>
          <c:spPr>
            <a:ln w="9525" cap="flat" cmpd="sng" algn="ctr">
              <a:solidFill>
                <a:schemeClr val="bg1"/>
              </a:solidFill>
              <a:prstDash val="dash"/>
              <a:round/>
            </a:ln>
            <a:effectLst/>
          </c:spPr>
        </c:majorGridlines>
        <c:numFmt formatCode="0%" sourceLinked="1"/>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870400"/>
        <c:crosses val="autoZero"/>
        <c:crossBetween val="between"/>
      </c:valAx>
      <c:spPr>
        <a:noFill/>
        <a:ln>
          <a:noFill/>
        </a:ln>
        <a:effectLst/>
      </c:spPr>
    </c:plotArea>
    <c:legend>
      <c:legendPos val="b"/>
      <c:layout>
        <c:manualLayout>
          <c:xMode val="edge"/>
          <c:yMode val="edge"/>
          <c:x val="0.56661438482433568"/>
          <c:y val="7.4373524538482963E-2"/>
          <c:w val="0.36230417452437191"/>
          <c:h val="0.182388514284876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478233161502293E-2"/>
          <c:y val="5.0925925925925923E-2"/>
          <c:w val="0.90635125757661583"/>
          <c:h val="0.8504254155730534"/>
        </c:manualLayout>
      </c:layout>
      <c:barChart>
        <c:barDir val="col"/>
        <c:grouping val="clustered"/>
        <c:varyColors val="0"/>
        <c:ser>
          <c:idx val="0"/>
          <c:order val="0"/>
          <c:tx>
            <c:strRef>
              <c:f>Hárok1!$A$4</c:f>
              <c:strCache>
                <c:ptCount val="1"/>
                <c:pt idx="0">
                  <c:v>Slovensko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Hárok1!$B$3:$D$3</c:f>
              <c:strCache>
                <c:ptCount val="3"/>
                <c:pt idx="0">
                  <c:v>celkové náklady na vojaka</c:v>
                </c:pt>
                <c:pt idx="1">
                  <c:v>plat vojaka vrátane veliacich štruktúr</c:v>
                </c:pt>
                <c:pt idx="2">
                  <c:v>plat vojaka bez veliacich štruktúr</c:v>
                </c:pt>
              </c:strCache>
            </c:strRef>
          </c:cat>
          <c:val>
            <c:numRef>
              <c:f>Hárok1!$B$4:$D$4</c:f>
              <c:numCache>
                <c:formatCode>0%</c:formatCode>
                <c:ptCount val="3"/>
                <c:pt idx="0">
                  <c:v>1.97</c:v>
                </c:pt>
                <c:pt idx="1">
                  <c:v>1.51</c:v>
                </c:pt>
                <c:pt idx="2">
                  <c:v>1.27</c:v>
                </c:pt>
              </c:numCache>
            </c:numRef>
          </c:val>
        </c:ser>
        <c:ser>
          <c:idx val="1"/>
          <c:order val="1"/>
          <c:tx>
            <c:strRef>
              <c:f>Hárok1!$A$5</c:f>
              <c:strCache>
                <c:ptCount val="1"/>
                <c:pt idx="0">
                  <c:v>NATO</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Hárok1!$B$3:$D$3</c:f>
              <c:strCache>
                <c:ptCount val="3"/>
                <c:pt idx="0">
                  <c:v>celkové náklady na vojaka</c:v>
                </c:pt>
                <c:pt idx="1">
                  <c:v>plat vojaka vrátane veliacich štruktúr</c:v>
                </c:pt>
                <c:pt idx="2">
                  <c:v>plat vojaka bez veliacich štruktúr</c:v>
                </c:pt>
              </c:strCache>
            </c:strRef>
          </c:cat>
          <c:val>
            <c:numRef>
              <c:f>Hárok1!$B$5:$D$5</c:f>
              <c:numCache>
                <c:formatCode>0%</c:formatCode>
                <c:ptCount val="3"/>
                <c:pt idx="0">
                  <c:v>1.37</c:v>
                </c:pt>
                <c:pt idx="1">
                  <c:v>1.2</c:v>
                </c:pt>
                <c:pt idx="2">
                  <c:v>1.1100000000000001</c:v>
                </c:pt>
              </c:numCache>
            </c:numRef>
          </c:val>
        </c:ser>
        <c:dLbls>
          <c:showLegendKey val="0"/>
          <c:showVal val="0"/>
          <c:showCatName val="0"/>
          <c:showSerName val="0"/>
          <c:showPercent val="0"/>
          <c:showBubbleSize val="0"/>
        </c:dLbls>
        <c:gapWidth val="219"/>
        <c:overlap val="-27"/>
        <c:axId val="223871576"/>
        <c:axId val="223871968"/>
      </c:barChart>
      <c:catAx>
        <c:axId val="223871576"/>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871968"/>
        <c:crosses val="autoZero"/>
        <c:auto val="1"/>
        <c:lblAlgn val="ctr"/>
        <c:lblOffset val="100"/>
        <c:noMultiLvlLbl val="0"/>
      </c:catAx>
      <c:valAx>
        <c:axId val="223871968"/>
        <c:scaling>
          <c:orientation val="minMax"/>
          <c:max val="2"/>
        </c:scaling>
        <c:delete val="0"/>
        <c:axPos val="l"/>
        <c:majorGridlines>
          <c:spPr>
            <a:ln w="9525" cap="flat" cmpd="sng" algn="ctr">
              <a:solidFill>
                <a:schemeClr val="bg1"/>
              </a:solidFill>
              <a:prstDash val="dash"/>
              <a:round/>
            </a:ln>
            <a:effectLst/>
          </c:spPr>
        </c:majorGridlines>
        <c:numFmt formatCode="0%" sourceLinked="1"/>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871576"/>
        <c:crosses val="autoZero"/>
        <c:crossBetween val="between"/>
      </c:valAx>
      <c:spPr>
        <a:noFill/>
        <a:ln>
          <a:noFill/>
        </a:ln>
        <a:effectLst/>
      </c:spPr>
    </c:plotArea>
    <c:legend>
      <c:legendPos val="b"/>
      <c:layout>
        <c:manualLayout>
          <c:xMode val="edge"/>
          <c:yMode val="edge"/>
          <c:x val="0.62017957130358703"/>
          <c:y val="7.8295785943423735E-2"/>
          <c:w val="0.24297419072615922"/>
          <c:h val="7.4481991834354042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022850084915861E-2"/>
          <c:y val="6.6666666666666666E-2"/>
          <c:w val="0.94704461942257201"/>
          <c:h val="0.81631448341684565"/>
        </c:manualLayout>
      </c:layout>
      <c:barChart>
        <c:barDir val="col"/>
        <c:grouping val="stacked"/>
        <c:varyColors val="0"/>
        <c:ser>
          <c:idx val="0"/>
          <c:order val="0"/>
          <c:tx>
            <c:strRef>
              <c:f>Hárok1!$U$47</c:f>
              <c:strCache>
                <c:ptCount val="1"/>
                <c:pt idx="0">
                  <c:v>Expanzný dopyt</c:v>
                </c:pt>
              </c:strCache>
            </c:strRef>
          </c:tx>
          <c:spPr>
            <a:solidFill>
              <a:srgbClr val="00B0F0"/>
            </a:solidFill>
            <a:ln>
              <a:solidFill>
                <a:srgbClr val="00B0F0"/>
              </a:solidFill>
            </a:ln>
            <a:effectLst/>
          </c:spPr>
          <c:invertIfNegative val="0"/>
          <c:cat>
            <c:strRef>
              <c:f>Hárok1!$T$48:$T$52</c:f>
              <c:strCache>
                <c:ptCount val="5"/>
                <c:pt idx="0">
                  <c:v>Sestra</c:v>
                </c:pt>
                <c:pt idx="1">
                  <c:v>Lekár</c:v>
                </c:pt>
                <c:pt idx="2">
                  <c:v>Učiteľ RŠ</c:v>
                </c:pt>
                <c:pt idx="3">
                  <c:v>Učiteľ VŠ</c:v>
                </c:pt>
                <c:pt idx="4">
                  <c:v>Sociálne služby</c:v>
                </c:pt>
              </c:strCache>
            </c:strRef>
          </c:cat>
          <c:val>
            <c:numRef>
              <c:f>Hárok1!$U$48:$U$52</c:f>
              <c:numCache>
                <c:formatCode>General</c:formatCode>
                <c:ptCount val="5"/>
                <c:pt idx="0">
                  <c:v>2.12</c:v>
                </c:pt>
                <c:pt idx="1">
                  <c:v>1.2</c:v>
                </c:pt>
                <c:pt idx="2">
                  <c:v>-4.7160000000000002</c:v>
                </c:pt>
                <c:pt idx="3">
                  <c:v>-0.192</c:v>
                </c:pt>
                <c:pt idx="4">
                  <c:v>6.6040000000000001</c:v>
                </c:pt>
              </c:numCache>
            </c:numRef>
          </c:val>
          <c:extLst xmlns:c16r2="http://schemas.microsoft.com/office/drawing/2015/06/chart">
            <c:ext xmlns:c16="http://schemas.microsoft.com/office/drawing/2014/chart" uri="{C3380CC4-5D6E-409C-BE32-E72D297353CC}">
              <c16:uniqueId val="{00000000-58B6-4B66-A668-B39D64F0A15A}"/>
            </c:ext>
          </c:extLst>
        </c:ser>
        <c:ser>
          <c:idx val="1"/>
          <c:order val="1"/>
          <c:tx>
            <c:strRef>
              <c:f>Hárok1!$V$47</c:f>
              <c:strCache>
                <c:ptCount val="1"/>
                <c:pt idx="0">
                  <c:v>Nahradzovací dopyt</c:v>
                </c:pt>
              </c:strCache>
            </c:strRef>
          </c:tx>
          <c:spPr>
            <a:solidFill>
              <a:schemeClr val="bg1">
                <a:lumMod val="75000"/>
              </a:schemeClr>
            </a:solidFill>
            <a:ln>
              <a:solidFill>
                <a:schemeClr val="bg1">
                  <a:lumMod val="75000"/>
                </a:schemeClr>
              </a:solidFill>
            </a:ln>
            <a:effectLst/>
          </c:spPr>
          <c:invertIfNegative val="0"/>
          <c:cat>
            <c:strRef>
              <c:f>Hárok1!$T$48:$T$52</c:f>
              <c:strCache>
                <c:ptCount val="5"/>
                <c:pt idx="0">
                  <c:v>Sestra</c:v>
                </c:pt>
                <c:pt idx="1">
                  <c:v>Lekár</c:v>
                </c:pt>
                <c:pt idx="2">
                  <c:v>Učiteľ RŠ</c:v>
                </c:pt>
                <c:pt idx="3">
                  <c:v>Učiteľ VŠ</c:v>
                </c:pt>
                <c:pt idx="4">
                  <c:v>Sociálne služby</c:v>
                </c:pt>
              </c:strCache>
            </c:strRef>
          </c:cat>
          <c:val>
            <c:numRef>
              <c:f>Hárok1!$V$48:$V$52</c:f>
              <c:numCache>
                <c:formatCode>General</c:formatCode>
                <c:ptCount val="5"/>
                <c:pt idx="0">
                  <c:v>9.7919999999999998</c:v>
                </c:pt>
                <c:pt idx="1">
                  <c:v>5.1879999999999997</c:v>
                </c:pt>
                <c:pt idx="2">
                  <c:v>29.135999999999999</c:v>
                </c:pt>
                <c:pt idx="3">
                  <c:v>2.9</c:v>
                </c:pt>
                <c:pt idx="4">
                  <c:v>8.3680000000000003</c:v>
                </c:pt>
              </c:numCache>
            </c:numRef>
          </c:val>
          <c:extLst xmlns:c16r2="http://schemas.microsoft.com/office/drawing/2015/06/chart">
            <c:ext xmlns:c16="http://schemas.microsoft.com/office/drawing/2014/chart" uri="{C3380CC4-5D6E-409C-BE32-E72D297353CC}">
              <c16:uniqueId val="{00000001-58B6-4B66-A668-B39D64F0A15A}"/>
            </c:ext>
          </c:extLst>
        </c:ser>
        <c:dLbls>
          <c:showLegendKey val="0"/>
          <c:showVal val="0"/>
          <c:showCatName val="0"/>
          <c:showSerName val="0"/>
          <c:showPercent val="0"/>
          <c:showBubbleSize val="0"/>
        </c:dLbls>
        <c:gapWidth val="150"/>
        <c:overlap val="100"/>
        <c:axId val="223872752"/>
        <c:axId val="223873144"/>
      </c:barChart>
      <c:catAx>
        <c:axId val="223872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873144"/>
        <c:crosses val="autoZero"/>
        <c:auto val="1"/>
        <c:lblAlgn val="ctr"/>
        <c:lblOffset val="100"/>
        <c:noMultiLvlLbl val="0"/>
      </c:catAx>
      <c:valAx>
        <c:axId val="223873144"/>
        <c:scaling>
          <c:orientation val="minMax"/>
          <c:max val="30"/>
          <c:min val="-5"/>
        </c:scaling>
        <c:delete val="0"/>
        <c:axPos val="l"/>
        <c:majorGridlines>
          <c:spPr>
            <a:ln w="9525" cap="flat" cmpd="sng" algn="ctr">
              <a:solidFill>
                <a:schemeClr val="bg1">
                  <a:lumMod val="75000"/>
                </a:schemeClr>
              </a:solidFill>
              <a:prstDash val="dash"/>
              <a:round/>
            </a:ln>
            <a:effectLst/>
          </c:spPr>
        </c:majorGridlines>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872752"/>
        <c:crosses val="autoZero"/>
        <c:crossBetween val="between"/>
      </c:valAx>
      <c:spPr>
        <a:noFill/>
        <a:ln>
          <a:noFill/>
        </a:ln>
        <a:effectLst/>
      </c:spPr>
    </c:plotArea>
    <c:legend>
      <c:legendPos val="b"/>
      <c:layout>
        <c:manualLayout>
          <c:xMode val="edge"/>
          <c:yMode val="edge"/>
          <c:x val="5.0135909481902996E-2"/>
          <c:y val="0.14492054402290622"/>
          <c:w val="0.34600862392200976"/>
          <c:h val="0.182352183249821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pPr>
      <a:endParaRPr lang="sk-SK"/>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618429640739347E-2"/>
          <c:y val="3.6220086459780761E-2"/>
          <c:w val="0.90271496062992129"/>
          <c:h val="0.77053844372394631"/>
        </c:manualLayout>
      </c:layout>
      <c:barChart>
        <c:barDir val="col"/>
        <c:grouping val="clustered"/>
        <c:varyColors val="0"/>
        <c:ser>
          <c:idx val="2"/>
          <c:order val="0"/>
          <c:tx>
            <c:strRef>
              <c:f>Graf_33_35_36!$D$6</c:f>
              <c:strCache>
                <c:ptCount val="1"/>
                <c:pt idx="0">
                  <c:v> verejný</c:v>
                </c:pt>
              </c:strCache>
            </c:strRef>
          </c:tx>
          <c:spPr>
            <a:solidFill>
              <a:srgbClr val="00B0F0"/>
            </a:solidFill>
            <a:ln>
              <a:noFill/>
            </a:ln>
            <a:effectLst/>
          </c:spPr>
          <c:invertIfNegative val="0"/>
          <c:dLbls>
            <c:dLbl>
              <c:idx val="0"/>
              <c:layout>
                <c:manualLayout>
                  <c:x val="9.696969696969697E-3"/>
                  <c:y val="0.15706984543598718"/>
                </c:manualLayout>
              </c:layout>
              <c:tx>
                <c:rich>
                  <a:bodyPr/>
                  <a:lstStyle/>
                  <a:p>
                    <a:fld id="{A0727464-E79E-4CA9-9CF0-808AF6C5B349}" type="CELLRANGE">
                      <a:rPr lang="en-US"/>
                      <a:pPr/>
                      <a:t>[CELLRANGE]</a:t>
                    </a:fld>
                    <a:endParaRPr lang="sk-SK"/>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89BC-4698-82CF-8B028C6E6801}"/>
                </c:ext>
                <c:ext xmlns:c15="http://schemas.microsoft.com/office/drawing/2012/chart" uri="{CE6537A1-D6FC-4f65-9D91-7224C49458BB}">
                  <c15:dlblFieldTable/>
                  <c15:showDataLabelsRange val="1"/>
                </c:ext>
              </c:extLst>
            </c:dLbl>
            <c:dLbl>
              <c:idx val="1"/>
              <c:layout>
                <c:manualLayout>
                  <c:x val="7.2727272727272727E-3"/>
                  <c:y val="9.8749635462233892E-2"/>
                </c:manualLayout>
              </c:layout>
              <c:tx>
                <c:rich>
                  <a:bodyPr/>
                  <a:lstStyle/>
                  <a:p>
                    <a:fld id="{BEB74C6A-EDDA-45C1-B01A-44769CFE497F}" type="CELLRANGE">
                      <a:rPr lang="en-US"/>
                      <a:pPr/>
                      <a:t>[CELLRANGE]</a:t>
                    </a:fld>
                    <a:endParaRPr lang="sk-SK"/>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89BC-4698-82CF-8B028C6E6801}"/>
                </c:ext>
                <c:ext xmlns:c15="http://schemas.microsoft.com/office/drawing/2012/chart" uri="{CE6537A1-D6FC-4f65-9D91-7224C49458BB}">
                  <c15:dlblFieldTable/>
                  <c15:showDataLabelsRange val="1"/>
                </c:ext>
              </c:extLst>
            </c:dLbl>
            <c:dLbl>
              <c:idx val="2"/>
              <c:layout>
                <c:manualLayout>
                  <c:x val="1.45454545454545E-2"/>
                  <c:y val="0.17456620005832604"/>
                </c:manualLayout>
              </c:layout>
              <c:tx>
                <c:rich>
                  <a:bodyPr/>
                  <a:lstStyle/>
                  <a:p>
                    <a:fld id="{A11AFD4D-1334-4CFB-99F6-488FDAC53949}" type="CELLRANGE">
                      <a:rPr lang="en-US"/>
                      <a:pPr/>
                      <a:t>[CELLRANGE]</a:t>
                    </a:fld>
                    <a:endParaRPr lang="sk-SK"/>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89BC-4698-82CF-8B028C6E6801}"/>
                </c:ext>
                <c:ext xmlns:c15="http://schemas.microsoft.com/office/drawing/2012/chart" uri="{CE6537A1-D6FC-4f65-9D91-7224C49458BB}">
                  <c15:dlblFieldTable/>
                  <c15:showDataLabelsRange val="1"/>
                </c:ext>
              </c:extLst>
            </c:dLbl>
            <c:dLbl>
              <c:idx val="3"/>
              <c:layout>
                <c:manualLayout>
                  <c:x val="1.2121212121212121E-2"/>
                  <c:y val="0.13374198016914543"/>
                </c:manualLayout>
              </c:layout>
              <c:tx>
                <c:rich>
                  <a:bodyPr/>
                  <a:lstStyle/>
                  <a:p>
                    <a:fld id="{2AD7A40C-5528-455C-94D5-DAC157746734}" type="CELLRANGE">
                      <a:rPr lang="en-US"/>
                      <a:pPr/>
                      <a:t>[CELLRANGE]</a:t>
                    </a:fld>
                    <a:endParaRPr lang="sk-SK"/>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89BC-4698-82CF-8B028C6E6801}"/>
                </c:ext>
                <c:ext xmlns:c15="http://schemas.microsoft.com/office/drawing/2012/chart" uri="{CE6537A1-D6FC-4f65-9D91-7224C49458BB}">
                  <c15:dlblFieldTable/>
                  <c15:showDataLabelsRange val="1"/>
                </c:ext>
              </c:extLst>
            </c:dLbl>
            <c:dLbl>
              <c:idx val="4"/>
              <c:layout>
                <c:manualLayout>
                  <c:x val="1.2121212121212121E-2"/>
                  <c:y val="0.23168379994167396"/>
                </c:manualLayout>
              </c:layout>
              <c:tx>
                <c:rich>
                  <a:bodyPr/>
                  <a:lstStyle/>
                  <a:p>
                    <a:fld id="{5ABE4CA0-D12F-4217-B430-9F30402E812E}" type="CELLRANGE">
                      <a:rPr lang="en-US"/>
                      <a:pPr/>
                      <a:t>[CELLRANGE]</a:t>
                    </a:fld>
                    <a:endParaRPr lang="sk-SK"/>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89BC-4698-82CF-8B028C6E6801}"/>
                </c:ext>
                <c:ext xmlns:c15="http://schemas.microsoft.com/office/drawing/2012/chart" uri="{CE6537A1-D6FC-4f65-9D91-7224C49458BB}">
                  <c15:dlblFieldTable/>
                  <c15:showDataLabelsRange val="1"/>
                </c:ext>
              </c:extLst>
            </c:dLbl>
            <c:dLbl>
              <c:idx val="5"/>
              <c:layout>
                <c:manualLayout>
                  <c:x val="1.3886458637114804E-2"/>
                  <c:y val="7.4518243033215803E-2"/>
                </c:manualLayout>
              </c:layout>
              <c:tx>
                <c:rich>
                  <a:bodyPr/>
                  <a:lstStyle/>
                  <a:p>
                    <a:fld id="{EB8CD4FC-2BCD-42D8-8755-E9C5C7DB5A7F}" type="CELLRANGE">
                      <a:rPr lang="en-US"/>
                      <a:pPr/>
                      <a:t>[CELLRANGE]</a:t>
                    </a:fld>
                    <a:endParaRPr lang="sk-SK"/>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89BC-4698-82CF-8B028C6E6801}"/>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Lit>
              <c:ptCount val="6"/>
              <c:pt idx="0">
                <c:v>nedostupné</c:v>
              </c:pt>
              <c:pt idx="1">
                <c:v>1 – jednoduché manuálne práce</c:v>
              </c:pt>
              <c:pt idx="2">
                <c:v>2 – obsluha strojov a  podporné činnosti</c:v>
              </c:pt>
              <c:pt idx="3">
                <c:v>3 – komplexné technické a praktické úlohy</c:v>
              </c:pt>
              <c:pt idx="4">
                <c:v>4 – kreatívne riešenie zložitých problémov</c:v>
              </c:pt>
              <c:pt idx="5">
                <c:v>4 – riadiaci pracovníci</c:v>
              </c:pt>
            </c:strLit>
          </c:cat>
          <c:val>
            <c:numRef>
              <c:f>Graf_33_35_36!$D$7:$D$12</c:f>
              <c:numCache>
                <c:formatCode>0.0%</c:formatCode>
                <c:ptCount val="6"/>
                <c:pt idx="0">
                  <c:v>0.18447334425939027</c:v>
                </c:pt>
                <c:pt idx="1">
                  <c:v>8.9121711398980535E-2</c:v>
                </c:pt>
                <c:pt idx="2">
                  <c:v>0.22000416380331339</c:v>
                </c:pt>
                <c:pt idx="3">
                  <c:v>0.15493963516649659</c:v>
                </c:pt>
                <c:pt idx="4">
                  <c:v>0.30507477057176224</c:v>
                </c:pt>
                <c:pt idx="5">
                  <c:v>4.6386374800057022E-2</c:v>
                </c:pt>
              </c:numCache>
            </c:numRef>
          </c:val>
          <c:extLst xmlns:c16r2="http://schemas.microsoft.com/office/drawing/2015/06/chart">
            <c:ext xmlns:c16="http://schemas.microsoft.com/office/drawing/2014/chart" uri="{C3380CC4-5D6E-409C-BE32-E72D297353CC}">
              <c16:uniqueId val="{00000006-89BC-4698-82CF-8B028C6E6801}"/>
            </c:ext>
            <c:ext xmlns:c15="http://schemas.microsoft.com/office/drawing/2012/chart" uri="{02D57815-91ED-43cb-92C2-25804820EDAC}">
              <c15:datalabelsRange>
                <c15:f>Graf_33_35_36!$B$7:$B$12</c15:f>
                <c15:dlblRangeCache>
                  <c:ptCount val="6"/>
                  <c:pt idx="0">
                    <c:v>89</c:v>
                  </c:pt>
                  <c:pt idx="1">
                    <c:v>43</c:v>
                  </c:pt>
                  <c:pt idx="2">
                    <c:v>107</c:v>
                  </c:pt>
                  <c:pt idx="3">
                    <c:v>75</c:v>
                  </c:pt>
                  <c:pt idx="4">
                    <c:v>148</c:v>
                  </c:pt>
                  <c:pt idx="5">
                    <c:v>22</c:v>
                  </c:pt>
                </c15:dlblRangeCache>
              </c15:datalabelsRange>
            </c:ext>
          </c:extLst>
        </c:ser>
        <c:ser>
          <c:idx val="0"/>
          <c:order val="1"/>
          <c:tx>
            <c:strRef>
              <c:f>Graf_33_35_36!$D$6</c:f>
              <c:strCache>
                <c:ptCount val="1"/>
                <c:pt idx="0">
                  <c:v> verejný</c:v>
                </c:pt>
              </c:strCache>
            </c:strRef>
          </c:tx>
          <c:spPr>
            <a:solidFill>
              <a:srgbClr val="00B0F0"/>
            </a:solidFill>
            <a:ln>
              <a:noFill/>
            </a:ln>
            <a:effectLst/>
          </c:spPr>
          <c:invertIfNegative val="0"/>
          <c:dLbls>
            <c:dLbl>
              <c:idx val="0"/>
              <c:layout>
                <c:manualLayout>
                  <c:x val="-1.2121212121212121E-2"/>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9BC-4698-82CF-8B028C6E6801}"/>
                </c:ext>
                <c:ext xmlns:c15="http://schemas.microsoft.com/office/drawing/2012/chart" uri="{CE6537A1-D6FC-4f65-9D91-7224C49458BB}"/>
              </c:extLst>
            </c:dLbl>
            <c:dLbl>
              <c:idx val="1"/>
              <c:layout>
                <c:manualLayout>
                  <c:x val="-1.939393939393939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9BC-4698-82CF-8B028C6E6801}"/>
                </c:ext>
                <c:ext xmlns:c15="http://schemas.microsoft.com/office/drawing/2012/chart" uri="{CE6537A1-D6FC-4f65-9D91-7224C49458BB}"/>
              </c:extLst>
            </c:dLbl>
            <c:dLbl>
              <c:idx val="2"/>
              <c:layout>
                <c:manualLayout>
                  <c:x val="-1.4545454545454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9BC-4698-82CF-8B028C6E6801}"/>
                </c:ext>
                <c:ext xmlns:c15="http://schemas.microsoft.com/office/drawing/2012/chart" uri="{CE6537A1-D6FC-4f65-9D91-7224C49458BB}"/>
              </c:extLst>
            </c:dLbl>
            <c:dLbl>
              <c:idx val="3"/>
              <c:layout>
                <c:manualLayout>
                  <c:x val="-1.4545454545454545E-2"/>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9BC-4698-82CF-8B028C6E6801}"/>
                </c:ext>
                <c:ext xmlns:c15="http://schemas.microsoft.com/office/drawing/2012/chart" uri="{CE6537A1-D6FC-4f65-9D91-7224C49458BB}"/>
              </c:extLst>
            </c:dLbl>
            <c:dLbl>
              <c:idx val="4"/>
              <c:layout>
                <c:manualLayout>
                  <c:x val="-1.454545454545463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9BC-4698-82CF-8B028C6E6801}"/>
                </c:ext>
                <c:ext xmlns:c15="http://schemas.microsoft.com/office/drawing/2012/chart" uri="{CE6537A1-D6FC-4f65-9D91-7224C49458BB}"/>
              </c:extLst>
            </c:dLbl>
            <c:dLbl>
              <c:idx val="5"/>
              <c:layout>
                <c:manualLayout>
                  <c:x val="-1.2121212121212121E-2"/>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9BC-4698-82CF-8B028C6E680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Graf_33_35_36!$D$7:$D$12</c:f>
              <c:numCache>
                <c:formatCode>0.0%</c:formatCode>
                <c:ptCount val="6"/>
                <c:pt idx="0">
                  <c:v>0.18447334425939027</c:v>
                </c:pt>
                <c:pt idx="1">
                  <c:v>8.9121711398980535E-2</c:v>
                </c:pt>
                <c:pt idx="2">
                  <c:v>0.22000416380331339</c:v>
                </c:pt>
                <c:pt idx="3">
                  <c:v>0.15493963516649659</c:v>
                </c:pt>
                <c:pt idx="4">
                  <c:v>0.30507477057176224</c:v>
                </c:pt>
                <c:pt idx="5">
                  <c:v>4.6386374800057022E-2</c:v>
                </c:pt>
              </c:numCache>
            </c:numRef>
          </c:val>
          <c:extLst xmlns:c16r2="http://schemas.microsoft.com/office/drawing/2015/06/chart">
            <c:ext xmlns:c16="http://schemas.microsoft.com/office/drawing/2014/chart" uri="{C3380CC4-5D6E-409C-BE32-E72D297353CC}">
              <c16:uniqueId val="{0000000D-89BC-4698-82CF-8B028C6E6801}"/>
            </c:ext>
          </c:extLst>
        </c:ser>
        <c:ser>
          <c:idx val="3"/>
          <c:order val="2"/>
          <c:tx>
            <c:strRef>
              <c:f>Graf_33_35_36!$E$6</c:f>
              <c:strCache>
                <c:ptCount val="1"/>
                <c:pt idx="0">
                  <c:v>súkromný</c:v>
                </c:pt>
              </c:strCache>
            </c:strRef>
          </c:tx>
          <c:spPr>
            <a:solidFill>
              <a:schemeClr val="bg1">
                <a:lumMod val="75000"/>
              </a:schemeClr>
            </a:solidFill>
            <a:ln>
              <a:noFill/>
            </a:ln>
            <a:effectLst/>
          </c:spPr>
          <c:invertIfNegative val="0"/>
          <c:dLbls>
            <c:dLbl>
              <c:idx val="0"/>
              <c:layout>
                <c:manualLayout>
                  <c:x val="1.2121212121212099E-2"/>
                  <c:y val="0.20955818022747158"/>
                </c:manualLayout>
              </c:layout>
              <c:tx>
                <c:rich>
                  <a:bodyPr/>
                  <a:lstStyle/>
                  <a:p>
                    <a:fld id="{F63BC197-65AB-46B6-A286-52912B357CB8}" type="CELLRANGE">
                      <a:rPr lang="en-US"/>
                      <a:pPr/>
                      <a:t>[CELLRANGE]</a:t>
                    </a:fld>
                    <a:endParaRPr lang="sk-SK"/>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89BC-4698-82CF-8B028C6E6801}"/>
                </c:ext>
                <c:ext xmlns:c15="http://schemas.microsoft.com/office/drawing/2012/chart" uri="{CE6537A1-D6FC-4f65-9D91-7224C49458BB}">
                  <c15:dlblFieldTable/>
                  <c15:showDataLabelsRange val="1"/>
                </c:ext>
              </c:extLst>
            </c:dLbl>
            <c:dLbl>
              <c:idx val="1"/>
              <c:layout>
                <c:manualLayout>
                  <c:x val="7.2727272727272285E-3"/>
                  <c:y val="6.9984324876057158E-2"/>
                </c:manualLayout>
              </c:layout>
              <c:tx>
                <c:rich>
                  <a:bodyPr/>
                  <a:lstStyle/>
                  <a:p>
                    <a:fld id="{E116E966-0827-46B0-88C1-8A288AA197A2}" type="CELLRANGE">
                      <a:rPr lang="en-US"/>
                      <a:pPr/>
                      <a:t>[CELLRANGE]</a:t>
                    </a:fld>
                    <a:endParaRPr lang="sk-SK"/>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89BC-4698-82CF-8B028C6E6801}"/>
                </c:ext>
                <c:ext xmlns:c15="http://schemas.microsoft.com/office/drawing/2012/chart" uri="{CE6537A1-D6FC-4f65-9D91-7224C49458BB}">
                  <c15:dlblFieldTable/>
                  <c15:showDataLabelsRange val="1"/>
                </c:ext>
              </c:extLst>
            </c:dLbl>
            <c:dLbl>
              <c:idx val="2"/>
              <c:layout>
                <c:manualLayout>
                  <c:x val="1.4545454545454545E-2"/>
                  <c:y val="0.29703849518810149"/>
                </c:manualLayout>
              </c:layout>
              <c:tx>
                <c:rich>
                  <a:bodyPr/>
                  <a:lstStyle/>
                  <a:p>
                    <a:fld id="{8017CB9E-2D73-4D44-A3DF-599F1608759E}" type="CELLRANGE">
                      <a:rPr lang="en-US"/>
                      <a:pPr/>
                      <a:t>[CELLRANGE]</a:t>
                    </a:fld>
                    <a:endParaRPr lang="sk-SK"/>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0-89BC-4698-82CF-8B028C6E6801}"/>
                </c:ext>
                <c:ext xmlns:c15="http://schemas.microsoft.com/office/drawing/2012/chart" uri="{CE6537A1-D6FC-4f65-9D91-7224C49458BB}">
                  <c15:dlblFieldTable/>
                  <c15:showDataLabelsRange val="1"/>
                </c:ext>
              </c:extLst>
            </c:dLbl>
            <c:dLbl>
              <c:idx val="3"/>
              <c:layout>
                <c:manualLayout>
                  <c:x val="1.4545454545454545E-2"/>
                  <c:y val="0.10458187518226889"/>
                </c:manualLayout>
              </c:layout>
              <c:tx>
                <c:rich>
                  <a:bodyPr/>
                  <a:lstStyle/>
                  <a:p>
                    <a:fld id="{5DE5BA75-86BB-48AC-AB18-2BDF4F86A349}" type="CELLRANGE">
                      <a:rPr lang="en-US"/>
                      <a:pPr/>
                      <a:t>[CELLRANGE]</a:t>
                    </a:fld>
                    <a:endParaRPr lang="sk-SK"/>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1-89BC-4698-82CF-8B028C6E6801}"/>
                </c:ext>
                <c:ext xmlns:c15="http://schemas.microsoft.com/office/drawing/2012/chart" uri="{CE6537A1-D6FC-4f65-9D91-7224C49458BB}">
                  <c15:dlblFieldTable/>
                  <c15:showDataLabelsRange val="1"/>
                </c:ext>
              </c:extLst>
            </c:dLbl>
            <c:dLbl>
              <c:idx val="4"/>
              <c:layout>
                <c:manualLayout>
                  <c:x val="1.2121212121212121E-2"/>
                  <c:y val="9.8749635462233892E-2"/>
                </c:manualLayout>
              </c:layout>
              <c:tx>
                <c:rich>
                  <a:bodyPr/>
                  <a:lstStyle/>
                  <a:p>
                    <a:fld id="{44BD37D9-7312-495E-9AB4-6F176A3DD438}" type="CELLRANGE">
                      <a:rPr lang="en-US"/>
                      <a:pPr/>
                      <a:t>[CELLRANGE]</a:t>
                    </a:fld>
                    <a:endParaRPr lang="sk-SK"/>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2-89BC-4698-82CF-8B028C6E6801}"/>
                </c:ext>
                <c:ext xmlns:c15="http://schemas.microsoft.com/office/drawing/2012/chart" uri="{CE6537A1-D6FC-4f65-9D91-7224C49458BB}">
                  <c15:dlblFieldTable/>
                  <c15:showDataLabelsRange val="1"/>
                </c:ext>
              </c:extLst>
            </c:dLbl>
            <c:dLbl>
              <c:idx val="5"/>
              <c:layout>
                <c:manualLayout>
                  <c:x val="1.1681873099195933E-2"/>
                  <c:y val="6.9804133628356024E-2"/>
                </c:manualLayout>
              </c:layout>
              <c:tx>
                <c:rich>
                  <a:bodyPr/>
                  <a:lstStyle/>
                  <a:p>
                    <a:fld id="{CF0E438C-9F2E-42E2-BCC8-CCEA9C5D0AEE}" type="CELLRANGE">
                      <a:rPr lang="en-US"/>
                      <a:pPr/>
                      <a:t>[CELLRANGE]</a:t>
                    </a:fld>
                    <a:endParaRPr lang="sk-SK"/>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3-89BC-4698-82CF-8B028C6E6801}"/>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Lit>
              <c:ptCount val="6"/>
              <c:pt idx="0">
                <c:v>nedostupné</c:v>
              </c:pt>
              <c:pt idx="1">
                <c:v>1 – jednoduché manuálne práce</c:v>
              </c:pt>
              <c:pt idx="2">
                <c:v>2 – obsluha strojov a  podporné činnosti</c:v>
              </c:pt>
              <c:pt idx="3">
                <c:v>3 – komplexné technické a praktické úlohy</c:v>
              </c:pt>
              <c:pt idx="4">
                <c:v>4 – kreatívne riešenie zložitých problémov</c:v>
              </c:pt>
              <c:pt idx="5">
                <c:v>4 – riadiaci pracovníci</c:v>
              </c:pt>
            </c:strLit>
          </c:cat>
          <c:val>
            <c:numRef>
              <c:f>Graf_33_35_36!$E$7:$E$12</c:f>
              <c:numCache>
                <c:formatCode>0.0%</c:formatCode>
                <c:ptCount val="6"/>
                <c:pt idx="0">
                  <c:v>0.2754025407415665</c:v>
                </c:pt>
                <c:pt idx="1">
                  <c:v>5.9510538007686846E-2</c:v>
                </c:pt>
                <c:pt idx="2">
                  <c:v>0.4322445743739034</c:v>
                </c:pt>
                <c:pt idx="3">
                  <c:v>0.10205058010950586</c:v>
                </c:pt>
                <c:pt idx="4">
                  <c:v>9.0715243538679977E-2</c:v>
                </c:pt>
                <c:pt idx="5">
                  <c:v>4.007652322865754E-2</c:v>
                </c:pt>
              </c:numCache>
            </c:numRef>
          </c:val>
          <c:extLst xmlns:c16r2="http://schemas.microsoft.com/office/drawing/2015/06/chart">
            <c:ext xmlns:c16="http://schemas.microsoft.com/office/drawing/2014/chart" uri="{C3380CC4-5D6E-409C-BE32-E72D297353CC}">
              <c16:uniqueId val="{00000014-89BC-4698-82CF-8B028C6E6801}"/>
            </c:ext>
            <c:ext xmlns:c15="http://schemas.microsoft.com/office/drawing/2012/chart" uri="{02D57815-91ED-43cb-92C2-25804820EDAC}">
              <c15:datalabelsRange>
                <c15:f>Graf_33_35_36!$C$7:$C$12</c15:f>
                <c15:dlblRangeCache>
                  <c:ptCount val="6"/>
                  <c:pt idx="0">
                    <c:v>383</c:v>
                  </c:pt>
                  <c:pt idx="1">
                    <c:v>83</c:v>
                  </c:pt>
                  <c:pt idx="2">
                    <c:v>602</c:v>
                  </c:pt>
                  <c:pt idx="3">
                    <c:v>142</c:v>
                  </c:pt>
                  <c:pt idx="4">
                    <c:v>126</c:v>
                  </c:pt>
                  <c:pt idx="5">
                    <c:v>56</c:v>
                  </c:pt>
                </c15:dlblRangeCache>
              </c15:datalabelsRange>
            </c:ext>
          </c:extLst>
        </c:ser>
        <c:ser>
          <c:idx val="1"/>
          <c:order val="3"/>
          <c:tx>
            <c:strRef>
              <c:f>Graf_33_35_36!$E$6</c:f>
              <c:strCache>
                <c:ptCount val="1"/>
                <c:pt idx="0">
                  <c:v>súkromný</c:v>
                </c:pt>
              </c:strCache>
            </c:strRef>
          </c:tx>
          <c:spPr>
            <a:solidFill>
              <a:schemeClr val="bg1">
                <a:lumMod val="75000"/>
              </a:schemeClr>
            </a:solidFill>
            <a:ln>
              <a:noFill/>
            </a:ln>
            <a:effectLst/>
          </c:spPr>
          <c:invertIfNegative val="0"/>
          <c:dLbls>
            <c:dLbl>
              <c:idx val="0"/>
              <c:layout>
                <c:manualLayout>
                  <c:x val="-9.69696969696969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89BC-4698-82CF-8B028C6E6801}"/>
                </c:ext>
                <c:ext xmlns:c15="http://schemas.microsoft.com/office/drawing/2012/chart" uri="{CE6537A1-D6FC-4f65-9D91-7224C49458BB}"/>
              </c:extLst>
            </c:dLbl>
            <c:dLbl>
              <c:idx val="1"/>
              <c:layout>
                <c:manualLayout>
                  <c:x val="-1.4545454545454545E-2"/>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89BC-4698-82CF-8B028C6E6801}"/>
                </c:ext>
                <c:ext xmlns:c15="http://schemas.microsoft.com/office/drawing/2012/chart" uri="{CE6537A1-D6FC-4f65-9D91-7224C49458BB}"/>
              </c:extLst>
            </c:dLbl>
            <c:dLbl>
              <c:idx val="2"/>
              <c:layout>
                <c:manualLayout>
                  <c:x val="-1.454545454545454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89BC-4698-82CF-8B028C6E6801}"/>
                </c:ext>
                <c:ext xmlns:c15="http://schemas.microsoft.com/office/drawing/2012/chart" uri="{CE6537A1-D6FC-4f65-9D91-7224C49458BB}"/>
              </c:extLst>
            </c:dLbl>
            <c:dLbl>
              <c:idx val="3"/>
              <c:layout>
                <c:manualLayout>
                  <c:x val="-9.6969696969697854E-3"/>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89BC-4698-82CF-8B028C6E6801}"/>
                </c:ext>
                <c:ext xmlns:c15="http://schemas.microsoft.com/office/drawing/2012/chart" uri="{CE6537A1-D6FC-4f65-9D91-7224C49458BB}"/>
              </c:extLst>
            </c:dLbl>
            <c:dLbl>
              <c:idx val="4"/>
              <c:layout>
                <c:manualLayout>
                  <c:x val="-1.21212121212122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89BC-4698-82CF-8B028C6E6801}"/>
                </c:ext>
                <c:ext xmlns:c15="http://schemas.microsoft.com/office/drawing/2012/chart" uri="{CE6537A1-D6FC-4f65-9D91-7224C49458BB}"/>
              </c:extLst>
            </c:dLbl>
            <c:dLbl>
              <c:idx val="5"/>
              <c:layout>
                <c:manualLayout>
                  <c:x val="-1.4545454545454545E-2"/>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89BC-4698-82CF-8B028C6E6801}"/>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Graf_33_35_36!$E$7:$E$12</c:f>
              <c:numCache>
                <c:formatCode>0.0%</c:formatCode>
                <c:ptCount val="6"/>
                <c:pt idx="0">
                  <c:v>0.2754025407415665</c:v>
                </c:pt>
                <c:pt idx="1">
                  <c:v>5.9510538007686846E-2</c:v>
                </c:pt>
                <c:pt idx="2">
                  <c:v>0.4322445743739034</c:v>
                </c:pt>
                <c:pt idx="3">
                  <c:v>0.10205058010950586</c:v>
                </c:pt>
                <c:pt idx="4">
                  <c:v>9.0715243538679977E-2</c:v>
                </c:pt>
                <c:pt idx="5">
                  <c:v>4.007652322865754E-2</c:v>
                </c:pt>
              </c:numCache>
            </c:numRef>
          </c:val>
          <c:extLst xmlns:c16r2="http://schemas.microsoft.com/office/drawing/2015/06/chart">
            <c:ext xmlns:c16="http://schemas.microsoft.com/office/drawing/2014/chart" uri="{C3380CC4-5D6E-409C-BE32-E72D297353CC}">
              <c16:uniqueId val="{0000001B-89BC-4698-82CF-8B028C6E6801}"/>
            </c:ext>
          </c:extLst>
        </c:ser>
        <c:dLbls>
          <c:showLegendKey val="0"/>
          <c:showVal val="0"/>
          <c:showCatName val="0"/>
          <c:showSerName val="0"/>
          <c:showPercent val="0"/>
          <c:showBubbleSize val="0"/>
        </c:dLbls>
        <c:gapWidth val="149"/>
        <c:overlap val="2"/>
        <c:axId val="224057768"/>
        <c:axId val="224058160"/>
      </c:barChart>
      <c:catAx>
        <c:axId val="22405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058160"/>
        <c:crosses val="autoZero"/>
        <c:auto val="1"/>
        <c:lblAlgn val="ctr"/>
        <c:lblOffset val="100"/>
        <c:noMultiLvlLbl val="0"/>
      </c:catAx>
      <c:valAx>
        <c:axId val="224058160"/>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057768"/>
        <c:crosses val="autoZero"/>
        <c:crossBetween val="between"/>
        <c:majorUnit val="0.1"/>
      </c:valAx>
      <c:spPr>
        <a:noFill/>
        <a:ln>
          <a:noFill/>
        </a:ln>
        <a:effectLst/>
      </c:spPr>
    </c:plotArea>
    <c:legend>
      <c:legendPos val="b"/>
      <c:legendEntry>
        <c:idx val="1"/>
        <c:delete val="1"/>
      </c:legendEntry>
      <c:legendEntry>
        <c:idx val="2"/>
        <c:delete val="1"/>
      </c:legendEntry>
      <c:layout>
        <c:manualLayout>
          <c:xMode val="edge"/>
          <c:yMode val="edge"/>
          <c:x val="0.53465845860176564"/>
          <c:y val="7.8295785943423735E-2"/>
          <c:w val="0.22159217370555953"/>
          <c:h val="7.44819918343540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Graf_34_37_38!$A$6</c:f>
              <c:strCache>
                <c:ptCount val="1"/>
                <c:pt idx="0">
                  <c:v>neuvedené</c:v>
                </c:pt>
              </c:strCache>
            </c:strRef>
          </c:tx>
          <c:spPr>
            <a:solidFill>
              <a:srgbClr val="00B0F0"/>
            </a:solidFill>
            <a:ln>
              <a:noFill/>
            </a:ln>
            <a:effectLst/>
          </c:spPr>
          <c:invertIfNegative val="0"/>
          <c:cat>
            <c:multiLvlStrRef>
              <c:f>Graf_34_37_38!$B$4:$I$5</c:f>
              <c:multiLvlStrCache>
                <c:ptCount val="8"/>
                <c:lvl>
                  <c:pt idx="0">
                    <c:v>verejný</c:v>
                  </c:pt>
                  <c:pt idx="1">
                    <c:v>súkromný</c:v>
                  </c:pt>
                  <c:pt idx="2">
                    <c:v>verejný</c:v>
                  </c:pt>
                  <c:pt idx="3">
                    <c:v>súkromný</c:v>
                  </c:pt>
                  <c:pt idx="4">
                    <c:v>verejný</c:v>
                  </c:pt>
                  <c:pt idx="5">
                    <c:v>súkromný</c:v>
                  </c:pt>
                  <c:pt idx="6">
                    <c:v>verejný</c:v>
                  </c:pt>
                  <c:pt idx="7">
                    <c:v>súkromný</c:v>
                  </c:pt>
                </c:lvl>
                <c:lvl>
                  <c:pt idx="0">
                    <c:v>nevieme</c:v>
                  </c:pt>
                  <c:pt idx="2">
                    <c:v>základné</c:v>
                  </c:pt>
                  <c:pt idx="4">
                    <c:v>stredné</c:v>
                  </c:pt>
                  <c:pt idx="6">
                    <c:v>vysoké</c:v>
                  </c:pt>
                </c:lvl>
              </c:multiLvlStrCache>
            </c:multiLvlStrRef>
          </c:cat>
          <c:val>
            <c:numRef>
              <c:f>Graf_34_37_38!$B$6:$I$6</c:f>
              <c:numCache>
                <c:formatCode>0%</c:formatCode>
                <c:ptCount val="8"/>
                <c:pt idx="0">
                  <c:v>9.4156810184841955E-2</c:v>
                </c:pt>
                <c:pt idx="1">
                  <c:v>0.23083390725820738</c:v>
                </c:pt>
              </c:numCache>
            </c:numRef>
          </c:val>
          <c:extLst xmlns:c16r2="http://schemas.microsoft.com/office/drawing/2015/06/chart">
            <c:ext xmlns:c16="http://schemas.microsoft.com/office/drawing/2014/chart" uri="{C3380CC4-5D6E-409C-BE32-E72D297353CC}">
              <c16:uniqueId val="{00000000-9618-4FE1-8F19-ECE05BC25DCB}"/>
            </c:ext>
          </c:extLst>
        </c:ser>
        <c:ser>
          <c:idx val="1"/>
          <c:order val="1"/>
          <c:tx>
            <c:strRef>
              <c:f>Graf_34_37_38!$A$7</c:f>
              <c:strCache>
                <c:ptCount val="1"/>
                <c:pt idx="0">
                  <c:v>základné</c:v>
                </c:pt>
              </c:strCache>
            </c:strRef>
          </c:tx>
          <c:spPr>
            <a:solidFill>
              <a:srgbClr val="00B0F0"/>
            </a:solidFill>
            <a:ln>
              <a:noFill/>
            </a:ln>
            <a:effectLst/>
          </c:spPr>
          <c:invertIfNegative val="0"/>
          <c:cat>
            <c:multiLvlStrRef>
              <c:f>Graf_34_37_38!$B$4:$I$5</c:f>
              <c:multiLvlStrCache>
                <c:ptCount val="8"/>
                <c:lvl>
                  <c:pt idx="0">
                    <c:v>verejný</c:v>
                  </c:pt>
                  <c:pt idx="1">
                    <c:v>súkromný</c:v>
                  </c:pt>
                  <c:pt idx="2">
                    <c:v>verejný</c:v>
                  </c:pt>
                  <c:pt idx="3">
                    <c:v>súkromný</c:v>
                  </c:pt>
                  <c:pt idx="4">
                    <c:v>verejný</c:v>
                  </c:pt>
                  <c:pt idx="5">
                    <c:v>súkromný</c:v>
                  </c:pt>
                  <c:pt idx="6">
                    <c:v>verejný</c:v>
                  </c:pt>
                  <c:pt idx="7">
                    <c:v>súkromný</c:v>
                  </c:pt>
                </c:lvl>
                <c:lvl>
                  <c:pt idx="0">
                    <c:v>nevieme</c:v>
                  </c:pt>
                  <c:pt idx="2">
                    <c:v>základné</c:v>
                  </c:pt>
                  <c:pt idx="4">
                    <c:v>stredné</c:v>
                  </c:pt>
                  <c:pt idx="6">
                    <c:v>vysoké</c:v>
                  </c:pt>
                </c:lvl>
              </c:multiLvlStrCache>
            </c:multiLvlStrRef>
          </c:cat>
          <c:val>
            <c:numRef>
              <c:f>Graf_34_37_38!$B$7:$I$7</c:f>
              <c:numCache>
                <c:formatCode>General</c:formatCode>
                <c:ptCount val="8"/>
                <c:pt idx="2" formatCode="0%">
                  <c:v>3.1597326772001957E-2</c:v>
                </c:pt>
                <c:pt idx="3" formatCode="0%">
                  <c:v>3.6873259164480712E-2</c:v>
                </c:pt>
              </c:numCache>
            </c:numRef>
          </c:val>
          <c:extLst xmlns:c16r2="http://schemas.microsoft.com/office/drawing/2015/06/chart">
            <c:ext xmlns:c16="http://schemas.microsoft.com/office/drawing/2014/chart" uri="{C3380CC4-5D6E-409C-BE32-E72D297353CC}">
              <c16:uniqueId val="{00000001-9618-4FE1-8F19-ECE05BC25DCB}"/>
            </c:ext>
          </c:extLst>
        </c:ser>
        <c:ser>
          <c:idx val="2"/>
          <c:order val="2"/>
          <c:tx>
            <c:strRef>
              <c:f>Graf_34_37_38!$A$8</c:f>
              <c:strCache>
                <c:ptCount val="1"/>
                <c:pt idx="0">
                  <c:v>stredné</c:v>
                </c:pt>
              </c:strCache>
            </c:strRef>
          </c:tx>
          <c:spPr>
            <a:solidFill>
              <a:schemeClr val="bg1">
                <a:lumMod val="50000"/>
              </a:schemeClr>
            </a:solidFill>
            <a:ln>
              <a:noFill/>
            </a:ln>
            <a:effectLst/>
          </c:spPr>
          <c:invertIfNegative val="0"/>
          <c:cat>
            <c:multiLvlStrRef>
              <c:f>Graf_34_37_38!$B$4:$I$5</c:f>
              <c:multiLvlStrCache>
                <c:ptCount val="8"/>
                <c:lvl>
                  <c:pt idx="0">
                    <c:v>verejný</c:v>
                  </c:pt>
                  <c:pt idx="1">
                    <c:v>súkromný</c:v>
                  </c:pt>
                  <c:pt idx="2">
                    <c:v>verejný</c:v>
                  </c:pt>
                  <c:pt idx="3">
                    <c:v>súkromný</c:v>
                  </c:pt>
                  <c:pt idx="4">
                    <c:v>verejný</c:v>
                  </c:pt>
                  <c:pt idx="5">
                    <c:v>súkromný</c:v>
                  </c:pt>
                  <c:pt idx="6">
                    <c:v>verejný</c:v>
                  </c:pt>
                  <c:pt idx="7">
                    <c:v>súkromný</c:v>
                  </c:pt>
                </c:lvl>
                <c:lvl>
                  <c:pt idx="0">
                    <c:v>nevieme</c:v>
                  </c:pt>
                  <c:pt idx="2">
                    <c:v>základné</c:v>
                  </c:pt>
                  <c:pt idx="4">
                    <c:v>stredné</c:v>
                  </c:pt>
                  <c:pt idx="6">
                    <c:v>vysoké</c:v>
                  </c:pt>
                </c:lvl>
              </c:multiLvlStrCache>
            </c:multiLvlStrRef>
          </c:cat>
          <c:val>
            <c:numRef>
              <c:f>Graf_34_37_38!$B$8:$I$8</c:f>
              <c:numCache>
                <c:formatCode>General</c:formatCode>
                <c:ptCount val="8"/>
                <c:pt idx="4" formatCode="0.0%">
                  <c:v>0.14764838968625299</c:v>
                </c:pt>
                <c:pt idx="5" formatCode="0%">
                  <c:v>0.2382074255556921</c:v>
                </c:pt>
              </c:numCache>
            </c:numRef>
          </c:val>
          <c:extLst xmlns:c16r2="http://schemas.microsoft.com/office/drawing/2015/06/chart">
            <c:ext xmlns:c16="http://schemas.microsoft.com/office/drawing/2014/chart" uri="{C3380CC4-5D6E-409C-BE32-E72D297353CC}">
              <c16:uniqueId val="{00000002-9618-4FE1-8F19-ECE05BC25DCB}"/>
            </c:ext>
          </c:extLst>
        </c:ser>
        <c:ser>
          <c:idx val="3"/>
          <c:order val="3"/>
          <c:tx>
            <c:strRef>
              <c:f>Graf_34_37_38!$A$9</c:f>
              <c:strCache>
                <c:ptCount val="1"/>
                <c:pt idx="0">
                  <c:v>stredné s maturitou</c:v>
                </c:pt>
              </c:strCache>
            </c:strRef>
          </c:tx>
          <c:spPr>
            <a:solidFill>
              <a:schemeClr val="bg1">
                <a:lumMod val="75000"/>
              </a:schemeClr>
            </a:solidFill>
            <a:ln>
              <a:noFill/>
            </a:ln>
            <a:effectLst/>
          </c:spPr>
          <c:invertIfNegative val="0"/>
          <c:cat>
            <c:multiLvlStrRef>
              <c:f>Graf_34_37_38!$B$4:$I$5</c:f>
              <c:multiLvlStrCache>
                <c:ptCount val="8"/>
                <c:lvl>
                  <c:pt idx="0">
                    <c:v>verejný</c:v>
                  </c:pt>
                  <c:pt idx="1">
                    <c:v>súkromný</c:v>
                  </c:pt>
                  <c:pt idx="2">
                    <c:v>verejný</c:v>
                  </c:pt>
                  <c:pt idx="3">
                    <c:v>súkromný</c:v>
                  </c:pt>
                  <c:pt idx="4">
                    <c:v>verejný</c:v>
                  </c:pt>
                  <c:pt idx="5">
                    <c:v>súkromný</c:v>
                  </c:pt>
                  <c:pt idx="6">
                    <c:v>verejný</c:v>
                  </c:pt>
                  <c:pt idx="7">
                    <c:v>súkromný</c:v>
                  </c:pt>
                </c:lvl>
                <c:lvl>
                  <c:pt idx="0">
                    <c:v>nevieme</c:v>
                  </c:pt>
                  <c:pt idx="2">
                    <c:v>základné</c:v>
                  </c:pt>
                  <c:pt idx="4">
                    <c:v>stredné</c:v>
                  </c:pt>
                  <c:pt idx="6">
                    <c:v>vysoké</c:v>
                  </c:pt>
                </c:lvl>
              </c:multiLvlStrCache>
            </c:multiLvlStrRef>
          </c:cat>
          <c:val>
            <c:numRef>
              <c:f>Graf_34_37_38!$B$9:$I$9</c:f>
              <c:numCache>
                <c:formatCode>General</c:formatCode>
                <c:ptCount val="8"/>
                <c:pt idx="4" formatCode="0.0%">
                  <c:v>0.2837909721849447</c:v>
                </c:pt>
                <c:pt idx="5" formatCode="0%">
                  <c:v>0.30550423508253155</c:v>
                </c:pt>
              </c:numCache>
            </c:numRef>
          </c:val>
          <c:extLst xmlns:c16r2="http://schemas.microsoft.com/office/drawing/2015/06/chart">
            <c:ext xmlns:c16="http://schemas.microsoft.com/office/drawing/2014/chart" uri="{C3380CC4-5D6E-409C-BE32-E72D297353CC}">
              <c16:uniqueId val="{00000003-9618-4FE1-8F19-ECE05BC25DCB}"/>
            </c:ext>
          </c:extLst>
        </c:ser>
        <c:ser>
          <c:idx val="4"/>
          <c:order val="4"/>
          <c:tx>
            <c:strRef>
              <c:f>Graf_34_37_38!$A$10</c:f>
              <c:strCache>
                <c:ptCount val="1"/>
                <c:pt idx="0">
                  <c:v>VOŠ</c:v>
                </c:pt>
              </c:strCache>
            </c:strRef>
          </c:tx>
          <c:spPr>
            <a:solidFill>
              <a:schemeClr val="tx1"/>
            </a:solidFill>
            <a:ln>
              <a:noFill/>
            </a:ln>
            <a:effectLst/>
          </c:spPr>
          <c:invertIfNegative val="0"/>
          <c:cat>
            <c:multiLvlStrRef>
              <c:f>Graf_34_37_38!$B$4:$I$5</c:f>
              <c:multiLvlStrCache>
                <c:ptCount val="8"/>
                <c:lvl>
                  <c:pt idx="0">
                    <c:v>verejný</c:v>
                  </c:pt>
                  <c:pt idx="1">
                    <c:v>súkromný</c:v>
                  </c:pt>
                  <c:pt idx="2">
                    <c:v>verejný</c:v>
                  </c:pt>
                  <c:pt idx="3">
                    <c:v>súkromný</c:v>
                  </c:pt>
                  <c:pt idx="4">
                    <c:v>verejný</c:v>
                  </c:pt>
                  <c:pt idx="5">
                    <c:v>súkromný</c:v>
                  </c:pt>
                  <c:pt idx="6">
                    <c:v>verejný</c:v>
                  </c:pt>
                  <c:pt idx="7">
                    <c:v>súkromný</c:v>
                  </c:pt>
                </c:lvl>
                <c:lvl>
                  <c:pt idx="0">
                    <c:v>nevieme</c:v>
                  </c:pt>
                  <c:pt idx="2">
                    <c:v>základné</c:v>
                  </c:pt>
                  <c:pt idx="4">
                    <c:v>stredné</c:v>
                  </c:pt>
                  <c:pt idx="6">
                    <c:v>vysoké</c:v>
                  </c:pt>
                </c:lvl>
              </c:multiLvlStrCache>
            </c:multiLvlStrRef>
          </c:cat>
          <c:val>
            <c:numRef>
              <c:f>Graf_34_37_38!$B$10:$I$10</c:f>
              <c:numCache>
                <c:formatCode>General</c:formatCode>
                <c:ptCount val="8"/>
                <c:pt idx="4" formatCode="0.0%">
                  <c:v>1.7569596526228946E-2</c:v>
                </c:pt>
                <c:pt idx="5" formatCode="0%">
                  <c:v>5.3675998778381865E-3</c:v>
                </c:pt>
              </c:numCache>
            </c:numRef>
          </c:val>
          <c:extLst xmlns:c16r2="http://schemas.microsoft.com/office/drawing/2015/06/chart">
            <c:ext xmlns:c16="http://schemas.microsoft.com/office/drawing/2014/chart" uri="{C3380CC4-5D6E-409C-BE32-E72D297353CC}">
              <c16:uniqueId val="{00000004-9618-4FE1-8F19-ECE05BC25DCB}"/>
            </c:ext>
          </c:extLst>
        </c:ser>
        <c:ser>
          <c:idx val="5"/>
          <c:order val="5"/>
          <c:tx>
            <c:strRef>
              <c:f>Graf_34_37_38!$A$11</c:f>
              <c:strCache>
                <c:ptCount val="1"/>
                <c:pt idx="0">
                  <c:v>VŠ 1. stupeň</c:v>
                </c:pt>
              </c:strCache>
            </c:strRef>
          </c:tx>
          <c:spPr>
            <a:solidFill>
              <a:srgbClr val="0070C0"/>
            </a:solidFill>
            <a:ln>
              <a:noFill/>
            </a:ln>
            <a:effectLst/>
          </c:spPr>
          <c:invertIfNegative val="0"/>
          <c:cat>
            <c:multiLvlStrRef>
              <c:f>Graf_34_37_38!$B$4:$I$5</c:f>
              <c:multiLvlStrCache>
                <c:ptCount val="8"/>
                <c:lvl>
                  <c:pt idx="0">
                    <c:v>verejný</c:v>
                  </c:pt>
                  <c:pt idx="1">
                    <c:v>súkromný</c:v>
                  </c:pt>
                  <c:pt idx="2">
                    <c:v>verejný</c:v>
                  </c:pt>
                  <c:pt idx="3">
                    <c:v>súkromný</c:v>
                  </c:pt>
                  <c:pt idx="4">
                    <c:v>verejný</c:v>
                  </c:pt>
                  <c:pt idx="5">
                    <c:v>súkromný</c:v>
                  </c:pt>
                  <c:pt idx="6">
                    <c:v>verejný</c:v>
                  </c:pt>
                  <c:pt idx="7">
                    <c:v>súkromný</c:v>
                  </c:pt>
                </c:lvl>
                <c:lvl>
                  <c:pt idx="0">
                    <c:v>nevieme</c:v>
                  </c:pt>
                  <c:pt idx="2">
                    <c:v>základné</c:v>
                  </c:pt>
                  <c:pt idx="4">
                    <c:v>stredné</c:v>
                  </c:pt>
                  <c:pt idx="6">
                    <c:v>vysoké</c:v>
                  </c:pt>
                </c:lvl>
              </c:multiLvlStrCache>
            </c:multiLvlStrRef>
          </c:cat>
          <c:val>
            <c:numRef>
              <c:f>Graf_34_37_38!$B$11:$I$11</c:f>
              <c:numCache>
                <c:formatCode>General</c:formatCode>
                <c:ptCount val="8"/>
                <c:pt idx="6" formatCode="0%">
                  <c:v>4.0304096341066048E-2</c:v>
                </c:pt>
                <c:pt idx="7" formatCode="0%">
                  <c:v>1.8099378021782683E-2</c:v>
                </c:pt>
              </c:numCache>
            </c:numRef>
          </c:val>
          <c:extLst xmlns:c16r2="http://schemas.microsoft.com/office/drawing/2015/06/chart">
            <c:ext xmlns:c16="http://schemas.microsoft.com/office/drawing/2014/chart" uri="{C3380CC4-5D6E-409C-BE32-E72D297353CC}">
              <c16:uniqueId val="{00000005-9618-4FE1-8F19-ECE05BC25DCB}"/>
            </c:ext>
          </c:extLst>
        </c:ser>
        <c:ser>
          <c:idx val="6"/>
          <c:order val="6"/>
          <c:tx>
            <c:strRef>
              <c:f>Graf_34_37_38!$A$12</c:f>
              <c:strCache>
                <c:ptCount val="1"/>
                <c:pt idx="0">
                  <c:v>VŠ 2. stupeň</c:v>
                </c:pt>
              </c:strCache>
            </c:strRef>
          </c:tx>
          <c:spPr>
            <a:solidFill>
              <a:schemeClr val="accent1">
                <a:lumMod val="60000"/>
                <a:lumOff val="40000"/>
              </a:schemeClr>
            </a:solidFill>
            <a:ln>
              <a:noFill/>
            </a:ln>
            <a:effectLst/>
          </c:spPr>
          <c:invertIfNegative val="0"/>
          <c:cat>
            <c:multiLvlStrRef>
              <c:f>Graf_34_37_38!$B$4:$I$5</c:f>
              <c:multiLvlStrCache>
                <c:ptCount val="8"/>
                <c:lvl>
                  <c:pt idx="0">
                    <c:v>verejný</c:v>
                  </c:pt>
                  <c:pt idx="1">
                    <c:v>súkromný</c:v>
                  </c:pt>
                  <c:pt idx="2">
                    <c:v>verejný</c:v>
                  </c:pt>
                  <c:pt idx="3">
                    <c:v>súkromný</c:v>
                  </c:pt>
                  <c:pt idx="4">
                    <c:v>verejný</c:v>
                  </c:pt>
                  <c:pt idx="5">
                    <c:v>súkromný</c:v>
                  </c:pt>
                  <c:pt idx="6">
                    <c:v>verejný</c:v>
                  </c:pt>
                  <c:pt idx="7">
                    <c:v>súkromný</c:v>
                  </c:pt>
                </c:lvl>
                <c:lvl>
                  <c:pt idx="0">
                    <c:v>nevieme</c:v>
                  </c:pt>
                  <c:pt idx="2">
                    <c:v>základné</c:v>
                  </c:pt>
                  <c:pt idx="4">
                    <c:v>stredné</c:v>
                  </c:pt>
                  <c:pt idx="6">
                    <c:v>vysoké</c:v>
                  </c:pt>
                </c:lvl>
              </c:multiLvlStrCache>
            </c:multiLvlStrRef>
          </c:cat>
          <c:val>
            <c:numRef>
              <c:f>Graf_34_37_38!$B$12:$I$12</c:f>
              <c:numCache>
                <c:formatCode>General</c:formatCode>
                <c:ptCount val="8"/>
                <c:pt idx="6" formatCode="0%">
                  <c:v>0.35395304926785059</c:v>
                </c:pt>
                <c:pt idx="7" formatCode="0%">
                  <c:v>0.16214327153124128</c:v>
                </c:pt>
              </c:numCache>
            </c:numRef>
          </c:val>
          <c:extLst xmlns:c16r2="http://schemas.microsoft.com/office/drawing/2015/06/chart">
            <c:ext xmlns:c16="http://schemas.microsoft.com/office/drawing/2014/chart" uri="{C3380CC4-5D6E-409C-BE32-E72D297353CC}">
              <c16:uniqueId val="{00000006-9618-4FE1-8F19-ECE05BC25DCB}"/>
            </c:ext>
          </c:extLst>
        </c:ser>
        <c:ser>
          <c:idx val="7"/>
          <c:order val="7"/>
          <c:tx>
            <c:strRef>
              <c:f>Graf_34_37_38!$A$13</c:f>
              <c:strCache>
                <c:ptCount val="1"/>
                <c:pt idx="0">
                  <c:v>VŠ 3. stupeň</c:v>
                </c:pt>
              </c:strCache>
            </c:strRef>
          </c:tx>
          <c:spPr>
            <a:solidFill>
              <a:schemeClr val="accent1">
                <a:lumMod val="50000"/>
              </a:schemeClr>
            </a:solidFill>
            <a:ln>
              <a:noFill/>
            </a:ln>
            <a:effectLst/>
          </c:spPr>
          <c:invertIfNegative val="0"/>
          <c:cat>
            <c:multiLvlStrRef>
              <c:f>Graf_34_37_38!$B$4:$I$5</c:f>
              <c:multiLvlStrCache>
                <c:ptCount val="8"/>
                <c:lvl>
                  <c:pt idx="0">
                    <c:v>verejný</c:v>
                  </c:pt>
                  <c:pt idx="1">
                    <c:v>súkromný</c:v>
                  </c:pt>
                  <c:pt idx="2">
                    <c:v>verejný</c:v>
                  </c:pt>
                  <c:pt idx="3">
                    <c:v>súkromný</c:v>
                  </c:pt>
                  <c:pt idx="4">
                    <c:v>verejný</c:v>
                  </c:pt>
                  <c:pt idx="5">
                    <c:v>súkromný</c:v>
                  </c:pt>
                  <c:pt idx="6">
                    <c:v>verejný</c:v>
                  </c:pt>
                  <c:pt idx="7">
                    <c:v>súkromný</c:v>
                  </c:pt>
                </c:lvl>
                <c:lvl>
                  <c:pt idx="0">
                    <c:v>nevieme</c:v>
                  </c:pt>
                  <c:pt idx="2">
                    <c:v>základné</c:v>
                  </c:pt>
                  <c:pt idx="4">
                    <c:v>stredné</c:v>
                  </c:pt>
                  <c:pt idx="6">
                    <c:v>vysoké</c:v>
                  </c:pt>
                </c:lvl>
              </c:multiLvlStrCache>
            </c:multiLvlStrRef>
          </c:cat>
          <c:val>
            <c:numRef>
              <c:f>Graf_34_37_38!$B$13:$I$13</c:f>
              <c:numCache>
                <c:formatCode>General</c:formatCode>
                <c:ptCount val="8"/>
                <c:pt idx="6" formatCode="0%">
                  <c:v>3.0979759036812809E-2</c:v>
                </c:pt>
                <c:pt idx="7" formatCode="0%">
                  <c:v>2.9709235082258957E-3</c:v>
                </c:pt>
              </c:numCache>
            </c:numRef>
          </c:val>
          <c:extLst xmlns:c16r2="http://schemas.microsoft.com/office/drawing/2015/06/chart">
            <c:ext xmlns:c16="http://schemas.microsoft.com/office/drawing/2014/chart" uri="{C3380CC4-5D6E-409C-BE32-E72D297353CC}">
              <c16:uniqueId val="{00000007-9618-4FE1-8F19-ECE05BC25DCB}"/>
            </c:ext>
          </c:extLst>
        </c:ser>
        <c:ser>
          <c:idx val="8"/>
          <c:order val="8"/>
          <c:tx>
            <c:strRef>
              <c:f>Graf_34_37_38!$A$15</c:f>
              <c:strCache>
                <c:ptCount val="1"/>
              </c:strCache>
            </c:strRef>
          </c:tx>
          <c:spPr>
            <a:solidFill>
              <a:schemeClr val="accent3">
                <a:lumMod val="60000"/>
              </a:schemeClr>
            </a:solidFill>
            <a:ln>
              <a:noFill/>
            </a:ln>
            <a:effectLst/>
          </c:spPr>
          <c:invertIfNegative val="0"/>
          <c:dLbls>
            <c:dLbl>
              <c:idx val="0"/>
              <c:tx>
                <c:rich>
                  <a:bodyPr/>
                  <a:lstStyle/>
                  <a:p>
                    <a:fld id="{12ECE867-A0E8-43F5-8894-4AE7CF1597D5}"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696BD65D-1045-45B9-BDD5-CA26C4E192DF}"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8FB38E49-7616-40A7-9789-4F6A2CC69A57}"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6713A887-0C4B-4C6A-A51B-1D30870B6B5D}"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0EC115CA-1E5A-4D3E-AE98-D00BCD3618EE}"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6BAFD6F5-073F-4A0E-9F00-3D7A6A7793FB}"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4077E7F9-EFAE-44C8-A318-40CB55721E91}"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9D65A541-C9BB-45BC-ABCD-C8B84834BEFF}"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inBase"/>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Graf_34_37_38!$B$15:$I$15</c:f>
              <c:numCache>
                <c:formatCode>0%</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10-9618-4FE1-8F19-ECE05BC25DCB}"/>
            </c:ext>
            <c:ext xmlns:c15="http://schemas.microsoft.com/office/drawing/2012/chart" uri="{02D57815-91ED-43cb-92C2-25804820EDAC}">
              <c15:datalabelsRange>
                <c15:f>Graf_34_37_38!$B$14:$I$14</c15:f>
                <c15:dlblRangeCache>
                  <c:ptCount val="8"/>
                  <c:pt idx="0">
                    <c:v>9%</c:v>
                  </c:pt>
                  <c:pt idx="1">
                    <c:v>23%</c:v>
                  </c:pt>
                  <c:pt idx="2">
                    <c:v>3%</c:v>
                  </c:pt>
                  <c:pt idx="3">
                    <c:v>4%</c:v>
                  </c:pt>
                  <c:pt idx="4">
                    <c:v>45%</c:v>
                  </c:pt>
                  <c:pt idx="5">
                    <c:v>55%</c:v>
                  </c:pt>
                  <c:pt idx="6">
                    <c:v>43%</c:v>
                  </c:pt>
                  <c:pt idx="7">
                    <c:v>18%</c:v>
                  </c:pt>
                </c15:dlblRangeCache>
              </c15:datalabelsRange>
            </c:ext>
          </c:extLst>
        </c:ser>
        <c:dLbls>
          <c:showLegendKey val="0"/>
          <c:showVal val="0"/>
          <c:showCatName val="0"/>
          <c:showSerName val="0"/>
          <c:showPercent val="0"/>
          <c:showBubbleSize val="0"/>
        </c:dLbls>
        <c:gapWidth val="150"/>
        <c:overlap val="100"/>
        <c:axId val="224058944"/>
        <c:axId val="224059336"/>
      </c:barChart>
      <c:catAx>
        <c:axId val="22405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059336"/>
        <c:crosses val="autoZero"/>
        <c:auto val="1"/>
        <c:lblAlgn val="ctr"/>
        <c:lblOffset val="100"/>
        <c:noMultiLvlLbl val="0"/>
      </c:catAx>
      <c:valAx>
        <c:axId val="224059336"/>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solidFill>
            <a:schemeClr val="bg1"/>
          </a:solid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058944"/>
        <c:crosses val="autoZero"/>
        <c:crossBetween val="between"/>
      </c:valAx>
      <c:spPr>
        <a:noFill/>
        <a:ln>
          <a:noFill/>
        </a:ln>
        <a:effectLst/>
      </c:spPr>
    </c:plotArea>
    <c:legend>
      <c:legendPos val="t"/>
      <c:legendEntry>
        <c:idx val="0"/>
        <c:delete val="1"/>
      </c:legendEntry>
      <c:legendEntry>
        <c:idx val="1"/>
        <c:delete val="1"/>
      </c:legendEntry>
      <c:legendEntry>
        <c:idx val="8"/>
        <c:delete val="1"/>
      </c:legendEntry>
      <c:layout>
        <c:manualLayout>
          <c:xMode val="edge"/>
          <c:yMode val="edge"/>
          <c:x val="0.14536903776230511"/>
          <c:y val="2.7850980825370329E-2"/>
          <c:w val="0.3175373078365204"/>
          <c:h val="0.33647966646413935"/>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69333312111503"/>
          <c:y val="5.2380932740557655E-2"/>
          <c:w val="0.85332673038511697"/>
          <c:h val="0.67487473156764499"/>
        </c:manualLayout>
      </c:layout>
      <c:barChart>
        <c:barDir val="col"/>
        <c:grouping val="clustered"/>
        <c:varyColors val="0"/>
        <c:ser>
          <c:idx val="0"/>
          <c:order val="0"/>
          <c:tx>
            <c:strRef>
              <c:f>'public spolu'!$B$32</c:f>
              <c:strCache>
                <c:ptCount val="1"/>
              </c:strCache>
            </c:strRef>
          </c:tx>
          <c:spPr>
            <a:solidFill>
              <a:sysClr val="window" lastClr="FFFFFF">
                <a:lumMod val="75000"/>
              </a:sysClr>
            </a:solidFill>
            <a:ln>
              <a:noFill/>
            </a:ln>
            <a:effectLst/>
          </c:spPr>
          <c:invertIfNegative val="0"/>
          <c:dPt>
            <c:idx val="10"/>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1-9D11-4A37-9A9F-6E76BCDD6B66}"/>
              </c:ext>
            </c:extLst>
          </c:dPt>
          <c:dLbls>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D11-4A37-9A9F-6E76BCDD6B6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 spolu'!$A$33:$A$51</c:f>
              <c:strCache>
                <c:ptCount val="19"/>
                <c:pt idx="0">
                  <c:v>Litva</c:v>
                </c:pt>
                <c:pt idx="1">
                  <c:v>Taliansko</c:v>
                </c:pt>
                <c:pt idx="2">
                  <c:v>Grécko</c:v>
                </c:pt>
                <c:pt idx="3">
                  <c:v>UK</c:v>
                </c:pt>
                <c:pt idx="4">
                  <c:v>Španielsko</c:v>
                </c:pt>
                <c:pt idx="5">
                  <c:v>Poľsko</c:v>
                </c:pt>
                <c:pt idx="6">
                  <c:v>Írsko</c:v>
                </c:pt>
                <c:pt idx="7">
                  <c:v>Cyprus</c:v>
                </c:pt>
                <c:pt idx="8">
                  <c:v>Slovinsko</c:v>
                </c:pt>
                <c:pt idx="9">
                  <c:v>Rakúsko</c:v>
                </c:pt>
                <c:pt idx="10">
                  <c:v>Slovensko</c:v>
                </c:pt>
                <c:pt idx="11">
                  <c:v>Dánsko</c:v>
                </c:pt>
                <c:pt idx="12">
                  <c:v>Nemecko</c:v>
                </c:pt>
                <c:pt idx="13">
                  <c:v>Francúzsko</c:v>
                </c:pt>
                <c:pt idx="14">
                  <c:v>Švédsko</c:v>
                </c:pt>
                <c:pt idx="15">
                  <c:v>Fínsko</c:v>
                </c:pt>
                <c:pt idx="16">
                  <c:v>Česká republika</c:v>
                </c:pt>
                <c:pt idx="17">
                  <c:v>Belgicko</c:v>
                </c:pt>
                <c:pt idx="18">
                  <c:v>Holandsko</c:v>
                </c:pt>
              </c:strCache>
            </c:strRef>
          </c:cat>
          <c:val>
            <c:numRef>
              <c:f>'public spolu'!$B$33:$B$51</c:f>
              <c:numCache>
                <c:formatCode>0</c:formatCode>
                <c:ptCount val="19"/>
                <c:pt idx="0">
                  <c:v>274.0390373333334</c:v>
                </c:pt>
                <c:pt idx="1">
                  <c:v>277.73586799999998</c:v>
                </c:pt>
                <c:pt idx="2">
                  <c:v>277.74735133333337</c:v>
                </c:pt>
                <c:pt idx="3">
                  <c:v>281.72930033333336</c:v>
                </c:pt>
                <c:pt idx="4">
                  <c:v>285.13184799999999</c:v>
                </c:pt>
                <c:pt idx="5">
                  <c:v>287.564977</c:v>
                </c:pt>
                <c:pt idx="6">
                  <c:v>288.99643600000002</c:v>
                </c:pt>
                <c:pt idx="7">
                  <c:v>290.99462449999999</c:v>
                </c:pt>
                <c:pt idx="8">
                  <c:v>291.17669299999994</c:v>
                </c:pt>
                <c:pt idx="9">
                  <c:v>293.71882466666671</c:v>
                </c:pt>
                <c:pt idx="10">
                  <c:v>295.03211966666669</c:v>
                </c:pt>
                <c:pt idx="11">
                  <c:v>296.16707333333335</c:v>
                </c:pt>
                <c:pt idx="12">
                  <c:v>300.31652333333335</c:v>
                </c:pt>
                <c:pt idx="13">
                  <c:v>300.50146849999999</c:v>
                </c:pt>
                <c:pt idx="14">
                  <c:v>303.838955</c:v>
                </c:pt>
                <c:pt idx="15">
                  <c:v>303.94657899999999</c:v>
                </c:pt>
                <c:pt idx="16">
                  <c:v>304.33463566666671</c:v>
                </c:pt>
                <c:pt idx="17">
                  <c:v>304.73060633333336</c:v>
                </c:pt>
                <c:pt idx="18">
                  <c:v>309.66856233333334</c:v>
                </c:pt>
              </c:numCache>
            </c:numRef>
          </c:val>
          <c:extLst xmlns:c16r2="http://schemas.microsoft.com/office/drawing/2015/06/chart">
            <c:ext xmlns:c16="http://schemas.microsoft.com/office/drawing/2014/chart" uri="{C3380CC4-5D6E-409C-BE32-E72D297353CC}">
              <c16:uniqueId val="{00000002-9D11-4A37-9A9F-6E76BCDD6B66}"/>
            </c:ext>
          </c:extLst>
        </c:ser>
        <c:dLbls>
          <c:showLegendKey val="0"/>
          <c:showVal val="0"/>
          <c:showCatName val="0"/>
          <c:showSerName val="0"/>
          <c:showPercent val="0"/>
          <c:showBubbleSize val="0"/>
        </c:dLbls>
        <c:gapWidth val="83"/>
        <c:overlap val="-27"/>
        <c:axId val="224058552"/>
        <c:axId val="224059728"/>
      </c:barChart>
      <c:lineChart>
        <c:grouping val="standard"/>
        <c:varyColors val="0"/>
        <c:ser>
          <c:idx val="1"/>
          <c:order val="1"/>
          <c:tx>
            <c:v>priemer EÚ</c:v>
          </c:tx>
          <c:spPr>
            <a:ln w="28575" cap="rnd">
              <a:solidFill>
                <a:schemeClr val="tx1"/>
              </a:solidFill>
              <a:round/>
            </a:ln>
            <a:effectLst/>
          </c:spPr>
          <c:marker>
            <c:symbol val="none"/>
          </c:marker>
          <c:dLbls>
            <c:dLbl>
              <c:idx val="0"/>
              <c:layout>
                <c:manualLayout>
                  <c:x val="-1.8461538461538463E-2"/>
                  <c:y val="-4.29506115657111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D11-4A37-9A9F-6E76BCDD6B6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 spolu'!$A$33:$A$51</c:f>
              <c:strCache>
                <c:ptCount val="19"/>
                <c:pt idx="0">
                  <c:v>Litva</c:v>
                </c:pt>
                <c:pt idx="1">
                  <c:v>Taliansko</c:v>
                </c:pt>
                <c:pt idx="2">
                  <c:v>Grécko</c:v>
                </c:pt>
                <c:pt idx="3">
                  <c:v>UK</c:v>
                </c:pt>
                <c:pt idx="4">
                  <c:v>Španielsko</c:v>
                </c:pt>
                <c:pt idx="5">
                  <c:v>Poľsko</c:v>
                </c:pt>
                <c:pt idx="6">
                  <c:v>Írsko</c:v>
                </c:pt>
                <c:pt idx="7">
                  <c:v>Cyprus</c:v>
                </c:pt>
                <c:pt idx="8">
                  <c:v>Slovinsko</c:v>
                </c:pt>
                <c:pt idx="9">
                  <c:v>Rakúsko</c:v>
                </c:pt>
                <c:pt idx="10">
                  <c:v>Slovensko</c:v>
                </c:pt>
                <c:pt idx="11">
                  <c:v>Dánsko</c:v>
                </c:pt>
                <c:pt idx="12">
                  <c:v>Nemecko</c:v>
                </c:pt>
                <c:pt idx="13">
                  <c:v>Francúzsko</c:v>
                </c:pt>
                <c:pt idx="14">
                  <c:v>Švédsko</c:v>
                </c:pt>
                <c:pt idx="15">
                  <c:v>Fínsko</c:v>
                </c:pt>
                <c:pt idx="16">
                  <c:v>Česká republika</c:v>
                </c:pt>
                <c:pt idx="17">
                  <c:v>Belgicko</c:v>
                </c:pt>
                <c:pt idx="18">
                  <c:v>Holandsko</c:v>
                </c:pt>
              </c:strCache>
            </c:strRef>
          </c:cat>
          <c:val>
            <c:numRef>
              <c:f>'public spolu'!$C$33:$C$51</c:f>
              <c:numCache>
                <c:formatCode>0</c:formatCode>
                <c:ptCount val="19"/>
                <c:pt idx="0">
                  <c:v>293.01955175438604</c:v>
                </c:pt>
                <c:pt idx="1">
                  <c:v>293.01955175438604</c:v>
                </c:pt>
                <c:pt idx="2">
                  <c:v>293.01955175438604</c:v>
                </c:pt>
                <c:pt idx="3">
                  <c:v>293.01955175438604</c:v>
                </c:pt>
                <c:pt idx="4">
                  <c:v>293.01955175438604</c:v>
                </c:pt>
                <c:pt idx="5">
                  <c:v>293.01955175438604</c:v>
                </c:pt>
                <c:pt idx="6">
                  <c:v>293.01955175438604</c:v>
                </c:pt>
                <c:pt idx="7">
                  <c:v>293.01955175438604</c:v>
                </c:pt>
                <c:pt idx="8">
                  <c:v>293.01955175438604</c:v>
                </c:pt>
                <c:pt idx="9">
                  <c:v>293.01955175438604</c:v>
                </c:pt>
                <c:pt idx="10">
                  <c:v>293.01955175438604</c:v>
                </c:pt>
                <c:pt idx="11">
                  <c:v>293.01955175438604</c:v>
                </c:pt>
                <c:pt idx="12">
                  <c:v>293.01955175438604</c:v>
                </c:pt>
                <c:pt idx="13">
                  <c:v>293.01955175438604</c:v>
                </c:pt>
                <c:pt idx="14">
                  <c:v>293.01955175438604</c:v>
                </c:pt>
                <c:pt idx="15">
                  <c:v>293.01955175438604</c:v>
                </c:pt>
                <c:pt idx="16">
                  <c:v>293.01955175438604</c:v>
                </c:pt>
                <c:pt idx="17">
                  <c:v>293.01955175438604</c:v>
                </c:pt>
                <c:pt idx="18">
                  <c:v>293.01955175438604</c:v>
                </c:pt>
              </c:numCache>
            </c:numRef>
          </c:val>
          <c:smooth val="0"/>
          <c:extLst xmlns:c16r2="http://schemas.microsoft.com/office/drawing/2015/06/chart">
            <c:ext xmlns:c16="http://schemas.microsoft.com/office/drawing/2014/chart" uri="{C3380CC4-5D6E-409C-BE32-E72D297353CC}">
              <c16:uniqueId val="{00000004-9D11-4A37-9A9F-6E76BCDD6B66}"/>
            </c:ext>
          </c:extLst>
        </c:ser>
        <c:dLbls>
          <c:showLegendKey val="0"/>
          <c:showVal val="0"/>
          <c:showCatName val="0"/>
          <c:showSerName val="0"/>
          <c:showPercent val="0"/>
          <c:showBubbleSize val="0"/>
        </c:dLbls>
        <c:marker val="1"/>
        <c:smooth val="0"/>
        <c:axId val="224058552"/>
        <c:axId val="224059728"/>
      </c:lineChart>
      <c:catAx>
        <c:axId val="2240585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4059728"/>
        <c:crosses val="autoZero"/>
        <c:auto val="1"/>
        <c:lblAlgn val="ctr"/>
        <c:lblOffset val="100"/>
        <c:noMultiLvlLbl val="0"/>
      </c:catAx>
      <c:valAx>
        <c:axId val="224059728"/>
        <c:scaling>
          <c:orientation val="minMax"/>
          <c:min val="200"/>
        </c:scaling>
        <c:delete val="0"/>
        <c:axPos val="l"/>
        <c:majorGridlines>
          <c:spPr>
            <a:ln w="9525" cap="flat" cmpd="sng" algn="ctr">
              <a:solidFill>
                <a:sysClr val="window" lastClr="FFFFFF">
                  <a:lumMod val="75000"/>
                </a:sysClr>
              </a:solidFill>
              <a:prstDash val="dash"/>
              <a:round/>
            </a:ln>
            <a:effectLst/>
          </c:spPr>
        </c:majorGridlines>
        <c:numFmt formatCode="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058552"/>
        <c:crosses val="autoZero"/>
        <c:crossBetween val="between"/>
      </c:valAx>
      <c:spPr>
        <a:noFill/>
        <a:ln>
          <a:noFill/>
        </a:ln>
        <a:effectLst/>
      </c:spPr>
    </c:plotArea>
    <c:legend>
      <c:legendPos val="r"/>
      <c:legendEntry>
        <c:idx val="0"/>
        <c:delete val="1"/>
      </c:legendEntry>
      <c:layout>
        <c:manualLayout>
          <c:xMode val="edge"/>
          <c:yMode val="edge"/>
          <c:x val="0.2505048420671554"/>
          <c:y val="5.0060049312017817E-2"/>
          <c:w val="0.32650665218571812"/>
          <c:h val="8.125308200111350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21553409734918"/>
          <c:y val="4.0878554440622723E-2"/>
          <c:w val="0.80876109532825402"/>
          <c:h val="0.65615720871643946"/>
        </c:manualLayout>
      </c:layout>
      <c:barChart>
        <c:barDir val="col"/>
        <c:grouping val="clustered"/>
        <c:varyColors val="0"/>
        <c:ser>
          <c:idx val="0"/>
          <c:order val="0"/>
          <c:tx>
            <c:strRef>
              <c:f>'vystupy (2)'!$E$97</c:f>
              <c:strCache>
                <c:ptCount val="1"/>
                <c:pt idx="0">
                  <c:v>gap</c:v>
                </c:pt>
              </c:strCache>
            </c:strRef>
          </c:tx>
          <c:spPr>
            <a:solidFill>
              <a:schemeClr val="bg1">
                <a:lumMod val="65000"/>
              </a:schemeClr>
            </a:solidFill>
            <a:ln w="25400">
              <a:noFill/>
            </a:ln>
          </c:spPr>
          <c:invertIfNegative val="0"/>
          <c:dPt>
            <c:idx val="11"/>
            <c:invertIfNegative val="0"/>
            <c:bubble3D val="0"/>
            <c:extLst xmlns:c16r2="http://schemas.microsoft.com/office/drawing/2015/06/chart">
              <c:ext xmlns:c16="http://schemas.microsoft.com/office/drawing/2014/chart" uri="{C3380CC4-5D6E-409C-BE32-E72D297353CC}">
                <c16:uniqueId val="{00000000-CFFE-4974-AFEA-B22B0FBAB6C9}"/>
              </c:ext>
            </c:extLst>
          </c:dPt>
          <c:dPt>
            <c:idx val="17"/>
            <c:invertIfNegative val="0"/>
            <c:bubble3D val="0"/>
            <c:spPr>
              <a:solidFill>
                <a:srgbClr val="00B0F0"/>
              </a:solidFill>
              <a:ln w="25400">
                <a:solidFill>
                  <a:srgbClr val="00B0F0"/>
                </a:solidFill>
              </a:ln>
            </c:spPr>
            <c:extLst xmlns:c16r2="http://schemas.microsoft.com/office/drawing/2015/06/chart">
              <c:ext xmlns:c16="http://schemas.microsoft.com/office/drawing/2014/chart" uri="{C3380CC4-5D6E-409C-BE32-E72D297353CC}">
                <c16:uniqueId val="{00000002-CFFE-4974-AFEA-B22B0FBAB6C9}"/>
              </c:ext>
            </c:extLst>
          </c:dPt>
          <c:dPt>
            <c:idx val="18"/>
            <c:invertIfNegative val="0"/>
            <c:bubble3D val="0"/>
            <c:extLst xmlns:c16r2="http://schemas.microsoft.com/office/drawing/2015/06/chart">
              <c:ext xmlns:c16="http://schemas.microsoft.com/office/drawing/2014/chart" uri="{C3380CC4-5D6E-409C-BE32-E72D297353CC}">
                <c16:uniqueId val="{00000003-CFFE-4974-AFEA-B22B0FBAB6C9}"/>
              </c:ext>
            </c:extLst>
          </c:dPt>
          <c:dPt>
            <c:idx val="20"/>
            <c:invertIfNegative val="0"/>
            <c:bubble3D val="0"/>
            <c:extLst xmlns:c16r2="http://schemas.microsoft.com/office/drawing/2015/06/chart">
              <c:ext xmlns:c16="http://schemas.microsoft.com/office/drawing/2014/chart" uri="{C3380CC4-5D6E-409C-BE32-E72D297353CC}">
                <c16:uniqueId val="{00000004-CFFE-4974-AFEA-B22B0FBAB6C9}"/>
              </c:ext>
            </c:extLst>
          </c:dPt>
          <c:dPt>
            <c:idx val="27"/>
            <c:invertIfNegative val="0"/>
            <c:bubble3D val="0"/>
            <c:spPr>
              <a:solidFill>
                <a:schemeClr val="accent1">
                  <a:lumMod val="75000"/>
                </a:schemeClr>
              </a:solidFill>
              <a:ln w="25400">
                <a:noFill/>
              </a:ln>
            </c:spPr>
            <c:extLst xmlns:c16r2="http://schemas.microsoft.com/office/drawing/2015/06/chart">
              <c:ext xmlns:c16="http://schemas.microsoft.com/office/drawing/2014/chart" uri="{C3380CC4-5D6E-409C-BE32-E72D297353CC}">
                <c16:uniqueId val="{00000006-CFFE-4974-AFEA-B22B0FBAB6C9}"/>
              </c:ext>
            </c:extLst>
          </c:dPt>
          <c:dLbls>
            <c:dLbl>
              <c:idx val="1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FFE-4974-AFEA-B22B0FBAB6C9}"/>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'vystupy (2)'!$B$98:$B$116</c:f>
              <c:strCache>
                <c:ptCount val="19"/>
                <c:pt idx="0">
                  <c:v>UK</c:v>
                </c:pt>
                <c:pt idx="1">
                  <c:v>Španielsko</c:v>
                </c:pt>
                <c:pt idx="2">
                  <c:v>Nemecko</c:v>
                </c:pt>
                <c:pt idx="3">
                  <c:v>Cyprus</c:v>
                </c:pt>
                <c:pt idx="4">
                  <c:v>Fínsko</c:v>
                </c:pt>
                <c:pt idx="5">
                  <c:v>Francúzsko</c:v>
                </c:pt>
                <c:pt idx="6">
                  <c:v>Belgicko</c:v>
                </c:pt>
                <c:pt idx="7">
                  <c:v>Holandsko</c:v>
                </c:pt>
                <c:pt idx="8">
                  <c:v>Česká republika</c:v>
                </c:pt>
                <c:pt idx="9">
                  <c:v>Grécko</c:v>
                </c:pt>
                <c:pt idx="10">
                  <c:v>Švédsko</c:v>
                </c:pt>
                <c:pt idx="11">
                  <c:v>Slovinsko</c:v>
                </c:pt>
                <c:pt idx="12">
                  <c:v>Rakúsko</c:v>
                </c:pt>
                <c:pt idx="13">
                  <c:v>Dánsko</c:v>
                </c:pt>
                <c:pt idx="14">
                  <c:v>Litva</c:v>
                </c:pt>
                <c:pt idx="15">
                  <c:v>Poľsko</c:v>
                </c:pt>
                <c:pt idx="16">
                  <c:v>Írsko</c:v>
                </c:pt>
                <c:pt idx="17">
                  <c:v>Slovensko</c:v>
                </c:pt>
                <c:pt idx="18">
                  <c:v>Taliansko</c:v>
                </c:pt>
              </c:strCache>
            </c:strRef>
          </c:cat>
          <c:val>
            <c:numRef>
              <c:f>'vystupy (2)'!$E$98:$E$116</c:f>
              <c:numCache>
                <c:formatCode>0.0</c:formatCode>
                <c:ptCount val="19"/>
                <c:pt idx="0">
                  <c:v>-15.569446333333303</c:v>
                </c:pt>
                <c:pt idx="1">
                  <c:v>-3.3798409999999421</c:v>
                </c:pt>
                <c:pt idx="2">
                  <c:v>-3.0816350000000057</c:v>
                </c:pt>
                <c:pt idx="3">
                  <c:v>-2.3561209999999733</c:v>
                </c:pt>
                <c:pt idx="4">
                  <c:v>-2.2193166666666571</c:v>
                </c:pt>
                <c:pt idx="5">
                  <c:v>-1.1455100000000584</c:v>
                </c:pt>
                <c:pt idx="6">
                  <c:v>-1.1163596666667104</c:v>
                </c:pt>
                <c:pt idx="7">
                  <c:v>-1.0382406666666384</c:v>
                </c:pt>
                <c:pt idx="8">
                  <c:v>-0.78878333333341288</c:v>
                </c:pt>
                <c:pt idx="9">
                  <c:v>-0.53522833333335029</c:v>
                </c:pt>
                <c:pt idx="10">
                  <c:v>0.71308666666664067</c:v>
                </c:pt>
                <c:pt idx="11">
                  <c:v>1.071297333333348</c:v>
                </c:pt>
                <c:pt idx="12">
                  <c:v>2.3287306666666723</c:v>
                </c:pt>
                <c:pt idx="13">
                  <c:v>3.0211973333333049</c:v>
                </c:pt>
                <c:pt idx="14">
                  <c:v>3.3387056666667263</c:v>
                </c:pt>
                <c:pt idx="15">
                  <c:v>5.610908666666603</c:v>
                </c:pt>
                <c:pt idx="16">
                  <c:v>7.3809753333333106</c:v>
                </c:pt>
                <c:pt idx="17">
                  <c:v>12.026849666666635</c:v>
                </c:pt>
                <c:pt idx="18">
                  <c:v>14.061751999999956</c:v>
                </c:pt>
              </c:numCache>
            </c:numRef>
          </c:val>
          <c:extLst xmlns:c16r2="http://schemas.microsoft.com/office/drawing/2015/06/chart">
            <c:ext xmlns:c16="http://schemas.microsoft.com/office/drawing/2014/chart" uri="{C3380CC4-5D6E-409C-BE32-E72D297353CC}">
              <c16:uniqueId val="{00000007-CFFE-4974-AFEA-B22B0FBAB6C9}"/>
            </c:ext>
          </c:extLst>
        </c:ser>
        <c:dLbls>
          <c:showLegendKey val="0"/>
          <c:showVal val="0"/>
          <c:showCatName val="0"/>
          <c:showSerName val="0"/>
          <c:showPercent val="0"/>
          <c:showBubbleSize val="0"/>
        </c:dLbls>
        <c:gapWidth val="60"/>
        <c:axId val="224060120"/>
        <c:axId val="224060512"/>
      </c:barChart>
      <c:lineChart>
        <c:grouping val="standard"/>
        <c:varyColors val="0"/>
        <c:ser>
          <c:idx val="1"/>
          <c:order val="1"/>
          <c:tx>
            <c:strRef>
              <c:f>'vystupy (2)'!$F$97</c:f>
              <c:strCache>
                <c:ptCount val="1"/>
                <c:pt idx="0">
                  <c:v>priemer EÚ</c:v>
                </c:pt>
              </c:strCache>
            </c:strRef>
          </c:tx>
          <c:spPr>
            <a:ln>
              <a:solidFill>
                <a:schemeClr val="tx1"/>
              </a:solidFill>
            </a:ln>
          </c:spPr>
          <c:marker>
            <c:symbol val="none"/>
          </c:marker>
          <c:dLbls>
            <c:dLbl>
              <c:idx val="0"/>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FFE-4974-AFEA-B22B0FBAB6C9}"/>
                </c:ex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val>
            <c:numRef>
              <c:f>'vystupy (2)'!$G$98:$G$116</c:f>
              <c:numCache>
                <c:formatCode>0.0</c:formatCode>
                <c:ptCount val="19"/>
                <c:pt idx="0">
                  <c:v>0.96436954385963924</c:v>
                </c:pt>
                <c:pt idx="1">
                  <c:v>0.96436954385963924</c:v>
                </c:pt>
                <c:pt idx="2">
                  <c:v>0.96436954385963924</c:v>
                </c:pt>
                <c:pt idx="3">
                  <c:v>0.96436954385963924</c:v>
                </c:pt>
                <c:pt idx="4">
                  <c:v>0.96436954385963924</c:v>
                </c:pt>
                <c:pt idx="5">
                  <c:v>0.96436954385963924</c:v>
                </c:pt>
                <c:pt idx="6">
                  <c:v>0.96436954385963924</c:v>
                </c:pt>
                <c:pt idx="7">
                  <c:v>0.96436954385963924</c:v>
                </c:pt>
                <c:pt idx="8">
                  <c:v>0.96436954385963924</c:v>
                </c:pt>
                <c:pt idx="9">
                  <c:v>0.96436954385963924</c:v>
                </c:pt>
                <c:pt idx="10">
                  <c:v>0.96436954385963924</c:v>
                </c:pt>
                <c:pt idx="11">
                  <c:v>0.96436954385963924</c:v>
                </c:pt>
                <c:pt idx="12">
                  <c:v>0.96436954385963924</c:v>
                </c:pt>
                <c:pt idx="13">
                  <c:v>0.96436954385963924</c:v>
                </c:pt>
                <c:pt idx="14">
                  <c:v>0.96436954385963924</c:v>
                </c:pt>
                <c:pt idx="15">
                  <c:v>0.96436954385963924</c:v>
                </c:pt>
                <c:pt idx="16">
                  <c:v>0.96436954385963924</c:v>
                </c:pt>
                <c:pt idx="17">
                  <c:v>0.96436954385963924</c:v>
                </c:pt>
                <c:pt idx="18">
                  <c:v>0.96436954385963924</c:v>
                </c:pt>
              </c:numCache>
            </c:numRef>
          </c:val>
          <c:smooth val="0"/>
          <c:extLst xmlns:c16r2="http://schemas.microsoft.com/office/drawing/2015/06/chart">
            <c:ext xmlns:c16="http://schemas.microsoft.com/office/drawing/2014/chart" uri="{C3380CC4-5D6E-409C-BE32-E72D297353CC}">
              <c16:uniqueId val="{00000009-CFFE-4974-AFEA-B22B0FBAB6C9}"/>
            </c:ext>
          </c:extLst>
        </c:ser>
        <c:dLbls>
          <c:showLegendKey val="0"/>
          <c:showVal val="0"/>
          <c:showCatName val="0"/>
          <c:showSerName val="0"/>
          <c:showPercent val="0"/>
          <c:showBubbleSize val="0"/>
        </c:dLbls>
        <c:marker val="1"/>
        <c:smooth val="0"/>
        <c:axId val="224060120"/>
        <c:axId val="224060512"/>
      </c:lineChart>
      <c:catAx>
        <c:axId val="22406012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sk-SK"/>
          </a:p>
        </c:txPr>
        <c:crossAx val="224060512"/>
        <c:crosses val="autoZero"/>
        <c:auto val="1"/>
        <c:lblAlgn val="ctr"/>
        <c:lblOffset val="100"/>
        <c:noMultiLvlLbl val="0"/>
      </c:catAx>
      <c:valAx>
        <c:axId val="224060512"/>
        <c:scaling>
          <c:orientation val="minMax"/>
          <c:max val="15"/>
        </c:scaling>
        <c:delete val="0"/>
        <c:axPos val="l"/>
        <c:majorGridlines>
          <c:spPr>
            <a:ln w="9525" cap="flat" cmpd="sng" algn="ctr">
              <a:solidFill>
                <a:schemeClr val="bg1">
                  <a:lumMod val="75000"/>
                </a:schemeClr>
              </a:solidFill>
              <a:prstDash val="dash"/>
              <a:round/>
            </a:ln>
            <a:effectLst/>
          </c:spPr>
        </c:majorGridlines>
        <c:title>
          <c:tx>
            <c:rich>
              <a:bodyPr/>
              <a:lstStyle/>
              <a:p>
                <a:pPr>
                  <a:defRPr sz="800" b="0"/>
                </a:pPr>
                <a:r>
                  <a:rPr lang="sk-SK" sz="800" b="0"/>
                  <a:t>rozdiel skóre medzi súkromným a verejným sektorom</a:t>
                </a:r>
              </a:p>
            </c:rich>
          </c:tx>
          <c:overlay val="0"/>
        </c:title>
        <c:numFmt formatCode="0" sourceLinked="0"/>
        <c:majorTickMark val="none"/>
        <c:minorTickMark val="none"/>
        <c:tickLblPos val="nextTo"/>
        <c:spPr>
          <a:ln w="6350">
            <a:solidFill>
              <a:schemeClr val="bg1">
                <a:lumMod val="75000"/>
              </a:schemeClr>
            </a:solidFill>
          </a:ln>
        </c:spPr>
        <c:txPr>
          <a:bodyPr rot="-60000000" vert="horz"/>
          <a:lstStyle/>
          <a:p>
            <a:pPr>
              <a:defRPr/>
            </a:pPr>
            <a:endParaRPr lang="sk-SK"/>
          </a:p>
        </c:txPr>
        <c:crossAx val="224060120"/>
        <c:crosses val="autoZero"/>
        <c:crossBetween val="between"/>
      </c:valAx>
      <c:spPr>
        <a:noFill/>
        <a:ln w="25400">
          <a:noFill/>
        </a:ln>
      </c:spPr>
    </c:plotArea>
    <c:legend>
      <c:legendPos val="t"/>
      <c:legendEntry>
        <c:idx val="0"/>
        <c:delete val="1"/>
      </c:legendEntry>
      <c:overlay val="0"/>
    </c:legend>
    <c:plotVisOnly val="1"/>
    <c:dispBlanksAs val="gap"/>
    <c:showDLblsOverMax val="0"/>
  </c:chart>
  <c:spPr>
    <a:noFill/>
    <a:ln w="9525" cap="flat" cmpd="sng" algn="ctr">
      <a:noFill/>
      <a:round/>
    </a:ln>
    <a:effectLst/>
  </c:spPr>
  <c:txPr>
    <a:bodyPr/>
    <a:lstStyle/>
    <a:p>
      <a:pPr>
        <a:defRPr sz="700">
          <a:latin typeface="Arial Narrow" panose="020B0606020202030204" pitchFamily="34" charset="0"/>
        </a:defRPr>
      </a:pPr>
      <a:endParaRPr lang="sk-SK"/>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04386743708793"/>
          <c:y val="2.2382384251079537E-2"/>
          <c:w val="0.72612433958694167"/>
          <c:h val="0.70113765415224871"/>
        </c:manualLayout>
      </c:layout>
      <c:barChart>
        <c:barDir val="col"/>
        <c:grouping val="clustered"/>
        <c:varyColors val="0"/>
        <c:ser>
          <c:idx val="0"/>
          <c:order val="0"/>
          <c:tx>
            <c:strRef>
              <c:f>'graf skills verejny sukromn (2'!$D$1</c:f>
              <c:strCache>
                <c:ptCount val="1"/>
                <c:pt idx="0">
                  <c:v>spolu</c:v>
                </c:pt>
              </c:strCache>
            </c:strRef>
          </c:tx>
          <c:spPr>
            <a:solidFill>
              <a:schemeClr val="bg1">
                <a:lumMod val="65000"/>
              </a:schemeClr>
            </a:solidFill>
            <a:ln w="25400">
              <a:noFill/>
            </a:ln>
          </c:spPr>
          <c:invertIfNegative val="0"/>
          <c:dPt>
            <c:idx val="11"/>
            <c:invertIfNegative val="0"/>
            <c:bubble3D val="0"/>
            <c:extLst xmlns:c16r2="http://schemas.microsoft.com/office/drawing/2015/06/chart">
              <c:ext xmlns:c16="http://schemas.microsoft.com/office/drawing/2014/chart" uri="{C3380CC4-5D6E-409C-BE32-E72D297353CC}">
                <c16:uniqueId val="{00000000-12C5-462A-A8AD-22A22F2713A9}"/>
              </c:ext>
            </c:extLst>
          </c:dPt>
          <c:dPt>
            <c:idx val="14"/>
            <c:invertIfNegative val="0"/>
            <c:bubble3D val="0"/>
            <c:spPr>
              <a:solidFill>
                <a:srgbClr val="00B0F0"/>
              </a:solidFill>
              <a:ln w="25400">
                <a:noFill/>
              </a:ln>
            </c:spPr>
            <c:extLst xmlns:c16r2="http://schemas.microsoft.com/office/drawing/2015/06/chart">
              <c:ext xmlns:c16="http://schemas.microsoft.com/office/drawing/2014/chart" uri="{C3380CC4-5D6E-409C-BE32-E72D297353CC}">
                <c16:uniqueId val="{00000002-12C5-462A-A8AD-22A22F2713A9}"/>
              </c:ext>
            </c:extLst>
          </c:dPt>
          <c:dPt>
            <c:idx val="20"/>
            <c:invertIfNegative val="0"/>
            <c:bubble3D val="0"/>
            <c:extLst xmlns:c16r2="http://schemas.microsoft.com/office/drawing/2015/06/chart">
              <c:ext xmlns:c16="http://schemas.microsoft.com/office/drawing/2014/chart" uri="{C3380CC4-5D6E-409C-BE32-E72D297353CC}">
                <c16:uniqueId val="{00000003-12C5-462A-A8AD-22A22F2713A9}"/>
              </c:ext>
            </c:extLst>
          </c:dPt>
          <c:dPt>
            <c:idx val="21"/>
            <c:invertIfNegative val="0"/>
            <c:bubble3D val="0"/>
            <c:spPr>
              <a:solidFill>
                <a:schemeClr val="accent1">
                  <a:lumMod val="75000"/>
                </a:schemeClr>
              </a:solidFill>
              <a:ln w="25400">
                <a:noFill/>
              </a:ln>
            </c:spPr>
            <c:extLst xmlns:c16r2="http://schemas.microsoft.com/office/drawing/2015/06/chart">
              <c:ext xmlns:c16="http://schemas.microsoft.com/office/drawing/2014/chart" uri="{C3380CC4-5D6E-409C-BE32-E72D297353CC}">
                <c16:uniqueId val="{00000005-12C5-462A-A8AD-22A22F2713A9}"/>
              </c:ext>
            </c:extLst>
          </c:dPt>
          <c:dLbls>
            <c:dLbl>
              <c:idx val="1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C5-462A-A8AD-22A22F2713A9}"/>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'graf skills verejny sukromn (2'!$A$98:$A$116</c:f>
              <c:strCache>
                <c:ptCount val="19"/>
                <c:pt idx="0">
                  <c:v>Cyprus</c:v>
                </c:pt>
                <c:pt idx="1">
                  <c:v>Španielsko</c:v>
                </c:pt>
                <c:pt idx="2">
                  <c:v>Francúzsko</c:v>
                </c:pt>
                <c:pt idx="3">
                  <c:v>UK</c:v>
                </c:pt>
                <c:pt idx="4">
                  <c:v>Belgicko</c:v>
                </c:pt>
                <c:pt idx="5">
                  <c:v>Grécko</c:v>
                </c:pt>
                <c:pt idx="6">
                  <c:v>Írsko</c:v>
                </c:pt>
                <c:pt idx="7">
                  <c:v>Slovinsko</c:v>
                </c:pt>
                <c:pt idx="8">
                  <c:v>Rakúsko</c:v>
                </c:pt>
                <c:pt idx="9">
                  <c:v>Holandsko</c:v>
                </c:pt>
                <c:pt idx="10">
                  <c:v>Česká republika</c:v>
                </c:pt>
                <c:pt idx="11">
                  <c:v>Nemecko</c:v>
                </c:pt>
                <c:pt idx="12">
                  <c:v>Litva</c:v>
                </c:pt>
                <c:pt idx="13">
                  <c:v>Fínsko</c:v>
                </c:pt>
                <c:pt idx="14">
                  <c:v>Slovensko</c:v>
                </c:pt>
                <c:pt idx="15">
                  <c:v>Poľsko</c:v>
                </c:pt>
                <c:pt idx="16">
                  <c:v>Taliansko</c:v>
                </c:pt>
                <c:pt idx="17">
                  <c:v>Dánsko</c:v>
                </c:pt>
                <c:pt idx="18">
                  <c:v>Švédsko</c:v>
                </c:pt>
              </c:strCache>
            </c:strRef>
          </c:cat>
          <c:val>
            <c:numRef>
              <c:f>'graf skills verejny sukromn (2'!$I$98:$I$116</c:f>
              <c:numCache>
                <c:formatCode>0.0</c:formatCode>
                <c:ptCount val="19"/>
                <c:pt idx="0">
                  <c:v>-9.0245830000000069</c:v>
                </c:pt>
                <c:pt idx="1">
                  <c:v>-7.1342994999999974</c:v>
                </c:pt>
                <c:pt idx="2">
                  <c:v>-6.2165050000000406</c:v>
                </c:pt>
                <c:pt idx="3">
                  <c:v>-5.3730156666666744</c:v>
                </c:pt>
                <c:pt idx="4">
                  <c:v>-2.0716036666666469</c:v>
                </c:pt>
                <c:pt idx="5">
                  <c:v>-1.145966666666709</c:v>
                </c:pt>
                <c:pt idx="6">
                  <c:v>-0.57409666666660542</c:v>
                </c:pt>
                <c:pt idx="7">
                  <c:v>5.3102333333299612E-2</c:v>
                </c:pt>
                <c:pt idx="8">
                  <c:v>1.7019710000000146</c:v>
                </c:pt>
                <c:pt idx="9">
                  <c:v>1.9183436666666012</c:v>
                </c:pt>
                <c:pt idx="10">
                  <c:v>3.0885753333333241</c:v>
                </c:pt>
                <c:pt idx="11">
                  <c:v>3.3909380000000056</c:v>
                </c:pt>
                <c:pt idx="12">
                  <c:v>4.0601299999999583</c:v>
                </c:pt>
                <c:pt idx="13">
                  <c:v>4.8642996666666818</c:v>
                </c:pt>
                <c:pt idx="14">
                  <c:v>5.350443000000098</c:v>
                </c:pt>
                <c:pt idx="15">
                  <c:v>6.4744876666666755</c:v>
                </c:pt>
                <c:pt idx="16">
                  <c:v>9.3238249999999425</c:v>
                </c:pt>
                <c:pt idx="17">
                  <c:v>9.9189380000000256</c:v>
                </c:pt>
                <c:pt idx="18">
                  <c:v>12.815503000000035</c:v>
                </c:pt>
              </c:numCache>
            </c:numRef>
          </c:val>
          <c:extLst xmlns:c16r2="http://schemas.microsoft.com/office/drawing/2015/06/chart">
            <c:ext xmlns:c16="http://schemas.microsoft.com/office/drawing/2014/chart" uri="{C3380CC4-5D6E-409C-BE32-E72D297353CC}">
              <c16:uniqueId val="{00000006-12C5-462A-A8AD-22A22F2713A9}"/>
            </c:ext>
          </c:extLst>
        </c:ser>
        <c:dLbls>
          <c:showLegendKey val="0"/>
          <c:showVal val="0"/>
          <c:showCatName val="0"/>
          <c:showSerName val="0"/>
          <c:showPercent val="0"/>
          <c:showBubbleSize val="0"/>
        </c:dLbls>
        <c:gapWidth val="60"/>
        <c:axId val="223873928"/>
        <c:axId val="224344488"/>
      </c:barChart>
      <c:lineChart>
        <c:grouping val="standard"/>
        <c:varyColors val="0"/>
        <c:ser>
          <c:idx val="1"/>
          <c:order val="1"/>
          <c:tx>
            <c:strRef>
              <c:f>'graf skills verejny sukromn (2'!$J$97</c:f>
              <c:strCache>
                <c:ptCount val="1"/>
                <c:pt idx="0">
                  <c:v>priemer EÚ</c:v>
                </c:pt>
              </c:strCache>
            </c:strRef>
          </c:tx>
          <c:spPr>
            <a:ln>
              <a:solidFill>
                <a:schemeClr val="tx1"/>
              </a:solidFill>
            </a:ln>
          </c:spPr>
          <c:marker>
            <c:symbol val="none"/>
          </c:marker>
          <c:dLbls>
            <c:dLbl>
              <c:idx val="0"/>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2C5-462A-A8AD-22A22F2713A9}"/>
                </c:ex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val>
            <c:numRef>
              <c:f>'graf skills verejny sukromn (2'!$J$98:$J$116</c:f>
              <c:numCache>
                <c:formatCode>0.0</c:formatCode>
                <c:ptCount val="19"/>
                <c:pt idx="0">
                  <c:v>1.6537098157894727</c:v>
                </c:pt>
                <c:pt idx="1">
                  <c:v>1.6537098157894727</c:v>
                </c:pt>
                <c:pt idx="2">
                  <c:v>1.6537098157894727</c:v>
                </c:pt>
                <c:pt idx="3">
                  <c:v>1.6537098157894727</c:v>
                </c:pt>
                <c:pt idx="4">
                  <c:v>1.6537098157894727</c:v>
                </c:pt>
                <c:pt idx="5">
                  <c:v>1.6537098157894727</c:v>
                </c:pt>
                <c:pt idx="6">
                  <c:v>1.6537098157894727</c:v>
                </c:pt>
                <c:pt idx="7">
                  <c:v>1.6537098157894727</c:v>
                </c:pt>
                <c:pt idx="8">
                  <c:v>1.6537098157894727</c:v>
                </c:pt>
                <c:pt idx="9">
                  <c:v>1.6537098157894727</c:v>
                </c:pt>
                <c:pt idx="10">
                  <c:v>1.6537098157894727</c:v>
                </c:pt>
                <c:pt idx="11">
                  <c:v>1.6537098157894727</c:v>
                </c:pt>
                <c:pt idx="12">
                  <c:v>1.6537098157894727</c:v>
                </c:pt>
                <c:pt idx="13">
                  <c:v>1.6537098157894727</c:v>
                </c:pt>
                <c:pt idx="14">
                  <c:v>1.6537098157894727</c:v>
                </c:pt>
                <c:pt idx="15">
                  <c:v>1.6537098157894727</c:v>
                </c:pt>
                <c:pt idx="16">
                  <c:v>1.6537098157894727</c:v>
                </c:pt>
                <c:pt idx="17">
                  <c:v>1.6537098157894727</c:v>
                </c:pt>
                <c:pt idx="18">
                  <c:v>1.6537098157894727</c:v>
                </c:pt>
              </c:numCache>
            </c:numRef>
          </c:val>
          <c:smooth val="0"/>
          <c:extLst xmlns:c16r2="http://schemas.microsoft.com/office/drawing/2015/06/chart">
            <c:ext xmlns:c16="http://schemas.microsoft.com/office/drawing/2014/chart" uri="{C3380CC4-5D6E-409C-BE32-E72D297353CC}">
              <c16:uniqueId val="{00000008-12C5-462A-A8AD-22A22F2713A9}"/>
            </c:ext>
          </c:extLst>
        </c:ser>
        <c:dLbls>
          <c:showLegendKey val="0"/>
          <c:showVal val="0"/>
          <c:showCatName val="0"/>
          <c:showSerName val="0"/>
          <c:showPercent val="0"/>
          <c:showBubbleSize val="0"/>
        </c:dLbls>
        <c:marker val="1"/>
        <c:smooth val="0"/>
        <c:axId val="223873928"/>
        <c:axId val="224344488"/>
      </c:lineChart>
      <c:catAx>
        <c:axId val="22387392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sk-SK"/>
          </a:p>
        </c:txPr>
        <c:crossAx val="224344488"/>
        <c:crosses val="autoZero"/>
        <c:auto val="1"/>
        <c:lblAlgn val="ctr"/>
        <c:lblOffset val="100"/>
        <c:noMultiLvlLbl val="0"/>
      </c:catAx>
      <c:valAx>
        <c:axId val="224344488"/>
        <c:scaling>
          <c:orientation val="minMax"/>
          <c:min val="-20"/>
        </c:scaling>
        <c:delete val="0"/>
        <c:axPos val="l"/>
        <c:majorGridlines>
          <c:spPr>
            <a:ln w="9525" cap="flat" cmpd="sng" algn="ctr">
              <a:solidFill>
                <a:schemeClr val="bg1">
                  <a:lumMod val="75000"/>
                </a:schemeClr>
              </a:solidFill>
              <a:prstDash val="dash"/>
              <a:round/>
            </a:ln>
            <a:effectLst/>
          </c:spPr>
        </c:majorGridlines>
        <c:title>
          <c:tx>
            <c:rich>
              <a:bodyPr/>
              <a:lstStyle/>
              <a:p>
                <a:pPr>
                  <a:defRPr sz="800" b="0"/>
                </a:pPr>
                <a:r>
                  <a:rPr lang="sk-SK" sz="800" b="0"/>
                  <a:t>rozdiel skóre medzi súkromným a verejným sektorom</a:t>
                </a:r>
              </a:p>
            </c:rich>
          </c:tx>
          <c:overlay val="0"/>
        </c:title>
        <c:numFmt formatCode="0" sourceLinked="0"/>
        <c:majorTickMark val="none"/>
        <c:minorTickMark val="none"/>
        <c:tickLblPos val="nextTo"/>
        <c:spPr>
          <a:ln w="6350">
            <a:solidFill>
              <a:schemeClr val="bg1">
                <a:lumMod val="75000"/>
              </a:schemeClr>
            </a:solidFill>
          </a:ln>
        </c:spPr>
        <c:txPr>
          <a:bodyPr rot="-60000000" vert="horz"/>
          <a:lstStyle/>
          <a:p>
            <a:pPr>
              <a:defRPr/>
            </a:pPr>
            <a:endParaRPr lang="sk-SK"/>
          </a:p>
        </c:txPr>
        <c:crossAx val="223873928"/>
        <c:crosses val="autoZero"/>
        <c:crossBetween val="between"/>
      </c:valAx>
      <c:spPr>
        <a:noFill/>
        <a:ln w="25400">
          <a:noFill/>
        </a:ln>
      </c:spPr>
    </c:plotArea>
    <c:legend>
      <c:legendPos val="r"/>
      <c:legendEntry>
        <c:idx val="0"/>
        <c:delete val="1"/>
      </c:legendEntry>
      <c:layout>
        <c:manualLayout>
          <c:xMode val="edge"/>
          <c:yMode val="edge"/>
          <c:x val="0.28036185952946358"/>
          <c:y val="7.5058184098669073E-2"/>
          <c:w val="0.52921136128778734"/>
          <c:h val="6.6792476698611131E-2"/>
        </c:manualLayout>
      </c:layout>
      <c:overlay val="1"/>
    </c:legend>
    <c:plotVisOnly val="1"/>
    <c:dispBlanksAs val="gap"/>
    <c:showDLblsOverMax val="0"/>
  </c:chart>
  <c:spPr>
    <a:noFill/>
    <a:ln w="9525" cap="flat" cmpd="sng" algn="ctr">
      <a:noFill/>
      <a:round/>
    </a:ln>
    <a:effectLst/>
  </c:spPr>
  <c:txPr>
    <a:bodyPr/>
    <a:lstStyle/>
    <a:p>
      <a:pPr>
        <a:defRPr sz="700">
          <a:latin typeface="Arial Narrow" panose="020B0606020202030204" pitchFamily="34" charset="0"/>
        </a:defRPr>
      </a:pPr>
      <a:endParaRPr lang="sk-SK"/>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60528409558562E-2"/>
          <c:y val="6.3023889529732355E-2"/>
          <c:w val="0.88342012126532965"/>
          <c:h val="0.84308507614892092"/>
        </c:manualLayout>
      </c:layout>
      <c:barChart>
        <c:barDir val="bar"/>
        <c:grouping val="stacked"/>
        <c:varyColors val="0"/>
        <c:ser>
          <c:idx val="3"/>
          <c:order val="0"/>
          <c:tx>
            <c:v>súkromný sektor</c:v>
          </c:tx>
          <c:spPr>
            <a:solidFill>
              <a:schemeClr val="tx1">
                <a:lumMod val="95000"/>
                <a:lumOff val="5000"/>
              </a:schemeClr>
            </a:solidFill>
            <a:ln>
              <a:noFill/>
            </a:ln>
            <a:effectLst/>
          </c:spPr>
          <c:invertIfNegative val="0"/>
          <c:cat>
            <c:strRef>
              <c:f>'nová veková štruktúra s OZ'!$G$2:$G$50</c:f>
              <c:strCache>
                <c:ptCount val="49"/>
                <c:pt idx="0">
                  <c:v>do 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nad 64</c:v>
                </c:pt>
                <c:pt idx="48">
                  <c:v>nad 64</c:v>
                </c:pt>
              </c:strCache>
            </c:strRef>
          </c:cat>
          <c:val>
            <c:numRef>
              <c:f>'nová veková štruktúra bez OZ'!$H$2:$H$49</c:f>
              <c:numCache>
                <c:formatCode>0.00%</c:formatCode>
                <c:ptCount val="48"/>
                <c:pt idx="0">
                  <c:v>-8.4740433867259545E-4</c:v>
                </c:pt>
                <c:pt idx="1">
                  <c:v>-3.2736948677114688E-3</c:v>
                </c:pt>
                <c:pt idx="2">
                  <c:v>-6.4324029005990348E-3</c:v>
                </c:pt>
                <c:pt idx="3">
                  <c:v>-8.059961789517749E-3</c:v>
                </c:pt>
                <c:pt idx="4">
                  <c:v>-8.7794513986966267E-3</c:v>
                </c:pt>
                <c:pt idx="5">
                  <c:v>-9.4561314610851366E-3</c:v>
                </c:pt>
                <c:pt idx="6">
                  <c:v>-1.1684427224491123E-2</c:v>
                </c:pt>
                <c:pt idx="7">
                  <c:v>-1.27628646591527E-2</c:v>
                </c:pt>
                <c:pt idx="8">
                  <c:v>-1.3736686411117905E-2</c:v>
                </c:pt>
                <c:pt idx="9">
                  <c:v>-1.4001528165707161E-2</c:v>
                </c:pt>
                <c:pt idx="10">
                  <c:v>-1.466298285995276E-2</c:v>
                </c:pt>
                <c:pt idx="11">
                  <c:v>-1.4490657846976526E-2</c:v>
                </c:pt>
                <c:pt idx="12">
                  <c:v>-1.4157243246766781E-2</c:v>
                </c:pt>
                <c:pt idx="13">
                  <c:v>-1.487933990744689E-2</c:v>
                </c:pt>
                <c:pt idx="14">
                  <c:v>-1.5006883868126882E-2</c:v>
                </c:pt>
                <c:pt idx="15">
                  <c:v>-1.5417576262785365E-2</c:v>
                </c:pt>
                <c:pt idx="16">
                  <c:v>-1.5371764399059889E-2</c:v>
                </c:pt>
                <c:pt idx="17">
                  <c:v>-1.5195986179013118E-2</c:v>
                </c:pt>
                <c:pt idx="18">
                  <c:v>-1.433298236252321E-2</c:v>
                </c:pt>
                <c:pt idx="19">
                  <c:v>-1.5408130648164209E-2</c:v>
                </c:pt>
                <c:pt idx="20">
                  <c:v>-1.5582391920977805E-2</c:v>
                </c:pt>
                <c:pt idx="21">
                  <c:v>-1.5946327218597199E-2</c:v>
                </c:pt>
                <c:pt idx="22">
                  <c:v>-1.5918328047720531E-2</c:v>
                </c:pt>
                <c:pt idx="23">
                  <c:v>-1.5786806122236249E-2</c:v>
                </c:pt>
                <c:pt idx="24">
                  <c:v>-1.5082419044537011E-2</c:v>
                </c:pt>
                <c:pt idx="25">
                  <c:v>-1.5005873431276406E-2</c:v>
                </c:pt>
                <c:pt idx="26">
                  <c:v>-1.4309837440817317E-2</c:v>
                </c:pt>
                <c:pt idx="27">
                  <c:v>-1.3699904381636275E-2</c:v>
                </c:pt>
                <c:pt idx="28">
                  <c:v>-1.3438920858633348E-2</c:v>
                </c:pt>
                <c:pt idx="29">
                  <c:v>-1.3166392045884561E-2</c:v>
                </c:pt>
                <c:pt idx="30">
                  <c:v>-1.2355465169525482E-2</c:v>
                </c:pt>
                <c:pt idx="31">
                  <c:v>-1.1721451087205275E-2</c:v>
                </c:pt>
                <c:pt idx="32">
                  <c:v>-1.1950355568594114E-2</c:v>
                </c:pt>
                <c:pt idx="33">
                  <c:v>-1.1865391569689935E-2</c:v>
                </c:pt>
                <c:pt idx="34">
                  <c:v>-1.2531139533952221E-2</c:v>
                </c:pt>
                <c:pt idx="35">
                  <c:v>-1.3005497433518861E-2</c:v>
                </c:pt>
                <c:pt idx="36">
                  <c:v>-1.2624992769447172E-2</c:v>
                </c:pt>
                <c:pt idx="37">
                  <c:v>-1.2231075935933471E-2</c:v>
                </c:pt>
                <c:pt idx="38">
                  <c:v>-1.2534075633356121E-2</c:v>
                </c:pt>
                <c:pt idx="39">
                  <c:v>-1.2121624401013685E-2</c:v>
                </c:pt>
                <c:pt idx="40">
                  <c:v>-1.1439891430106748E-2</c:v>
                </c:pt>
                <c:pt idx="41">
                  <c:v>-1.127922981929296E-2</c:v>
                </c:pt>
                <c:pt idx="42">
                  <c:v>-1.0880351084757562E-2</c:v>
                </c:pt>
                <c:pt idx="43">
                  <c:v>-8.0634890134727386E-3</c:v>
                </c:pt>
                <c:pt idx="44">
                  <c:v>-6.7351214686954923E-3</c:v>
                </c:pt>
                <c:pt idx="45">
                  <c:v>-4.0752451139770543E-3</c:v>
                </c:pt>
                <c:pt idx="46">
                  <c:v>-2.8161127128429261E-3</c:v>
                </c:pt>
                <c:pt idx="47">
                  <c:v>-8.1811322365547348E-3</c:v>
                </c:pt>
              </c:numCache>
            </c:numRef>
          </c:val>
          <c:extLst xmlns:c16r2="http://schemas.microsoft.com/office/drawing/2015/06/chart">
            <c:ext xmlns:c16="http://schemas.microsoft.com/office/drawing/2014/chart" uri="{C3380CC4-5D6E-409C-BE32-E72D297353CC}">
              <c16:uniqueId val="{00000000-FAE8-4189-8FF6-15DDFBDC60A3}"/>
            </c:ext>
          </c:extLst>
        </c:ser>
        <c:ser>
          <c:idx val="0"/>
          <c:order val="1"/>
          <c:tx>
            <c:v>verejný sektor</c:v>
          </c:tx>
          <c:spPr>
            <a:solidFill>
              <a:schemeClr val="accent1">
                <a:lumMod val="75000"/>
              </a:schemeClr>
            </a:solidFill>
            <a:ln>
              <a:noFill/>
            </a:ln>
            <a:effectLst/>
          </c:spPr>
          <c:invertIfNegative val="0"/>
          <c:cat>
            <c:strRef>
              <c:f>'nová veková štruktúra s OZ'!$G$2:$G$50</c:f>
              <c:strCache>
                <c:ptCount val="49"/>
                <c:pt idx="0">
                  <c:v>do 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nad 64</c:v>
                </c:pt>
                <c:pt idx="48">
                  <c:v>nad 64</c:v>
                </c:pt>
              </c:strCache>
            </c:strRef>
          </c:cat>
          <c:val>
            <c:numRef>
              <c:f>'nová veková štruktúra bez OZ'!$J$2:$J$50</c:f>
              <c:numCache>
                <c:formatCode>0.00%</c:formatCode>
                <c:ptCount val="49"/>
                <c:pt idx="0">
                  <c:v>9.2992615874938159E-5</c:v>
                </c:pt>
                <c:pt idx="1">
                  <c:v>5.0926343733251529E-4</c:v>
                </c:pt>
                <c:pt idx="2">
                  <c:v>1.339389228107148E-3</c:v>
                </c:pt>
                <c:pt idx="3">
                  <c:v>1.6421605565638008E-3</c:v>
                </c:pt>
                <c:pt idx="4">
                  <c:v>2.4334820511931208E-3</c:v>
                </c:pt>
                <c:pt idx="5">
                  <c:v>3.2085294563015715E-3</c:v>
                </c:pt>
                <c:pt idx="6">
                  <c:v>5.2209855700856662E-3</c:v>
                </c:pt>
                <c:pt idx="7">
                  <c:v>7.1205789472952846E-3</c:v>
                </c:pt>
                <c:pt idx="8">
                  <c:v>9.1985981731759724E-3</c:v>
                </c:pt>
                <c:pt idx="9">
                  <c:v>9.8020268167292798E-3</c:v>
                </c:pt>
                <c:pt idx="10">
                  <c:v>9.8248309937532807E-3</c:v>
                </c:pt>
                <c:pt idx="11">
                  <c:v>9.5498781212260651E-3</c:v>
                </c:pt>
                <c:pt idx="12">
                  <c:v>9.6496802162056097E-3</c:v>
                </c:pt>
                <c:pt idx="13">
                  <c:v>9.8141119417447659E-3</c:v>
                </c:pt>
                <c:pt idx="14">
                  <c:v>1.0945313119988514E-2</c:v>
                </c:pt>
                <c:pt idx="15">
                  <c:v>1.0823956605520267E-2</c:v>
                </c:pt>
                <c:pt idx="16">
                  <c:v>1.0938243986525143E-2</c:v>
                </c:pt>
                <c:pt idx="17">
                  <c:v>1.1738993707309813E-2</c:v>
                </c:pt>
                <c:pt idx="18">
                  <c:v>1.3100388656083664E-2</c:v>
                </c:pt>
                <c:pt idx="19">
                  <c:v>1.3354147487699886E-2</c:v>
                </c:pt>
                <c:pt idx="20">
                  <c:v>1.6244063160262882E-2</c:v>
                </c:pt>
                <c:pt idx="21">
                  <c:v>1.7683374093712494E-2</c:v>
                </c:pt>
                <c:pt idx="22">
                  <c:v>1.846358002872046E-2</c:v>
                </c:pt>
                <c:pt idx="23">
                  <c:v>1.9324965516501952E-2</c:v>
                </c:pt>
                <c:pt idx="24">
                  <c:v>1.9611815024856098E-2</c:v>
                </c:pt>
                <c:pt idx="25">
                  <c:v>2.0489496229407569E-2</c:v>
                </c:pt>
                <c:pt idx="26">
                  <c:v>1.995535289179251E-2</c:v>
                </c:pt>
                <c:pt idx="27">
                  <c:v>1.988512798866551E-2</c:v>
                </c:pt>
                <c:pt idx="28">
                  <c:v>1.8873494060582093E-2</c:v>
                </c:pt>
                <c:pt idx="29">
                  <c:v>1.9401174169271881E-2</c:v>
                </c:pt>
                <c:pt idx="30">
                  <c:v>1.8955523089895801E-2</c:v>
                </c:pt>
                <c:pt idx="31">
                  <c:v>1.7594854717260276E-2</c:v>
                </c:pt>
                <c:pt idx="32">
                  <c:v>1.8863705623440079E-2</c:v>
                </c:pt>
                <c:pt idx="33">
                  <c:v>1.9716687491767644E-2</c:v>
                </c:pt>
                <c:pt idx="34">
                  <c:v>2.1059749614547214E-2</c:v>
                </c:pt>
                <c:pt idx="35">
                  <c:v>2.234207657340103E-2</c:v>
                </c:pt>
                <c:pt idx="36">
                  <c:v>2.1875210795886734E-2</c:v>
                </c:pt>
                <c:pt idx="37">
                  <c:v>2.0886320279794215E-2</c:v>
                </c:pt>
                <c:pt idx="38">
                  <c:v>2.1865706435868347E-2</c:v>
                </c:pt>
                <c:pt idx="39">
                  <c:v>2.1562665119055024E-2</c:v>
                </c:pt>
                <c:pt idx="40">
                  <c:v>2.1988914925852136E-2</c:v>
                </c:pt>
                <c:pt idx="41">
                  <c:v>2.2133490782398065E-2</c:v>
                </c:pt>
                <c:pt idx="42">
                  <c:v>2.022145214186646E-2</c:v>
                </c:pt>
                <c:pt idx="43">
                  <c:v>1.6429308406813229E-2</c:v>
                </c:pt>
                <c:pt idx="44">
                  <c:v>1.1799224013209663E-2</c:v>
                </c:pt>
                <c:pt idx="45">
                  <c:v>8.0238944024362702E-3</c:v>
                </c:pt>
                <c:pt idx="46">
                  <c:v>5.5099328249859801E-3</c:v>
                </c:pt>
                <c:pt idx="47">
                  <c:v>1.463101749303054E-2</c:v>
                </c:pt>
              </c:numCache>
            </c:numRef>
          </c:val>
          <c:extLst xmlns:c16r2="http://schemas.microsoft.com/office/drawing/2015/06/chart">
            <c:ext xmlns:c16="http://schemas.microsoft.com/office/drawing/2014/chart" uri="{C3380CC4-5D6E-409C-BE32-E72D297353CC}">
              <c16:uniqueId val="{00000001-FAE8-4189-8FF6-15DDFBDC60A3}"/>
            </c:ext>
          </c:extLst>
        </c:ser>
        <c:ser>
          <c:idx val="1"/>
          <c:order val="2"/>
          <c:tx>
            <c:v>verejný sektor</c:v>
          </c:tx>
          <c:spPr>
            <a:solidFill>
              <a:schemeClr val="accent1">
                <a:lumMod val="60000"/>
                <a:lumOff val="40000"/>
              </a:schemeClr>
            </a:solidFill>
            <a:ln>
              <a:noFill/>
            </a:ln>
            <a:effectLst/>
          </c:spPr>
          <c:invertIfNegative val="0"/>
          <c:cat>
            <c:strRef>
              <c:f>'nová veková štruktúra s OZ'!$G$2:$G$50</c:f>
              <c:strCache>
                <c:ptCount val="49"/>
                <c:pt idx="0">
                  <c:v>do 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nad 64</c:v>
                </c:pt>
                <c:pt idx="48">
                  <c:v>nad 64</c:v>
                </c:pt>
              </c:strCache>
            </c:strRef>
          </c:cat>
          <c:val>
            <c:numRef>
              <c:f>'nová veková štruktúra bez OZ'!$K$2:$K$50</c:f>
              <c:numCache>
                <c:formatCode>0.00%</c:formatCode>
                <c:ptCount val="49"/>
                <c:pt idx="0">
                  <c:v>1.9887448146275197E-4</c:v>
                </c:pt>
                <c:pt idx="1">
                  <c:v>4.8992660543803728E-4</c:v>
                </c:pt>
                <c:pt idx="2">
                  <c:v>1.1332947115547927E-3</c:v>
                </c:pt>
                <c:pt idx="3">
                  <c:v>1.6084769852342156E-3</c:v>
                </c:pt>
                <c:pt idx="4">
                  <c:v>1.7117212959965413E-3</c:v>
                </c:pt>
                <c:pt idx="5">
                  <c:v>2.1643426924284415E-3</c:v>
                </c:pt>
                <c:pt idx="6">
                  <c:v>3.1180435607409719E-3</c:v>
                </c:pt>
                <c:pt idx="7">
                  <c:v>3.7482482034718323E-3</c:v>
                </c:pt>
                <c:pt idx="8">
                  <c:v>4.4358393593768395E-3</c:v>
                </c:pt>
                <c:pt idx="9">
                  <c:v>4.6533883171824128E-3</c:v>
                </c:pt>
                <c:pt idx="10">
                  <c:v>5.2143653196846688E-3</c:v>
                </c:pt>
                <c:pt idx="11">
                  <c:v>5.8027129360184535E-3</c:v>
                </c:pt>
                <c:pt idx="12">
                  <c:v>5.7734194080728786E-3</c:v>
                </c:pt>
                <c:pt idx="13">
                  <c:v>5.8888146097453862E-3</c:v>
                </c:pt>
                <c:pt idx="14">
                  <c:v>6.096091814880189E-3</c:v>
                </c:pt>
                <c:pt idx="15">
                  <c:v>6.3649287644205362E-3</c:v>
                </c:pt>
                <c:pt idx="16">
                  <c:v>6.3138843411571369E-3</c:v>
                </c:pt>
                <c:pt idx="17">
                  <c:v>6.5707512549051982E-3</c:v>
                </c:pt>
                <c:pt idx="18">
                  <c:v>6.1208064013562056E-3</c:v>
                </c:pt>
                <c:pt idx="19">
                  <c:v>6.8506286465893022E-3</c:v>
                </c:pt>
                <c:pt idx="20">
                  <c:v>7.376220753794514E-3</c:v>
                </c:pt>
                <c:pt idx="21">
                  <c:v>7.4388991421598522E-3</c:v>
                </c:pt>
                <c:pt idx="22">
                  <c:v>9.0704182454810055E-3</c:v>
                </c:pt>
                <c:pt idx="23">
                  <c:v>8.5364560459980678E-3</c:v>
                </c:pt>
                <c:pt idx="24">
                  <c:v>8.8951244967047875E-3</c:v>
                </c:pt>
                <c:pt idx="25">
                  <c:v>9.3251944782361783E-3</c:v>
                </c:pt>
                <c:pt idx="26">
                  <c:v>8.7977971427866831E-3</c:v>
                </c:pt>
                <c:pt idx="27">
                  <c:v>8.4574181153799204E-3</c:v>
                </c:pt>
                <c:pt idx="28">
                  <c:v>8.3206733887771084E-3</c:v>
                </c:pt>
                <c:pt idx="29">
                  <c:v>8.1931077734180655E-3</c:v>
                </c:pt>
                <c:pt idx="30">
                  <c:v>8.3263672812825072E-3</c:v>
                </c:pt>
                <c:pt idx="31">
                  <c:v>8.3524232312047978E-3</c:v>
                </c:pt>
                <c:pt idx="32">
                  <c:v>7.9750383025552901E-3</c:v>
                </c:pt>
                <c:pt idx="33">
                  <c:v>9.4171086833801706E-3</c:v>
                </c:pt>
                <c:pt idx="34">
                  <c:v>9.7548534207485011E-3</c:v>
                </c:pt>
                <c:pt idx="35">
                  <c:v>1.0052023562214478E-2</c:v>
                </c:pt>
                <c:pt idx="36">
                  <c:v>9.8395728741600026E-3</c:v>
                </c:pt>
                <c:pt idx="37">
                  <c:v>9.8631753945328422E-3</c:v>
                </c:pt>
                <c:pt idx="38">
                  <c:v>1.0591808279002276E-2</c:v>
                </c:pt>
                <c:pt idx="39">
                  <c:v>9.9718289141128742E-3</c:v>
                </c:pt>
                <c:pt idx="40">
                  <c:v>1.0236797536774487E-2</c:v>
                </c:pt>
                <c:pt idx="41">
                  <c:v>1.0299006834300597E-2</c:v>
                </c:pt>
                <c:pt idx="42">
                  <c:v>1.0932103519879822E-2</c:v>
                </c:pt>
                <c:pt idx="43">
                  <c:v>8.5416754547516446E-3</c:v>
                </c:pt>
                <c:pt idx="44">
                  <c:v>7.3018318740461288E-3</c:v>
                </c:pt>
                <c:pt idx="45">
                  <c:v>5.2280406859036739E-3</c:v>
                </c:pt>
                <c:pt idx="46">
                  <c:v>4.55334048784963E-3</c:v>
                </c:pt>
                <c:pt idx="47">
                  <c:v>1.4393404786849194E-2</c:v>
                </c:pt>
              </c:numCache>
            </c:numRef>
          </c:val>
          <c:extLst xmlns:c16r2="http://schemas.microsoft.com/office/drawing/2015/06/chart">
            <c:ext xmlns:c16="http://schemas.microsoft.com/office/drawing/2014/chart" uri="{C3380CC4-5D6E-409C-BE32-E72D297353CC}">
              <c16:uniqueId val="{00000002-FAE8-4189-8FF6-15DDFBDC60A3}"/>
            </c:ext>
          </c:extLst>
        </c:ser>
        <c:ser>
          <c:idx val="2"/>
          <c:order val="3"/>
          <c:tx>
            <c:v>súkromný sektor</c:v>
          </c:tx>
          <c:spPr>
            <a:solidFill>
              <a:schemeClr val="accent3"/>
            </a:solidFill>
            <a:ln>
              <a:noFill/>
            </a:ln>
            <a:effectLst/>
          </c:spPr>
          <c:invertIfNegative val="0"/>
          <c:cat>
            <c:strRef>
              <c:f>'nová veková štruktúra s OZ'!$G$2:$G$50</c:f>
              <c:strCache>
                <c:ptCount val="49"/>
                <c:pt idx="0">
                  <c:v>do 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nad 64</c:v>
                </c:pt>
                <c:pt idx="48">
                  <c:v>nad 64</c:v>
                </c:pt>
              </c:strCache>
            </c:strRef>
          </c:cat>
          <c:val>
            <c:numRef>
              <c:f>'nová veková štruktúra bez OZ'!$I$2:$I$50</c:f>
              <c:numCache>
                <c:formatCode>0.00%</c:formatCode>
                <c:ptCount val="49"/>
                <c:pt idx="0">
                  <c:v>-5.7042150357338155E-4</c:v>
                </c:pt>
                <c:pt idx="1">
                  <c:v>-1.915086097872267E-3</c:v>
                </c:pt>
                <c:pt idx="2">
                  <c:v>-3.814575410397376E-3</c:v>
                </c:pt>
                <c:pt idx="3">
                  <c:v>-5.0403359477352375E-3</c:v>
                </c:pt>
                <c:pt idx="4">
                  <c:v>-5.4297112140298566E-3</c:v>
                </c:pt>
                <c:pt idx="5">
                  <c:v>-6.2618805780882102E-3</c:v>
                </c:pt>
                <c:pt idx="6">
                  <c:v>-8.4621621195624976E-3</c:v>
                </c:pt>
                <c:pt idx="7">
                  <c:v>-9.9031736146717262E-3</c:v>
                </c:pt>
                <c:pt idx="8">
                  <c:v>-1.0482066220888635E-2</c:v>
                </c:pt>
                <c:pt idx="9">
                  <c:v>-1.1046705047606556E-2</c:v>
                </c:pt>
                <c:pt idx="10">
                  <c:v>-1.0133312581582475E-2</c:v>
                </c:pt>
                <c:pt idx="11">
                  <c:v>-9.7342175393242067E-3</c:v>
                </c:pt>
                <c:pt idx="12">
                  <c:v>-1.0188710664402334E-2</c:v>
                </c:pt>
                <c:pt idx="13">
                  <c:v>-9.9516605166530235E-3</c:v>
                </c:pt>
                <c:pt idx="14">
                  <c:v>-9.5870059149817596E-3</c:v>
                </c:pt>
                <c:pt idx="15">
                  <c:v>-9.4518953057790567E-3</c:v>
                </c:pt>
                <c:pt idx="16">
                  <c:v>-9.7439723990968927E-3</c:v>
                </c:pt>
                <c:pt idx="17">
                  <c:v>-1.0008231934182234E-2</c:v>
                </c:pt>
                <c:pt idx="18">
                  <c:v>-1.035495466458989E-2</c:v>
                </c:pt>
                <c:pt idx="19">
                  <c:v>-1.1156940573333187E-2</c:v>
                </c:pt>
                <c:pt idx="20">
                  <c:v>-1.1979081732076515E-2</c:v>
                </c:pt>
                <c:pt idx="21">
                  <c:v>-1.2421619810694912E-2</c:v>
                </c:pt>
                <c:pt idx="22">
                  <c:v>-1.2191261930396546E-2</c:v>
                </c:pt>
                <c:pt idx="23">
                  <c:v>-1.304027591504534E-2</c:v>
                </c:pt>
                <c:pt idx="24">
                  <c:v>-1.3203324804380209E-2</c:v>
                </c:pt>
                <c:pt idx="25">
                  <c:v>-1.2743796134156955E-2</c:v>
                </c:pt>
                <c:pt idx="26">
                  <c:v>-1.2854881498702194E-2</c:v>
                </c:pt>
                <c:pt idx="27">
                  <c:v>-1.1965424955559127E-2</c:v>
                </c:pt>
                <c:pt idx="28">
                  <c:v>-1.1553967183873838E-2</c:v>
                </c:pt>
                <c:pt idx="29">
                  <c:v>-1.0744404586221848E-2</c:v>
                </c:pt>
                <c:pt idx="30">
                  <c:v>-1.0353931828037203E-2</c:v>
                </c:pt>
                <c:pt idx="31">
                  <c:v>-9.9830728937580684E-3</c:v>
                </c:pt>
                <c:pt idx="32">
                  <c:v>-9.8387127957028173E-3</c:v>
                </c:pt>
                <c:pt idx="33">
                  <c:v>-1.0746193661946858E-2</c:v>
                </c:pt>
                <c:pt idx="34">
                  <c:v>-1.0472832601517842E-2</c:v>
                </c:pt>
                <c:pt idx="35">
                  <c:v>-1.0309963272608498E-2</c:v>
                </c:pt>
                <c:pt idx="36">
                  <c:v>-1.0388646314175458E-2</c:v>
                </c:pt>
                <c:pt idx="37">
                  <c:v>-9.6193884582814661E-3</c:v>
                </c:pt>
                <c:pt idx="38">
                  <c:v>-9.8260197988655172E-3</c:v>
                </c:pt>
                <c:pt idx="39">
                  <c:v>-9.4471725158119576E-3</c:v>
                </c:pt>
                <c:pt idx="40">
                  <c:v>-8.7307847871307184E-3</c:v>
                </c:pt>
                <c:pt idx="41">
                  <c:v>-8.7147555478580621E-3</c:v>
                </c:pt>
                <c:pt idx="42">
                  <c:v>-7.1664663841932682E-3</c:v>
                </c:pt>
                <c:pt idx="43">
                  <c:v>-5.1077295706701839E-3</c:v>
                </c:pt>
                <c:pt idx="44">
                  <c:v>-3.0627907628108146E-3</c:v>
                </c:pt>
                <c:pt idx="45">
                  <c:v>-2.0688535638956132E-3</c:v>
                </c:pt>
                <c:pt idx="46">
                  <c:v>-1.4140666574517305E-3</c:v>
                </c:pt>
                <c:pt idx="47">
                  <c:v>-4.50661689400534E-3</c:v>
                </c:pt>
              </c:numCache>
            </c:numRef>
          </c:val>
          <c:extLst xmlns:c16r2="http://schemas.microsoft.com/office/drawing/2015/06/chart">
            <c:ext xmlns:c16="http://schemas.microsoft.com/office/drawing/2014/chart" uri="{C3380CC4-5D6E-409C-BE32-E72D297353CC}">
              <c16:uniqueId val="{00000003-FAE8-4189-8FF6-15DDFBDC60A3}"/>
            </c:ext>
          </c:extLst>
        </c:ser>
        <c:dLbls>
          <c:showLegendKey val="0"/>
          <c:showVal val="0"/>
          <c:showCatName val="0"/>
          <c:showSerName val="0"/>
          <c:showPercent val="0"/>
          <c:showBubbleSize val="0"/>
        </c:dLbls>
        <c:gapWidth val="105"/>
        <c:overlap val="100"/>
        <c:axId val="224345272"/>
        <c:axId val="224345664"/>
      </c:barChart>
      <c:catAx>
        <c:axId val="224345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345664"/>
        <c:crossesAt val="-6.0000000000000012E-2"/>
        <c:auto val="1"/>
        <c:lblAlgn val="ctr"/>
        <c:lblOffset val="100"/>
        <c:noMultiLvlLbl val="0"/>
      </c:catAx>
      <c:valAx>
        <c:axId val="224345664"/>
        <c:scaling>
          <c:orientation val="minMax"/>
          <c:max val="4.0000000000000008E-2"/>
          <c:min val="-4.0000000000000008E-2"/>
        </c:scaling>
        <c:delete val="0"/>
        <c:axPos val="b"/>
        <c:majorGridlines>
          <c:spPr>
            <a:ln w="9525" cap="flat" cmpd="sng" algn="ctr">
              <a:solidFill>
                <a:schemeClr val="bg1">
                  <a:lumMod val="75000"/>
                </a:schemeClr>
              </a:solidFill>
              <a:prstDash val="dash"/>
              <a:round/>
            </a:ln>
            <a:effectLst/>
          </c:spPr>
        </c:majorGridlines>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345272"/>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0.3185914714028622"/>
          <c:y val="1.6217463262952005E-2"/>
          <c:w val="0.36514707682265107"/>
          <c:h val="5.336023295595513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05462979918208"/>
          <c:y val="8.1320589278371158E-2"/>
          <c:w val="0.86283684306903496"/>
          <c:h val="0.54777475832929012"/>
        </c:manualLayout>
      </c:layout>
      <c:barChart>
        <c:barDir val="col"/>
        <c:grouping val="percentStacked"/>
        <c:varyColors val="0"/>
        <c:ser>
          <c:idx val="0"/>
          <c:order val="0"/>
          <c:tx>
            <c:strRef>
              <c:f>graf!$A$4</c:f>
              <c:strCache>
                <c:ptCount val="1"/>
                <c:pt idx="0">
                  <c:v>Muži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graf!$D$2:$I$3</c:f>
              <c:multiLvlStrCache>
                <c:ptCount val="6"/>
                <c:lvl>
                  <c:pt idx="0">
                    <c:v>verejný</c:v>
                  </c:pt>
                  <c:pt idx="1">
                    <c:v>súkromný </c:v>
                  </c:pt>
                  <c:pt idx="2">
                    <c:v>verejný</c:v>
                  </c:pt>
                  <c:pt idx="3">
                    <c:v>súkromný</c:v>
                  </c:pt>
                  <c:pt idx="4">
                    <c:v>verejný</c:v>
                  </c:pt>
                  <c:pt idx="5">
                    <c:v>súkromný</c:v>
                  </c:pt>
                </c:lvl>
                <c:lvl>
                  <c:pt idx="0">
                    <c:v>spolu</c:v>
                  </c:pt>
                  <c:pt idx="2">
                    <c:v>zdravotníctvo a školstvo</c:v>
                  </c:pt>
                  <c:pt idx="4">
                    <c:v>bez zdravotníctva a školstva</c:v>
                  </c:pt>
                </c:lvl>
              </c:multiLvlStrCache>
            </c:multiLvlStrRef>
          </c:cat>
          <c:val>
            <c:numRef>
              <c:f>graf!$D$4:$I$4</c:f>
              <c:numCache>
                <c:formatCode>0%</c:formatCode>
                <c:ptCount val="6"/>
                <c:pt idx="0">
                  <c:v>0.33430027041600202</c:v>
                </c:pt>
                <c:pt idx="1">
                  <c:v>0.57230694329182052</c:v>
                </c:pt>
                <c:pt idx="2">
                  <c:v>0.21100075558153988</c:v>
                </c:pt>
                <c:pt idx="3">
                  <c:v>0.22764264369661283</c:v>
                </c:pt>
                <c:pt idx="4">
                  <c:v>0.44352245801938872</c:v>
                </c:pt>
                <c:pt idx="5">
                  <c:v>0.59234995407740232</c:v>
                </c:pt>
              </c:numCache>
            </c:numRef>
          </c:val>
          <c:extLst xmlns:c16r2="http://schemas.microsoft.com/office/drawing/2015/06/chart">
            <c:ext xmlns:c16="http://schemas.microsoft.com/office/drawing/2014/chart" uri="{C3380CC4-5D6E-409C-BE32-E72D297353CC}">
              <c16:uniqueId val="{00000000-D555-441B-B2BB-51E5B3ACDB62}"/>
            </c:ext>
          </c:extLst>
        </c:ser>
        <c:ser>
          <c:idx val="1"/>
          <c:order val="1"/>
          <c:tx>
            <c:strRef>
              <c:f>graf!$A$5</c:f>
              <c:strCache>
                <c:ptCount val="1"/>
                <c:pt idx="0">
                  <c:v>Ženy</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graf!$D$2:$I$3</c:f>
              <c:multiLvlStrCache>
                <c:ptCount val="6"/>
                <c:lvl>
                  <c:pt idx="0">
                    <c:v>verejný</c:v>
                  </c:pt>
                  <c:pt idx="1">
                    <c:v>súkromný </c:v>
                  </c:pt>
                  <c:pt idx="2">
                    <c:v>verejný</c:v>
                  </c:pt>
                  <c:pt idx="3">
                    <c:v>súkromný</c:v>
                  </c:pt>
                  <c:pt idx="4">
                    <c:v>verejný</c:v>
                  </c:pt>
                  <c:pt idx="5">
                    <c:v>súkromný</c:v>
                  </c:pt>
                </c:lvl>
                <c:lvl>
                  <c:pt idx="0">
                    <c:v>spolu</c:v>
                  </c:pt>
                  <c:pt idx="2">
                    <c:v>zdravotníctvo a školstvo</c:v>
                  </c:pt>
                  <c:pt idx="4">
                    <c:v>bez zdravotníctva a školstva</c:v>
                  </c:pt>
                </c:lvl>
              </c:multiLvlStrCache>
            </c:multiLvlStrRef>
          </c:cat>
          <c:val>
            <c:numRef>
              <c:f>graf!$D$5:$I$5</c:f>
              <c:numCache>
                <c:formatCode>0%</c:formatCode>
                <c:ptCount val="6"/>
                <c:pt idx="0">
                  <c:v>0.66569972958399792</c:v>
                </c:pt>
                <c:pt idx="1">
                  <c:v>0.42769305670817953</c:v>
                </c:pt>
                <c:pt idx="2">
                  <c:v>0.78899924441846014</c:v>
                </c:pt>
                <c:pt idx="3">
                  <c:v>0.7723573563033872</c:v>
                </c:pt>
                <c:pt idx="4">
                  <c:v>0.55647754198061139</c:v>
                </c:pt>
                <c:pt idx="5">
                  <c:v>0.40765004592259768</c:v>
                </c:pt>
              </c:numCache>
            </c:numRef>
          </c:val>
          <c:extLst xmlns:c16r2="http://schemas.microsoft.com/office/drawing/2015/06/chart">
            <c:ext xmlns:c16="http://schemas.microsoft.com/office/drawing/2014/chart" uri="{C3380CC4-5D6E-409C-BE32-E72D297353CC}">
              <c16:uniqueId val="{00000001-D555-441B-B2BB-51E5B3ACDB62}"/>
            </c:ext>
          </c:extLst>
        </c:ser>
        <c:dLbls>
          <c:showLegendKey val="0"/>
          <c:showVal val="0"/>
          <c:showCatName val="0"/>
          <c:showSerName val="0"/>
          <c:showPercent val="0"/>
          <c:showBubbleSize val="0"/>
        </c:dLbls>
        <c:gapWidth val="72"/>
        <c:overlap val="100"/>
        <c:axId val="224346840"/>
        <c:axId val="224347232"/>
      </c:barChart>
      <c:catAx>
        <c:axId val="2243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4347232"/>
        <c:crosses val="autoZero"/>
        <c:auto val="1"/>
        <c:lblAlgn val="ctr"/>
        <c:lblOffset val="100"/>
        <c:tickMarkSkip val="1"/>
        <c:noMultiLvlLbl val="0"/>
      </c:catAx>
      <c:valAx>
        <c:axId val="224347232"/>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4346840"/>
        <c:crosses val="autoZero"/>
        <c:crossBetween val="between"/>
      </c:valAx>
      <c:spPr>
        <a:noFill/>
        <a:ln>
          <a:noFill/>
        </a:ln>
        <a:effectLst/>
      </c:spPr>
    </c:plotArea>
    <c:legend>
      <c:legendPos val="b"/>
      <c:layout>
        <c:manualLayout>
          <c:xMode val="edge"/>
          <c:yMode val="edge"/>
          <c:x val="0.25059967362936375"/>
          <c:y val="1.8841503612822091E-2"/>
          <c:w val="0.50402999201670007"/>
          <c:h val="4.71596756401581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182602174728164E-2"/>
          <c:y val="4.2759961127308101E-2"/>
          <c:w val="0.91245519310086243"/>
          <c:h val="0.75318769364355775"/>
        </c:manualLayout>
      </c:layout>
      <c:barChart>
        <c:barDir val="col"/>
        <c:grouping val="clustered"/>
        <c:varyColors val="0"/>
        <c:ser>
          <c:idx val="0"/>
          <c:order val="0"/>
          <c:tx>
            <c:strRef>
              <c:f>Graf_1!$B$5</c:f>
              <c:strCache>
                <c:ptCount val="1"/>
                <c:pt idx="0">
                  <c:v>podiel 2018</c:v>
                </c:pt>
              </c:strCache>
            </c:strRef>
          </c:tx>
          <c:spPr>
            <a:solidFill>
              <a:srgbClr val="00B0F0"/>
            </a:solidFill>
            <a:ln>
              <a:noFill/>
            </a:ln>
          </c:spPr>
          <c:invertIfNegative val="0"/>
          <c:dPt>
            <c:idx val="18"/>
            <c:invertIfNegative val="0"/>
            <c:bubble3D val="0"/>
          </c:dPt>
          <c:dPt>
            <c:idx val="19"/>
            <c:invertIfNegative val="0"/>
            <c:bubble3D val="0"/>
          </c:dPt>
          <c:dPt>
            <c:idx val="20"/>
            <c:invertIfNegative val="0"/>
            <c:bubble3D val="0"/>
          </c:dPt>
          <c:dPt>
            <c:idx val="21"/>
            <c:invertIfNegative val="0"/>
            <c:bubble3D val="0"/>
          </c:dPt>
          <c:dPt>
            <c:idx val="22"/>
            <c:invertIfNegative val="0"/>
            <c:bubble3D val="0"/>
            <c:spPr>
              <a:solidFill>
                <a:srgbClr val="002060"/>
              </a:solidFill>
              <a:ln>
                <a:noFill/>
              </a:ln>
            </c:spPr>
          </c:dPt>
          <c:dLbls>
            <c:dLbl>
              <c:idx val="22"/>
              <c:layout>
                <c:manualLayout>
                  <c:x val="0"/>
                  <c:y val="-4.25453397272709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sk-SK"/>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Graf_1!$A$6:$A$33</c:f>
              <c:strCache>
                <c:ptCount val="28"/>
                <c:pt idx="0">
                  <c:v>Dánsko</c:v>
                </c:pt>
                <c:pt idx="1">
                  <c:v>Švédsko</c:v>
                </c:pt>
                <c:pt idx="2">
                  <c:v>Francúzko</c:v>
                </c:pt>
                <c:pt idx="3">
                  <c:v>Fínsko</c:v>
                </c:pt>
                <c:pt idx="4">
                  <c:v>Belgicko</c:v>
                </c:pt>
                <c:pt idx="5">
                  <c:v>Grécko</c:v>
                </c:pt>
                <c:pt idx="6">
                  <c:v>Cyprus</c:v>
                </c:pt>
                <c:pt idx="7">
                  <c:v>Chorvátsko</c:v>
                </c:pt>
                <c:pt idx="8">
                  <c:v>Estónsko</c:v>
                </c:pt>
                <c:pt idx="9">
                  <c:v>Malta</c:v>
                </c:pt>
                <c:pt idx="10">
                  <c:v>Slovinsko</c:v>
                </c:pt>
                <c:pt idx="11">
                  <c:v>Rumunsko</c:v>
                </c:pt>
                <c:pt idx="12">
                  <c:v>Portugalsko</c:v>
                </c:pt>
                <c:pt idx="13">
                  <c:v>Španielsko</c:v>
                </c:pt>
                <c:pt idx="14">
                  <c:v>Maďarsko</c:v>
                </c:pt>
                <c:pt idx="15">
                  <c:v>Rakúsko</c:v>
                </c:pt>
                <c:pt idx="16">
                  <c:v>Lotyšsko</c:v>
                </c:pt>
                <c:pt idx="17">
                  <c:v>Poľsko</c:v>
                </c:pt>
                <c:pt idx="18">
                  <c:v>Litva</c:v>
                </c:pt>
                <c:pt idx="19">
                  <c:v>Taliansko</c:v>
                </c:pt>
                <c:pt idx="20">
                  <c:v>Česká republika</c:v>
                </c:pt>
                <c:pt idx="21">
                  <c:v>Bulharsko</c:v>
                </c:pt>
                <c:pt idx="22">
                  <c:v>Slovensko</c:v>
                </c:pt>
                <c:pt idx="23">
                  <c:v>Luxembursko</c:v>
                </c:pt>
                <c:pt idx="24">
                  <c:v>UK</c:v>
                </c:pt>
                <c:pt idx="25">
                  <c:v>Holandsko</c:v>
                </c:pt>
                <c:pt idx="26">
                  <c:v>Nemecko</c:v>
                </c:pt>
                <c:pt idx="27">
                  <c:v>Írsko</c:v>
                </c:pt>
              </c:strCache>
            </c:strRef>
          </c:cat>
          <c:val>
            <c:numRef>
              <c:f>Graf_1!$B$6:$B$33</c:f>
              <c:numCache>
                <c:formatCode>0.0</c:formatCode>
                <c:ptCount val="28"/>
                <c:pt idx="0">
                  <c:v>15.3</c:v>
                </c:pt>
                <c:pt idx="1">
                  <c:v>12.7</c:v>
                </c:pt>
                <c:pt idx="2">
                  <c:v>12.5</c:v>
                </c:pt>
                <c:pt idx="3">
                  <c:v>12.3</c:v>
                </c:pt>
                <c:pt idx="4">
                  <c:v>12.3</c:v>
                </c:pt>
                <c:pt idx="5">
                  <c:v>11.8</c:v>
                </c:pt>
                <c:pt idx="6">
                  <c:v>11.7</c:v>
                </c:pt>
                <c:pt idx="7">
                  <c:v>11.6</c:v>
                </c:pt>
                <c:pt idx="8">
                  <c:v>11.3</c:v>
                </c:pt>
                <c:pt idx="9">
                  <c:v>11.1</c:v>
                </c:pt>
                <c:pt idx="10">
                  <c:v>11.1</c:v>
                </c:pt>
                <c:pt idx="11">
                  <c:v>11</c:v>
                </c:pt>
                <c:pt idx="12">
                  <c:v>10.7</c:v>
                </c:pt>
                <c:pt idx="13">
                  <c:v>10.6</c:v>
                </c:pt>
                <c:pt idx="14">
                  <c:v>10.5</c:v>
                </c:pt>
                <c:pt idx="15">
                  <c:v>10.4</c:v>
                </c:pt>
                <c:pt idx="16">
                  <c:v>10.3</c:v>
                </c:pt>
                <c:pt idx="17">
                  <c:v>10.199999999999999</c:v>
                </c:pt>
                <c:pt idx="18">
                  <c:v>9.8000000000000007</c:v>
                </c:pt>
                <c:pt idx="19">
                  <c:v>9.8000000000000007</c:v>
                </c:pt>
                <c:pt idx="20">
                  <c:v>9.8000000000000007</c:v>
                </c:pt>
                <c:pt idx="21">
                  <c:v>9.5</c:v>
                </c:pt>
                <c:pt idx="22">
                  <c:v>9.3000000000000007</c:v>
                </c:pt>
                <c:pt idx="23">
                  <c:v>8.9</c:v>
                </c:pt>
                <c:pt idx="24">
                  <c:v>8.9</c:v>
                </c:pt>
                <c:pt idx="25">
                  <c:v>8.3000000000000007</c:v>
                </c:pt>
                <c:pt idx="26">
                  <c:v>7.8</c:v>
                </c:pt>
                <c:pt idx="27">
                  <c:v>6.9</c:v>
                </c:pt>
              </c:numCache>
            </c:numRef>
          </c:val>
        </c:ser>
        <c:dLbls>
          <c:showLegendKey val="0"/>
          <c:showVal val="0"/>
          <c:showCatName val="0"/>
          <c:showSerName val="0"/>
          <c:showPercent val="0"/>
          <c:showBubbleSize val="0"/>
        </c:dLbls>
        <c:gapWidth val="150"/>
        <c:axId val="221621992"/>
        <c:axId val="221622384"/>
      </c:barChart>
      <c:lineChart>
        <c:grouping val="standard"/>
        <c:varyColors val="0"/>
        <c:ser>
          <c:idx val="1"/>
          <c:order val="1"/>
          <c:tx>
            <c:strRef>
              <c:f>Graf_1!$C$5</c:f>
              <c:strCache>
                <c:ptCount val="1"/>
                <c:pt idx="0">
                  <c:v>priemer krajín EÚ</c:v>
                </c:pt>
              </c:strCache>
            </c:strRef>
          </c:tx>
          <c:spPr>
            <a:ln>
              <a:solidFill>
                <a:sysClr val="windowText" lastClr="000000"/>
              </a:solidFill>
            </a:ln>
          </c:spPr>
          <c:marker>
            <c:symbol val="none"/>
          </c:marker>
          <c:dLbls>
            <c:dLbl>
              <c:idx val="27"/>
              <c:layout>
                <c:manualLayout>
                  <c:x val="-3.2002249718785154E-3"/>
                  <c:y val="-3.507587867306060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sk-SK"/>
              </a:p>
            </c:txPr>
            <c:dLblPos val="t"/>
            <c:showLegendKey val="0"/>
            <c:showVal val="0"/>
            <c:showCatName val="0"/>
            <c:showSerName val="0"/>
            <c:showPercent val="0"/>
            <c:showBubbleSize val="0"/>
            <c:extLst>
              <c:ext xmlns:c15="http://schemas.microsoft.com/office/drawing/2012/chart" uri="{CE6537A1-D6FC-4f65-9D91-7224C49458BB}">
                <c15:showLeaderLines val="1"/>
              </c:ext>
            </c:extLst>
          </c:dLbls>
          <c:cat>
            <c:strRef>
              <c:f>Graf_1!$A$6:$A$33</c:f>
              <c:strCache>
                <c:ptCount val="28"/>
                <c:pt idx="0">
                  <c:v>Dánsko</c:v>
                </c:pt>
                <c:pt idx="1">
                  <c:v>Švédsko</c:v>
                </c:pt>
                <c:pt idx="2">
                  <c:v>Francúzko</c:v>
                </c:pt>
                <c:pt idx="3">
                  <c:v>Fínsko</c:v>
                </c:pt>
                <c:pt idx="4">
                  <c:v>Belgicko</c:v>
                </c:pt>
                <c:pt idx="5">
                  <c:v>Grécko</c:v>
                </c:pt>
                <c:pt idx="6">
                  <c:v>Cyprus</c:v>
                </c:pt>
                <c:pt idx="7">
                  <c:v>Chorvátsko</c:v>
                </c:pt>
                <c:pt idx="8">
                  <c:v>Estónsko</c:v>
                </c:pt>
                <c:pt idx="9">
                  <c:v>Malta</c:v>
                </c:pt>
                <c:pt idx="10">
                  <c:v>Slovinsko</c:v>
                </c:pt>
                <c:pt idx="11">
                  <c:v>Rumunsko</c:v>
                </c:pt>
                <c:pt idx="12">
                  <c:v>Portugalsko</c:v>
                </c:pt>
                <c:pt idx="13">
                  <c:v>Španielsko</c:v>
                </c:pt>
                <c:pt idx="14">
                  <c:v>Maďarsko</c:v>
                </c:pt>
                <c:pt idx="15">
                  <c:v>Rakúsko</c:v>
                </c:pt>
                <c:pt idx="16">
                  <c:v>Lotyšsko</c:v>
                </c:pt>
                <c:pt idx="17">
                  <c:v>Poľsko</c:v>
                </c:pt>
                <c:pt idx="18">
                  <c:v>Litva</c:v>
                </c:pt>
                <c:pt idx="19">
                  <c:v>Taliansko</c:v>
                </c:pt>
                <c:pt idx="20">
                  <c:v>Česká republika</c:v>
                </c:pt>
                <c:pt idx="21">
                  <c:v>Bulharsko</c:v>
                </c:pt>
                <c:pt idx="22">
                  <c:v>Slovensko</c:v>
                </c:pt>
                <c:pt idx="23">
                  <c:v>Luxembursko</c:v>
                </c:pt>
                <c:pt idx="24">
                  <c:v>UK</c:v>
                </c:pt>
                <c:pt idx="25">
                  <c:v>Holandsko</c:v>
                </c:pt>
                <c:pt idx="26">
                  <c:v>Nemecko</c:v>
                </c:pt>
                <c:pt idx="27">
                  <c:v>Írsko</c:v>
                </c:pt>
              </c:strCache>
            </c:strRef>
          </c:cat>
          <c:val>
            <c:numRef>
              <c:f>Graf_1!$C$6:$C$33</c:f>
              <c:numCache>
                <c:formatCode>0.0</c:formatCode>
                <c:ptCount val="28"/>
                <c:pt idx="0">
                  <c:v>10.585714285714285</c:v>
                </c:pt>
                <c:pt idx="1">
                  <c:v>10.585714285714285</c:v>
                </c:pt>
                <c:pt idx="2">
                  <c:v>10.585714285714285</c:v>
                </c:pt>
                <c:pt idx="3">
                  <c:v>10.585714285714285</c:v>
                </c:pt>
                <c:pt idx="4">
                  <c:v>10.585714285714285</c:v>
                </c:pt>
                <c:pt idx="5">
                  <c:v>10.585714285714285</c:v>
                </c:pt>
                <c:pt idx="6">
                  <c:v>10.585714285714285</c:v>
                </c:pt>
                <c:pt idx="7">
                  <c:v>10.585714285714285</c:v>
                </c:pt>
                <c:pt idx="8">
                  <c:v>10.585714285714285</c:v>
                </c:pt>
                <c:pt idx="9">
                  <c:v>10.585714285714285</c:v>
                </c:pt>
                <c:pt idx="10">
                  <c:v>10.585714285714285</c:v>
                </c:pt>
                <c:pt idx="11">
                  <c:v>10.585714285714285</c:v>
                </c:pt>
                <c:pt idx="12">
                  <c:v>10.585714285714285</c:v>
                </c:pt>
                <c:pt idx="13">
                  <c:v>10.585714285714285</c:v>
                </c:pt>
                <c:pt idx="14">
                  <c:v>10.585714285714285</c:v>
                </c:pt>
                <c:pt idx="15">
                  <c:v>10.585714285714285</c:v>
                </c:pt>
                <c:pt idx="16">
                  <c:v>10.585714285714285</c:v>
                </c:pt>
                <c:pt idx="17">
                  <c:v>10.585714285714285</c:v>
                </c:pt>
                <c:pt idx="18">
                  <c:v>10.585714285714285</c:v>
                </c:pt>
                <c:pt idx="19">
                  <c:v>10.585714285714285</c:v>
                </c:pt>
                <c:pt idx="20">
                  <c:v>10.585714285714285</c:v>
                </c:pt>
                <c:pt idx="21">
                  <c:v>10.585714285714285</c:v>
                </c:pt>
                <c:pt idx="22">
                  <c:v>10.585714285714285</c:v>
                </c:pt>
                <c:pt idx="23">
                  <c:v>10.585714285714285</c:v>
                </c:pt>
                <c:pt idx="24">
                  <c:v>10.585714285714285</c:v>
                </c:pt>
                <c:pt idx="25">
                  <c:v>10.585714285714285</c:v>
                </c:pt>
                <c:pt idx="26">
                  <c:v>10.585714285714285</c:v>
                </c:pt>
                <c:pt idx="27">
                  <c:v>10.585714285714285</c:v>
                </c:pt>
              </c:numCache>
            </c:numRef>
          </c:val>
          <c:smooth val="0"/>
        </c:ser>
        <c:dLbls>
          <c:showLegendKey val="0"/>
          <c:showVal val="0"/>
          <c:showCatName val="0"/>
          <c:showSerName val="0"/>
          <c:showPercent val="0"/>
          <c:showBubbleSize val="0"/>
        </c:dLbls>
        <c:marker val="1"/>
        <c:smooth val="0"/>
        <c:axId val="221621992"/>
        <c:axId val="221622384"/>
      </c:lineChart>
      <c:catAx>
        <c:axId val="221621992"/>
        <c:scaling>
          <c:orientation val="minMax"/>
        </c:scaling>
        <c:delete val="0"/>
        <c:axPos val="b"/>
        <c:numFmt formatCode="General" sourceLinked="1"/>
        <c:majorTickMark val="none"/>
        <c:minorTickMark val="none"/>
        <c:tickLblPos val="nextTo"/>
        <c:spPr>
          <a:ln>
            <a:solidFill>
              <a:sysClr val="window" lastClr="FFFFFF">
                <a:lumMod val="75000"/>
              </a:sysClr>
            </a:solidFill>
          </a:ln>
        </c:spPr>
        <c:txPr>
          <a:bodyPr rot="-5400000" vert="horz"/>
          <a:lstStyle/>
          <a:p>
            <a:pPr>
              <a:defRPr sz="600"/>
            </a:pPr>
            <a:endParaRPr lang="sk-SK"/>
          </a:p>
        </c:txPr>
        <c:crossAx val="221622384"/>
        <c:crosses val="autoZero"/>
        <c:auto val="1"/>
        <c:lblAlgn val="ctr"/>
        <c:lblOffset val="100"/>
        <c:noMultiLvlLbl val="0"/>
      </c:catAx>
      <c:valAx>
        <c:axId val="221622384"/>
        <c:scaling>
          <c:orientation val="minMax"/>
          <c:min val="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a:lstStyle/>
          <a:p>
            <a:pPr>
              <a:defRPr sz="800"/>
            </a:pPr>
            <a:endParaRPr lang="sk-SK"/>
          </a:p>
        </c:txPr>
        <c:crossAx val="221621992"/>
        <c:crosses val="autoZero"/>
        <c:crossBetween val="between"/>
      </c:valAx>
      <c:spPr>
        <a:noFill/>
        <a:ln>
          <a:noFill/>
        </a:ln>
      </c:spPr>
    </c:plotArea>
    <c:legend>
      <c:legendPos val="r"/>
      <c:legendEntry>
        <c:idx val="0"/>
        <c:delete val="1"/>
      </c:legendEntry>
      <c:layout>
        <c:manualLayout>
          <c:xMode val="edge"/>
          <c:yMode val="edge"/>
          <c:x val="0.31347469066366701"/>
          <c:y val="5.8455587788368561E-2"/>
          <c:w val="0.46814398200224983"/>
          <c:h val="8.6096343220255361E-2"/>
        </c:manualLayout>
      </c:layout>
      <c:overlay val="0"/>
    </c:legend>
    <c:plotVisOnly val="1"/>
    <c:dispBlanksAs val="gap"/>
    <c:showDLblsOverMax val="0"/>
  </c:chart>
  <c:spPr>
    <a:ln>
      <a:noFill/>
    </a:ln>
  </c:spPr>
  <c:txPr>
    <a:bodyPr/>
    <a:lstStyle/>
    <a:p>
      <a:pPr>
        <a:defRPr sz="900">
          <a:latin typeface="Arial Narrow" pitchFamily="34" charset="0"/>
        </a:defRPr>
      </a:pPr>
      <a:endParaRPr lang="sk-SK"/>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25208564997126"/>
          <c:y val="3.6438918643136739E-2"/>
          <c:w val="0.83668509163523253"/>
          <c:h val="0.90237604181528952"/>
        </c:manualLayout>
      </c:layout>
      <c:lineChart>
        <c:grouping val="standard"/>
        <c:varyColors val="0"/>
        <c:ser>
          <c:idx val="0"/>
          <c:order val="0"/>
          <c:tx>
            <c:strRef>
              <c:f>'tenure graf'!$I$4</c:f>
              <c:strCache>
                <c:ptCount val="1"/>
                <c:pt idx="0">
                  <c:v>súkromný bez zdravotníctva a školstva</c:v>
                </c:pt>
              </c:strCache>
            </c:strRef>
          </c:tx>
          <c:spPr>
            <a:ln w="28575" cap="rnd">
              <a:solidFill>
                <a:schemeClr val="tx1"/>
              </a:solidFill>
              <a:round/>
            </a:ln>
            <a:effectLst/>
          </c:spPr>
          <c:marker>
            <c:symbol val="none"/>
          </c:marker>
          <c:cat>
            <c:numRef>
              <c:f>'tenure graf'!$H$5:$H$55</c:f>
              <c:numCache>
                <c:formatCode>General</c:formatCode>
                <c:ptCount val="51"/>
                <c:pt idx="0">
                  <c:v>0</c:v>
                </c:pt>
                <c:pt idx="5">
                  <c:v>5</c:v>
                </c:pt>
                <c:pt idx="10">
                  <c:v>10</c:v>
                </c:pt>
                <c:pt idx="15">
                  <c:v>15</c:v>
                </c:pt>
                <c:pt idx="20">
                  <c:v>20</c:v>
                </c:pt>
                <c:pt idx="25">
                  <c:v>25</c:v>
                </c:pt>
                <c:pt idx="30">
                  <c:v>30</c:v>
                </c:pt>
                <c:pt idx="35">
                  <c:v>35</c:v>
                </c:pt>
                <c:pt idx="40">
                  <c:v>40</c:v>
                </c:pt>
                <c:pt idx="45">
                  <c:v>45</c:v>
                </c:pt>
              </c:numCache>
            </c:numRef>
          </c:cat>
          <c:val>
            <c:numRef>
              <c:f>'tenure graf'!$I$5:$I$48</c:f>
              <c:numCache>
                <c:formatCode>0%</c:formatCode>
                <c:ptCount val="44"/>
                <c:pt idx="0">
                  <c:v>1</c:v>
                </c:pt>
                <c:pt idx="1">
                  <c:v>0.78588358852844142</c:v>
                </c:pt>
                <c:pt idx="2">
                  <c:v>0.64555013071450718</c:v>
                </c:pt>
                <c:pt idx="3">
                  <c:v>0.55498554265956712</c:v>
                </c:pt>
                <c:pt idx="4">
                  <c:v>0.49476720417130926</c:v>
                </c:pt>
                <c:pt idx="5">
                  <c:v>0.44599163429660516</c:v>
                </c:pt>
                <c:pt idx="6">
                  <c:v>0.40722011777695943</c:v>
                </c:pt>
                <c:pt idx="7">
                  <c:v>0.36647443203050367</c:v>
                </c:pt>
                <c:pt idx="8">
                  <c:v>0.33077819313295476</c:v>
                </c:pt>
                <c:pt idx="9">
                  <c:v>0.30390599401648188</c:v>
                </c:pt>
                <c:pt idx="10">
                  <c:v>0.27017343982273101</c:v>
                </c:pt>
                <c:pt idx="11">
                  <c:v>0.23565477129729373</c:v>
                </c:pt>
                <c:pt idx="12">
                  <c:v>0.20399156979462985</c:v>
                </c:pt>
                <c:pt idx="13">
                  <c:v>0.17902446474037714</c:v>
                </c:pt>
                <c:pt idx="14">
                  <c:v>0.15948374851889435</c:v>
                </c:pt>
                <c:pt idx="15">
                  <c:v>0.14356719650178373</c:v>
                </c:pt>
                <c:pt idx="16">
                  <c:v>0.12840065782521048</c:v>
                </c:pt>
                <c:pt idx="17">
                  <c:v>0.11516692982684418</c:v>
                </c:pt>
                <c:pt idx="18">
                  <c:v>0.10410925198800791</c:v>
                </c:pt>
                <c:pt idx="19">
                  <c:v>9.3887296960218025E-2</c:v>
                </c:pt>
                <c:pt idx="20">
                  <c:v>8.2888513563560529E-2</c:v>
                </c:pt>
                <c:pt idx="21">
                  <c:v>7.2103238705866879E-2</c:v>
                </c:pt>
                <c:pt idx="22">
                  <c:v>6.1776338927109986E-2</c:v>
                </c:pt>
                <c:pt idx="23">
                  <c:v>5.2773632922844094E-2</c:v>
                </c:pt>
                <c:pt idx="24">
                  <c:v>4.5742074821009449E-2</c:v>
                </c:pt>
                <c:pt idx="25">
                  <c:v>3.9729969866076242E-2</c:v>
                </c:pt>
                <c:pt idx="26">
                  <c:v>3.5219024311034963E-2</c:v>
                </c:pt>
                <c:pt idx="27">
                  <c:v>3.205444762655707E-2</c:v>
                </c:pt>
                <c:pt idx="28">
                  <c:v>2.9618519803663701E-2</c:v>
                </c:pt>
                <c:pt idx="29">
                  <c:v>2.7284940096922616E-2</c:v>
                </c:pt>
                <c:pt idx="30">
                  <c:v>2.5174070173673901E-2</c:v>
                </c:pt>
                <c:pt idx="31">
                  <c:v>2.2981638271071136E-2</c:v>
                </c:pt>
                <c:pt idx="32">
                  <c:v>2.0968100342152241E-2</c:v>
                </c:pt>
                <c:pt idx="33">
                  <c:v>1.8950652376663268E-2</c:v>
                </c:pt>
                <c:pt idx="34">
                  <c:v>1.6946804357304002E-2</c:v>
                </c:pt>
                <c:pt idx="35">
                  <c:v>1.5044739189735035E-2</c:v>
                </c:pt>
                <c:pt idx="36">
                  <c:v>1.3384957118796836E-2</c:v>
                </c:pt>
                <c:pt idx="37">
                  <c:v>1.1784218128595203E-2</c:v>
                </c:pt>
                <c:pt idx="38">
                  <c:v>1.0272674844716612E-2</c:v>
                </c:pt>
                <c:pt idx="39">
                  <c:v>8.9613801855267239E-3</c:v>
                </c:pt>
                <c:pt idx="40">
                  <c:v>7.8177127454793771E-3</c:v>
                </c:pt>
                <c:pt idx="41">
                  <c:v>6.628210252419886E-3</c:v>
                </c:pt>
                <c:pt idx="42">
                  <c:v>5.5876728735553272E-3</c:v>
                </c:pt>
                <c:pt idx="43">
                  <c:v>4.7784874093789176E-3</c:v>
                </c:pt>
              </c:numCache>
            </c:numRef>
          </c:val>
          <c:smooth val="0"/>
          <c:extLst xmlns:c16r2="http://schemas.microsoft.com/office/drawing/2015/06/chart">
            <c:ext xmlns:c16="http://schemas.microsoft.com/office/drawing/2014/chart" uri="{C3380CC4-5D6E-409C-BE32-E72D297353CC}">
              <c16:uniqueId val="{00000000-8003-4761-BC97-BB898223576E}"/>
            </c:ext>
          </c:extLst>
        </c:ser>
        <c:ser>
          <c:idx val="1"/>
          <c:order val="1"/>
          <c:tx>
            <c:strRef>
              <c:f>'tenure graf'!$K$4</c:f>
              <c:strCache>
                <c:ptCount val="1"/>
                <c:pt idx="0">
                  <c:v>verejný bez zdravotníctva a školstva</c:v>
                </c:pt>
              </c:strCache>
            </c:strRef>
          </c:tx>
          <c:spPr>
            <a:ln w="28575" cap="rnd">
              <a:solidFill>
                <a:srgbClr val="0070C0"/>
              </a:solidFill>
              <a:round/>
            </a:ln>
            <a:effectLst/>
          </c:spPr>
          <c:marker>
            <c:symbol val="none"/>
          </c:marker>
          <c:cat>
            <c:numRef>
              <c:f>'tenure graf'!$H$5:$H$55</c:f>
              <c:numCache>
                <c:formatCode>General</c:formatCode>
                <c:ptCount val="51"/>
                <c:pt idx="0">
                  <c:v>0</c:v>
                </c:pt>
                <c:pt idx="5">
                  <c:v>5</c:v>
                </c:pt>
                <c:pt idx="10">
                  <c:v>10</c:v>
                </c:pt>
                <c:pt idx="15">
                  <c:v>15</c:v>
                </c:pt>
                <c:pt idx="20">
                  <c:v>20</c:v>
                </c:pt>
                <c:pt idx="25">
                  <c:v>25</c:v>
                </c:pt>
                <c:pt idx="30">
                  <c:v>30</c:v>
                </c:pt>
                <c:pt idx="35">
                  <c:v>35</c:v>
                </c:pt>
                <c:pt idx="40">
                  <c:v>40</c:v>
                </c:pt>
                <c:pt idx="45">
                  <c:v>45</c:v>
                </c:pt>
              </c:numCache>
            </c:numRef>
          </c:cat>
          <c:val>
            <c:numRef>
              <c:f>'tenure graf'!$K$5:$K$48</c:f>
              <c:numCache>
                <c:formatCode>0%</c:formatCode>
                <c:ptCount val="44"/>
                <c:pt idx="0">
                  <c:v>1</c:v>
                </c:pt>
                <c:pt idx="1">
                  <c:v>0.85834613496348811</c:v>
                </c:pt>
                <c:pt idx="2">
                  <c:v>0.76701703239806263</c:v>
                </c:pt>
                <c:pt idx="3">
                  <c:v>0.69868476827634884</c:v>
                </c:pt>
                <c:pt idx="4">
                  <c:v>0.6479485509057048</c:v>
                </c:pt>
                <c:pt idx="5">
                  <c:v>0.60999450081435658</c:v>
                </c:pt>
                <c:pt idx="6">
                  <c:v>0.57231988474343276</c:v>
                </c:pt>
                <c:pt idx="7">
                  <c:v>0.54090580893370876</c:v>
                </c:pt>
                <c:pt idx="8">
                  <c:v>0.5141074949712896</c:v>
                </c:pt>
                <c:pt idx="9">
                  <c:v>0.48723546462007794</c:v>
                </c:pt>
                <c:pt idx="10">
                  <c:v>0.45259197183273603</c:v>
                </c:pt>
                <c:pt idx="11">
                  <c:v>0.42161660036261372</c:v>
                </c:pt>
                <c:pt idx="12">
                  <c:v>0.39570045400511811</c:v>
                </c:pt>
                <c:pt idx="13">
                  <c:v>0.34327049345806648</c:v>
                </c:pt>
                <c:pt idx="14">
                  <c:v>0.31196837749096373</c:v>
                </c:pt>
                <c:pt idx="15">
                  <c:v>0.28612753483496456</c:v>
                </c:pt>
                <c:pt idx="16">
                  <c:v>0.25511933796603936</c:v>
                </c:pt>
                <c:pt idx="17">
                  <c:v>0.24283637868825725</c:v>
                </c:pt>
                <c:pt idx="18">
                  <c:v>0.22955658310698202</c:v>
                </c:pt>
                <c:pt idx="19">
                  <c:v>0.21423227650241539</c:v>
                </c:pt>
                <c:pt idx="20">
                  <c:v>0.20057039153116163</c:v>
                </c:pt>
                <c:pt idx="21">
                  <c:v>0.18372804653415542</c:v>
                </c:pt>
                <c:pt idx="22">
                  <c:v>0.16641654861030675</c:v>
                </c:pt>
                <c:pt idx="23">
                  <c:v>0.15029474997754311</c:v>
                </c:pt>
                <c:pt idx="24">
                  <c:v>0.13630077624051729</c:v>
                </c:pt>
                <c:pt idx="25">
                  <c:v>0.12018478267555199</c:v>
                </c:pt>
                <c:pt idx="26">
                  <c:v>0.10389571193872094</c:v>
                </c:pt>
                <c:pt idx="27">
                  <c:v>8.5920116832147619E-2</c:v>
                </c:pt>
                <c:pt idx="28">
                  <c:v>7.6382616466730835E-2</c:v>
                </c:pt>
                <c:pt idx="29">
                  <c:v>6.8078248962134547E-2</c:v>
                </c:pt>
                <c:pt idx="30">
                  <c:v>6.0864459008357241E-2</c:v>
                </c:pt>
                <c:pt idx="31">
                  <c:v>5.3896789616626917E-2</c:v>
                </c:pt>
                <c:pt idx="32">
                  <c:v>4.7177064220074838E-2</c:v>
                </c:pt>
                <c:pt idx="33">
                  <c:v>4.1191560066487387E-2</c:v>
                </c:pt>
                <c:pt idx="34">
                  <c:v>3.5639504308564884E-2</c:v>
                </c:pt>
                <c:pt idx="35">
                  <c:v>3.0360920801705271E-2</c:v>
                </c:pt>
                <c:pt idx="36">
                  <c:v>2.5477190621122747E-2</c:v>
                </c:pt>
                <c:pt idx="37">
                  <c:v>2.1403113049236255E-2</c:v>
                </c:pt>
                <c:pt idx="38">
                  <c:v>1.760495663348538E-2</c:v>
                </c:pt>
                <c:pt idx="39">
                  <c:v>1.4208053651089902E-2</c:v>
                </c:pt>
                <c:pt idx="40">
                  <c:v>1.1040175677406561E-2</c:v>
                </c:pt>
                <c:pt idx="41">
                  <c:v>8.6365461696080725E-3</c:v>
                </c:pt>
                <c:pt idx="42">
                  <c:v>6.4943166234540106E-3</c:v>
                </c:pt>
                <c:pt idx="43">
                  <c:v>5.1593296387429932E-3</c:v>
                </c:pt>
              </c:numCache>
            </c:numRef>
          </c:val>
          <c:smooth val="0"/>
          <c:extLst xmlns:c16r2="http://schemas.microsoft.com/office/drawing/2015/06/chart">
            <c:ext xmlns:c16="http://schemas.microsoft.com/office/drawing/2014/chart" uri="{C3380CC4-5D6E-409C-BE32-E72D297353CC}">
              <c16:uniqueId val="{00000001-8003-4761-BC97-BB898223576E}"/>
            </c:ext>
          </c:extLst>
        </c:ser>
        <c:ser>
          <c:idx val="2"/>
          <c:order val="2"/>
          <c:tx>
            <c:strRef>
              <c:f>'tenure graf'!$J$4</c:f>
              <c:strCache>
                <c:ptCount val="1"/>
                <c:pt idx="0">
                  <c:v>súkromný zdravotníctvo a školstvo</c:v>
                </c:pt>
              </c:strCache>
            </c:strRef>
          </c:tx>
          <c:spPr>
            <a:ln w="28575" cap="rnd">
              <a:solidFill>
                <a:schemeClr val="tx1"/>
              </a:solidFill>
              <a:prstDash val="sysDot"/>
              <a:round/>
            </a:ln>
            <a:effectLst/>
          </c:spPr>
          <c:marker>
            <c:symbol val="none"/>
          </c:marker>
          <c:cat>
            <c:numRef>
              <c:f>'tenure graf'!$H$5:$H$55</c:f>
              <c:numCache>
                <c:formatCode>General</c:formatCode>
                <c:ptCount val="51"/>
                <c:pt idx="0">
                  <c:v>0</c:v>
                </c:pt>
                <c:pt idx="5">
                  <c:v>5</c:v>
                </c:pt>
                <c:pt idx="10">
                  <c:v>10</c:v>
                </c:pt>
                <c:pt idx="15">
                  <c:v>15</c:v>
                </c:pt>
                <c:pt idx="20">
                  <c:v>20</c:v>
                </c:pt>
                <c:pt idx="25">
                  <c:v>25</c:v>
                </c:pt>
                <c:pt idx="30">
                  <c:v>30</c:v>
                </c:pt>
                <c:pt idx="35">
                  <c:v>35</c:v>
                </c:pt>
                <c:pt idx="40">
                  <c:v>40</c:v>
                </c:pt>
                <c:pt idx="45">
                  <c:v>45</c:v>
                </c:pt>
              </c:numCache>
            </c:numRef>
          </c:cat>
          <c:val>
            <c:numRef>
              <c:f>'tenure graf'!$J$5:$J$48</c:f>
              <c:numCache>
                <c:formatCode>0%</c:formatCode>
                <c:ptCount val="44"/>
                <c:pt idx="0">
                  <c:v>1</c:v>
                </c:pt>
                <c:pt idx="1">
                  <c:v>0.82426891434417437</c:v>
                </c:pt>
                <c:pt idx="2">
                  <c:v>0.70180909264457347</c:v>
                </c:pt>
                <c:pt idx="3">
                  <c:v>0.6232250204966916</c:v>
                </c:pt>
                <c:pt idx="4">
                  <c:v>0.5647020770069302</c:v>
                </c:pt>
                <c:pt idx="5">
                  <c:v>0.51551920289879716</c:v>
                </c:pt>
                <c:pt idx="6">
                  <c:v>0.47592660357333516</c:v>
                </c:pt>
                <c:pt idx="7">
                  <c:v>0.4402823883442698</c:v>
                </c:pt>
                <c:pt idx="8">
                  <c:v>0.39849143784152552</c:v>
                </c:pt>
                <c:pt idx="9">
                  <c:v>0.3615047902844134</c:v>
                </c:pt>
                <c:pt idx="10">
                  <c:v>0.31428132110472429</c:v>
                </c:pt>
                <c:pt idx="11">
                  <c:v>0.26889426908203273</c:v>
                </c:pt>
                <c:pt idx="12">
                  <c:v>0.21797741849170871</c:v>
                </c:pt>
                <c:pt idx="13">
                  <c:v>0.18214111986063219</c:v>
                </c:pt>
                <c:pt idx="14">
                  <c:v>0.15384335769723734</c:v>
                </c:pt>
                <c:pt idx="15">
                  <c:v>0.13776323604630802</c:v>
                </c:pt>
                <c:pt idx="16">
                  <c:v>0.12783767503132926</c:v>
                </c:pt>
                <c:pt idx="17">
                  <c:v>0.11370549011224518</c:v>
                </c:pt>
                <c:pt idx="18">
                  <c:v>0.10908905672055291</c:v>
                </c:pt>
                <c:pt idx="19">
                  <c:v>0.10343156254941477</c:v>
                </c:pt>
                <c:pt idx="20">
                  <c:v>9.7392442853473371E-2</c:v>
                </c:pt>
                <c:pt idx="21">
                  <c:v>8.6957813007151663E-2</c:v>
                </c:pt>
                <c:pt idx="22">
                  <c:v>7.7248364819973769E-2</c:v>
                </c:pt>
                <c:pt idx="23">
                  <c:v>7.1644694025435274E-2</c:v>
                </c:pt>
                <c:pt idx="24">
                  <c:v>6.7014550776168913E-2</c:v>
                </c:pt>
                <c:pt idx="25">
                  <c:v>6.2861904404929669E-2</c:v>
                </c:pt>
                <c:pt idx="26">
                  <c:v>5.6886372835196597E-2</c:v>
                </c:pt>
                <c:pt idx="27">
                  <c:v>5.2278595955571161E-2</c:v>
                </c:pt>
                <c:pt idx="28">
                  <c:v>4.8829411942454048E-2</c:v>
                </c:pt>
                <c:pt idx="29">
                  <c:v>4.6016074486271208E-2</c:v>
                </c:pt>
                <c:pt idx="30">
                  <c:v>4.3191985283831613E-2</c:v>
                </c:pt>
                <c:pt idx="31">
                  <c:v>4.0691173091555455E-2</c:v>
                </c:pt>
                <c:pt idx="32">
                  <c:v>3.7694067661886543E-2</c:v>
                </c:pt>
                <c:pt idx="33">
                  <c:v>3.4657068082535991E-2</c:v>
                </c:pt>
                <c:pt idx="34">
                  <c:v>3.2170651515250559E-2</c:v>
                </c:pt>
                <c:pt idx="35">
                  <c:v>2.9378870831010651E-2</c:v>
                </c:pt>
                <c:pt idx="36">
                  <c:v>2.7363327490711353E-2</c:v>
                </c:pt>
                <c:pt idx="37">
                  <c:v>2.5176311469391255E-2</c:v>
                </c:pt>
                <c:pt idx="38">
                  <c:v>2.298722742786008E-2</c:v>
                </c:pt>
                <c:pt idx="39">
                  <c:v>2.1243975444310448E-2</c:v>
                </c:pt>
                <c:pt idx="40">
                  <c:v>1.9253389431251544E-2</c:v>
                </c:pt>
                <c:pt idx="41">
                  <c:v>1.7611978760715186E-2</c:v>
                </c:pt>
                <c:pt idx="42">
                  <c:v>1.6532222962089449E-2</c:v>
                </c:pt>
                <c:pt idx="43">
                  <c:v>1.5422740345868102E-2</c:v>
                </c:pt>
              </c:numCache>
            </c:numRef>
          </c:val>
          <c:smooth val="0"/>
          <c:extLst xmlns:c16r2="http://schemas.microsoft.com/office/drawing/2015/06/chart">
            <c:ext xmlns:c16="http://schemas.microsoft.com/office/drawing/2014/chart" uri="{C3380CC4-5D6E-409C-BE32-E72D297353CC}">
              <c16:uniqueId val="{00000002-8003-4761-BC97-BB898223576E}"/>
            </c:ext>
          </c:extLst>
        </c:ser>
        <c:ser>
          <c:idx val="3"/>
          <c:order val="3"/>
          <c:tx>
            <c:strRef>
              <c:f>'tenure graf'!$L$4</c:f>
              <c:strCache>
                <c:ptCount val="1"/>
                <c:pt idx="0">
                  <c:v>verejný zdravotníctvo a školstvo</c:v>
                </c:pt>
              </c:strCache>
            </c:strRef>
          </c:tx>
          <c:spPr>
            <a:ln w="28575" cap="rnd">
              <a:solidFill>
                <a:srgbClr val="0070C0"/>
              </a:solidFill>
              <a:prstDash val="sysDot"/>
              <a:round/>
            </a:ln>
            <a:effectLst/>
          </c:spPr>
          <c:marker>
            <c:symbol val="none"/>
          </c:marker>
          <c:cat>
            <c:numRef>
              <c:f>'tenure graf'!$H$5:$H$55</c:f>
              <c:numCache>
                <c:formatCode>General</c:formatCode>
                <c:ptCount val="51"/>
                <c:pt idx="0">
                  <c:v>0</c:v>
                </c:pt>
                <c:pt idx="5">
                  <c:v>5</c:v>
                </c:pt>
                <c:pt idx="10">
                  <c:v>10</c:v>
                </c:pt>
                <c:pt idx="15">
                  <c:v>15</c:v>
                </c:pt>
                <c:pt idx="20">
                  <c:v>20</c:v>
                </c:pt>
                <c:pt idx="25">
                  <c:v>25</c:v>
                </c:pt>
                <c:pt idx="30">
                  <c:v>30</c:v>
                </c:pt>
                <c:pt idx="35">
                  <c:v>35</c:v>
                </c:pt>
                <c:pt idx="40">
                  <c:v>40</c:v>
                </c:pt>
                <c:pt idx="45">
                  <c:v>45</c:v>
                </c:pt>
              </c:numCache>
            </c:numRef>
          </c:cat>
          <c:val>
            <c:numRef>
              <c:f>'tenure graf'!$L$5:$L$48</c:f>
              <c:numCache>
                <c:formatCode>0%</c:formatCode>
                <c:ptCount val="44"/>
                <c:pt idx="0">
                  <c:v>1</c:v>
                </c:pt>
                <c:pt idx="1">
                  <c:v>0.87649567369196346</c:v>
                </c:pt>
                <c:pt idx="2">
                  <c:v>0.78425567878073199</c:v>
                </c:pt>
                <c:pt idx="3">
                  <c:v>0.72156387453225235</c:v>
                </c:pt>
                <c:pt idx="4">
                  <c:v>0.67048447217135587</c:v>
                </c:pt>
                <c:pt idx="5">
                  <c:v>0.63176893832021164</c:v>
                </c:pt>
                <c:pt idx="6">
                  <c:v>0.59557659074025704</c:v>
                </c:pt>
                <c:pt idx="7">
                  <c:v>0.55685952366165026</c:v>
                </c:pt>
                <c:pt idx="8">
                  <c:v>0.5220663004316819</c:v>
                </c:pt>
                <c:pt idx="9">
                  <c:v>0.48556723747816455</c:v>
                </c:pt>
                <c:pt idx="10">
                  <c:v>0.44988688808588662</c:v>
                </c:pt>
                <c:pt idx="11">
                  <c:v>0.41849884741823895</c:v>
                </c:pt>
                <c:pt idx="12">
                  <c:v>0.38940907778831746</c:v>
                </c:pt>
                <c:pt idx="13">
                  <c:v>0.36273224092785494</c:v>
                </c:pt>
                <c:pt idx="14">
                  <c:v>0.33524130543372122</c:v>
                </c:pt>
                <c:pt idx="15">
                  <c:v>0.309726858377251</c:v>
                </c:pt>
                <c:pt idx="16">
                  <c:v>0.26361663810711433</c:v>
                </c:pt>
                <c:pt idx="17">
                  <c:v>0.24767853565156817</c:v>
                </c:pt>
                <c:pt idx="18">
                  <c:v>0.23171442128239239</c:v>
                </c:pt>
                <c:pt idx="19">
                  <c:v>0.21605240586111862</c:v>
                </c:pt>
                <c:pt idx="20">
                  <c:v>0.19756164700827172</c:v>
                </c:pt>
                <c:pt idx="21">
                  <c:v>0.17903708546512209</c:v>
                </c:pt>
                <c:pt idx="22">
                  <c:v>0.16461578113430397</c:v>
                </c:pt>
                <c:pt idx="23">
                  <c:v>0.15171348314101274</c:v>
                </c:pt>
                <c:pt idx="24">
                  <c:v>0.14068842271064652</c:v>
                </c:pt>
                <c:pt idx="25">
                  <c:v>0.12941974079834695</c:v>
                </c:pt>
                <c:pt idx="26">
                  <c:v>0.11673744086473281</c:v>
                </c:pt>
                <c:pt idx="27">
                  <c:v>0.10134483002282224</c:v>
                </c:pt>
                <c:pt idx="28">
                  <c:v>9.281190840121134E-2</c:v>
                </c:pt>
                <c:pt idx="29">
                  <c:v>8.4064889387425845E-2</c:v>
                </c:pt>
                <c:pt idx="30">
                  <c:v>7.6042847883459941E-2</c:v>
                </c:pt>
                <c:pt idx="31">
                  <c:v>6.7519167199933228E-2</c:v>
                </c:pt>
                <c:pt idx="32">
                  <c:v>5.8757184786427885E-2</c:v>
                </c:pt>
                <c:pt idx="33">
                  <c:v>5.1420653929530769E-2</c:v>
                </c:pt>
                <c:pt idx="34">
                  <c:v>4.5201769559902405E-2</c:v>
                </c:pt>
                <c:pt idx="35">
                  <c:v>3.9033838369612717E-2</c:v>
                </c:pt>
                <c:pt idx="36">
                  <c:v>3.2822811172762534E-2</c:v>
                </c:pt>
                <c:pt idx="37">
                  <c:v>2.7349140882059642E-2</c:v>
                </c:pt>
                <c:pt idx="38">
                  <c:v>2.2682869273686901E-2</c:v>
                </c:pt>
                <c:pt idx="39">
                  <c:v>1.7903068736458638E-2</c:v>
                </c:pt>
                <c:pt idx="40">
                  <c:v>1.3719620742838834E-2</c:v>
                </c:pt>
                <c:pt idx="41">
                  <c:v>1.0123642305724379E-2</c:v>
                </c:pt>
                <c:pt idx="42">
                  <c:v>7.4467381131126942E-3</c:v>
                </c:pt>
                <c:pt idx="43">
                  <c:v>5.2003282146790841E-3</c:v>
                </c:pt>
              </c:numCache>
            </c:numRef>
          </c:val>
          <c:smooth val="0"/>
          <c:extLst xmlns:c16r2="http://schemas.microsoft.com/office/drawing/2015/06/chart">
            <c:ext xmlns:c16="http://schemas.microsoft.com/office/drawing/2014/chart" uri="{C3380CC4-5D6E-409C-BE32-E72D297353CC}">
              <c16:uniqueId val="{00000003-8003-4761-BC97-BB898223576E}"/>
            </c:ext>
          </c:extLst>
        </c:ser>
        <c:dLbls>
          <c:showLegendKey val="0"/>
          <c:showVal val="0"/>
          <c:showCatName val="0"/>
          <c:showSerName val="0"/>
          <c:showPercent val="0"/>
          <c:showBubbleSize val="0"/>
        </c:dLbls>
        <c:smooth val="0"/>
        <c:axId val="224347624"/>
        <c:axId val="224348016"/>
      </c:lineChart>
      <c:catAx>
        <c:axId val="224347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348016"/>
        <c:crosses val="autoZero"/>
        <c:auto val="1"/>
        <c:lblAlgn val="ctr"/>
        <c:lblOffset val="100"/>
        <c:noMultiLvlLbl val="0"/>
      </c:catAx>
      <c:valAx>
        <c:axId val="224348016"/>
        <c:scaling>
          <c:orientation val="minMax"/>
          <c:max val="1"/>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347624"/>
        <c:crosses val="autoZero"/>
        <c:crossBetween val="between"/>
      </c:valAx>
      <c:spPr>
        <a:noFill/>
        <a:ln>
          <a:noFill/>
        </a:ln>
        <a:effectLst/>
      </c:spPr>
    </c:plotArea>
    <c:legend>
      <c:legendPos val="b"/>
      <c:layout>
        <c:manualLayout>
          <c:xMode val="edge"/>
          <c:yMode val="edge"/>
          <c:x val="0.29755345013093326"/>
          <c:y val="5.9230569735807953E-2"/>
          <c:w val="0.69864777431546154"/>
          <c:h val="0.3545657005640252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78440194975624E-2"/>
          <c:y val="7.3193626888871904E-2"/>
          <c:w val="0.89696600424946882"/>
          <c:h val="0.69808564584766708"/>
        </c:manualLayout>
      </c:layout>
      <c:barChart>
        <c:barDir val="col"/>
        <c:grouping val="stacked"/>
        <c:varyColors val="0"/>
        <c:ser>
          <c:idx val="0"/>
          <c:order val="0"/>
          <c:tx>
            <c:strRef>
              <c:f>Graf_23!$C$5</c:f>
              <c:strCache>
                <c:ptCount val="1"/>
                <c:pt idx="0">
                  <c:v>základ</c:v>
                </c:pt>
              </c:strCache>
            </c:strRef>
          </c:tx>
          <c:spPr>
            <a:solidFill>
              <a:srgbClr val="00B0F0"/>
            </a:solidFill>
            <a:ln>
              <a:solidFill>
                <a:srgbClr val="00B0F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Graf_23!$A$6:$B$13</c:f>
              <c:multiLvlStrCache>
                <c:ptCount val="8"/>
                <c:lvl>
                  <c:pt idx="0">
                    <c:v>súkromný sektor</c:v>
                  </c:pt>
                  <c:pt idx="1">
                    <c:v>verejný sektor</c:v>
                  </c:pt>
                  <c:pt idx="2">
                    <c:v>štátna 
služba</c:v>
                  </c:pt>
                  <c:pt idx="3">
                    <c:v>VZ bez školstva, zdravotníctva</c:v>
                  </c:pt>
                  <c:pt idx="4">
                    <c:v>ZP bez školstva, zdravotníctva</c:v>
                  </c:pt>
                  <c:pt idx="5">
                    <c:v>zdravotníctvo</c:v>
                  </c:pt>
                  <c:pt idx="6">
                    <c:v>školstvo - VZ</c:v>
                  </c:pt>
                  <c:pt idx="7">
                    <c:v>školstvo - ZP</c:v>
                  </c:pt>
                </c:lvl>
                <c:lvl>
                  <c:pt idx="0">
                    <c:v>porovnanie</c:v>
                  </c:pt>
                  <c:pt idx="2">
                    <c:v>verejný sektor</c:v>
                  </c:pt>
                </c:lvl>
              </c:multiLvlStrCache>
            </c:multiLvlStrRef>
          </c:cat>
          <c:val>
            <c:numRef>
              <c:f>Graf_23!$C$6:$C$13</c:f>
              <c:numCache>
                <c:formatCode>0%</c:formatCode>
                <c:ptCount val="8"/>
                <c:pt idx="0">
                  <c:v>0.78734150896320065</c:v>
                </c:pt>
                <c:pt idx="1">
                  <c:v>0.76877822880108249</c:v>
                </c:pt>
                <c:pt idx="2">
                  <c:v>0.68</c:v>
                </c:pt>
                <c:pt idx="3">
                  <c:v>0.72112223394156183</c:v>
                </c:pt>
                <c:pt idx="4">
                  <c:v>0.7845189607795835</c:v>
                </c:pt>
                <c:pt idx="5">
                  <c:v>0.78610012932214901</c:v>
                </c:pt>
                <c:pt idx="6">
                  <c:v>0.8087930944915771</c:v>
                </c:pt>
                <c:pt idx="7">
                  <c:v>0.72761620066673793</c:v>
                </c:pt>
              </c:numCache>
            </c:numRef>
          </c:val>
        </c:ser>
        <c:ser>
          <c:idx val="1"/>
          <c:order val="1"/>
          <c:tx>
            <c:strRef>
              <c:f>Graf_23!$D$5</c:f>
              <c:strCache>
                <c:ptCount val="1"/>
                <c:pt idx="0">
                  <c:v>príplatky</c:v>
                </c:pt>
              </c:strCache>
            </c:strRef>
          </c:tx>
          <c:spPr>
            <a:solidFill>
              <a:schemeClr val="bg1">
                <a:lumMod val="85000"/>
              </a:schemeClr>
            </a:solidFill>
            <a:ln>
              <a:solidFill>
                <a:schemeClr val="bg1">
                  <a:lumMod val="75000"/>
                </a:schemeClr>
              </a:solidFill>
            </a:ln>
            <a:effectLst/>
          </c:spPr>
          <c:invertIfNegative val="0"/>
          <c:dLbls>
            <c:dLbl>
              <c:idx val="0"/>
              <c:layout>
                <c:manualLayout>
                  <c:x val="1.0582010582010375E-3"/>
                  <c:y val="3.7086301575875759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extLst>
                <c:ext xmlns:c15="http://schemas.microsoft.com/office/drawing/2012/chart" uri="{CE6537A1-D6FC-4f65-9D91-7224C49458BB}">
                  <c15:layout>
                    <c:manualLayout>
                      <c:w val="3.7386160063325416E-2"/>
                      <c:h val="4.2000382543740659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Graf_23!$A$6:$B$13</c:f>
              <c:multiLvlStrCache>
                <c:ptCount val="8"/>
                <c:lvl>
                  <c:pt idx="0">
                    <c:v>súkromný sektor</c:v>
                  </c:pt>
                  <c:pt idx="1">
                    <c:v>verejný sektor</c:v>
                  </c:pt>
                  <c:pt idx="2">
                    <c:v>štátna 
služba</c:v>
                  </c:pt>
                  <c:pt idx="3">
                    <c:v>VZ bez školstva, zdravotníctva</c:v>
                  </c:pt>
                  <c:pt idx="4">
                    <c:v>ZP bez školstva, zdravotníctva</c:v>
                  </c:pt>
                  <c:pt idx="5">
                    <c:v>zdravotníctvo</c:v>
                  </c:pt>
                  <c:pt idx="6">
                    <c:v>školstvo - VZ</c:v>
                  </c:pt>
                  <c:pt idx="7">
                    <c:v>školstvo - ZP</c:v>
                  </c:pt>
                </c:lvl>
                <c:lvl>
                  <c:pt idx="0">
                    <c:v>porovnanie</c:v>
                  </c:pt>
                  <c:pt idx="2">
                    <c:v>verejný sektor</c:v>
                  </c:pt>
                </c:lvl>
              </c:multiLvlStrCache>
            </c:multiLvlStrRef>
          </c:cat>
          <c:val>
            <c:numRef>
              <c:f>Graf_23!$D$6:$D$13</c:f>
              <c:numCache>
                <c:formatCode>0%</c:formatCode>
                <c:ptCount val="8"/>
                <c:pt idx="0">
                  <c:v>5.1431024548025749E-2</c:v>
                </c:pt>
                <c:pt idx="1">
                  <c:v>0.13630468107197763</c:v>
                </c:pt>
                <c:pt idx="2">
                  <c:v>0.22</c:v>
                </c:pt>
                <c:pt idx="3">
                  <c:v>0.18974435355334696</c:v>
                </c:pt>
                <c:pt idx="4">
                  <c:v>6.7863381563057906E-2</c:v>
                </c:pt>
                <c:pt idx="5">
                  <c:v>0.17324269257243827</c:v>
                </c:pt>
                <c:pt idx="6">
                  <c:v>0.11021892965811075</c:v>
                </c:pt>
                <c:pt idx="7">
                  <c:v>0.1445954173953346</c:v>
                </c:pt>
              </c:numCache>
            </c:numRef>
          </c:val>
        </c:ser>
        <c:ser>
          <c:idx val="2"/>
          <c:order val="2"/>
          <c:tx>
            <c:strRef>
              <c:f>Graf_23!$E$5</c:f>
              <c:strCache>
                <c:ptCount val="1"/>
                <c:pt idx="0">
                  <c:v>odmeny</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Graf_23!$A$6:$B$13</c:f>
              <c:multiLvlStrCache>
                <c:ptCount val="8"/>
                <c:lvl>
                  <c:pt idx="0">
                    <c:v>súkromný sektor</c:v>
                  </c:pt>
                  <c:pt idx="1">
                    <c:v>verejný sektor</c:v>
                  </c:pt>
                  <c:pt idx="2">
                    <c:v>štátna 
služba</c:v>
                  </c:pt>
                  <c:pt idx="3">
                    <c:v>VZ bez školstva, zdravotníctva</c:v>
                  </c:pt>
                  <c:pt idx="4">
                    <c:v>ZP bez školstva, zdravotníctva</c:v>
                  </c:pt>
                  <c:pt idx="5">
                    <c:v>zdravotníctvo</c:v>
                  </c:pt>
                  <c:pt idx="6">
                    <c:v>školstvo - VZ</c:v>
                  </c:pt>
                  <c:pt idx="7">
                    <c:v>školstvo - ZP</c:v>
                  </c:pt>
                </c:lvl>
                <c:lvl>
                  <c:pt idx="0">
                    <c:v>porovnanie</c:v>
                  </c:pt>
                  <c:pt idx="2">
                    <c:v>verejný sektor</c:v>
                  </c:pt>
                </c:lvl>
              </c:multiLvlStrCache>
            </c:multiLvlStrRef>
          </c:cat>
          <c:val>
            <c:numRef>
              <c:f>Graf_23!$E$6:$E$13</c:f>
              <c:numCache>
                <c:formatCode>0%</c:formatCode>
                <c:ptCount val="8"/>
                <c:pt idx="0">
                  <c:v>0.16122747260522508</c:v>
                </c:pt>
                <c:pt idx="1">
                  <c:v>9.4917090851291075E-2</c:v>
                </c:pt>
                <c:pt idx="2">
                  <c:v>0.10244628959186387</c:v>
                </c:pt>
                <c:pt idx="3">
                  <c:v>8.9133409218366544E-2</c:v>
                </c:pt>
                <c:pt idx="4">
                  <c:v>0.14761765913984237</c:v>
                </c:pt>
                <c:pt idx="5">
                  <c:v>4.0657168683544367E-2</c:v>
                </c:pt>
                <c:pt idx="6">
                  <c:v>8.0987982879201781E-2</c:v>
                </c:pt>
                <c:pt idx="7">
                  <c:v>0.12778837520969519</c:v>
                </c:pt>
              </c:numCache>
            </c:numRef>
          </c:val>
        </c:ser>
        <c:dLbls>
          <c:showLegendKey val="0"/>
          <c:showVal val="0"/>
          <c:showCatName val="0"/>
          <c:showSerName val="0"/>
          <c:showPercent val="0"/>
          <c:showBubbleSize val="0"/>
        </c:dLbls>
        <c:gapWidth val="150"/>
        <c:overlap val="100"/>
        <c:axId val="224578760"/>
        <c:axId val="224579152"/>
      </c:barChart>
      <c:catAx>
        <c:axId val="224578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579152"/>
        <c:crosses val="autoZero"/>
        <c:auto val="1"/>
        <c:lblAlgn val="ctr"/>
        <c:lblOffset val="100"/>
        <c:noMultiLvlLbl val="0"/>
      </c:catAx>
      <c:valAx>
        <c:axId val="224579152"/>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578760"/>
        <c:crosses val="autoZero"/>
        <c:crossBetween val="between"/>
        <c:majorUnit val="0.2"/>
      </c:valAx>
      <c:spPr>
        <a:noFill/>
        <a:ln>
          <a:noFill/>
        </a:ln>
        <a:effectLst/>
      </c:spPr>
    </c:plotArea>
    <c:legend>
      <c:legendPos val="b"/>
      <c:layout>
        <c:manualLayout>
          <c:xMode val="edge"/>
          <c:yMode val="edge"/>
          <c:x val="0.31090853226679999"/>
          <c:y val="1.6152432048069747E-2"/>
          <c:w val="0.35208998875140607"/>
          <c:h val="5.190065744209159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64179193509902"/>
          <c:y val="9.9465135251574341E-2"/>
          <c:w val="0.86615366261035553"/>
          <c:h val="0.6017269668998011"/>
        </c:manualLayout>
      </c:layout>
      <c:barChart>
        <c:barDir val="col"/>
        <c:grouping val="percentStacked"/>
        <c:varyColors val="0"/>
        <c:ser>
          <c:idx val="0"/>
          <c:order val="0"/>
          <c:tx>
            <c:strRef>
              <c:f>Hárok2!$B$4</c:f>
              <c:strCache>
                <c:ptCount val="1"/>
                <c:pt idx="0">
                  <c:v>základný plat</c:v>
                </c:pt>
              </c:strCache>
            </c:strRef>
          </c:tx>
          <c:spPr>
            <a:solidFill>
              <a:srgbClr val="00B0F0"/>
            </a:solidFill>
            <a:ln>
              <a:solidFill>
                <a:srgbClr val="00B0F0"/>
              </a:solidFill>
            </a:ln>
            <a:effectLst/>
          </c:spPr>
          <c:invertIfNegative val="0"/>
          <c:cat>
            <c:strRef>
              <c:f>Hárok2!$A$5:$A$21</c:f>
              <c:strCache>
                <c:ptCount val="14"/>
                <c:pt idx="0">
                  <c:v>Grécko</c:v>
                </c:pt>
                <c:pt idx="1">
                  <c:v>Taliansko</c:v>
                </c:pt>
                <c:pt idx="2">
                  <c:v>Španielsko</c:v>
                </c:pt>
                <c:pt idx="3">
                  <c:v>Nemecko</c:v>
                </c:pt>
                <c:pt idx="4">
                  <c:v>Francúzsko</c:v>
                </c:pt>
                <c:pt idx="5">
                  <c:v>Rakúsko</c:v>
                </c:pt>
                <c:pt idx="6">
                  <c:v>Luxembursko</c:v>
                </c:pt>
                <c:pt idx="7">
                  <c:v>Holandsko</c:v>
                </c:pt>
                <c:pt idx="8">
                  <c:v>Dánsko</c:v>
                </c:pt>
                <c:pt idx="9">
                  <c:v>Island</c:v>
                </c:pt>
                <c:pt idx="10">
                  <c:v>Írsko</c:v>
                </c:pt>
                <c:pt idx="11">
                  <c:v>Švédsko</c:v>
                </c:pt>
                <c:pt idx="12">
                  <c:v>Švajčiarsko</c:v>
                </c:pt>
                <c:pt idx="13">
                  <c:v>UK</c:v>
                </c:pt>
              </c:strCache>
            </c:strRef>
          </c:cat>
          <c:val>
            <c:numRef>
              <c:f>Hárok2!$B$5:$B$21</c:f>
              <c:numCache>
                <c:formatCode>0%</c:formatCode>
                <c:ptCount val="14"/>
                <c:pt idx="0">
                  <c:v>0.2</c:v>
                </c:pt>
                <c:pt idx="1">
                  <c:v>0.5</c:v>
                </c:pt>
                <c:pt idx="2">
                  <c:v>0.65</c:v>
                </c:pt>
                <c:pt idx="3">
                  <c:v>0.8</c:v>
                </c:pt>
                <c:pt idx="4">
                  <c:v>0.85</c:v>
                </c:pt>
                <c:pt idx="5">
                  <c:v>0.85</c:v>
                </c:pt>
                <c:pt idx="6">
                  <c:v>0.9</c:v>
                </c:pt>
                <c:pt idx="7">
                  <c:v>0.96</c:v>
                </c:pt>
                <c:pt idx="8">
                  <c:v>0.99</c:v>
                </c:pt>
                <c:pt idx="9">
                  <c:v>1</c:v>
                </c:pt>
                <c:pt idx="10">
                  <c:v>1</c:v>
                </c:pt>
                <c:pt idx="11">
                  <c:v>1</c:v>
                </c:pt>
                <c:pt idx="12">
                  <c:v>1</c:v>
                </c:pt>
                <c:pt idx="13">
                  <c:v>1</c:v>
                </c:pt>
              </c:numCache>
            </c:numRef>
          </c:val>
          <c:extLst xmlns:c16r2="http://schemas.microsoft.com/office/drawing/2015/06/chart">
            <c:ext xmlns:c16="http://schemas.microsoft.com/office/drawing/2014/chart" uri="{C3380CC4-5D6E-409C-BE32-E72D297353CC}">
              <c16:uniqueId val="{00000000-5CF9-4539-A04B-756EFB50B602}"/>
            </c:ext>
          </c:extLst>
        </c:ser>
        <c:ser>
          <c:idx val="1"/>
          <c:order val="1"/>
          <c:tx>
            <c:strRef>
              <c:f>Hárok2!$C$4</c:f>
              <c:strCache>
                <c:ptCount val="1"/>
                <c:pt idx="0">
                  <c:v>príplatky a odmeny</c:v>
                </c:pt>
              </c:strCache>
            </c:strRef>
          </c:tx>
          <c:spPr>
            <a:solidFill>
              <a:schemeClr val="bg1">
                <a:lumMod val="75000"/>
              </a:schemeClr>
            </a:solidFill>
            <a:ln>
              <a:solidFill>
                <a:schemeClr val="bg1">
                  <a:lumMod val="75000"/>
                </a:schemeClr>
              </a:solidFill>
            </a:ln>
            <a:effectLst/>
          </c:spPr>
          <c:invertIfNegative val="0"/>
          <c:cat>
            <c:strRef>
              <c:f>Hárok2!$A$5:$A$21</c:f>
              <c:strCache>
                <c:ptCount val="14"/>
                <c:pt idx="0">
                  <c:v>Grécko</c:v>
                </c:pt>
                <c:pt idx="1">
                  <c:v>Taliansko</c:v>
                </c:pt>
                <c:pt idx="2">
                  <c:v>Španielsko</c:v>
                </c:pt>
                <c:pt idx="3">
                  <c:v>Nemecko</c:v>
                </c:pt>
                <c:pt idx="4">
                  <c:v>Francúzsko</c:v>
                </c:pt>
                <c:pt idx="5">
                  <c:v>Rakúsko</c:v>
                </c:pt>
                <c:pt idx="6">
                  <c:v>Luxembursko</c:v>
                </c:pt>
                <c:pt idx="7">
                  <c:v>Holandsko</c:v>
                </c:pt>
                <c:pt idx="8">
                  <c:v>Dánsko</c:v>
                </c:pt>
                <c:pt idx="9">
                  <c:v>Island</c:v>
                </c:pt>
                <c:pt idx="10">
                  <c:v>Írsko</c:v>
                </c:pt>
                <c:pt idx="11">
                  <c:v>Švédsko</c:v>
                </c:pt>
                <c:pt idx="12">
                  <c:v>Švajčiarsko</c:v>
                </c:pt>
                <c:pt idx="13">
                  <c:v>UK</c:v>
                </c:pt>
              </c:strCache>
            </c:strRef>
          </c:cat>
          <c:val>
            <c:numRef>
              <c:f>Hárok2!$C$5:$C$21</c:f>
              <c:numCache>
                <c:formatCode>0%</c:formatCode>
                <c:ptCount val="14"/>
                <c:pt idx="0">
                  <c:v>0.8</c:v>
                </c:pt>
                <c:pt idx="1">
                  <c:v>0.5</c:v>
                </c:pt>
                <c:pt idx="2">
                  <c:v>0.35</c:v>
                </c:pt>
                <c:pt idx="3">
                  <c:v>0.2</c:v>
                </c:pt>
                <c:pt idx="4">
                  <c:v>0.15</c:v>
                </c:pt>
                <c:pt idx="5">
                  <c:v>0.15</c:v>
                </c:pt>
                <c:pt idx="6">
                  <c:v>0.1</c:v>
                </c:pt>
                <c:pt idx="7">
                  <c:v>0.04</c:v>
                </c:pt>
                <c:pt idx="8">
                  <c:v>0.01</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5CF9-4539-A04B-756EFB50B602}"/>
            </c:ext>
          </c:extLst>
        </c:ser>
        <c:dLbls>
          <c:showLegendKey val="0"/>
          <c:showVal val="0"/>
          <c:showCatName val="0"/>
          <c:showSerName val="0"/>
          <c:showPercent val="0"/>
          <c:showBubbleSize val="0"/>
        </c:dLbls>
        <c:gapWidth val="150"/>
        <c:overlap val="100"/>
        <c:axId val="224579936"/>
        <c:axId val="224580328"/>
      </c:barChart>
      <c:catAx>
        <c:axId val="224579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580328"/>
        <c:crosses val="autoZero"/>
        <c:auto val="1"/>
        <c:lblAlgn val="ctr"/>
        <c:lblOffset val="100"/>
        <c:noMultiLvlLbl val="0"/>
      </c:catAx>
      <c:valAx>
        <c:axId val="224580328"/>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4579936"/>
        <c:crosses val="autoZero"/>
        <c:crossBetween val="between"/>
        <c:majorUnit val="0.2"/>
      </c:valAx>
      <c:spPr>
        <a:noFill/>
        <a:ln>
          <a:noFill/>
        </a:ln>
        <a:effectLst/>
      </c:spPr>
    </c:plotArea>
    <c:legend>
      <c:legendPos val="t"/>
      <c:layout>
        <c:manualLayout>
          <c:xMode val="edge"/>
          <c:yMode val="edge"/>
          <c:x val="0.14835883440706277"/>
          <c:y val="0"/>
          <c:w val="0.7032819583631591"/>
          <c:h val="9.364441348207493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781184570525747E-2"/>
          <c:y val="2.8985507246376812E-2"/>
          <c:w val="0.87035747774595063"/>
          <c:h val="0.69185575716078973"/>
        </c:manualLayout>
      </c:layout>
      <c:barChart>
        <c:barDir val="col"/>
        <c:grouping val="clustered"/>
        <c:varyColors val="0"/>
        <c:ser>
          <c:idx val="0"/>
          <c:order val="0"/>
          <c:spPr>
            <a:solidFill>
              <a:srgbClr val="00B0F0"/>
            </a:solidFill>
            <a:ln>
              <a:solidFill>
                <a:srgbClr val="00B0F0"/>
              </a:solidFill>
            </a:ln>
            <a:effectLst/>
          </c:spPr>
          <c:invertIfNegative val="0"/>
          <c:dPt>
            <c:idx val="24"/>
            <c:invertIfNegative val="0"/>
            <c:bubble3D val="0"/>
            <c:spPr>
              <a:solidFill>
                <a:srgbClr val="002060"/>
              </a:solidFill>
              <a:ln>
                <a:solidFill>
                  <a:srgbClr val="002060"/>
                </a:solidFill>
              </a:ln>
              <a:effectLst/>
            </c:spPr>
            <c:extLst xmlns:c16r2="http://schemas.microsoft.com/office/drawing/2015/06/chart">
              <c:ext xmlns:c16="http://schemas.microsoft.com/office/drawing/2014/chart" uri="{C3380CC4-5D6E-409C-BE32-E72D297353CC}">
                <c16:uniqueId val="{00000001-B00A-45E4-B4C3-FC2202EBB172}"/>
              </c:ext>
            </c:extLst>
          </c:dPt>
          <c:cat>
            <c:strRef>
              <c:f>Hárok1!$A$2:$A$27</c:f>
              <c:strCache>
                <c:ptCount val="26"/>
                <c:pt idx="0">
                  <c:v>Španielsko</c:v>
                </c:pt>
                <c:pt idx="1">
                  <c:v>Maďarsko</c:v>
                </c:pt>
                <c:pt idx="2">
                  <c:v>Estónsko</c:v>
                </c:pt>
                <c:pt idx="3">
                  <c:v>Slovinsko</c:v>
                </c:pt>
                <c:pt idx="4">
                  <c:v>Bulharsko</c:v>
                </c:pt>
                <c:pt idx="5">
                  <c:v>Švajčiarsko</c:v>
                </c:pt>
                <c:pt idx="6">
                  <c:v>Írsko</c:v>
                </c:pt>
                <c:pt idx="7">
                  <c:v>Poľsko</c:v>
                </c:pt>
                <c:pt idx="8">
                  <c:v>Rakúsko</c:v>
                </c:pt>
                <c:pt idx="9">
                  <c:v>Lotyšsko</c:v>
                </c:pt>
                <c:pt idx="10">
                  <c:v>Srbsko</c:v>
                </c:pt>
                <c:pt idx="11">
                  <c:v>Cyprus</c:v>
                </c:pt>
                <c:pt idx="12">
                  <c:v>Portugalsko</c:v>
                </c:pt>
                <c:pt idx="13">
                  <c:v>Chorvátsko</c:v>
                </c:pt>
                <c:pt idx="14">
                  <c:v>Holandsko</c:v>
                </c:pt>
                <c:pt idx="15">
                  <c:v>Francúzsko</c:v>
                </c:pt>
                <c:pt idx="16">
                  <c:v>Luxembursko</c:v>
                </c:pt>
                <c:pt idx="17">
                  <c:v>Malta</c:v>
                </c:pt>
                <c:pt idx="18">
                  <c:v>Litva</c:v>
                </c:pt>
                <c:pt idx="19">
                  <c:v>Dánsko</c:v>
                </c:pt>
                <c:pt idx="20">
                  <c:v>Česká republika</c:v>
                </c:pt>
                <c:pt idx="21">
                  <c:v>Belgisko</c:v>
                </c:pt>
                <c:pt idx="22">
                  <c:v>Nemecko</c:v>
                </c:pt>
                <c:pt idx="23">
                  <c:v>Fínsko</c:v>
                </c:pt>
                <c:pt idx="24">
                  <c:v>Slovensko</c:v>
                </c:pt>
                <c:pt idx="25">
                  <c:v>Taliansko</c:v>
                </c:pt>
              </c:strCache>
            </c:strRef>
          </c:cat>
          <c:val>
            <c:numRef>
              <c:f>Hárok1!$B$2:$B$27</c:f>
              <c:numCache>
                <c:formatCode>0.0</c:formatCode>
                <c:ptCount val="26"/>
                <c:pt idx="0">
                  <c:v>33.729999999999997</c:v>
                </c:pt>
                <c:pt idx="1">
                  <c:v>19</c:v>
                </c:pt>
                <c:pt idx="2">
                  <c:v>13.49</c:v>
                </c:pt>
                <c:pt idx="3">
                  <c:v>11.77</c:v>
                </c:pt>
                <c:pt idx="4">
                  <c:v>9.52</c:v>
                </c:pt>
                <c:pt idx="5">
                  <c:v>8.7799999999999994</c:v>
                </c:pt>
                <c:pt idx="6">
                  <c:v>8.4600000000000009</c:v>
                </c:pt>
                <c:pt idx="7">
                  <c:v>8</c:v>
                </c:pt>
                <c:pt idx="8">
                  <c:v>6.77</c:v>
                </c:pt>
                <c:pt idx="9">
                  <c:v>6.6</c:v>
                </c:pt>
                <c:pt idx="10">
                  <c:v>6.45</c:v>
                </c:pt>
                <c:pt idx="11">
                  <c:v>6.4</c:v>
                </c:pt>
                <c:pt idx="12">
                  <c:v>6.35</c:v>
                </c:pt>
                <c:pt idx="13">
                  <c:v>5.59</c:v>
                </c:pt>
                <c:pt idx="14">
                  <c:v>5.14</c:v>
                </c:pt>
                <c:pt idx="15">
                  <c:v>4.8600000000000003</c:v>
                </c:pt>
                <c:pt idx="16">
                  <c:v>4.5599999999999996</c:v>
                </c:pt>
                <c:pt idx="17">
                  <c:v>4.49</c:v>
                </c:pt>
                <c:pt idx="18">
                  <c:v>4.34</c:v>
                </c:pt>
                <c:pt idx="19">
                  <c:v>4.0199999999999996</c:v>
                </c:pt>
                <c:pt idx="20">
                  <c:v>3.68</c:v>
                </c:pt>
                <c:pt idx="21">
                  <c:v>3.41</c:v>
                </c:pt>
                <c:pt idx="22">
                  <c:v>3.24</c:v>
                </c:pt>
                <c:pt idx="23">
                  <c:v>2.93</c:v>
                </c:pt>
                <c:pt idx="24">
                  <c:v>2.5</c:v>
                </c:pt>
                <c:pt idx="25">
                  <c:v>1.4</c:v>
                </c:pt>
              </c:numCache>
            </c:numRef>
          </c:val>
          <c:extLst xmlns:c16r2="http://schemas.microsoft.com/office/drawing/2015/06/chart">
            <c:ext xmlns:c16="http://schemas.microsoft.com/office/drawing/2014/chart" uri="{C3380CC4-5D6E-409C-BE32-E72D297353CC}">
              <c16:uniqueId val="{00000002-B00A-45E4-B4C3-FC2202EBB172}"/>
            </c:ext>
          </c:extLst>
        </c:ser>
        <c:dLbls>
          <c:showLegendKey val="0"/>
          <c:showVal val="0"/>
          <c:showCatName val="0"/>
          <c:showSerName val="0"/>
          <c:showPercent val="0"/>
          <c:showBubbleSize val="0"/>
        </c:dLbls>
        <c:gapWidth val="219"/>
        <c:axId val="224581112"/>
        <c:axId val="224581504"/>
      </c:barChart>
      <c:lineChart>
        <c:grouping val="standard"/>
        <c:varyColors val="0"/>
        <c:ser>
          <c:idx val="1"/>
          <c:order val="1"/>
          <c:tx>
            <c:strRef>
              <c:f>Hárok1!$C$1</c:f>
              <c:strCache>
                <c:ptCount val="1"/>
                <c:pt idx="0">
                  <c:v>priemer</c:v>
                </c:pt>
              </c:strCache>
            </c:strRef>
          </c:tx>
          <c:spPr>
            <a:ln w="28575" cap="rnd">
              <a:solidFill>
                <a:schemeClr val="bg1">
                  <a:lumMod val="75000"/>
                </a:schemeClr>
              </a:solidFill>
              <a:round/>
            </a:ln>
            <a:effectLst/>
          </c:spPr>
          <c:marker>
            <c:symbol val="none"/>
          </c:marker>
          <c:dLbls>
            <c:dLbl>
              <c:idx val="22"/>
              <c:layout>
                <c:manualLayout>
                  <c:x val="8.6707554932227791E-3"/>
                  <c:y val="-4.40000000000000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00A-45E4-B4C3-FC2202EBB17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Hárok1!$A$2:$A$27</c:f>
              <c:strCache>
                <c:ptCount val="26"/>
                <c:pt idx="0">
                  <c:v>Španielsko</c:v>
                </c:pt>
                <c:pt idx="1">
                  <c:v>Maďarsko</c:v>
                </c:pt>
                <c:pt idx="2">
                  <c:v>Estónsko</c:v>
                </c:pt>
                <c:pt idx="3">
                  <c:v>Slovinsko</c:v>
                </c:pt>
                <c:pt idx="4">
                  <c:v>Bulharsko</c:v>
                </c:pt>
                <c:pt idx="5">
                  <c:v>Švajčiarsko</c:v>
                </c:pt>
                <c:pt idx="6">
                  <c:v>Írsko</c:v>
                </c:pt>
                <c:pt idx="7">
                  <c:v>Poľsko</c:v>
                </c:pt>
                <c:pt idx="8">
                  <c:v>Rakúsko</c:v>
                </c:pt>
                <c:pt idx="9">
                  <c:v>Lotyšsko</c:v>
                </c:pt>
                <c:pt idx="10">
                  <c:v>Srbsko</c:v>
                </c:pt>
                <c:pt idx="11">
                  <c:v>Cyprus</c:v>
                </c:pt>
                <c:pt idx="12">
                  <c:v>Portugalsko</c:v>
                </c:pt>
                <c:pt idx="13">
                  <c:v>Chorvátsko</c:v>
                </c:pt>
                <c:pt idx="14">
                  <c:v>Holandsko</c:v>
                </c:pt>
                <c:pt idx="15">
                  <c:v>Francúzsko</c:v>
                </c:pt>
                <c:pt idx="16">
                  <c:v>Luxembursko</c:v>
                </c:pt>
                <c:pt idx="17">
                  <c:v>Malta</c:v>
                </c:pt>
                <c:pt idx="18">
                  <c:v>Litva</c:v>
                </c:pt>
                <c:pt idx="19">
                  <c:v>Dánsko</c:v>
                </c:pt>
                <c:pt idx="20">
                  <c:v>Česká republika</c:v>
                </c:pt>
                <c:pt idx="21">
                  <c:v>Belgisko</c:v>
                </c:pt>
                <c:pt idx="22">
                  <c:v>Nemecko</c:v>
                </c:pt>
                <c:pt idx="23">
                  <c:v>Fínsko</c:v>
                </c:pt>
                <c:pt idx="24">
                  <c:v>Slovensko</c:v>
                </c:pt>
                <c:pt idx="25">
                  <c:v>Taliansko</c:v>
                </c:pt>
              </c:strCache>
            </c:strRef>
          </c:cat>
          <c:val>
            <c:numRef>
              <c:f>Hárok1!$C$2:$C$27</c:f>
              <c:numCache>
                <c:formatCode>0.0</c:formatCode>
                <c:ptCount val="26"/>
                <c:pt idx="0">
                  <c:v>7.5184615384615405</c:v>
                </c:pt>
                <c:pt idx="1">
                  <c:v>7.5184615384615405</c:v>
                </c:pt>
                <c:pt idx="2">
                  <c:v>7.5184615384615405</c:v>
                </c:pt>
                <c:pt idx="3">
                  <c:v>7.5184615384615405</c:v>
                </c:pt>
                <c:pt idx="4">
                  <c:v>7.5184615384615405</c:v>
                </c:pt>
                <c:pt idx="5">
                  <c:v>7.5184615384615405</c:v>
                </c:pt>
                <c:pt idx="6">
                  <c:v>7.5184615384615405</c:v>
                </c:pt>
                <c:pt idx="7">
                  <c:v>7.5184615384615405</c:v>
                </c:pt>
                <c:pt idx="8">
                  <c:v>7.5184615384615405</c:v>
                </c:pt>
                <c:pt idx="9">
                  <c:v>7.5184615384615405</c:v>
                </c:pt>
                <c:pt idx="10">
                  <c:v>7.5184615384615405</c:v>
                </c:pt>
                <c:pt idx="11">
                  <c:v>7.5184615384615405</c:v>
                </c:pt>
                <c:pt idx="12">
                  <c:v>7.5184615384615405</c:v>
                </c:pt>
                <c:pt idx="13">
                  <c:v>7.5184615384615405</c:v>
                </c:pt>
                <c:pt idx="14">
                  <c:v>7.5184615384615405</c:v>
                </c:pt>
                <c:pt idx="15">
                  <c:v>7.5184615384615405</c:v>
                </c:pt>
                <c:pt idx="16">
                  <c:v>7.5184615384615405</c:v>
                </c:pt>
                <c:pt idx="17">
                  <c:v>7.5184615384615405</c:v>
                </c:pt>
                <c:pt idx="18">
                  <c:v>7.5184615384615405</c:v>
                </c:pt>
                <c:pt idx="19">
                  <c:v>7.5184615384615405</c:v>
                </c:pt>
                <c:pt idx="20">
                  <c:v>7.5184615384615405</c:v>
                </c:pt>
                <c:pt idx="21">
                  <c:v>7.5184615384615405</c:v>
                </c:pt>
                <c:pt idx="22">
                  <c:v>7.5184615384615405</c:v>
                </c:pt>
                <c:pt idx="23">
                  <c:v>7.5184615384615405</c:v>
                </c:pt>
                <c:pt idx="24">
                  <c:v>7.5184615384615405</c:v>
                </c:pt>
                <c:pt idx="25">
                  <c:v>7.5184615384615405</c:v>
                </c:pt>
              </c:numCache>
            </c:numRef>
          </c:val>
          <c:smooth val="0"/>
          <c:extLst xmlns:c16r2="http://schemas.microsoft.com/office/drawing/2015/06/chart">
            <c:ext xmlns:c16="http://schemas.microsoft.com/office/drawing/2014/chart" uri="{C3380CC4-5D6E-409C-BE32-E72D297353CC}">
              <c16:uniqueId val="{00000004-B00A-45E4-B4C3-FC2202EBB172}"/>
            </c:ext>
          </c:extLst>
        </c:ser>
        <c:ser>
          <c:idx val="2"/>
          <c:order val="2"/>
          <c:tx>
            <c:v>minimálny odporúčaný rozptyl</c:v>
          </c:tx>
          <c:spPr>
            <a:ln w="28575" cap="rnd">
              <a:solidFill>
                <a:schemeClr val="accent3"/>
              </a:solidFill>
              <a:prstDash val="sysDot"/>
              <a:round/>
            </a:ln>
            <a:effectLst/>
          </c:spPr>
          <c:marker>
            <c:symbol val="none"/>
          </c:marker>
          <c:dLbls>
            <c:dLbl>
              <c:idx val="24"/>
              <c:layout>
                <c:manualLayout>
                  <c:x val="-1.3425822331617812E-2"/>
                  <c:y val="-2.89855072463768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Hárok1!$D$2:$D$27</c:f>
              <c:numCache>
                <c:formatCode>General</c:formatCode>
                <c:ptCount val="26"/>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numCache>
            </c:numRef>
          </c:val>
          <c:smooth val="0"/>
          <c:extLst xmlns:c16r2="http://schemas.microsoft.com/office/drawing/2015/06/chart">
            <c:ext xmlns:c16="http://schemas.microsoft.com/office/drawing/2014/chart" uri="{C3380CC4-5D6E-409C-BE32-E72D297353CC}">
              <c16:uniqueId val="{00000005-B00A-45E4-B4C3-FC2202EBB172}"/>
            </c:ext>
          </c:extLst>
        </c:ser>
        <c:dLbls>
          <c:showLegendKey val="0"/>
          <c:showVal val="0"/>
          <c:showCatName val="0"/>
          <c:showSerName val="0"/>
          <c:showPercent val="0"/>
          <c:showBubbleSize val="0"/>
        </c:dLbls>
        <c:marker val="1"/>
        <c:smooth val="0"/>
        <c:axId val="224581112"/>
        <c:axId val="224581504"/>
      </c:lineChart>
      <c:catAx>
        <c:axId val="2245811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crossAx val="224581504"/>
        <c:crosses val="autoZero"/>
        <c:auto val="1"/>
        <c:lblAlgn val="ctr"/>
        <c:lblOffset val="100"/>
        <c:noMultiLvlLbl val="0"/>
      </c:catAx>
      <c:valAx>
        <c:axId val="224581504"/>
        <c:scaling>
          <c:orientation val="minMax"/>
          <c:max val="35"/>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4581112"/>
        <c:crosses val="autoZero"/>
        <c:crossBetween val="between"/>
      </c:valAx>
      <c:spPr>
        <a:noFill/>
        <a:ln>
          <a:noFill/>
        </a:ln>
        <a:effectLst/>
      </c:spPr>
    </c:plotArea>
    <c:legend>
      <c:legendPos val="t"/>
      <c:legendEntry>
        <c:idx val="0"/>
        <c:delete val="1"/>
      </c:legendEntry>
      <c:layout>
        <c:manualLayout>
          <c:xMode val="edge"/>
          <c:yMode val="edge"/>
          <c:x val="0.18631482320024384"/>
          <c:y val="0.23084103617482599"/>
          <c:w val="0.68016393268266051"/>
          <c:h val="0.15321054433413217"/>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Arial Narrow" panose="020B0606020202030204" pitchFamily="34" charset="0"/>
        </a:defRPr>
      </a:pPr>
      <a:endParaRPr lang="sk-SK"/>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57815637813956"/>
          <c:y val="2.3320463320463322E-2"/>
          <c:w val="0.88227893927052226"/>
          <c:h val="0.82236504220756179"/>
        </c:manualLayout>
      </c:layout>
      <c:lineChart>
        <c:grouping val="standard"/>
        <c:varyColors val="0"/>
        <c:ser>
          <c:idx val="0"/>
          <c:order val="0"/>
          <c:tx>
            <c:strRef>
              <c:f>Graf_19_20!$B$5:$B$6</c:f>
              <c:strCache>
                <c:ptCount val="2"/>
                <c:pt idx="0">
                  <c:v>súkromný -</c:v>
                </c:pt>
                <c:pt idx="1">
                  <c:v>Zákonník práce</c:v>
                </c:pt>
              </c:strCache>
            </c:strRef>
          </c:tx>
          <c:spPr>
            <a:ln w="28575" cap="rnd">
              <a:solidFill>
                <a:sysClr val="windowText" lastClr="000000"/>
              </a:solidFill>
              <a:round/>
            </a:ln>
            <a:effectLst/>
          </c:spPr>
          <c:marker>
            <c:symbol val="none"/>
          </c:marker>
          <c:cat>
            <c:numRef>
              <c:f>Graf_19_20!$A$7:$A$53</c:f>
              <c:numCache>
                <c:formatCode>General</c:formatCode>
                <c:ptCount val="47"/>
                <c:pt idx="0">
                  <c:v>2</c:v>
                </c:pt>
                <c:pt idx="1">
                  <c:v>2.5</c:v>
                </c:pt>
                <c:pt idx="2">
                  <c:v>3</c:v>
                </c:pt>
                <c:pt idx="3">
                  <c:v>3.5</c:v>
                </c:pt>
                <c:pt idx="4">
                  <c:v>4</c:v>
                </c:pt>
                <c:pt idx="5">
                  <c:v>4.5</c:v>
                </c:pt>
                <c:pt idx="6">
                  <c:v>5</c:v>
                </c:pt>
                <c:pt idx="7">
                  <c:v>5.5</c:v>
                </c:pt>
                <c:pt idx="8">
                  <c:v>6</c:v>
                </c:pt>
                <c:pt idx="9">
                  <c:v>6.5</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13.5</c:v>
                </c:pt>
                <c:pt idx="24">
                  <c:v>14</c:v>
                </c:pt>
                <c:pt idx="25">
                  <c:v>14.5</c:v>
                </c:pt>
                <c:pt idx="26">
                  <c:v>15</c:v>
                </c:pt>
                <c:pt idx="27">
                  <c:v>15.5</c:v>
                </c:pt>
                <c:pt idx="28">
                  <c:v>16</c:v>
                </c:pt>
                <c:pt idx="29">
                  <c:v>16.5</c:v>
                </c:pt>
                <c:pt idx="30">
                  <c:v>17</c:v>
                </c:pt>
                <c:pt idx="31">
                  <c:v>17.5</c:v>
                </c:pt>
                <c:pt idx="32">
                  <c:v>18</c:v>
                </c:pt>
                <c:pt idx="33">
                  <c:v>18.5</c:v>
                </c:pt>
                <c:pt idx="34">
                  <c:v>19</c:v>
                </c:pt>
                <c:pt idx="35">
                  <c:v>19.5</c:v>
                </c:pt>
                <c:pt idx="36">
                  <c:v>20</c:v>
                </c:pt>
                <c:pt idx="37">
                  <c:v>20.5</c:v>
                </c:pt>
                <c:pt idx="38">
                  <c:v>21</c:v>
                </c:pt>
                <c:pt idx="39">
                  <c:v>21.5</c:v>
                </c:pt>
                <c:pt idx="40">
                  <c:v>22</c:v>
                </c:pt>
                <c:pt idx="41">
                  <c:v>22.5</c:v>
                </c:pt>
                <c:pt idx="42">
                  <c:v>23</c:v>
                </c:pt>
                <c:pt idx="43">
                  <c:v>23.5</c:v>
                </c:pt>
                <c:pt idx="44">
                  <c:v>24</c:v>
                </c:pt>
                <c:pt idx="45">
                  <c:v>24.5</c:v>
                </c:pt>
                <c:pt idx="46">
                  <c:v>25</c:v>
                </c:pt>
              </c:numCache>
            </c:numRef>
          </c:cat>
          <c:val>
            <c:numRef>
              <c:f>Graf_19_20!$B$7:$B$53</c:f>
              <c:numCache>
                <c:formatCode>0.0%</c:formatCode>
                <c:ptCount val="47"/>
                <c:pt idx="0">
                  <c:v>4.5419888513532334E-5</c:v>
                </c:pt>
                <c:pt idx="1">
                  <c:v>1.5211538707392608E-3</c:v>
                </c:pt>
                <c:pt idx="2">
                  <c:v>8.4997307607439405E-3</c:v>
                </c:pt>
                <c:pt idx="3">
                  <c:v>1.4079766938914145E-2</c:v>
                </c:pt>
                <c:pt idx="4">
                  <c:v>2.1818976161018411E-2</c:v>
                </c:pt>
                <c:pt idx="5">
                  <c:v>3.5474711714213555E-2</c:v>
                </c:pt>
                <c:pt idx="6">
                  <c:v>4.2768347863230229E-2</c:v>
                </c:pt>
                <c:pt idx="7">
                  <c:v>4.9662927764347373E-2</c:v>
                </c:pt>
                <c:pt idx="8">
                  <c:v>5.2995999678964616E-2</c:v>
                </c:pt>
                <c:pt idx="9">
                  <c:v>6.2081601603916715E-2</c:v>
                </c:pt>
                <c:pt idx="10">
                  <c:v>5.1786739197368467E-2</c:v>
                </c:pt>
                <c:pt idx="11">
                  <c:v>5.0022926235709475E-2</c:v>
                </c:pt>
                <c:pt idx="12">
                  <c:v>5.0494084284159024E-2</c:v>
                </c:pt>
                <c:pt idx="13">
                  <c:v>4.5787731831018696E-2</c:v>
                </c:pt>
                <c:pt idx="14">
                  <c:v>4.4585646494902001E-2</c:v>
                </c:pt>
                <c:pt idx="15">
                  <c:v>3.8678298069952669E-2</c:v>
                </c:pt>
                <c:pt idx="16">
                  <c:v>3.6059676680541101E-2</c:v>
                </c:pt>
                <c:pt idx="17">
                  <c:v>3.2091190429499761E-2</c:v>
                </c:pt>
                <c:pt idx="18">
                  <c:v>2.9392246748438485E-2</c:v>
                </c:pt>
                <c:pt idx="19">
                  <c:v>2.8060936846706346E-2</c:v>
                </c:pt>
                <c:pt idx="20">
                  <c:v>2.4718747580968467E-2</c:v>
                </c:pt>
                <c:pt idx="21">
                  <c:v>2.2429074885155151E-2</c:v>
                </c:pt>
                <c:pt idx="22">
                  <c:v>2.0396228506471145E-2</c:v>
                </c:pt>
                <c:pt idx="23">
                  <c:v>1.9183398761138348E-2</c:v>
                </c:pt>
                <c:pt idx="24">
                  <c:v>1.7717962367876917E-2</c:v>
                </c:pt>
                <c:pt idx="25">
                  <c:v>1.4771088678978847E-2</c:v>
                </c:pt>
                <c:pt idx="26">
                  <c:v>1.3329620506733886E-2</c:v>
                </c:pt>
                <c:pt idx="27">
                  <c:v>1.2416982998592802E-2</c:v>
                </c:pt>
                <c:pt idx="28">
                  <c:v>1.1974018915302798E-2</c:v>
                </c:pt>
                <c:pt idx="29">
                  <c:v>1.0879366263798552E-2</c:v>
                </c:pt>
                <c:pt idx="30">
                  <c:v>8.7674514591440864E-3</c:v>
                </c:pt>
                <c:pt idx="31">
                  <c:v>8.0011007378639615E-3</c:v>
                </c:pt>
                <c:pt idx="32">
                  <c:v>8.4193060590905134E-3</c:v>
                </c:pt>
                <c:pt idx="33">
                  <c:v>7.6675842493463941E-3</c:v>
                </c:pt>
                <c:pt idx="34">
                  <c:v>6.4994089402096991E-3</c:v>
                </c:pt>
                <c:pt idx="35">
                  <c:v>6.5762905952340767E-3</c:v>
                </c:pt>
                <c:pt idx="36">
                  <c:v>6.0116964113745754E-3</c:v>
                </c:pt>
                <c:pt idx="37">
                  <c:v>5.0220834592019335E-3</c:v>
                </c:pt>
                <c:pt idx="38">
                  <c:v>5.1370443716363297E-3</c:v>
                </c:pt>
                <c:pt idx="39">
                  <c:v>4.5556204885377665E-3</c:v>
                </c:pt>
                <c:pt idx="40">
                  <c:v>3.9357751681752574E-3</c:v>
                </c:pt>
                <c:pt idx="41">
                  <c:v>3.7660194624436153E-3</c:v>
                </c:pt>
                <c:pt idx="42">
                  <c:v>3.9453255903237772E-3</c:v>
                </c:pt>
                <c:pt idx="43">
                  <c:v>2.7679740942224283E-3</c:v>
                </c:pt>
                <c:pt idx="44">
                  <c:v>2.7894349250823258E-3</c:v>
                </c:pt>
                <c:pt idx="45">
                  <c:v>2.7812546940125197E-3</c:v>
                </c:pt>
                <c:pt idx="46">
                  <c:v>2.3633738386141748E-3</c:v>
                </c:pt>
              </c:numCache>
            </c:numRef>
          </c:val>
          <c:smooth val="0"/>
          <c:extLst xmlns:c16r2="http://schemas.microsoft.com/office/drawing/2015/06/chart">
            <c:ext xmlns:c16="http://schemas.microsoft.com/office/drawing/2014/chart" uri="{C3380CC4-5D6E-409C-BE32-E72D297353CC}">
              <c16:uniqueId val="{00000000-0B40-42E4-A140-1ADDF9E5A422}"/>
            </c:ext>
          </c:extLst>
        </c:ser>
        <c:ser>
          <c:idx val="1"/>
          <c:order val="1"/>
          <c:tx>
            <c:strRef>
              <c:f>Graf_19_20!$C$5:$C$6</c:f>
              <c:strCache>
                <c:ptCount val="2"/>
                <c:pt idx="0">
                  <c:v>verejný -</c:v>
                </c:pt>
                <c:pt idx="1">
                  <c:v>Zákonník práce</c:v>
                </c:pt>
              </c:strCache>
            </c:strRef>
          </c:tx>
          <c:spPr>
            <a:ln w="28575" cap="rnd">
              <a:solidFill>
                <a:schemeClr val="tx1"/>
              </a:solidFill>
              <a:prstDash val="sysDot"/>
              <a:round/>
            </a:ln>
            <a:effectLst/>
          </c:spPr>
          <c:marker>
            <c:symbol val="none"/>
          </c:marker>
          <c:cat>
            <c:numRef>
              <c:f>Graf_19_20!$A$7:$A$53</c:f>
              <c:numCache>
                <c:formatCode>General</c:formatCode>
                <c:ptCount val="47"/>
                <c:pt idx="0">
                  <c:v>2</c:v>
                </c:pt>
                <c:pt idx="1">
                  <c:v>2.5</c:v>
                </c:pt>
                <c:pt idx="2">
                  <c:v>3</c:v>
                </c:pt>
                <c:pt idx="3">
                  <c:v>3.5</c:v>
                </c:pt>
                <c:pt idx="4">
                  <c:v>4</c:v>
                </c:pt>
                <c:pt idx="5">
                  <c:v>4.5</c:v>
                </c:pt>
                <c:pt idx="6">
                  <c:v>5</c:v>
                </c:pt>
                <c:pt idx="7">
                  <c:v>5.5</c:v>
                </c:pt>
                <c:pt idx="8">
                  <c:v>6</c:v>
                </c:pt>
                <c:pt idx="9">
                  <c:v>6.5</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13.5</c:v>
                </c:pt>
                <c:pt idx="24">
                  <c:v>14</c:v>
                </c:pt>
                <c:pt idx="25">
                  <c:v>14.5</c:v>
                </c:pt>
                <c:pt idx="26">
                  <c:v>15</c:v>
                </c:pt>
                <c:pt idx="27">
                  <c:v>15.5</c:v>
                </c:pt>
                <c:pt idx="28">
                  <c:v>16</c:v>
                </c:pt>
                <c:pt idx="29">
                  <c:v>16.5</c:v>
                </c:pt>
                <c:pt idx="30">
                  <c:v>17</c:v>
                </c:pt>
                <c:pt idx="31">
                  <c:v>17.5</c:v>
                </c:pt>
                <c:pt idx="32">
                  <c:v>18</c:v>
                </c:pt>
                <c:pt idx="33">
                  <c:v>18.5</c:v>
                </c:pt>
                <c:pt idx="34">
                  <c:v>19</c:v>
                </c:pt>
                <c:pt idx="35">
                  <c:v>19.5</c:v>
                </c:pt>
                <c:pt idx="36">
                  <c:v>20</c:v>
                </c:pt>
                <c:pt idx="37">
                  <c:v>20.5</c:v>
                </c:pt>
                <c:pt idx="38">
                  <c:v>21</c:v>
                </c:pt>
                <c:pt idx="39">
                  <c:v>21.5</c:v>
                </c:pt>
                <c:pt idx="40">
                  <c:v>22</c:v>
                </c:pt>
                <c:pt idx="41">
                  <c:v>22.5</c:v>
                </c:pt>
                <c:pt idx="42">
                  <c:v>23</c:v>
                </c:pt>
                <c:pt idx="43">
                  <c:v>23.5</c:v>
                </c:pt>
                <c:pt idx="44">
                  <c:v>24</c:v>
                </c:pt>
                <c:pt idx="45">
                  <c:v>24.5</c:v>
                </c:pt>
                <c:pt idx="46">
                  <c:v>25</c:v>
                </c:pt>
              </c:numCache>
            </c:numRef>
          </c:cat>
          <c:val>
            <c:numRef>
              <c:f>Graf_19_20!$C$7:$C$53</c:f>
              <c:numCache>
                <c:formatCode>0.0%</c:formatCode>
                <c:ptCount val="47"/>
                <c:pt idx="0">
                  <c:v>4.7166913536974964E-5</c:v>
                </c:pt>
                <c:pt idx="1">
                  <c:v>7.075037030546244E-5</c:v>
                </c:pt>
                <c:pt idx="2">
                  <c:v>4.323352985451651E-4</c:v>
                </c:pt>
                <c:pt idx="3">
                  <c:v>1.3979488804024666E-3</c:v>
                </c:pt>
                <c:pt idx="4">
                  <c:v>4.3186848663068367E-3</c:v>
                </c:pt>
                <c:pt idx="5">
                  <c:v>1.3963158694437388E-2</c:v>
                </c:pt>
                <c:pt idx="6">
                  <c:v>3.4743137857619809E-2</c:v>
                </c:pt>
                <c:pt idx="7">
                  <c:v>5.4694835230721904E-2</c:v>
                </c:pt>
                <c:pt idx="8">
                  <c:v>7.3161415721806858E-2</c:v>
                </c:pt>
                <c:pt idx="9">
                  <c:v>8.9544120714060288E-2</c:v>
                </c:pt>
                <c:pt idx="10">
                  <c:v>8.6986716231334429E-2</c:v>
                </c:pt>
                <c:pt idx="11">
                  <c:v>7.8445359455726421E-2</c:v>
                </c:pt>
                <c:pt idx="12">
                  <c:v>7.1949012180171135E-2</c:v>
                </c:pt>
                <c:pt idx="13">
                  <c:v>6.5679327347313118E-2</c:v>
                </c:pt>
                <c:pt idx="14">
                  <c:v>5.5671333701688613E-2</c:v>
                </c:pt>
                <c:pt idx="15">
                  <c:v>4.3245971623216792E-2</c:v>
                </c:pt>
                <c:pt idx="16">
                  <c:v>3.5249996888527653E-2</c:v>
                </c:pt>
                <c:pt idx="17">
                  <c:v>2.8885514182349213E-2</c:v>
                </c:pt>
                <c:pt idx="18">
                  <c:v>2.4014138920006561E-2</c:v>
                </c:pt>
                <c:pt idx="19">
                  <c:v>1.9726520543473451E-2</c:v>
                </c:pt>
                <c:pt idx="20">
                  <c:v>1.6962263540187341E-2</c:v>
                </c:pt>
                <c:pt idx="21">
                  <c:v>1.5501884876523337E-2</c:v>
                </c:pt>
                <c:pt idx="22">
                  <c:v>1.3935347291964786E-2</c:v>
                </c:pt>
                <c:pt idx="23">
                  <c:v>1.1694631176527037E-2</c:v>
                </c:pt>
                <c:pt idx="24">
                  <c:v>1.1727161451437474E-2</c:v>
                </c:pt>
                <c:pt idx="25">
                  <c:v>1.102837031644794E-2</c:v>
                </c:pt>
                <c:pt idx="26">
                  <c:v>1.0957594241437326E-2</c:v>
                </c:pt>
                <c:pt idx="27">
                  <c:v>1.0560520310672755E-2</c:v>
                </c:pt>
                <c:pt idx="28">
                  <c:v>9.922772251485204E-3</c:v>
                </c:pt>
                <c:pt idx="29">
                  <c:v>9.8658609097236061E-3</c:v>
                </c:pt>
                <c:pt idx="30">
                  <c:v>8.5591029587690146E-3</c:v>
                </c:pt>
                <c:pt idx="31">
                  <c:v>6.8906836608376718E-3</c:v>
                </c:pt>
                <c:pt idx="32">
                  <c:v>6.3773050783797833E-3</c:v>
                </c:pt>
                <c:pt idx="33">
                  <c:v>6.1916377846693068E-3</c:v>
                </c:pt>
                <c:pt idx="34">
                  <c:v>5.9696293753461341E-3</c:v>
                </c:pt>
                <c:pt idx="35">
                  <c:v>5.3697329561225261E-3</c:v>
                </c:pt>
                <c:pt idx="36">
                  <c:v>4.789701853333812E-3</c:v>
                </c:pt>
                <c:pt idx="37">
                  <c:v>4.3850965150146184E-3</c:v>
                </c:pt>
                <c:pt idx="38">
                  <c:v>3.8068752068534271E-3</c:v>
                </c:pt>
                <c:pt idx="39">
                  <c:v>3.9244277447489026E-3</c:v>
                </c:pt>
                <c:pt idx="40">
                  <c:v>3.091282087255827E-3</c:v>
                </c:pt>
                <c:pt idx="41">
                  <c:v>3.0441496085406201E-3</c:v>
                </c:pt>
                <c:pt idx="42">
                  <c:v>3.2026183946970176E-3</c:v>
                </c:pt>
                <c:pt idx="43">
                  <c:v>2.2574166133755872E-3</c:v>
                </c:pt>
                <c:pt idx="44">
                  <c:v>2.0811688553750273E-3</c:v>
                </c:pt>
                <c:pt idx="45">
                  <c:v>1.7509647602944828E-3</c:v>
                </c:pt>
                <c:pt idx="46">
                  <c:v>1.5583644327615321E-3</c:v>
                </c:pt>
              </c:numCache>
            </c:numRef>
          </c:val>
          <c:smooth val="0"/>
          <c:extLst xmlns:c16r2="http://schemas.microsoft.com/office/drawing/2015/06/chart">
            <c:ext xmlns:c16="http://schemas.microsoft.com/office/drawing/2014/chart" uri="{C3380CC4-5D6E-409C-BE32-E72D297353CC}">
              <c16:uniqueId val="{00000001-0B40-42E4-A140-1ADDF9E5A422}"/>
            </c:ext>
          </c:extLst>
        </c:ser>
        <c:ser>
          <c:idx val="2"/>
          <c:order val="2"/>
          <c:tx>
            <c:strRef>
              <c:f>Graf_19_20!$D$5:$D$6</c:f>
              <c:strCache>
                <c:ptCount val="2"/>
                <c:pt idx="0">
                  <c:v>verejný -</c:v>
                </c:pt>
                <c:pt idx="1">
                  <c:v>verejný záujem</c:v>
                </c:pt>
              </c:strCache>
            </c:strRef>
          </c:tx>
          <c:spPr>
            <a:ln w="28575" cap="rnd">
              <a:solidFill>
                <a:srgbClr val="00B0F0"/>
              </a:solidFill>
              <a:round/>
            </a:ln>
            <a:effectLst/>
          </c:spPr>
          <c:marker>
            <c:symbol val="none"/>
          </c:marker>
          <c:cat>
            <c:numRef>
              <c:f>Graf_19_20!$A$7:$A$53</c:f>
              <c:numCache>
                <c:formatCode>General</c:formatCode>
                <c:ptCount val="47"/>
                <c:pt idx="0">
                  <c:v>2</c:v>
                </c:pt>
                <c:pt idx="1">
                  <c:v>2.5</c:v>
                </c:pt>
                <c:pt idx="2">
                  <c:v>3</c:v>
                </c:pt>
                <c:pt idx="3">
                  <c:v>3.5</c:v>
                </c:pt>
                <c:pt idx="4">
                  <c:v>4</c:v>
                </c:pt>
                <c:pt idx="5">
                  <c:v>4.5</c:v>
                </c:pt>
                <c:pt idx="6">
                  <c:v>5</c:v>
                </c:pt>
                <c:pt idx="7">
                  <c:v>5.5</c:v>
                </c:pt>
                <c:pt idx="8">
                  <c:v>6</c:v>
                </c:pt>
                <c:pt idx="9">
                  <c:v>6.5</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13.5</c:v>
                </c:pt>
                <c:pt idx="24">
                  <c:v>14</c:v>
                </c:pt>
                <c:pt idx="25">
                  <c:v>14.5</c:v>
                </c:pt>
                <c:pt idx="26">
                  <c:v>15</c:v>
                </c:pt>
                <c:pt idx="27">
                  <c:v>15.5</c:v>
                </c:pt>
                <c:pt idx="28">
                  <c:v>16</c:v>
                </c:pt>
                <c:pt idx="29">
                  <c:v>16.5</c:v>
                </c:pt>
                <c:pt idx="30">
                  <c:v>17</c:v>
                </c:pt>
                <c:pt idx="31">
                  <c:v>17.5</c:v>
                </c:pt>
                <c:pt idx="32">
                  <c:v>18</c:v>
                </c:pt>
                <c:pt idx="33">
                  <c:v>18.5</c:v>
                </c:pt>
                <c:pt idx="34">
                  <c:v>19</c:v>
                </c:pt>
                <c:pt idx="35">
                  <c:v>19.5</c:v>
                </c:pt>
                <c:pt idx="36">
                  <c:v>20</c:v>
                </c:pt>
                <c:pt idx="37">
                  <c:v>20.5</c:v>
                </c:pt>
                <c:pt idx="38">
                  <c:v>21</c:v>
                </c:pt>
                <c:pt idx="39">
                  <c:v>21.5</c:v>
                </c:pt>
                <c:pt idx="40">
                  <c:v>22</c:v>
                </c:pt>
                <c:pt idx="41">
                  <c:v>22.5</c:v>
                </c:pt>
                <c:pt idx="42">
                  <c:v>23</c:v>
                </c:pt>
                <c:pt idx="43">
                  <c:v>23.5</c:v>
                </c:pt>
                <c:pt idx="44">
                  <c:v>24</c:v>
                </c:pt>
                <c:pt idx="45">
                  <c:v>24.5</c:v>
                </c:pt>
                <c:pt idx="46">
                  <c:v>25</c:v>
                </c:pt>
              </c:numCache>
            </c:numRef>
          </c:cat>
          <c:val>
            <c:numRef>
              <c:f>Graf_19_20!$D$7:$D$53</c:f>
              <c:numCache>
                <c:formatCode>0.0%</c:formatCode>
                <c:ptCount val="47"/>
                <c:pt idx="0">
                  <c:v>4.3013613169434257E-5</c:v>
                </c:pt>
                <c:pt idx="1">
                  <c:v>1.6039615787841237E-4</c:v>
                </c:pt>
                <c:pt idx="2">
                  <c:v>3.5909914631090502E-3</c:v>
                </c:pt>
                <c:pt idx="3">
                  <c:v>5.9614317130264917E-3</c:v>
                </c:pt>
                <c:pt idx="4">
                  <c:v>1.3733195990633971E-2</c:v>
                </c:pt>
                <c:pt idx="5">
                  <c:v>2.3210572229257688E-2</c:v>
                </c:pt>
                <c:pt idx="6">
                  <c:v>4.5190320705686189E-2</c:v>
                </c:pt>
                <c:pt idx="7">
                  <c:v>6.2426154521775114E-2</c:v>
                </c:pt>
                <c:pt idx="8">
                  <c:v>7.6133144540641476E-2</c:v>
                </c:pt>
                <c:pt idx="9">
                  <c:v>9.0341162444052492E-2</c:v>
                </c:pt>
                <c:pt idx="10">
                  <c:v>8.8863686291419719E-2</c:v>
                </c:pt>
                <c:pt idx="11">
                  <c:v>8.6770196920190432E-2</c:v>
                </c:pt>
                <c:pt idx="12">
                  <c:v>7.7350651832475581E-2</c:v>
                </c:pt>
                <c:pt idx="13">
                  <c:v>7.5275557049192421E-2</c:v>
                </c:pt>
                <c:pt idx="14">
                  <c:v>7.1330633024159956E-2</c:v>
                </c:pt>
                <c:pt idx="15">
                  <c:v>5.673525342612698E-2</c:v>
                </c:pt>
                <c:pt idx="16">
                  <c:v>4.93522066695775E-2</c:v>
                </c:pt>
                <c:pt idx="17">
                  <c:v>3.738424818986226E-2</c:v>
                </c:pt>
                <c:pt idx="18">
                  <c:v>2.8213432066055838E-2</c:v>
                </c:pt>
                <c:pt idx="19">
                  <c:v>2.1403652376105118E-2</c:v>
                </c:pt>
                <c:pt idx="20">
                  <c:v>1.5795520021172241E-2</c:v>
                </c:pt>
                <c:pt idx="21">
                  <c:v>1.3929941329788895E-2</c:v>
                </c:pt>
                <c:pt idx="22">
                  <c:v>9.5932851714711376E-3</c:v>
                </c:pt>
                <c:pt idx="23">
                  <c:v>7.1039717015879012E-3</c:v>
                </c:pt>
                <c:pt idx="24">
                  <c:v>6.5297870255191558E-3</c:v>
                </c:pt>
                <c:pt idx="25">
                  <c:v>5.0049517777175541E-3</c:v>
                </c:pt>
                <c:pt idx="26">
                  <c:v>3.6468230878785586E-3</c:v>
                </c:pt>
                <c:pt idx="27">
                  <c:v>4.3642781749057852E-3</c:v>
                </c:pt>
                <c:pt idx="28">
                  <c:v>2.9556496689123767E-3</c:v>
                </c:pt>
                <c:pt idx="29">
                  <c:v>2.1404226788181609E-3</c:v>
                </c:pt>
                <c:pt idx="30">
                  <c:v>1.8926944052431195E-3</c:v>
                </c:pt>
                <c:pt idx="31">
                  <c:v>2.0975544682852311E-3</c:v>
                </c:pt>
                <c:pt idx="32">
                  <c:v>1.4386124262898367E-3</c:v>
                </c:pt>
                <c:pt idx="33">
                  <c:v>1.1360291449102344E-3</c:v>
                </c:pt>
                <c:pt idx="34">
                  <c:v>7.6172753483493634E-4</c:v>
                </c:pt>
                <c:pt idx="35">
                  <c:v>8.7052629851239378E-4</c:v>
                </c:pt>
                <c:pt idx="36">
                  <c:v>8.5271474931105902E-4</c:v>
                </c:pt>
                <c:pt idx="37">
                  <c:v>6.139741473883951E-4</c:v>
                </c:pt>
                <c:pt idx="38">
                  <c:v>5.1673863931266453E-4</c:v>
                </c:pt>
                <c:pt idx="39">
                  <c:v>5.7716036118254379E-4</c:v>
                </c:pt>
                <c:pt idx="40">
                  <c:v>5.014230605603783E-4</c:v>
                </c:pt>
                <c:pt idx="41">
                  <c:v>4.1166011111897958E-4</c:v>
                </c:pt>
                <c:pt idx="42">
                  <c:v>2.2746206772968555E-4</c:v>
                </c:pt>
                <c:pt idx="43">
                  <c:v>2.5155794768590801E-4</c:v>
                </c:pt>
                <c:pt idx="44">
                  <c:v>2.9982159333993239E-4</c:v>
                </c:pt>
                <c:pt idx="45">
                  <c:v>3.3919144679726913E-4</c:v>
                </c:pt>
                <c:pt idx="46">
                  <c:v>2.1968713054311935E-4</c:v>
                </c:pt>
              </c:numCache>
            </c:numRef>
          </c:val>
          <c:smooth val="0"/>
          <c:extLst xmlns:c16r2="http://schemas.microsoft.com/office/drawing/2015/06/chart">
            <c:ext xmlns:c16="http://schemas.microsoft.com/office/drawing/2014/chart" uri="{C3380CC4-5D6E-409C-BE32-E72D297353CC}">
              <c16:uniqueId val="{00000002-0B40-42E4-A140-1ADDF9E5A422}"/>
            </c:ext>
          </c:extLst>
        </c:ser>
        <c:ser>
          <c:idx val="3"/>
          <c:order val="3"/>
          <c:tx>
            <c:strRef>
              <c:f>Graf_19_20!$E$5:$E$6</c:f>
              <c:strCache>
                <c:ptCount val="2"/>
                <c:pt idx="0">
                  <c:v>verejný -</c:v>
                </c:pt>
                <c:pt idx="1">
                  <c:v>štátna služba**</c:v>
                </c:pt>
              </c:strCache>
            </c:strRef>
          </c:tx>
          <c:spPr>
            <a:ln w="28575" cap="rnd">
              <a:solidFill>
                <a:schemeClr val="accent5">
                  <a:lumMod val="75000"/>
                </a:schemeClr>
              </a:solidFill>
              <a:prstDash val="dash"/>
              <a:round/>
            </a:ln>
            <a:effectLst/>
          </c:spPr>
          <c:marker>
            <c:symbol val="none"/>
          </c:marker>
          <c:cat>
            <c:numRef>
              <c:f>Graf_19_20!$A$7:$A$53</c:f>
              <c:numCache>
                <c:formatCode>General</c:formatCode>
                <c:ptCount val="47"/>
                <c:pt idx="0">
                  <c:v>2</c:v>
                </c:pt>
                <c:pt idx="1">
                  <c:v>2.5</c:v>
                </c:pt>
                <c:pt idx="2">
                  <c:v>3</c:v>
                </c:pt>
                <c:pt idx="3">
                  <c:v>3.5</c:v>
                </c:pt>
                <c:pt idx="4">
                  <c:v>4</c:v>
                </c:pt>
                <c:pt idx="5">
                  <c:v>4.5</c:v>
                </c:pt>
                <c:pt idx="6">
                  <c:v>5</c:v>
                </c:pt>
                <c:pt idx="7">
                  <c:v>5.5</c:v>
                </c:pt>
                <c:pt idx="8">
                  <c:v>6</c:v>
                </c:pt>
                <c:pt idx="9">
                  <c:v>6.5</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13.5</c:v>
                </c:pt>
                <c:pt idx="24">
                  <c:v>14</c:v>
                </c:pt>
                <c:pt idx="25">
                  <c:v>14.5</c:v>
                </c:pt>
                <c:pt idx="26">
                  <c:v>15</c:v>
                </c:pt>
                <c:pt idx="27">
                  <c:v>15.5</c:v>
                </c:pt>
                <c:pt idx="28">
                  <c:v>16</c:v>
                </c:pt>
                <c:pt idx="29">
                  <c:v>16.5</c:v>
                </c:pt>
                <c:pt idx="30">
                  <c:v>17</c:v>
                </c:pt>
                <c:pt idx="31">
                  <c:v>17.5</c:v>
                </c:pt>
                <c:pt idx="32">
                  <c:v>18</c:v>
                </c:pt>
                <c:pt idx="33">
                  <c:v>18.5</c:v>
                </c:pt>
                <c:pt idx="34">
                  <c:v>19</c:v>
                </c:pt>
                <c:pt idx="35">
                  <c:v>19.5</c:v>
                </c:pt>
                <c:pt idx="36">
                  <c:v>20</c:v>
                </c:pt>
                <c:pt idx="37">
                  <c:v>20.5</c:v>
                </c:pt>
                <c:pt idx="38">
                  <c:v>21</c:v>
                </c:pt>
                <c:pt idx="39">
                  <c:v>21.5</c:v>
                </c:pt>
                <c:pt idx="40">
                  <c:v>22</c:v>
                </c:pt>
                <c:pt idx="41">
                  <c:v>22.5</c:v>
                </c:pt>
                <c:pt idx="42">
                  <c:v>23</c:v>
                </c:pt>
                <c:pt idx="43">
                  <c:v>23.5</c:v>
                </c:pt>
                <c:pt idx="44">
                  <c:v>24</c:v>
                </c:pt>
                <c:pt idx="45">
                  <c:v>24.5</c:v>
                </c:pt>
                <c:pt idx="46">
                  <c:v>25</c:v>
                </c:pt>
              </c:numCache>
            </c:numRef>
          </c:cat>
          <c:val>
            <c:numRef>
              <c:f>Graf_19_20!$E$7:$E$53</c:f>
              <c:numCache>
                <c:formatCode>0.0%</c:formatCode>
                <c:ptCount val="47"/>
                <c:pt idx="0">
                  <c:v>3.1963283922368199E-5</c:v>
                </c:pt>
                <c:pt idx="1">
                  <c:v>0</c:v>
                </c:pt>
                <c:pt idx="2">
                  <c:v>4.4748597491315483E-4</c:v>
                </c:pt>
                <c:pt idx="3">
                  <c:v>1.6115813420439623E-3</c:v>
                </c:pt>
                <c:pt idx="4">
                  <c:v>7.4836309776029732E-3</c:v>
                </c:pt>
                <c:pt idx="5">
                  <c:v>1.4245770963564268E-2</c:v>
                </c:pt>
                <c:pt idx="6">
                  <c:v>3.4917874655303278E-2</c:v>
                </c:pt>
                <c:pt idx="7">
                  <c:v>5.9810883920080014E-2</c:v>
                </c:pt>
                <c:pt idx="8">
                  <c:v>8.5963561102712208E-2</c:v>
                </c:pt>
                <c:pt idx="9">
                  <c:v>0.10387453904707118</c:v>
                </c:pt>
                <c:pt idx="10">
                  <c:v>8.2084784124914226E-2</c:v>
                </c:pt>
                <c:pt idx="11">
                  <c:v>7.1266569348021391E-2</c:v>
                </c:pt>
                <c:pt idx="12">
                  <c:v>6.5506960662909994E-2</c:v>
                </c:pt>
                <c:pt idx="13">
                  <c:v>6.0366739891246621E-2</c:v>
                </c:pt>
                <c:pt idx="14">
                  <c:v>5.0771626829321972E-2</c:v>
                </c:pt>
                <c:pt idx="15">
                  <c:v>4.2250726026685247E-2</c:v>
                </c:pt>
                <c:pt idx="16">
                  <c:v>3.5288071758196531E-2</c:v>
                </c:pt>
                <c:pt idx="17">
                  <c:v>3.1945268259436561E-2</c:v>
                </c:pt>
                <c:pt idx="18">
                  <c:v>2.997810618430936E-2</c:v>
                </c:pt>
                <c:pt idx="19">
                  <c:v>2.4621045452502033E-2</c:v>
                </c:pt>
                <c:pt idx="20">
                  <c:v>2.356968735399417E-2</c:v>
                </c:pt>
                <c:pt idx="21">
                  <c:v>2.1995157150543045E-2</c:v>
                </c:pt>
                <c:pt idx="22">
                  <c:v>1.9055187805131091E-2</c:v>
                </c:pt>
                <c:pt idx="23">
                  <c:v>1.6123972376080938E-2</c:v>
                </c:pt>
                <c:pt idx="24">
                  <c:v>1.3903620366074348E-2</c:v>
                </c:pt>
                <c:pt idx="25">
                  <c:v>1.4506667376218316E-2</c:v>
                </c:pt>
                <c:pt idx="26">
                  <c:v>1.1359478550875437E-2</c:v>
                </c:pt>
                <c:pt idx="27">
                  <c:v>1.1212191963434764E-2</c:v>
                </c:pt>
                <c:pt idx="28">
                  <c:v>8.6594252724159979E-3</c:v>
                </c:pt>
                <c:pt idx="29">
                  <c:v>7.8141335751557364E-3</c:v>
                </c:pt>
                <c:pt idx="30">
                  <c:v>5.831258102056423E-3</c:v>
                </c:pt>
                <c:pt idx="31">
                  <c:v>5.4886884504063895E-3</c:v>
                </c:pt>
                <c:pt idx="32">
                  <c:v>4.5716557582280134E-3</c:v>
                </c:pt>
                <c:pt idx="33">
                  <c:v>4.250576960922129E-3</c:v>
                </c:pt>
                <c:pt idx="34">
                  <c:v>3.7030951088432044E-3</c:v>
                </c:pt>
                <c:pt idx="35">
                  <c:v>2.5666227916034462E-3</c:v>
                </c:pt>
                <c:pt idx="36">
                  <c:v>2.7612932314097041E-3</c:v>
                </c:pt>
                <c:pt idx="37">
                  <c:v>2.7681690541139347E-3</c:v>
                </c:pt>
                <c:pt idx="38">
                  <c:v>1.9542203123699069E-3</c:v>
                </c:pt>
                <c:pt idx="39">
                  <c:v>1.8458796465167637E-3</c:v>
                </c:pt>
                <c:pt idx="40">
                  <c:v>1.4543294184677532E-3</c:v>
                </c:pt>
                <c:pt idx="41">
                  <c:v>1.3777662034909178E-3</c:v>
                </c:pt>
                <c:pt idx="42">
                  <c:v>1.2887521744280434E-3</c:v>
                </c:pt>
                <c:pt idx="43">
                  <c:v>1.4166053101175161E-3</c:v>
                </c:pt>
                <c:pt idx="44">
                  <c:v>9.227230180379782E-4</c:v>
                </c:pt>
                <c:pt idx="45">
                  <c:v>7.0319224629210037E-4</c:v>
                </c:pt>
                <c:pt idx="46">
                  <c:v>9.1429858661657879E-4</c:v>
                </c:pt>
              </c:numCache>
            </c:numRef>
          </c:val>
          <c:smooth val="0"/>
          <c:extLst xmlns:c16r2="http://schemas.microsoft.com/office/drawing/2015/06/chart">
            <c:ext xmlns:c16="http://schemas.microsoft.com/office/drawing/2014/chart" uri="{C3380CC4-5D6E-409C-BE32-E72D297353CC}">
              <c16:uniqueId val="{00000003-0B40-42E4-A140-1ADDF9E5A422}"/>
            </c:ext>
          </c:extLst>
        </c:ser>
        <c:dLbls>
          <c:showLegendKey val="0"/>
          <c:showVal val="0"/>
          <c:showCatName val="0"/>
          <c:showSerName val="0"/>
          <c:showPercent val="0"/>
          <c:showBubbleSize val="0"/>
        </c:dLbls>
        <c:smooth val="0"/>
        <c:axId val="224976864"/>
        <c:axId val="224977256"/>
      </c:lineChart>
      <c:catAx>
        <c:axId val="2249768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sk-SK" sz="900"/>
                  <a:t>Hodinová mzda (Eur)</a:t>
                </a:r>
              </a:p>
            </c:rich>
          </c:tx>
          <c:layout>
            <c:manualLayout>
              <c:xMode val="edge"/>
              <c:yMode val="edge"/>
              <c:x val="0.36450845779508884"/>
              <c:y val="0.9306304279532625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crossAx val="224977256"/>
        <c:crosses val="autoZero"/>
        <c:auto val="1"/>
        <c:lblAlgn val="ctr"/>
        <c:lblOffset val="100"/>
        <c:noMultiLvlLbl val="0"/>
      </c:catAx>
      <c:valAx>
        <c:axId val="224977256"/>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4976864"/>
        <c:crosses val="autoZero"/>
        <c:crossBetween val="between"/>
      </c:valAx>
      <c:spPr>
        <a:noFill/>
        <a:ln>
          <a:noFill/>
        </a:ln>
        <a:effectLst/>
      </c:spPr>
    </c:plotArea>
    <c:legend>
      <c:legendPos val="b"/>
      <c:layout>
        <c:manualLayout>
          <c:xMode val="edge"/>
          <c:yMode val="edge"/>
          <c:x val="0.36211019885859458"/>
          <c:y val="3.2203407006556627E-2"/>
          <c:w val="0.6258036072893024"/>
          <c:h val="0.258724551322976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56164371206177"/>
          <c:y val="3.4879116522215023E-2"/>
          <c:w val="0.87717004446609126"/>
          <c:h val="0.84180325773885001"/>
        </c:manualLayout>
      </c:layout>
      <c:lineChart>
        <c:grouping val="standard"/>
        <c:varyColors val="0"/>
        <c:ser>
          <c:idx val="0"/>
          <c:order val="0"/>
          <c:tx>
            <c:strRef>
              <c:f>Graf_19_20!$A$63</c:f>
              <c:strCache>
                <c:ptCount val="1"/>
                <c:pt idx="0">
                  <c:v>súkromný sektor - Zákonník práce</c:v>
                </c:pt>
              </c:strCache>
            </c:strRef>
          </c:tx>
          <c:spPr>
            <a:ln w="28575" cap="rnd">
              <a:solidFill>
                <a:schemeClr val="tx1"/>
              </a:solidFill>
              <a:round/>
            </a:ln>
            <a:effectLst/>
          </c:spPr>
          <c:marker>
            <c:symbol val="none"/>
          </c:marker>
          <c:cat>
            <c:strRef>
              <c:f>Graf_19_20!$B$62:$K$62</c:f>
              <c:strCache>
                <c:ptCount val="10"/>
                <c:pt idx="0">
                  <c:v>1. decil</c:v>
                </c:pt>
                <c:pt idx="1">
                  <c:v>2. decil</c:v>
                </c:pt>
                <c:pt idx="2">
                  <c:v>3. decil</c:v>
                </c:pt>
                <c:pt idx="3">
                  <c:v>4. decil</c:v>
                </c:pt>
                <c:pt idx="4">
                  <c:v>5. decil</c:v>
                </c:pt>
                <c:pt idx="5">
                  <c:v>6. decil</c:v>
                </c:pt>
                <c:pt idx="6">
                  <c:v>7. decil</c:v>
                </c:pt>
                <c:pt idx="7">
                  <c:v>8. decil</c:v>
                </c:pt>
                <c:pt idx="8">
                  <c:v>9. decil</c:v>
                </c:pt>
                <c:pt idx="9">
                  <c:v>10. decil</c:v>
                </c:pt>
              </c:strCache>
            </c:strRef>
          </c:cat>
          <c:val>
            <c:numRef>
              <c:f>Graf_19_20!$B$63:$K$63</c:f>
              <c:numCache>
                <c:formatCode>0%</c:formatCode>
                <c:ptCount val="10"/>
                <c:pt idx="0">
                  <c:v>2.1345569070815439E-2</c:v>
                </c:pt>
                <c:pt idx="1">
                  <c:v>4.843988625112889E-2</c:v>
                </c:pt>
                <c:pt idx="2">
                  <c:v>8.6347693100129755E-2</c:v>
                </c:pt>
                <c:pt idx="3">
                  <c:v>0.11052099616556108</c:v>
                </c:pt>
                <c:pt idx="4">
                  <c:v>0.13342597294081951</c:v>
                </c:pt>
                <c:pt idx="5">
                  <c:v>0.14886502323707534</c:v>
                </c:pt>
                <c:pt idx="6">
                  <c:v>0.1623914734901738</c:v>
                </c:pt>
                <c:pt idx="7">
                  <c:v>0.17867108642487026</c:v>
                </c:pt>
                <c:pt idx="8">
                  <c:v>0.1843526312390418</c:v>
                </c:pt>
                <c:pt idx="9">
                  <c:v>0.20660211137372919</c:v>
                </c:pt>
              </c:numCache>
            </c:numRef>
          </c:val>
          <c:smooth val="0"/>
          <c:extLst xmlns:c16r2="http://schemas.microsoft.com/office/drawing/2015/06/chart">
            <c:ext xmlns:c16="http://schemas.microsoft.com/office/drawing/2014/chart" uri="{C3380CC4-5D6E-409C-BE32-E72D297353CC}">
              <c16:uniqueId val="{00000000-0E75-4556-8BD0-1B994ABD5C62}"/>
            </c:ext>
          </c:extLst>
        </c:ser>
        <c:ser>
          <c:idx val="1"/>
          <c:order val="1"/>
          <c:tx>
            <c:strRef>
              <c:f>Graf_19_20!$A$64</c:f>
              <c:strCache>
                <c:ptCount val="1"/>
                <c:pt idx="0">
                  <c:v>verejný sektor - Zákonník práce</c:v>
                </c:pt>
              </c:strCache>
            </c:strRef>
          </c:tx>
          <c:spPr>
            <a:ln w="28575" cap="rnd">
              <a:solidFill>
                <a:schemeClr val="tx1"/>
              </a:solidFill>
              <a:prstDash val="sysDot"/>
              <a:round/>
            </a:ln>
            <a:effectLst/>
          </c:spPr>
          <c:marker>
            <c:symbol val="none"/>
          </c:marker>
          <c:cat>
            <c:strRef>
              <c:f>Graf_19_20!$B$62:$K$62</c:f>
              <c:strCache>
                <c:ptCount val="10"/>
                <c:pt idx="0">
                  <c:v>1. decil</c:v>
                </c:pt>
                <c:pt idx="1">
                  <c:v>2. decil</c:v>
                </c:pt>
                <c:pt idx="2">
                  <c:v>3. decil</c:v>
                </c:pt>
                <c:pt idx="3">
                  <c:v>4. decil</c:v>
                </c:pt>
                <c:pt idx="4">
                  <c:v>5. decil</c:v>
                </c:pt>
                <c:pt idx="5">
                  <c:v>6. decil</c:v>
                </c:pt>
                <c:pt idx="6">
                  <c:v>7. decil</c:v>
                </c:pt>
                <c:pt idx="7">
                  <c:v>8. decil</c:v>
                </c:pt>
                <c:pt idx="8">
                  <c:v>9. decil</c:v>
                </c:pt>
                <c:pt idx="9">
                  <c:v>10. decil</c:v>
                </c:pt>
              </c:strCache>
            </c:strRef>
          </c:cat>
          <c:val>
            <c:numRef>
              <c:f>Graf_19_20!$B$64:$K$64</c:f>
              <c:numCache>
                <c:formatCode>0%</c:formatCode>
                <c:ptCount val="10"/>
                <c:pt idx="0">
                  <c:v>4.0023398413398366E-2</c:v>
                </c:pt>
                <c:pt idx="1">
                  <c:v>7.2763906718325125E-2</c:v>
                </c:pt>
                <c:pt idx="2">
                  <c:v>7.2445394320719822E-2</c:v>
                </c:pt>
                <c:pt idx="3">
                  <c:v>7.9986817323703024E-2</c:v>
                </c:pt>
                <c:pt idx="4">
                  <c:v>8.2678790906599409E-2</c:v>
                </c:pt>
                <c:pt idx="5">
                  <c:v>8.9589263463101337E-2</c:v>
                </c:pt>
                <c:pt idx="6">
                  <c:v>9.9774603430588429E-2</c:v>
                </c:pt>
                <c:pt idx="7">
                  <c:v>0.10724084447770776</c:v>
                </c:pt>
                <c:pt idx="8">
                  <c:v>0.12934608370018419</c:v>
                </c:pt>
                <c:pt idx="9">
                  <c:v>0.14822575027668042</c:v>
                </c:pt>
              </c:numCache>
            </c:numRef>
          </c:val>
          <c:smooth val="0"/>
          <c:extLst xmlns:c16r2="http://schemas.microsoft.com/office/drawing/2015/06/chart">
            <c:ext xmlns:c16="http://schemas.microsoft.com/office/drawing/2014/chart" uri="{C3380CC4-5D6E-409C-BE32-E72D297353CC}">
              <c16:uniqueId val="{00000001-0E75-4556-8BD0-1B994ABD5C62}"/>
            </c:ext>
          </c:extLst>
        </c:ser>
        <c:ser>
          <c:idx val="2"/>
          <c:order val="2"/>
          <c:tx>
            <c:strRef>
              <c:f>Graf_19_20!$A$65</c:f>
              <c:strCache>
                <c:ptCount val="1"/>
                <c:pt idx="0">
                  <c:v>verejný sektor - verejný záujem</c:v>
                </c:pt>
              </c:strCache>
            </c:strRef>
          </c:tx>
          <c:spPr>
            <a:ln w="28575" cap="rnd">
              <a:solidFill>
                <a:schemeClr val="accent1"/>
              </a:solidFill>
              <a:round/>
            </a:ln>
            <a:effectLst/>
          </c:spPr>
          <c:marker>
            <c:symbol val="none"/>
          </c:marker>
          <c:cat>
            <c:strRef>
              <c:f>Graf_19_20!$B$62:$K$62</c:f>
              <c:strCache>
                <c:ptCount val="10"/>
                <c:pt idx="0">
                  <c:v>1. decil</c:v>
                </c:pt>
                <c:pt idx="1">
                  <c:v>2. decil</c:v>
                </c:pt>
                <c:pt idx="2">
                  <c:v>3. decil</c:v>
                </c:pt>
                <c:pt idx="3">
                  <c:v>4. decil</c:v>
                </c:pt>
                <c:pt idx="4">
                  <c:v>5. decil</c:v>
                </c:pt>
                <c:pt idx="5">
                  <c:v>6. decil</c:v>
                </c:pt>
                <c:pt idx="6">
                  <c:v>7. decil</c:v>
                </c:pt>
                <c:pt idx="7">
                  <c:v>8. decil</c:v>
                </c:pt>
                <c:pt idx="8">
                  <c:v>9. decil</c:v>
                </c:pt>
                <c:pt idx="9">
                  <c:v>10. decil</c:v>
                </c:pt>
              </c:strCache>
            </c:strRef>
          </c:cat>
          <c:val>
            <c:numRef>
              <c:f>Graf_19_20!$B$65:$K$65</c:f>
              <c:numCache>
                <c:formatCode>0%</c:formatCode>
                <c:ptCount val="10"/>
                <c:pt idx="0">
                  <c:v>3.6567847005632495E-2</c:v>
                </c:pt>
                <c:pt idx="1">
                  <c:v>5.7614177905581335E-2</c:v>
                </c:pt>
                <c:pt idx="2">
                  <c:v>7.6989728222766049E-2</c:v>
                </c:pt>
                <c:pt idx="3">
                  <c:v>6.6661681850953308E-2</c:v>
                </c:pt>
                <c:pt idx="4">
                  <c:v>6.6255813163885305E-2</c:v>
                </c:pt>
                <c:pt idx="5">
                  <c:v>7.1825607657780913E-2</c:v>
                </c:pt>
                <c:pt idx="6">
                  <c:v>7.6063702393996999E-2</c:v>
                </c:pt>
                <c:pt idx="7">
                  <c:v>7.5580852234941556E-2</c:v>
                </c:pt>
                <c:pt idx="8">
                  <c:v>8.0113442031565479E-2</c:v>
                </c:pt>
                <c:pt idx="9">
                  <c:v>0.12940864861782822</c:v>
                </c:pt>
              </c:numCache>
            </c:numRef>
          </c:val>
          <c:smooth val="0"/>
          <c:extLst xmlns:c16r2="http://schemas.microsoft.com/office/drawing/2015/06/chart">
            <c:ext xmlns:c16="http://schemas.microsoft.com/office/drawing/2014/chart" uri="{C3380CC4-5D6E-409C-BE32-E72D297353CC}">
              <c16:uniqueId val="{00000002-0E75-4556-8BD0-1B994ABD5C62}"/>
            </c:ext>
          </c:extLst>
        </c:ser>
        <c:ser>
          <c:idx val="3"/>
          <c:order val="3"/>
          <c:tx>
            <c:strRef>
              <c:f>Graf_19_20!$A$66</c:f>
              <c:strCache>
                <c:ptCount val="1"/>
                <c:pt idx="0">
                  <c:v>verejný sektor - štátna služba*</c:v>
                </c:pt>
              </c:strCache>
            </c:strRef>
          </c:tx>
          <c:spPr>
            <a:ln w="28575" cap="rnd">
              <a:solidFill>
                <a:srgbClr val="4472C4">
                  <a:lumMod val="75000"/>
                </a:srgbClr>
              </a:solidFill>
              <a:prstDash val="dash"/>
              <a:round/>
            </a:ln>
            <a:effectLst/>
          </c:spPr>
          <c:marker>
            <c:symbol val="none"/>
          </c:marker>
          <c:cat>
            <c:strRef>
              <c:f>Graf_19_20!$B$62:$K$62</c:f>
              <c:strCache>
                <c:ptCount val="10"/>
                <c:pt idx="0">
                  <c:v>1. decil</c:v>
                </c:pt>
                <c:pt idx="1">
                  <c:v>2. decil</c:v>
                </c:pt>
                <c:pt idx="2">
                  <c:v>3. decil</c:v>
                </c:pt>
                <c:pt idx="3">
                  <c:v>4. decil</c:v>
                </c:pt>
                <c:pt idx="4">
                  <c:v>5. decil</c:v>
                </c:pt>
                <c:pt idx="5">
                  <c:v>6. decil</c:v>
                </c:pt>
                <c:pt idx="6">
                  <c:v>7. decil</c:v>
                </c:pt>
                <c:pt idx="7">
                  <c:v>8. decil</c:v>
                </c:pt>
                <c:pt idx="8">
                  <c:v>9. decil</c:v>
                </c:pt>
                <c:pt idx="9">
                  <c:v>10. decil</c:v>
                </c:pt>
              </c:strCache>
            </c:strRef>
          </c:cat>
          <c:val>
            <c:numRef>
              <c:f>Graf_19_20!$B$66:$K$66</c:f>
              <c:numCache>
                <c:formatCode>0%</c:formatCode>
                <c:ptCount val="10"/>
                <c:pt idx="0">
                  <c:v>9.619545610397548E-2</c:v>
                </c:pt>
                <c:pt idx="1">
                  <c:v>0.10582459521098435</c:v>
                </c:pt>
                <c:pt idx="2">
                  <c:v>0.1064332028487557</c:v>
                </c:pt>
                <c:pt idx="3">
                  <c:v>9.8570006210662128E-2</c:v>
                </c:pt>
                <c:pt idx="4">
                  <c:v>9.4373909643628018E-2</c:v>
                </c:pt>
                <c:pt idx="5">
                  <c:v>9.8602220332702939E-2</c:v>
                </c:pt>
                <c:pt idx="6">
                  <c:v>9.9543873961056531E-2</c:v>
                </c:pt>
                <c:pt idx="7">
                  <c:v>0.10051632793022096</c:v>
                </c:pt>
                <c:pt idx="8">
                  <c:v>9.511813574117059E-2</c:v>
                </c:pt>
                <c:pt idx="9">
                  <c:v>0.10030269160778847</c:v>
                </c:pt>
              </c:numCache>
            </c:numRef>
          </c:val>
          <c:smooth val="0"/>
          <c:extLst xmlns:c16r2="http://schemas.microsoft.com/office/drawing/2015/06/chart">
            <c:ext xmlns:c16="http://schemas.microsoft.com/office/drawing/2014/chart" uri="{C3380CC4-5D6E-409C-BE32-E72D297353CC}">
              <c16:uniqueId val="{00000003-0E75-4556-8BD0-1B994ABD5C62}"/>
            </c:ext>
          </c:extLst>
        </c:ser>
        <c:dLbls>
          <c:showLegendKey val="0"/>
          <c:showVal val="0"/>
          <c:showCatName val="0"/>
          <c:showSerName val="0"/>
          <c:showPercent val="0"/>
          <c:showBubbleSize val="0"/>
        </c:dLbls>
        <c:smooth val="0"/>
        <c:axId val="224978040"/>
        <c:axId val="224978432"/>
      </c:lineChart>
      <c:catAx>
        <c:axId val="2249780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4978432"/>
        <c:crosses val="autoZero"/>
        <c:auto val="1"/>
        <c:lblAlgn val="ctr"/>
        <c:lblOffset val="100"/>
        <c:noMultiLvlLbl val="0"/>
      </c:catAx>
      <c:valAx>
        <c:axId val="224978432"/>
        <c:scaling>
          <c:orientation val="minMax"/>
        </c:scaling>
        <c:delete val="0"/>
        <c:axPos val="l"/>
        <c:majorGridlines>
          <c:spPr>
            <a:ln w="9525" cap="flat" cmpd="sng" algn="ctr">
              <a:solidFill>
                <a:sysClr val="window" lastClr="FFFFFF">
                  <a:lumMod val="75000"/>
                </a:sys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4978040"/>
        <c:crosses val="autoZero"/>
        <c:crossBetween val="between"/>
      </c:valAx>
      <c:spPr>
        <a:noFill/>
        <a:ln>
          <a:noFill/>
        </a:ln>
        <a:effectLst/>
      </c:spPr>
    </c:plotArea>
    <c:legend>
      <c:legendPos val="b"/>
      <c:layout>
        <c:manualLayout>
          <c:xMode val="edge"/>
          <c:yMode val="edge"/>
          <c:x val="0.10911599967529832"/>
          <c:y val="3.6481910349441614E-2"/>
          <c:w val="0.72968909814108285"/>
          <c:h val="0.214610330571423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661673138810863E-2"/>
          <c:y val="4.0182648401826483E-2"/>
          <c:w val="0.91274833335891492"/>
          <c:h val="0.76081043229280121"/>
        </c:manualLayout>
      </c:layout>
      <c:lineChart>
        <c:grouping val="standard"/>
        <c:varyColors val="0"/>
        <c:ser>
          <c:idx val="0"/>
          <c:order val="0"/>
          <c:tx>
            <c:strRef>
              <c:f>Graf_21_22!$B$5</c:f>
              <c:strCache>
                <c:ptCount val="1"/>
                <c:pt idx="0">
                  <c:v>súkromný sektor</c:v>
                </c:pt>
              </c:strCache>
            </c:strRef>
          </c:tx>
          <c:spPr>
            <a:ln w="28575" cap="rnd">
              <a:solidFill>
                <a:schemeClr val="tx1"/>
              </a:solidFill>
              <a:round/>
            </a:ln>
            <a:effectLst/>
          </c:spPr>
          <c:marker>
            <c:symbol val="none"/>
          </c:marker>
          <c:cat>
            <c:strRef>
              <c:f>Graf_21_22!$A$6:$A$21</c:f>
              <c:strCache>
                <c:ptCount val="16"/>
                <c:pt idx="0">
                  <c:v>21-23</c:v>
                </c:pt>
                <c:pt idx="1">
                  <c:v>24-26</c:v>
                </c:pt>
                <c:pt idx="2">
                  <c:v>27-29</c:v>
                </c:pt>
                <c:pt idx="3">
                  <c:v>30-32</c:v>
                </c:pt>
                <c:pt idx="4">
                  <c:v>33-35</c:v>
                </c:pt>
                <c:pt idx="5">
                  <c:v>36-38</c:v>
                </c:pt>
                <c:pt idx="6">
                  <c:v>39-41</c:v>
                </c:pt>
                <c:pt idx="7">
                  <c:v>42-44</c:v>
                </c:pt>
                <c:pt idx="8">
                  <c:v>45-47</c:v>
                </c:pt>
                <c:pt idx="9">
                  <c:v>48-50</c:v>
                </c:pt>
                <c:pt idx="10">
                  <c:v>51-53</c:v>
                </c:pt>
                <c:pt idx="11">
                  <c:v>54-56</c:v>
                </c:pt>
                <c:pt idx="12">
                  <c:v>57-59</c:v>
                </c:pt>
                <c:pt idx="13">
                  <c:v>60-62</c:v>
                </c:pt>
                <c:pt idx="14">
                  <c:v>63-65</c:v>
                </c:pt>
                <c:pt idx="15">
                  <c:v>nad 66</c:v>
                </c:pt>
              </c:strCache>
            </c:strRef>
          </c:cat>
          <c:val>
            <c:numRef>
              <c:f>Graf_21_22!$B$6:$B$21</c:f>
              <c:numCache>
                <c:formatCode>_-* #\ ##0.0\ [$€-1]_-;\-* #\ ##0.0\ [$€-1]_-;_-* "-"??\ [$€-1]_-;_-@_-</c:formatCode>
                <c:ptCount val="16"/>
                <c:pt idx="0">
                  <c:v>5.8492903290523914</c:v>
                </c:pt>
                <c:pt idx="1">
                  <c:v>7.0763412720235399</c:v>
                </c:pt>
                <c:pt idx="2">
                  <c:v>8.2883317874961353</c:v>
                </c:pt>
                <c:pt idx="3">
                  <c:v>9.5828811054427412</c:v>
                </c:pt>
                <c:pt idx="4">
                  <c:v>11.623394985206401</c:v>
                </c:pt>
                <c:pt idx="5">
                  <c:v>12.894678394440186</c:v>
                </c:pt>
                <c:pt idx="6">
                  <c:v>13.9142141159857</c:v>
                </c:pt>
                <c:pt idx="7">
                  <c:v>14.258917571525281</c:v>
                </c:pt>
                <c:pt idx="8">
                  <c:v>14.048809917298966</c:v>
                </c:pt>
                <c:pt idx="9">
                  <c:v>13.177679567337249</c:v>
                </c:pt>
                <c:pt idx="10">
                  <c:v>12.470238051583875</c:v>
                </c:pt>
                <c:pt idx="11">
                  <c:v>12.757383308951724</c:v>
                </c:pt>
                <c:pt idx="12">
                  <c:v>12.447666209259712</c:v>
                </c:pt>
                <c:pt idx="13">
                  <c:v>12.012419002497937</c:v>
                </c:pt>
                <c:pt idx="14">
                  <c:v>11.243872407803712</c:v>
                </c:pt>
                <c:pt idx="15">
                  <c:v>10.955877225846365</c:v>
                </c:pt>
              </c:numCache>
            </c:numRef>
          </c:val>
          <c:smooth val="0"/>
          <c:extLst xmlns:c16r2="http://schemas.microsoft.com/office/drawing/2015/06/chart">
            <c:ext xmlns:c16="http://schemas.microsoft.com/office/drawing/2014/chart" uri="{C3380CC4-5D6E-409C-BE32-E72D297353CC}">
              <c16:uniqueId val="{00000000-6283-4F05-85EE-96C565FCEE9F}"/>
            </c:ext>
          </c:extLst>
        </c:ser>
        <c:ser>
          <c:idx val="1"/>
          <c:order val="1"/>
          <c:tx>
            <c:strRef>
              <c:f>Graf_21_22!$C$5</c:f>
              <c:strCache>
                <c:ptCount val="1"/>
                <c:pt idx="0">
                  <c:v>verejný sektor</c:v>
                </c:pt>
              </c:strCache>
            </c:strRef>
          </c:tx>
          <c:spPr>
            <a:ln w="28575" cap="rnd">
              <a:solidFill>
                <a:srgbClr val="0070C0"/>
              </a:solidFill>
              <a:round/>
            </a:ln>
            <a:effectLst/>
          </c:spPr>
          <c:marker>
            <c:symbol val="none"/>
          </c:marker>
          <c:cat>
            <c:strRef>
              <c:f>Graf_21_22!$A$6:$A$21</c:f>
              <c:strCache>
                <c:ptCount val="16"/>
                <c:pt idx="0">
                  <c:v>21-23</c:v>
                </c:pt>
                <c:pt idx="1">
                  <c:v>24-26</c:v>
                </c:pt>
                <c:pt idx="2">
                  <c:v>27-29</c:v>
                </c:pt>
                <c:pt idx="3">
                  <c:v>30-32</c:v>
                </c:pt>
                <c:pt idx="4">
                  <c:v>33-35</c:v>
                </c:pt>
                <c:pt idx="5">
                  <c:v>36-38</c:v>
                </c:pt>
                <c:pt idx="6">
                  <c:v>39-41</c:v>
                </c:pt>
                <c:pt idx="7">
                  <c:v>42-44</c:v>
                </c:pt>
                <c:pt idx="8">
                  <c:v>45-47</c:v>
                </c:pt>
                <c:pt idx="9">
                  <c:v>48-50</c:v>
                </c:pt>
                <c:pt idx="10">
                  <c:v>51-53</c:v>
                </c:pt>
                <c:pt idx="11">
                  <c:v>54-56</c:v>
                </c:pt>
                <c:pt idx="12">
                  <c:v>57-59</c:v>
                </c:pt>
                <c:pt idx="13">
                  <c:v>60-62</c:v>
                </c:pt>
                <c:pt idx="14">
                  <c:v>63-65</c:v>
                </c:pt>
                <c:pt idx="15">
                  <c:v>nad 66</c:v>
                </c:pt>
              </c:strCache>
            </c:strRef>
          </c:cat>
          <c:val>
            <c:numRef>
              <c:f>Graf_21_22!$C$6:$C$21</c:f>
              <c:numCache>
                <c:formatCode>_-* #\ ##0.0\ [$€-1]_-;\-* #\ ##0.0\ [$€-1]_-;_-* "-"??\ [$€-1]_-;_-@_-</c:formatCode>
                <c:ptCount val="16"/>
                <c:pt idx="0">
                  <c:v>5.9141571481206752</c:v>
                </c:pt>
                <c:pt idx="1">
                  <c:v>6.4215776394430071</c:v>
                </c:pt>
                <c:pt idx="2">
                  <c:v>7.4062162445499347</c:v>
                </c:pt>
                <c:pt idx="3">
                  <c:v>8.2459465766013249</c:v>
                </c:pt>
                <c:pt idx="4">
                  <c:v>9.2211608156790987</c:v>
                </c:pt>
                <c:pt idx="5">
                  <c:v>9.4505872481981381</c:v>
                </c:pt>
                <c:pt idx="6">
                  <c:v>9.6423219599901682</c:v>
                </c:pt>
                <c:pt idx="7">
                  <c:v>10.002055989180972</c:v>
                </c:pt>
                <c:pt idx="8">
                  <c:v>10.3957283747887</c:v>
                </c:pt>
                <c:pt idx="9">
                  <c:v>10.497730791428705</c:v>
                </c:pt>
                <c:pt idx="10">
                  <c:v>10.373693553857743</c:v>
                </c:pt>
                <c:pt idx="11">
                  <c:v>10.486747245587953</c:v>
                </c:pt>
                <c:pt idx="12">
                  <c:v>10.50491670512165</c:v>
                </c:pt>
                <c:pt idx="13">
                  <c:v>11.006271339417689</c:v>
                </c:pt>
                <c:pt idx="14">
                  <c:v>11.540348911745118</c:v>
                </c:pt>
                <c:pt idx="15">
                  <c:v>11.565375235195402</c:v>
                </c:pt>
              </c:numCache>
            </c:numRef>
          </c:val>
          <c:smooth val="0"/>
          <c:extLst xmlns:c16r2="http://schemas.microsoft.com/office/drawing/2015/06/chart">
            <c:ext xmlns:c16="http://schemas.microsoft.com/office/drawing/2014/chart" uri="{C3380CC4-5D6E-409C-BE32-E72D297353CC}">
              <c16:uniqueId val="{00000001-6283-4F05-85EE-96C565FCEE9F}"/>
            </c:ext>
          </c:extLst>
        </c:ser>
        <c:dLbls>
          <c:showLegendKey val="0"/>
          <c:showVal val="0"/>
          <c:showCatName val="0"/>
          <c:showSerName val="0"/>
          <c:showPercent val="0"/>
          <c:showBubbleSize val="0"/>
        </c:dLbls>
        <c:smooth val="0"/>
        <c:axId val="224979216"/>
        <c:axId val="224979608"/>
      </c:lineChart>
      <c:catAx>
        <c:axId val="2249792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sk-SK"/>
                  <a:t>veková skupina</a:t>
                </a:r>
              </a:p>
            </c:rich>
          </c:tx>
          <c:layout>
            <c:manualLayout>
              <c:xMode val="edge"/>
              <c:yMode val="edge"/>
              <c:x val="0.42599090318388566"/>
              <c:y val="0.9358423758674000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979608"/>
        <c:crosses val="autoZero"/>
        <c:auto val="1"/>
        <c:lblAlgn val="ctr"/>
        <c:lblOffset val="100"/>
        <c:noMultiLvlLbl val="0"/>
      </c:catAx>
      <c:valAx>
        <c:axId val="22497960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979216"/>
        <c:crosses val="autoZero"/>
        <c:crossBetween val="between"/>
      </c:valAx>
      <c:spPr>
        <a:noFill/>
        <a:ln>
          <a:noFill/>
        </a:ln>
        <a:effectLst/>
      </c:spPr>
    </c:plotArea>
    <c:legend>
      <c:legendPos val="b"/>
      <c:layout>
        <c:manualLayout>
          <c:xMode val="edge"/>
          <c:yMode val="edge"/>
          <c:x val="0.41561210111893909"/>
          <c:y val="0.41902368221164338"/>
          <c:w val="0.40997117465579963"/>
          <c:h val="0.183807654415690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671892885635989E-2"/>
          <c:y val="9.5793077768393159E-2"/>
          <c:w val="0.91475770925110134"/>
          <c:h val="0.89060149488234386"/>
        </c:manualLayout>
      </c:layout>
      <c:barChart>
        <c:barDir val="bar"/>
        <c:grouping val="stacked"/>
        <c:varyColors val="0"/>
        <c:ser>
          <c:idx val="0"/>
          <c:order val="0"/>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Hárok1!$D$3:$D$8</c:f>
              <c:numCache>
                <c:formatCode>#,##0</c:formatCode>
                <c:ptCount val="6"/>
                <c:pt idx="0">
                  <c:v>520</c:v>
                </c:pt>
                <c:pt idx="1">
                  <c:v>624</c:v>
                </c:pt>
                <c:pt idx="2">
                  <c:v>728</c:v>
                </c:pt>
                <c:pt idx="3">
                  <c:v>832</c:v>
                </c:pt>
                <c:pt idx="4">
                  <c:v>936</c:v>
                </c:pt>
                <c:pt idx="5">
                  <c:v>1040</c:v>
                </c:pt>
              </c:numCache>
            </c:numRef>
          </c:val>
          <c:extLst xmlns:c16r2="http://schemas.microsoft.com/office/drawing/2015/06/chart">
            <c:ext xmlns:c16="http://schemas.microsoft.com/office/drawing/2014/chart" uri="{C3380CC4-5D6E-409C-BE32-E72D297353CC}">
              <c16:uniqueId val="{00000000-A366-451C-A771-21A5240099ED}"/>
            </c:ext>
          </c:extLst>
        </c:ser>
        <c:ser>
          <c:idx val="1"/>
          <c:order val="1"/>
          <c:spPr>
            <a:solidFill>
              <a:srgbClr val="002060"/>
            </a:solidFill>
            <a:ln>
              <a:solidFill>
                <a:srgbClr val="002060"/>
              </a:solidFill>
            </a:ln>
            <a:effectLst/>
          </c:spPr>
          <c:invertIfNegative val="0"/>
          <c:val>
            <c:numRef>
              <c:f>Hárok1!$E$3:$E$8</c:f>
              <c:numCache>
                <c:formatCode>#,##0</c:formatCode>
                <c:ptCount val="6"/>
                <c:pt idx="0">
                  <c:v>260</c:v>
                </c:pt>
                <c:pt idx="1">
                  <c:v>374.4</c:v>
                </c:pt>
                <c:pt idx="2">
                  <c:v>509.59999999999997</c:v>
                </c:pt>
                <c:pt idx="3">
                  <c:v>665.6</c:v>
                </c:pt>
                <c:pt idx="4">
                  <c:v>842.4</c:v>
                </c:pt>
                <c:pt idx="5">
                  <c:v>1040</c:v>
                </c:pt>
              </c:numCache>
            </c:numRef>
          </c:val>
          <c:extLst xmlns:c16r2="http://schemas.microsoft.com/office/drawing/2015/06/chart">
            <c:ext xmlns:c16="http://schemas.microsoft.com/office/drawing/2014/chart" uri="{C3380CC4-5D6E-409C-BE32-E72D297353CC}">
              <c16:uniqueId val="{00000001-A366-451C-A771-21A5240099ED}"/>
            </c:ext>
          </c:extLst>
        </c:ser>
        <c:ser>
          <c:idx val="2"/>
          <c:order val="2"/>
          <c:spPr>
            <a:noFill/>
            <a:ln>
              <a:noFill/>
            </a:ln>
            <a:effectLst/>
          </c:spPr>
          <c:invertIfNegative val="0"/>
          <c:dLbls>
            <c:dLbl>
              <c:idx val="0"/>
              <c:layout>
                <c:manualLayout>
                  <c:x val="1.2820512820512742E-2"/>
                  <c:y val="2.1145468912974381E-17"/>
                </c:manualLayout>
              </c:layout>
              <c:tx>
                <c:rich>
                  <a:bodyPr/>
                  <a:lstStyle/>
                  <a:p>
                    <a:fld id="{9DA4D36B-2244-4A0C-9A77-30D2C926877F}" type="CELLRANGE">
                      <a:rPr lang="en-US"/>
                      <a:pPr/>
                      <a:t>[CELLRANGE]</a:t>
                    </a:fld>
                    <a:endParaRPr lang="sk-SK"/>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A366-451C-A771-21A5240099ED}"/>
                </c:ext>
                <c:ext xmlns:c15="http://schemas.microsoft.com/office/drawing/2012/chart" uri="{CE6537A1-D6FC-4f65-9D91-7224C49458BB}">
                  <c15:dlblFieldTable/>
                  <c15:showDataLabelsRange val="1"/>
                </c:ext>
              </c:extLst>
            </c:dLbl>
            <c:dLbl>
              <c:idx val="1"/>
              <c:layout>
                <c:manualLayout>
                  <c:x val="1.282051282051282E-2"/>
                  <c:y val="0"/>
                </c:manualLayout>
              </c:layout>
              <c:tx>
                <c:rich>
                  <a:bodyPr/>
                  <a:lstStyle/>
                  <a:p>
                    <a:fld id="{AE87036A-AE3A-46EF-9BB0-902ED3C53573}"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layout>
                <c:manualLayout>
                  <c:x val="2.564102564102564E-2"/>
                  <c:y val="8.4581875651897525E-17"/>
                </c:manualLayout>
              </c:layout>
              <c:tx>
                <c:rich>
                  <a:bodyPr/>
                  <a:lstStyle/>
                  <a:p>
                    <a:fld id="{CF7B680E-508A-48D7-9B57-CC617F14515F}"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3"/>
              <c:layout>
                <c:manualLayout>
                  <c:x val="2.564102564102564E-2"/>
                  <c:y val="8.4581875651897525E-17"/>
                </c:manualLayout>
              </c:layout>
              <c:tx>
                <c:rich>
                  <a:bodyPr/>
                  <a:lstStyle/>
                  <a:p>
                    <a:fld id="{1C6654A7-E18E-4DF2-B65F-03DC1D143E25}"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layout>
                <c:manualLayout>
                  <c:x val="2.1367521367521288E-2"/>
                  <c:y val="8.4581875651897525E-17"/>
                </c:manualLayout>
              </c:layout>
              <c:tx>
                <c:rich>
                  <a:bodyPr/>
                  <a:lstStyle/>
                  <a:p>
                    <a:fld id="{AF3FE5FF-F145-414F-8B24-790B26DD1634}"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5"/>
              <c:layout>
                <c:manualLayout>
                  <c:x val="2.1367521367521368E-2"/>
                  <c:y val="3.6327638992840231E-7"/>
                </c:manualLayout>
              </c:layout>
              <c:tx>
                <c:rich>
                  <a:bodyPr/>
                  <a:lstStyle/>
                  <a:p>
                    <a:fld id="{35B86568-1111-43EA-81AF-2E2942AA45CC}" type="CELLRANGE">
                      <a:rPr lang="en-US"/>
                      <a:pPr/>
                      <a:t>[CELLRANGE]</a:t>
                    </a:fld>
                    <a:endParaRPr lang="sk-SK"/>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Hárok1!$F$3:$F$8</c:f>
              <c:numCache>
                <c:formatCode>#,##0</c:formatCode>
                <c:ptCount val="6"/>
                <c:pt idx="0">
                  <c:v>150</c:v>
                </c:pt>
                <c:pt idx="1">
                  <c:v>150</c:v>
                </c:pt>
                <c:pt idx="2">
                  <c:v>150</c:v>
                </c:pt>
                <c:pt idx="3">
                  <c:v>150</c:v>
                </c:pt>
                <c:pt idx="4">
                  <c:v>150</c:v>
                </c:pt>
                <c:pt idx="5">
                  <c:v>150</c:v>
                </c:pt>
              </c:numCache>
            </c:numRef>
          </c:val>
          <c:extLst xmlns:c16r2="http://schemas.microsoft.com/office/drawing/2015/06/chart">
            <c:ext xmlns:c16="http://schemas.microsoft.com/office/drawing/2014/chart" uri="{C3380CC4-5D6E-409C-BE32-E72D297353CC}">
              <c16:uniqueId val="{00000008-A366-451C-A771-21A5240099ED}"/>
            </c:ext>
            <c:ext xmlns:c15="http://schemas.microsoft.com/office/drawing/2012/chart" uri="{02D57815-91ED-43cb-92C2-25804820EDAC}">
              <c15:datalabelsRange>
                <c15:f>Hárok1!$G$3:$G$8</c15:f>
                <c15:dlblRangeCache>
                  <c:ptCount val="6"/>
                  <c:pt idx="0">
                    <c:v>780</c:v>
                  </c:pt>
                  <c:pt idx="1">
                    <c:v>998</c:v>
                  </c:pt>
                  <c:pt idx="2">
                    <c:v>1 238</c:v>
                  </c:pt>
                  <c:pt idx="3">
                    <c:v>1 498</c:v>
                  </c:pt>
                  <c:pt idx="4">
                    <c:v>1 778</c:v>
                  </c:pt>
                  <c:pt idx="5">
                    <c:v>2 080</c:v>
                  </c:pt>
                </c15:dlblRangeCache>
              </c15:datalabelsRange>
            </c:ext>
          </c:extLst>
        </c:ser>
        <c:dLbls>
          <c:showLegendKey val="0"/>
          <c:showVal val="0"/>
          <c:showCatName val="0"/>
          <c:showSerName val="0"/>
          <c:showPercent val="0"/>
          <c:showBubbleSize val="0"/>
        </c:dLbls>
        <c:gapWidth val="182"/>
        <c:overlap val="100"/>
        <c:axId val="224980000"/>
        <c:axId val="224980392"/>
      </c:barChart>
      <c:catAx>
        <c:axId val="224980000"/>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980392"/>
        <c:crosses val="autoZero"/>
        <c:auto val="1"/>
        <c:lblAlgn val="ctr"/>
        <c:lblOffset val="100"/>
        <c:noMultiLvlLbl val="0"/>
      </c:catAx>
      <c:valAx>
        <c:axId val="224980392"/>
        <c:scaling>
          <c:orientation val="minMax"/>
          <c:max val="2500"/>
        </c:scaling>
        <c:delete val="0"/>
        <c:axPos val="t"/>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9800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191712147092725E-2"/>
          <c:y val="4.016288383935538E-2"/>
          <c:w val="0.89757686539182591"/>
          <c:h val="0.82609404900084704"/>
        </c:manualLayout>
      </c:layout>
      <c:barChart>
        <c:barDir val="col"/>
        <c:grouping val="clustered"/>
        <c:varyColors val="0"/>
        <c:ser>
          <c:idx val="1"/>
          <c:order val="0"/>
          <c:spPr>
            <a:solidFill>
              <a:schemeClr val="bg1">
                <a:lumMod val="65000"/>
              </a:schemeClr>
            </a:solidFill>
            <a:ln>
              <a:noFill/>
            </a:ln>
            <a:effectLst/>
          </c:spPr>
          <c:invertIfNegative val="0"/>
          <c:cat>
            <c:numRef>
              <c:f>Hárok3!$B$1:$B$57</c:f>
              <c:numCache>
                <c:formatCode>0%</c:formatCode>
                <c:ptCount val="46"/>
                <c:pt idx="1">
                  <c:v>0.3</c:v>
                </c:pt>
                <c:pt idx="3">
                  <c:v>0.4</c:v>
                </c:pt>
                <c:pt idx="5">
                  <c:v>0.5</c:v>
                </c:pt>
                <c:pt idx="7">
                  <c:v>0.6</c:v>
                </c:pt>
                <c:pt idx="9">
                  <c:v>0.7</c:v>
                </c:pt>
                <c:pt idx="11">
                  <c:v>0.8</c:v>
                </c:pt>
                <c:pt idx="13">
                  <c:v>0.9</c:v>
                </c:pt>
                <c:pt idx="15">
                  <c:v>1</c:v>
                </c:pt>
                <c:pt idx="17">
                  <c:v>1.1000000000000001</c:v>
                </c:pt>
                <c:pt idx="19">
                  <c:v>1.2</c:v>
                </c:pt>
                <c:pt idx="21">
                  <c:v>1.3</c:v>
                </c:pt>
                <c:pt idx="23">
                  <c:v>1.4</c:v>
                </c:pt>
                <c:pt idx="25">
                  <c:v>1.5</c:v>
                </c:pt>
                <c:pt idx="27">
                  <c:v>1.6</c:v>
                </c:pt>
                <c:pt idx="29">
                  <c:v>1.7</c:v>
                </c:pt>
                <c:pt idx="31">
                  <c:v>1.8</c:v>
                </c:pt>
                <c:pt idx="33">
                  <c:v>1.9</c:v>
                </c:pt>
                <c:pt idx="35">
                  <c:v>2</c:v>
                </c:pt>
                <c:pt idx="37">
                  <c:v>2.1</c:v>
                </c:pt>
                <c:pt idx="39">
                  <c:v>2.2000000000000002</c:v>
                </c:pt>
                <c:pt idx="41">
                  <c:v>2.2999999999999998</c:v>
                </c:pt>
                <c:pt idx="43">
                  <c:v>2.4</c:v>
                </c:pt>
                <c:pt idx="45">
                  <c:v>2.5</c:v>
                </c:pt>
              </c:numCache>
            </c:numRef>
          </c:cat>
          <c:val>
            <c:numRef>
              <c:f>Hárok3!$C$1:$C$57</c:f>
              <c:numCache>
                <c:formatCode>0%</c:formatCode>
                <c:ptCount val="46"/>
                <c:pt idx="0">
                  <c:v>2.7111894537207923E-5</c:v>
                </c:pt>
                <c:pt idx="1">
                  <c:v>1.0498063802867412E-4</c:v>
                </c:pt>
                <c:pt idx="2">
                  <c:v>4.2282935695624934E-4</c:v>
                </c:pt>
                <c:pt idx="3">
                  <c:v>1.418912001833449E-3</c:v>
                </c:pt>
                <c:pt idx="4">
                  <c:v>3.8916185871620303E-3</c:v>
                </c:pt>
                <c:pt idx="5">
                  <c:v>5.8945403914595941E-3</c:v>
                </c:pt>
                <c:pt idx="6">
                  <c:v>8.6739736068221756E-3</c:v>
                </c:pt>
                <c:pt idx="7">
                  <c:v>1.360989390889243E-2</c:v>
                </c:pt>
                <c:pt idx="8">
                  <c:v>2.078566770967246E-2</c:v>
                </c:pt>
                <c:pt idx="9">
                  <c:v>2.907493813415472E-2</c:v>
                </c:pt>
                <c:pt idx="10">
                  <c:v>4.0252212477752979E-2</c:v>
                </c:pt>
                <c:pt idx="11">
                  <c:v>5.1081291304498108E-2</c:v>
                </c:pt>
                <c:pt idx="12">
                  <c:v>6.2972372324991963E-2</c:v>
                </c:pt>
                <c:pt idx="13">
                  <c:v>6.8728511899550773E-2</c:v>
                </c:pt>
                <c:pt idx="14">
                  <c:v>7.1805787784856245E-2</c:v>
                </c:pt>
                <c:pt idx="15">
                  <c:v>7.3061936352240869E-2</c:v>
                </c:pt>
              </c:numCache>
            </c:numRef>
          </c:val>
          <c:extLst xmlns:c16r2="http://schemas.microsoft.com/office/drawing/2015/06/chart">
            <c:ext xmlns:c16="http://schemas.microsoft.com/office/drawing/2014/chart" uri="{C3380CC4-5D6E-409C-BE32-E72D297353CC}">
              <c16:uniqueId val="{00000000-F62E-435E-B1DB-687E530BBC9C}"/>
            </c:ext>
          </c:extLst>
        </c:ser>
        <c:ser>
          <c:idx val="0"/>
          <c:order val="1"/>
          <c:tx>
            <c:v>podiel2</c:v>
          </c:tx>
          <c:spPr>
            <a:solidFill>
              <a:schemeClr val="accent1"/>
            </a:solidFill>
            <a:ln>
              <a:noFill/>
            </a:ln>
            <a:effectLst/>
          </c:spPr>
          <c:invertIfNegative val="0"/>
          <c:cat>
            <c:numRef>
              <c:f>Hárok3!$B$1:$B$57</c:f>
              <c:numCache>
                <c:formatCode>0%</c:formatCode>
                <c:ptCount val="46"/>
                <c:pt idx="1">
                  <c:v>0.3</c:v>
                </c:pt>
                <c:pt idx="3">
                  <c:v>0.4</c:v>
                </c:pt>
                <c:pt idx="5">
                  <c:v>0.5</c:v>
                </c:pt>
                <c:pt idx="7">
                  <c:v>0.6</c:v>
                </c:pt>
                <c:pt idx="9">
                  <c:v>0.7</c:v>
                </c:pt>
                <c:pt idx="11">
                  <c:v>0.8</c:v>
                </c:pt>
                <c:pt idx="13">
                  <c:v>0.9</c:v>
                </c:pt>
                <c:pt idx="15">
                  <c:v>1</c:v>
                </c:pt>
                <c:pt idx="17">
                  <c:v>1.1000000000000001</c:v>
                </c:pt>
                <c:pt idx="19">
                  <c:v>1.2</c:v>
                </c:pt>
                <c:pt idx="21">
                  <c:v>1.3</c:v>
                </c:pt>
                <c:pt idx="23">
                  <c:v>1.4</c:v>
                </c:pt>
                <c:pt idx="25">
                  <c:v>1.5</c:v>
                </c:pt>
                <c:pt idx="27">
                  <c:v>1.6</c:v>
                </c:pt>
                <c:pt idx="29">
                  <c:v>1.7</c:v>
                </c:pt>
                <c:pt idx="31">
                  <c:v>1.8</c:v>
                </c:pt>
                <c:pt idx="33">
                  <c:v>1.9</c:v>
                </c:pt>
                <c:pt idx="35">
                  <c:v>2</c:v>
                </c:pt>
                <c:pt idx="37">
                  <c:v>2.1</c:v>
                </c:pt>
                <c:pt idx="39">
                  <c:v>2.2000000000000002</c:v>
                </c:pt>
                <c:pt idx="41">
                  <c:v>2.2999999999999998</c:v>
                </c:pt>
                <c:pt idx="43">
                  <c:v>2.4</c:v>
                </c:pt>
                <c:pt idx="45">
                  <c:v>2.5</c:v>
                </c:pt>
              </c:numCache>
            </c:numRef>
          </c:cat>
          <c:val>
            <c:numRef>
              <c:f>Hárok3!$D$1:$D$57</c:f>
              <c:numCache>
                <c:formatCode>General</c:formatCode>
                <c:ptCount val="46"/>
                <c:pt idx="16" formatCode="0%">
                  <c:v>6.982013076486826E-2</c:v>
                </c:pt>
                <c:pt idx="17" formatCode="0%">
                  <c:v>6.6188081855909783E-2</c:v>
                </c:pt>
                <c:pt idx="18" formatCode="0%">
                  <c:v>6.0516167649782841E-2</c:v>
                </c:pt>
                <c:pt idx="19" formatCode="0%">
                  <c:v>5.4054988864716956E-2</c:v>
                </c:pt>
                <c:pt idx="20" formatCode="0%">
                  <c:v>4.7452126546903402E-2</c:v>
                </c:pt>
                <c:pt idx="21" formatCode="0%">
                  <c:v>4.0692021910054638E-2</c:v>
                </c:pt>
                <c:pt idx="22" formatCode="0%">
                  <c:v>3.4289385622032438E-2</c:v>
                </c:pt>
                <c:pt idx="23" formatCode="0%">
                  <c:v>2.9351154676970029E-2</c:v>
                </c:pt>
                <c:pt idx="24" formatCode="0%">
                  <c:v>2.4623274821475739E-2</c:v>
                </c:pt>
                <c:pt idx="25" formatCode="0%">
                  <c:v>1.957739843501172E-2</c:v>
                </c:pt>
                <c:pt idx="26" formatCode="0%">
                  <c:v>1.5990340031176182E-2</c:v>
                </c:pt>
                <c:pt idx="27" formatCode="0%">
                  <c:v>1.304910586868251E-2</c:v>
                </c:pt>
                <c:pt idx="28" formatCode="0%">
                  <c:v>1.0787820735928112E-2</c:v>
                </c:pt>
                <c:pt idx="29" formatCode="0%">
                  <c:v>8.5287732595995969E-3</c:v>
                </c:pt>
                <c:pt idx="30" formatCode="0%">
                  <c:v>7.5823358924400324E-3</c:v>
                </c:pt>
                <c:pt idx="31" formatCode="0%">
                  <c:v>6.1566442270872251E-3</c:v>
                </c:pt>
                <c:pt idx="32" formatCode="0%">
                  <c:v>5.1281069955967963E-3</c:v>
                </c:pt>
                <c:pt idx="33" formatCode="0%">
                  <c:v>4.0908624395775365E-3</c:v>
                </c:pt>
                <c:pt idx="34" formatCode="0%">
                  <c:v>3.8976264250889518E-3</c:v>
                </c:pt>
                <c:pt idx="35" formatCode="0%">
                  <c:v>3.1853436790856907E-3</c:v>
                </c:pt>
                <c:pt idx="36" formatCode="0%">
                  <c:v>2.5495577393322604E-3</c:v>
                </c:pt>
                <c:pt idx="37" formatCode="0%">
                  <c:v>2.1629390843781616E-3</c:v>
                </c:pt>
                <c:pt idx="38" formatCode="0%">
                  <c:v>1.7190234630104274E-3</c:v>
                </c:pt>
                <c:pt idx="39" formatCode="0%">
                  <c:v>1.6533802001528703E-3</c:v>
                </c:pt>
                <c:pt idx="40" formatCode="0%">
                  <c:v>1.3646233998877936E-3</c:v>
                </c:pt>
                <c:pt idx="41" formatCode="0%">
                  <c:v>1.2283007243113285E-3</c:v>
                </c:pt>
                <c:pt idx="42" formatCode="0%">
                  <c:v>1.0780748008812765E-3</c:v>
                </c:pt>
                <c:pt idx="43" formatCode="0%">
                  <c:v>9.8466047982158594E-4</c:v>
                </c:pt>
                <c:pt idx="44" formatCode="0%">
                  <c:v>8.2181624332769985E-4</c:v>
                </c:pt>
                <c:pt idx="45" formatCode="0%">
                  <c:v>7.5347725845600639E-4</c:v>
                </c:pt>
              </c:numCache>
            </c:numRef>
          </c:val>
          <c:extLst xmlns:c16r2="http://schemas.microsoft.com/office/drawing/2015/06/chart">
            <c:ext xmlns:c16="http://schemas.microsoft.com/office/drawing/2014/chart" uri="{C3380CC4-5D6E-409C-BE32-E72D297353CC}">
              <c16:uniqueId val="{00000001-F62E-435E-B1DB-687E530BBC9C}"/>
            </c:ext>
          </c:extLst>
        </c:ser>
        <c:dLbls>
          <c:showLegendKey val="0"/>
          <c:showVal val="0"/>
          <c:showCatName val="0"/>
          <c:showSerName val="0"/>
          <c:showPercent val="0"/>
          <c:showBubbleSize val="0"/>
        </c:dLbls>
        <c:gapWidth val="39"/>
        <c:overlap val="100"/>
        <c:axId val="225095984"/>
        <c:axId val="225096376"/>
      </c:barChart>
      <c:catAx>
        <c:axId val="2250959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sk-SK"/>
                  <a:t>Príjem ako percento mediánovej mzdy v súkromnom sektore </a:t>
                </a:r>
              </a:p>
            </c:rich>
          </c:tx>
          <c:layout>
            <c:manualLayout>
              <c:xMode val="edge"/>
              <c:yMode val="edge"/>
              <c:x val="0.30998665360656369"/>
              <c:y val="0.9223915966795348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crossAx val="225096376"/>
        <c:crosses val="autoZero"/>
        <c:auto val="1"/>
        <c:lblAlgn val="ctr"/>
        <c:lblOffset val="100"/>
        <c:tickLblSkip val="1"/>
        <c:tickMarkSkip val="1"/>
        <c:noMultiLvlLbl val="0"/>
      </c:catAx>
      <c:valAx>
        <c:axId val="225096376"/>
        <c:scaling>
          <c:orientation val="minMax"/>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sk-SK"/>
                  <a:t>podiel zamestnancov verejného sektora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0959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030505620759672E-2"/>
          <c:y val="6.0232704332011978E-2"/>
          <c:w val="0.94720467488733717"/>
          <c:h val="0.84547573488642014"/>
        </c:manualLayout>
      </c:layout>
      <c:barChart>
        <c:barDir val="col"/>
        <c:grouping val="clustered"/>
        <c:varyColors val="0"/>
        <c:ser>
          <c:idx val="1"/>
          <c:order val="0"/>
          <c:tx>
            <c:strRef>
              <c:f>Graf_36!$B$4</c:f>
              <c:strCache>
                <c:ptCount val="1"/>
                <c:pt idx="0">
                  <c:v>mzdová medzera</c:v>
                </c:pt>
              </c:strCache>
            </c:strRef>
          </c:tx>
          <c:spPr>
            <a:solidFill>
              <a:srgbClr val="00B0F0"/>
            </a:solidFill>
            <a:ln>
              <a:noFill/>
            </a:ln>
            <a:effectLst/>
          </c:spPr>
          <c:invertIfNegative val="0"/>
          <c:dPt>
            <c:idx val="3"/>
            <c:invertIfNegative val="0"/>
            <c:bubble3D val="0"/>
            <c:spPr>
              <a:solidFill>
                <a:srgbClr val="0070C0"/>
              </a:solidFill>
              <a:ln>
                <a:noFill/>
              </a:ln>
              <a:effectLst/>
            </c:spPr>
          </c:dPt>
          <c:dLbls>
            <c:dLbl>
              <c:idx val="3"/>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Graf_36!$A$5:$A$25</c:f>
              <c:strCache>
                <c:ptCount val="21"/>
                <c:pt idx="0">
                  <c:v>DK</c:v>
                </c:pt>
                <c:pt idx="1">
                  <c:v>HU</c:v>
                </c:pt>
                <c:pt idx="2">
                  <c:v>FI</c:v>
                </c:pt>
                <c:pt idx="3">
                  <c:v>SK</c:v>
                </c:pt>
                <c:pt idx="4">
                  <c:v>NO</c:v>
                </c:pt>
                <c:pt idx="5">
                  <c:v>BG</c:v>
                </c:pt>
                <c:pt idx="6">
                  <c:v>PT</c:v>
                </c:pt>
                <c:pt idx="7">
                  <c:v>NL</c:v>
                </c:pt>
                <c:pt idx="8">
                  <c:v>BE</c:v>
                </c:pt>
                <c:pt idx="9">
                  <c:v>CZ</c:v>
                </c:pt>
                <c:pt idx="10">
                  <c:v>RO</c:v>
                </c:pt>
                <c:pt idx="11">
                  <c:v>MT</c:v>
                </c:pt>
                <c:pt idx="12">
                  <c:v>UK</c:v>
                </c:pt>
                <c:pt idx="13">
                  <c:v>IT</c:v>
                </c:pt>
                <c:pt idx="14">
                  <c:v>SI</c:v>
                </c:pt>
                <c:pt idx="15">
                  <c:v>PL</c:v>
                </c:pt>
                <c:pt idx="16">
                  <c:v>LT</c:v>
                </c:pt>
                <c:pt idx="17">
                  <c:v>DE</c:v>
                </c:pt>
                <c:pt idx="18">
                  <c:v>ES</c:v>
                </c:pt>
                <c:pt idx="19">
                  <c:v>LU</c:v>
                </c:pt>
                <c:pt idx="20">
                  <c:v>CY</c:v>
                </c:pt>
              </c:strCache>
            </c:strRef>
          </c:cat>
          <c:val>
            <c:numRef>
              <c:f>Graf_36!$B$5:$B$25</c:f>
              <c:numCache>
                <c:formatCode>0%</c:formatCode>
                <c:ptCount val="21"/>
                <c:pt idx="0" formatCode="0.0%">
                  <c:v>-0.13739889999999999</c:v>
                </c:pt>
                <c:pt idx="1">
                  <c:v>-0.1065671</c:v>
                </c:pt>
                <c:pt idx="2">
                  <c:v>-3.6230900000000003E-2</c:v>
                </c:pt>
                <c:pt idx="3">
                  <c:v>-2.7636600000000001E-2</c:v>
                </c:pt>
                <c:pt idx="4">
                  <c:v>2.8208E-3</c:v>
                </c:pt>
                <c:pt idx="5">
                  <c:v>3.5462199999999999E-2</c:v>
                </c:pt>
                <c:pt idx="6">
                  <c:v>3.6176300000000002E-2</c:v>
                </c:pt>
                <c:pt idx="7">
                  <c:v>3.98436E-2</c:v>
                </c:pt>
                <c:pt idx="8">
                  <c:v>5.3967899999999999E-2</c:v>
                </c:pt>
                <c:pt idx="9">
                  <c:v>5.6956100000000003E-2</c:v>
                </c:pt>
                <c:pt idx="10">
                  <c:v>6.01738E-2</c:v>
                </c:pt>
                <c:pt idx="11">
                  <c:v>8.0007300000000003E-2</c:v>
                </c:pt>
                <c:pt idx="12">
                  <c:v>8.1898399999999996E-2</c:v>
                </c:pt>
                <c:pt idx="13">
                  <c:v>0.1133456</c:v>
                </c:pt>
                <c:pt idx="14">
                  <c:v>0.1164157</c:v>
                </c:pt>
                <c:pt idx="15">
                  <c:v>0.1376531</c:v>
                </c:pt>
                <c:pt idx="16">
                  <c:v>0.13879</c:v>
                </c:pt>
                <c:pt idx="17">
                  <c:v>0.1420614</c:v>
                </c:pt>
                <c:pt idx="18">
                  <c:v>0.19146830000000001</c:v>
                </c:pt>
                <c:pt idx="19">
                  <c:v>0.25892330000000002</c:v>
                </c:pt>
                <c:pt idx="20">
                  <c:v>0.29809809999999998</c:v>
                </c:pt>
              </c:numCache>
            </c:numRef>
          </c:val>
        </c:ser>
        <c:dLbls>
          <c:showLegendKey val="0"/>
          <c:showVal val="0"/>
          <c:showCatName val="0"/>
          <c:showSerName val="0"/>
          <c:showPercent val="0"/>
          <c:showBubbleSize val="0"/>
        </c:dLbls>
        <c:gapWidth val="219"/>
        <c:overlap val="-27"/>
        <c:axId val="225097160"/>
        <c:axId val="225097552"/>
      </c:barChart>
      <c:lineChart>
        <c:grouping val="standard"/>
        <c:varyColors val="0"/>
        <c:ser>
          <c:idx val="0"/>
          <c:order val="1"/>
          <c:tx>
            <c:strRef>
              <c:f>Graf_36!$C$4</c:f>
              <c:strCache>
                <c:ptCount val="1"/>
                <c:pt idx="0">
                  <c:v>priemer </c:v>
                </c:pt>
              </c:strCache>
            </c:strRef>
          </c:tx>
          <c:spPr>
            <a:ln w="28575" cap="rnd">
              <a:solidFill>
                <a:sysClr val="windowText" lastClr="000000"/>
              </a:solidFill>
              <a:round/>
            </a:ln>
            <a:effectLst/>
          </c:spPr>
          <c:marker>
            <c:symbol val="none"/>
          </c:marker>
          <c:val>
            <c:numRef>
              <c:f>Graf_36!$C$5:$C$25</c:f>
              <c:numCache>
                <c:formatCode>0.0%</c:formatCode>
                <c:ptCount val="21"/>
                <c:pt idx="0">
                  <c:v>7.3153733333333346E-2</c:v>
                </c:pt>
                <c:pt idx="1">
                  <c:v>7.3153733333333346E-2</c:v>
                </c:pt>
                <c:pt idx="2">
                  <c:v>7.3153733333333346E-2</c:v>
                </c:pt>
                <c:pt idx="3">
                  <c:v>7.3153733333333346E-2</c:v>
                </c:pt>
                <c:pt idx="4">
                  <c:v>7.3153733333333346E-2</c:v>
                </c:pt>
                <c:pt idx="5">
                  <c:v>7.3153733333333346E-2</c:v>
                </c:pt>
                <c:pt idx="6">
                  <c:v>7.3153733333333346E-2</c:v>
                </c:pt>
                <c:pt idx="7">
                  <c:v>7.3153733333333346E-2</c:v>
                </c:pt>
                <c:pt idx="8">
                  <c:v>7.3153733333333346E-2</c:v>
                </c:pt>
                <c:pt idx="9">
                  <c:v>7.3153733333333346E-2</c:v>
                </c:pt>
                <c:pt idx="10">
                  <c:v>7.3153733333333346E-2</c:v>
                </c:pt>
                <c:pt idx="11">
                  <c:v>7.3153733333333346E-2</c:v>
                </c:pt>
                <c:pt idx="12">
                  <c:v>7.3153733333333346E-2</c:v>
                </c:pt>
                <c:pt idx="13">
                  <c:v>7.3153733333333346E-2</c:v>
                </c:pt>
                <c:pt idx="14">
                  <c:v>7.3153733333333346E-2</c:v>
                </c:pt>
                <c:pt idx="15">
                  <c:v>7.3153733333333346E-2</c:v>
                </c:pt>
                <c:pt idx="16">
                  <c:v>7.3153733333333346E-2</c:v>
                </c:pt>
                <c:pt idx="17">
                  <c:v>7.3153733333333346E-2</c:v>
                </c:pt>
                <c:pt idx="18">
                  <c:v>7.3153733333333346E-2</c:v>
                </c:pt>
                <c:pt idx="19">
                  <c:v>7.3153733333333346E-2</c:v>
                </c:pt>
                <c:pt idx="20">
                  <c:v>7.3153733333333346E-2</c:v>
                </c:pt>
              </c:numCache>
            </c:numRef>
          </c:val>
          <c:smooth val="0"/>
        </c:ser>
        <c:dLbls>
          <c:showLegendKey val="0"/>
          <c:showVal val="0"/>
          <c:showCatName val="0"/>
          <c:showSerName val="0"/>
          <c:showPercent val="0"/>
          <c:showBubbleSize val="0"/>
        </c:dLbls>
        <c:marker val="1"/>
        <c:smooth val="0"/>
        <c:axId val="225097160"/>
        <c:axId val="225097552"/>
      </c:lineChart>
      <c:catAx>
        <c:axId val="2250971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097552"/>
        <c:crosses val="autoZero"/>
        <c:auto val="1"/>
        <c:lblAlgn val="ctr"/>
        <c:lblOffset val="100"/>
        <c:noMultiLvlLbl val="0"/>
      </c:catAx>
      <c:valAx>
        <c:axId val="225097552"/>
        <c:scaling>
          <c:orientation val="minMax"/>
          <c:max val="0.30000000000000004"/>
          <c:min val="-0.30000000000000004"/>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097160"/>
        <c:crosses val="autoZero"/>
        <c:crossBetween val="between"/>
        <c:majorUnit val="0.1"/>
      </c:valAx>
      <c:spPr>
        <a:noFill/>
        <a:ln>
          <a:noFill/>
        </a:ln>
        <a:effectLst/>
      </c:spPr>
    </c:plotArea>
    <c:legend>
      <c:legendPos val="r"/>
      <c:legendEntry>
        <c:idx val="0"/>
        <c:delete val="1"/>
      </c:legendEntry>
      <c:layout>
        <c:manualLayout>
          <c:xMode val="edge"/>
          <c:yMode val="edge"/>
          <c:x val="0.24325742110519008"/>
          <c:y val="0.18934109463310952"/>
          <c:w val="0.16128553129784709"/>
          <c:h val="7.513418460330044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4450693663292"/>
          <c:y val="3.4632030339344318E-2"/>
          <c:w val="0.88634120734908139"/>
          <c:h val="0.80302580321768013"/>
        </c:manualLayout>
      </c:layout>
      <c:barChart>
        <c:barDir val="col"/>
        <c:grouping val="clustered"/>
        <c:varyColors val="0"/>
        <c:ser>
          <c:idx val="0"/>
          <c:order val="0"/>
          <c:spPr>
            <a:solidFill>
              <a:srgbClr val="00B0F0"/>
            </a:solidFill>
            <a:ln>
              <a:noFill/>
            </a:ln>
            <a:effectLst/>
          </c:spPr>
          <c:invertIfNegative val="0"/>
          <c:dPt>
            <c:idx val="16"/>
            <c:invertIfNegative val="0"/>
            <c:bubble3D val="0"/>
            <c:spPr>
              <a:solidFill>
                <a:srgbClr val="00B0F0"/>
              </a:solidFill>
              <a:ln>
                <a:noFill/>
              </a:ln>
              <a:effectLst/>
            </c:spPr>
          </c:dPt>
          <c:dPt>
            <c:idx val="18"/>
            <c:invertIfNegative val="0"/>
            <c:bubble3D val="0"/>
            <c:spPr>
              <a:solidFill>
                <a:srgbClr val="002060"/>
              </a:solidFill>
              <a:ln>
                <a:noFill/>
              </a:ln>
              <a:effectLst/>
            </c:spPr>
          </c:dPt>
          <c:dPt>
            <c:idx val="20"/>
            <c:invertIfNegative val="0"/>
            <c:bubble3D val="0"/>
            <c:spPr>
              <a:solidFill>
                <a:srgbClr val="00B0F0"/>
              </a:solidFill>
              <a:ln>
                <a:noFill/>
              </a:ln>
              <a:effectLst/>
            </c:spPr>
          </c:dPt>
          <c:dLbls>
            <c:dLbl>
              <c:idx val="18"/>
              <c:layout>
                <c:manualLayout>
                  <c:x val="2.7605238996160483E-3"/>
                  <c:y val="-2.8571428571428571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Graf_2!$A$7:$A$34</c:f>
              <c:strCache>
                <c:ptCount val="28"/>
                <c:pt idx="0">
                  <c:v>Grécko</c:v>
                </c:pt>
                <c:pt idx="1">
                  <c:v>Dánsko</c:v>
                </c:pt>
                <c:pt idx="2">
                  <c:v>Rumunsko</c:v>
                </c:pt>
                <c:pt idx="3">
                  <c:v>Malta</c:v>
                </c:pt>
                <c:pt idx="4">
                  <c:v>Cyprus</c:v>
                </c:pt>
                <c:pt idx="5">
                  <c:v>Fínsko</c:v>
                </c:pt>
                <c:pt idx="6">
                  <c:v>Švédsko</c:v>
                </c:pt>
                <c:pt idx="7">
                  <c:v>Poľsko</c:v>
                </c:pt>
                <c:pt idx="8">
                  <c:v>Chorvátsko</c:v>
                </c:pt>
                <c:pt idx="9">
                  <c:v>Belgicko</c:v>
                </c:pt>
                <c:pt idx="10">
                  <c:v>Maďarsko</c:v>
                </c:pt>
                <c:pt idx="11">
                  <c:v>Taliansko</c:v>
                </c:pt>
                <c:pt idx="12">
                  <c:v>Portugalsko</c:v>
                </c:pt>
                <c:pt idx="13">
                  <c:v>Francúzko</c:v>
                </c:pt>
                <c:pt idx="14">
                  <c:v>Írsko</c:v>
                </c:pt>
                <c:pt idx="15">
                  <c:v>Španielsko</c:v>
                </c:pt>
                <c:pt idx="16">
                  <c:v>Estónsko</c:v>
                </c:pt>
                <c:pt idx="17">
                  <c:v>Česká republika</c:v>
                </c:pt>
                <c:pt idx="18">
                  <c:v>Slovensko</c:v>
                </c:pt>
                <c:pt idx="19">
                  <c:v>Slovinsko</c:v>
                </c:pt>
                <c:pt idx="20">
                  <c:v>Rakúsko</c:v>
                </c:pt>
                <c:pt idx="21">
                  <c:v>Litva</c:v>
                </c:pt>
                <c:pt idx="22">
                  <c:v>Bulharsko</c:v>
                </c:pt>
                <c:pt idx="23">
                  <c:v>Lotyšsko</c:v>
                </c:pt>
                <c:pt idx="24">
                  <c:v>UK</c:v>
                </c:pt>
                <c:pt idx="25">
                  <c:v>Luxembursko</c:v>
                </c:pt>
                <c:pt idx="26">
                  <c:v>Holandsko</c:v>
                </c:pt>
                <c:pt idx="27">
                  <c:v>Nemecko</c:v>
                </c:pt>
              </c:strCache>
            </c:strRef>
          </c:cat>
          <c:val>
            <c:numRef>
              <c:f>Graf_2!$B$7:$B$34</c:f>
              <c:numCache>
                <c:formatCode>0%</c:formatCode>
                <c:ptCount val="28"/>
                <c:pt idx="0">
                  <c:v>0.35151785916623768</c:v>
                </c:pt>
                <c:pt idx="1">
                  <c:v>0.29514907151660469</c:v>
                </c:pt>
                <c:pt idx="2">
                  <c:v>0.28322084851128249</c:v>
                </c:pt>
                <c:pt idx="3">
                  <c:v>0.27445299230692377</c:v>
                </c:pt>
                <c:pt idx="4">
                  <c:v>0.27074040548351569</c:v>
                </c:pt>
                <c:pt idx="5">
                  <c:v>0.26635470804742262</c:v>
                </c:pt>
                <c:pt idx="6">
                  <c:v>0.26551803919182787</c:v>
                </c:pt>
                <c:pt idx="7">
                  <c:v>0.25861441888722803</c:v>
                </c:pt>
                <c:pt idx="8">
                  <c:v>0.25316583932732245</c:v>
                </c:pt>
                <c:pt idx="9">
                  <c:v>0.24980430372768267</c:v>
                </c:pt>
                <c:pt idx="10">
                  <c:v>0.24597610520825519</c:v>
                </c:pt>
                <c:pt idx="11">
                  <c:v>0.24313150192192404</c:v>
                </c:pt>
                <c:pt idx="12">
                  <c:v>0.24052106729351014</c:v>
                </c:pt>
                <c:pt idx="13">
                  <c:v>0.2388043345025461</c:v>
                </c:pt>
                <c:pt idx="14">
                  <c:v>0.23826710157774963</c:v>
                </c:pt>
                <c:pt idx="15">
                  <c:v>0.23439023539284476</c:v>
                </c:pt>
                <c:pt idx="16">
                  <c:v>0.23204581821638495</c:v>
                </c:pt>
                <c:pt idx="17">
                  <c:v>0.22725288452497683</c:v>
                </c:pt>
                <c:pt idx="18">
                  <c:v>0.22414893388819768</c:v>
                </c:pt>
                <c:pt idx="19">
                  <c:v>0.22223780760430273</c:v>
                </c:pt>
                <c:pt idx="20">
                  <c:v>0.21763153857290721</c:v>
                </c:pt>
                <c:pt idx="21">
                  <c:v>0.2175651352866543</c:v>
                </c:pt>
                <c:pt idx="22">
                  <c:v>0.21599004220709453</c:v>
                </c:pt>
                <c:pt idx="23">
                  <c:v>0.21511611259055635</c:v>
                </c:pt>
                <c:pt idx="24">
                  <c:v>0.1805241456393166</c:v>
                </c:pt>
                <c:pt idx="25">
                  <c:v>0.17966777676317344</c:v>
                </c:pt>
                <c:pt idx="26">
                  <c:v>0.17313007018750051</c:v>
                </c:pt>
                <c:pt idx="27">
                  <c:v>0.1464563014932877</c:v>
                </c:pt>
              </c:numCache>
            </c:numRef>
          </c:val>
        </c:ser>
        <c:dLbls>
          <c:showLegendKey val="0"/>
          <c:showVal val="0"/>
          <c:showCatName val="0"/>
          <c:showSerName val="0"/>
          <c:showPercent val="0"/>
          <c:showBubbleSize val="0"/>
        </c:dLbls>
        <c:gapWidth val="117"/>
        <c:overlap val="-27"/>
        <c:axId val="221623168"/>
        <c:axId val="221623560"/>
      </c:barChart>
      <c:lineChart>
        <c:grouping val="standard"/>
        <c:varyColors val="0"/>
        <c:ser>
          <c:idx val="1"/>
          <c:order val="1"/>
          <c:tx>
            <c:strRef>
              <c:f>Graf_2!$C$6</c:f>
              <c:strCache>
                <c:ptCount val="1"/>
                <c:pt idx="0">
                  <c:v>priemer krajín EÚ</c:v>
                </c:pt>
              </c:strCache>
            </c:strRef>
          </c:tx>
          <c:spPr>
            <a:ln w="28575" cap="rnd">
              <a:solidFill>
                <a:sysClr val="windowText" lastClr="000000"/>
              </a:solidFill>
              <a:round/>
            </a:ln>
            <a:effectLst/>
          </c:spPr>
          <c:marker>
            <c:symbol val="none"/>
          </c:marker>
          <c:dLbls>
            <c:dLbl>
              <c:idx val="27"/>
              <c:layout>
                <c:manualLayout>
                  <c:x val="-8.281571698848144E-3"/>
                  <c:y val="-3.4920634920634921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Graf_2!#REF!</c:f>
            </c:multiLvlStrRef>
          </c:cat>
          <c:val>
            <c:numRef>
              <c:f>Graf_2!$C$7:$C$34</c:f>
              <c:numCache>
                <c:formatCode>0.0%</c:formatCode>
                <c:ptCount val="28"/>
                <c:pt idx="0">
                  <c:v>0.23790697853704393</c:v>
                </c:pt>
                <c:pt idx="1">
                  <c:v>0.23790697853704393</c:v>
                </c:pt>
                <c:pt idx="2">
                  <c:v>0.23790697853704393</c:v>
                </c:pt>
                <c:pt idx="3">
                  <c:v>0.23790697853704393</c:v>
                </c:pt>
                <c:pt idx="4">
                  <c:v>0.23790697853704393</c:v>
                </c:pt>
                <c:pt idx="5">
                  <c:v>0.23790697853704393</c:v>
                </c:pt>
                <c:pt idx="6">
                  <c:v>0.23790697853704393</c:v>
                </c:pt>
                <c:pt idx="7">
                  <c:v>0.23790697853704393</c:v>
                </c:pt>
                <c:pt idx="8">
                  <c:v>0.23790697853704393</c:v>
                </c:pt>
                <c:pt idx="9">
                  <c:v>0.23790697853704393</c:v>
                </c:pt>
                <c:pt idx="10">
                  <c:v>0.23790697853704393</c:v>
                </c:pt>
                <c:pt idx="11">
                  <c:v>0.23790697853704393</c:v>
                </c:pt>
                <c:pt idx="12">
                  <c:v>0.23790697853704393</c:v>
                </c:pt>
                <c:pt idx="13">
                  <c:v>0.23790697853704393</c:v>
                </c:pt>
                <c:pt idx="14">
                  <c:v>0.23790697853704393</c:v>
                </c:pt>
                <c:pt idx="15">
                  <c:v>0.23790697853704393</c:v>
                </c:pt>
                <c:pt idx="16">
                  <c:v>0.23790697853704393</c:v>
                </c:pt>
                <c:pt idx="17">
                  <c:v>0.23790697853704393</c:v>
                </c:pt>
                <c:pt idx="18">
                  <c:v>0.23790697853704393</c:v>
                </c:pt>
                <c:pt idx="19">
                  <c:v>0.23790697853704393</c:v>
                </c:pt>
                <c:pt idx="20">
                  <c:v>0.23790697853704393</c:v>
                </c:pt>
                <c:pt idx="21">
                  <c:v>0.23790697853704393</c:v>
                </c:pt>
                <c:pt idx="22">
                  <c:v>0.23790697853704393</c:v>
                </c:pt>
                <c:pt idx="23">
                  <c:v>0.23790697853704393</c:v>
                </c:pt>
                <c:pt idx="24">
                  <c:v>0.23790697853704393</c:v>
                </c:pt>
                <c:pt idx="25">
                  <c:v>0.23790697853704393</c:v>
                </c:pt>
                <c:pt idx="26">
                  <c:v>0.23790697853704393</c:v>
                </c:pt>
                <c:pt idx="27">
                  <c:v>0.23790697853704393</c:v>
                </c:pt>
              </c:numCache>
            </c:numRef>
          </c:val>
          <c:smooth val="0"/>
        </c:ser>
        <c:dLbls>
          <c:showLegendKey val="0"/>
          <c:showVal val="0"/>
          <c:showCatName val="0"/>
          <c:showSerName val="0"/>
          <c:showPercent val="0"/>
          <c:showBubbleSize val="0"/>
        </c:dLbls>
        <c:marker val="1"/>
        <c:smooth val="0"/>
        <c:axId val="221623168"/>
        <c:axId val="221623560"/>
      </c:lineChart>
      <c:catAx>
        <c:axId val="22162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sk-SK"/>
          </a:p>
        </c:txPr>
        <c:crossAx val="221623560"/>
        <c:crosses val="autoZero"/>
        <c:auto val="1"/>
        <c:lblAlgn val="ctr"/>
        <c:lblOffset val="100"/>
        <c:noMultiLvlLbl val="0"/>
      </c:catAx>
      <c:valAx>
        <c:axId val="221623560"/>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1623168"/>
        <c:crosses val="autoZero"/>
        <c:crossBetween val="between"/>
      </c:valAx>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Entry>
      <c:layout>
        <c:manualLayout>
          <c:xMode val="edge"/>
          <c:yMode val="edge"/>
          <c:x val="0.36518935133108366"/>
          <c:y val="7.5994316499911202E-2"/>
          <c:w val="0.46033220847394074"/>
          <c:h val="5.107336582927134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9484753769597"/>
          <c:y val="6.0043668122270744E-2"/>
          <c:w val="0.80253074727488094"/>
          <c:h val="0.76085599834955131"/>
        </c:manualLayout>
      </c:layout>
      <c:lineChart>
        <c:grouping val="standard"/>
        <c:varyColors val="0"/>
        <c:ser>
          <c:idx val="0"/>
          <c:order val="0"/>
          <c:tx>
            <c:strRef>
              <c:f>Hárok1!$A$2</c:f>
              <c:strCache>
                <c:ptCount val="1"/>
                <c:pt idx="0">
                  <c:v>štátna služba a verejný záujem</c:v>
                </c:pt>
              </c:strCache>
            </c:strRef>
          </c:tx>
          <c:spPr>
            <a:ln w="28575" cap="rnd">
              <a:noFill/>
              <a:round/>
            </a:ln>
            <a:effectLst/>
          </c:spPr>
          <c:marker>
            <c:symbol val="diamond"/>
            <c:size val="9"/>
            <c:spPr>
              <a:solidFill>
                <a:srgbClr val="002060"/>
              </a:solidFill>
              <a:ln w="9525">
                <a:noFill/>
              </a:ln>
              <a:effectLst/>
            </c:spPr>
          </c:marker>
          <c:cat>
            <c:strRef>
              <c:f>Hárok1!$B$1:$AP$1</c:f>
              <c:strCache>
                <c:ptCount val="41"/>
                <c:pt idx="0">
                  <c:v>1Q2010</c:v>
                </c:pt>
                <c:pt idx="4">
                  <c:v>1Q2011</c:v>
                </c:pt>
                <c:pt idx="8">
                  <c:v>1Q2012</c:v>
                </c:pt>
                <c:pt idx="12">
                  <c:v>1Q2013</c:v>
                </c:pt>
                <c:pt idx="16">
                  <c:v>1Q2014</c:v>
                </c:pt>
                <c:pt idx="20">
                  <c:v>1Q2015</c:v>
                </c:pt>
                <c:pt idx="24">
                  <c:v>1Q2016</c:v>
                </c:pt>
                <c:pt idx="28">
                  <c:v>1Q2017</c:v>
                </c:pt>
                <c:pt idx="32">
                  <c:v>1Q2018</c:v>
                </c:pt>
                <c:pt idx="36">
                  <c:v>1Q2019</c:v>
                </c:pt>
                <c:pt idx="40">
                  <c:v>1Q2020</c:v>
                </c:pt>
              </c:strCache>
            </c:strRef>
          </c:cat>
          <c:val>
            <c:numRef>
              <c:f>Hárok1!$B$2:$AP$2</c:f>
              <c:numCache>
                <c:formatCode>General</c:formatCode>
                <c:ptCount val="41"/>
                <c:pt idx="0" formatCode="0%">
                  <c:v>0.01</c:v>
                </c:pt>
                <c:pt idx="16" formatCode="0%">
                  <c:v>0.02</c:v>
                </c:pt>
                <c:pt idx="20" formatCode="0.0%">
                  <c:v>1.4999999999999999E-2</c:v>
                </c:pt>
                <c:pt idx="22" formatCode="0.0%">
                  <c:v>0.01</c:v>
                </c:pt>
                <c:pt idx="24" formatCode="0.0%">
                  <c:v>0.04</c:v>
                </c:pt>
                <c:pt idx="32" formatCode="0.0%">
                  <c:v>4.8000000000000001E-2</c:v>
                </c:pt>
                <c:pt idx="36" formatCode="0.0%">
                  <c:v>0.1</c:v>
                </c:pt>
                <c:pt idx="40" formatCode="0.0%">
                  <c:v>0.1</c:v>
                </c:pt>
              </c:numCache>
            </c:numRef>
          </c:val>
          <c:smooth val="0"/>
          <c:extLst xmlns:c16r2="http://schemas.microsoft.com/office/drawing/2015/06/chart">
            <c:ext xmlns:c16="http://schemas.microsoft.com/office/drawing/2014/chart" uri="{C3380CC4-5D6E-409C-BE32-E72D297353CC}">
              <c16:uniqueId val="{00000000-7850-4C23-BA7B-30E100CACF90}"/>
            </c:ext>
          </c:extLst>
        </c:ser>
        <c:ser>
          <c:idx val="3"/>
          <c:order val="1"/>
          <c:tx>
            <c:strRef>
              <c:f>Hárok1!$A$5</c:f>
              <c:strCache>
                <c:ptCount val="1"/>
                <c:pt idx="0">
                  <c:v>zdravotnícki pracovníci</c:v>
                </c:pt>
              </c:strCache>
            </c:strRef>
          </c:tx>
          <c:spPr>
            <a:ln w="28575" cap="rnd">
              <a:noFill/>
              <a:round/>
            </a:ln>
            <a:effectLst/>
          </c:spPr>
          <c:marker>
            <c:symbol val="circle"/>
            <c:size val="5"/>
            <c:spPr>
              <a:solidFill>
                <a:srgbClr val="002060"/>
              </a:solidFill>
              <a:ln w="9525">
                <a:noFill/>
              </a:ln>
              <a:effectLst/>
            </c:spPr>
          </c:marker>
          <c:cat>
            <c:strRef>
              <c:f>Hárok1!$B$1:$AP$1</c:f>
              <c:strCache>
                <c:ptCount val="41"/>
                <c:pt idx="0">
                  <c:v>1Q2010</c:v>
                </c:pt>
                <c:pt idx="4">
                  <c:v>1Q2011</c:v>
                </c:pt>
                <c:pt idx="8">
                  <c:v>1Q2012</c:v>
                </c:pt>
                <c:pt idx="12">
                  <c:v>1Q2013</c:v>
                </c:pt>
                <c:pt idx="16">
                  <c:v>1Q2014</c:v>
                </c:pt>
                <c:pt idx="20">
                  <c:v>1Q2015</c:v>
                </c:pt>
                <c:pt idx="24">
                  <c:v>1Q2016</c:v>
                </c:pt>
                <c:pt idx="28">
                  <c:v>1Q2017</c:v>
                </c:pt>
                <c:pt idx="32">
                  <c:v>1Q2018</c:v>
                </c:pt>
                <c:pt idx="36">
                  <c:v>1Q2019</c:v>
                </c:pt>
                <c:pt idx="40">
                  <c:v>1Q2020</c:v>
                </c:pt>
              </c:strCache>
            </c:strRef>
          </c:cat>
          <c:val>
            <c:numRef>
              <c:f>Hárok1!$B$5:$AP$5</c:f>
              <c:numCache>
                <c:formatCode>General</c:formatCode>
                <c:ptCount val="41"/>
                <c:pt idx="0" formatCode="0%">
                  <c:v>0.01</c:v>
                </c:pt>
                <c:pt idx="16" formatCode="0.0%">
                  <c:v>2.4E-2</c:v>
                </c:pt>
                <c:pt idx="20" formatCode="0.0%">
                  <c:v>2.4E-2</c:v>
                </c:pt>
                <c:pt idx="24" formatCode="0.0%">
                  <c:v>4.1000000000000002E-2</c:v>
                </c:pt>
                <c:pt idx="28" formatCode="0.0%">
                  <c:v>2.9000000000000001E-2</c:v>
                </c:pt>
                <c:pt idx="32" formatCode="0.0%">
                  <c:v>3.3000000000000002E-2</c:v>
                </c:pt>
                <c:pt idx="36" formatCode="0.0%">
                  <c:v>4.5999999999999999E-2</c:v>
                </c:pt>
              </c:numCache>
            </c:numRef>
          </c:val>
          <c:smooth val="0"/>
          <c:extLst xmlns:c16r2="http://schemas.microsoft.com/office/drawing/2015/06/chart">
            <c:ext xmlns:c16="http://schemas.microsoft.com/office/drawing/2014/chart" uri="{C3380CC4-5D6E-409C-BE32-E72D297353CC}">
              <c16:uniqueId val="{00000001-7850-4C23-BA7B-30E100CACF90}"/>
            </c:ext>
          </c:extLst>
        </c:ser>
        <c:ser>
          <c:idx val="4"/>
          <c:order val="2"/>
          <c:tx>
            <c:strRef>
              <c:f>Hárok1!$A$6</c:f>
              <c:strCache>
                <c:ptCount val="1"/>
                <c:pt idx="0">
                  <c:v>polícia+hasiči+HZZ</c:v>
                </c:pt>
              </c:strCache>
            </c:strRef>
          </c:tx>
          <c:spPr>
            <a:ln w="28575" cap="rnd">
              <a:noFill/>
              <a:round/>
            </a:ln>
            <a:effectLst/>
          </c:spPr>
          <c:marker>
            <c:symbol val="circle"/>
            <c:size val="5"/>
            <c:spPr>
              <a:solidFill>
                <a:schemeClr val="bg1">
                  <a:lumMod val="75000"/>
                </a:schemeClr>
              </a:solidFill>
              <a:ln w="9525">
                <a:noFill/>
              </a:ln>
              <a:effectLst/>
            </c:spPr>
          </c:marker>
          <c:cat>
            <c:strRef>
              <c:f>Hárok1!$B$1:$AP$1</c:f>
              <c:strCache>
                <c:ptCount val="41"/>
                <c:pt idx="0">
                  <c:v>1Q2010</c:v>
                </c:pt>
                <c:pt idx="4">
                  <c:v>1Q2011</c:v>
                </c:pt>
                <c:pt idx="8">
                  <c:v>1Q2012</c:v>
                </c:pt>
                <c:pt idx="12">
                  <c:v>1Q2013</c:v>
                </c:pt>
                <c:pt idx="16">
                  <c:v>1Q2014</c:v>
                </c:pt>
                <c:pt idx="20">
                  <c:v>1Q2015</c:v>
                </c:pt>
                <c:pt idx="24">
                  <c:v>1Q2016</c:v>
                </c:pt>
                <c:pt idx="28">
                  <c:v>1Q2017</c:v>
                </c:pt>
                <c:pt idx="32">
                  <c:v>1Q2018</c:v>
                </c:pt>
                <c:pt idx="36">
                  <c:v>1Q2019</c:v>
                </c:pt>
                <c:pt idx="40">
                  <c:v>1Q2020</c:v>
                </c:pt>
              </c:strCache>
            </c:strRef>
          </c:cat>
          <c:val>
            <c:numRef>
              <c:f>Hárok1!$B$6:$AP$6</c:f>
              <c:numCache>
                <c:formatCode>General</c:formatCode>
                <c:ptCount val="41"/>
                <c:pt idx="0" formatCode="0%">
                  <c:v>0.01</c:v>
                </c:pt>
                <c:pt idx="16" formatCode="0%">
                  <c:v>0.02</c:v>
                </c:pt>
                <c:pt idx="20" formatCode="0.0%">
                  <c:v>1.4999999999999999E-2</c:v>
                </c:pt>
                <c:pt idx="22" formatCode="0.0%">
                  <c:v>0.01</c:v>
                </c:pt>
                <c:pt idx="24" formatCode="0.0%">
                  <c:v>0.04</c:v>
                </c:pt>
                <c:pt idx="32" formatCode="0.0%">
                  <c:v>4.8000000000000001E-2</c:v>
                </c:pt>
                <c:pt idx="36" formatCode="0.0%">
                  <c:v>0.1</c:v>
                </c:pt>
                <c:pt idx="40" formatCode="0.0%">
                  <c:v>0.1</c:v>
                </c:pt>
              </c:numCache>
            </c:numRef>
          </c:val>
          <c:smooth val="0"/>
          <c:extLst xmlns:c16r2="http://schemas.microsoft.com/office/drawing/2015/06/chart">
            <c:ext xmlns:c16="http://schemas.microsoft.com/office/drawing/2014/chart" uri="{C3380CC4-5D6E-409C-BE32-E72D297353CC}">
              <c16:uniqueId val="{00000002-7850-4C23-BA7B-30E100CACF90}"/>
            </c:ext>
          </c:extLst>
        </c:ser>
        <c:ser>
          <c:idx val="2"/>
          <c:order val="3"/>
          <c:tx>
            <c:strRef>
              <c:f>Hárok1!$A$4</c:f>
              <c:strCache>
                <c:ptCount val="1"/>
                <c:pt idx="0">
                  <c:v>učitelia</c:v>
                </c:pt>
              </c:strCache>
            </c:strRef>
          </c:tx>
          <c:spPr>
            <a:ln w="28575" cap="rnd">
              <a:noFill/>
              <a:round/>
            </a:ln>
            <a:effectLst/>
          </c:spPr>
          <c:marker>
            <c:symbol val="triangle"/>
            <c:size val="10"/>
            <c:spPr>
              <a:noFill/>
              <a:ln w="9525">
                <a:solidFill>
                  <a:sysClr val="windowText" lastClr="000000"/>
                </a:solidFill>
              </a:ln>
              <a:effectLst/>
            </c:spPr>
          </c:marker>
          <c:cat>
            <c:strRef>
              <c:f>Hárok1!$B$1:$AP$1</c:f>
              <c:strCache>
                <c:ptCount val="41"/>
                <c:pt idx="0">
                  <c:v>1Q2010</c:v>
                </c:pt>
                <c:pt idx="4">
                  <c:v>1Q2011</c:v>
                </c:pt>
                <c:pt idx="8">
                  <c:v>1Q2012</c:v>
                </c:pt>
                <c:pt idx="12">
                  <c:v>1Q2013</c:v>
                </c:pt>
                <c:pt idx="16">
                  <c:v>1Q2014</c:v>
                </c:pt>
                <c:pt idx="20">
                  <c:v>1Q2015</c:v>
                </c:pt>
                <c:pt idx="24">
                  <c:v>1Q2016</c:v>
                </c:pt>
                <c:pt idx="28">
                  <c:v>1Q2017</c:v>
                </c:pt>
                <c:pt idx="32">
                  <c:v>1Q2018</c:v>
                </c:pt>
                <c:pt idx="36">
                  <c:v>1Q2019</c:v>
                </c:pt>
                <c:pt idx="40">
                  <c:v>1Q2020</c:v>
                </c:pt>
              </c:strCache>
            </c:strRef>
          </c:cat>
          <c:val>
            <c:numRef>
              <c:f>Hárok1!$B$4:$AP$4</c:f>
              <c:numCache>
                <c:formatCode>General</c:formatCode>
                <c:ptCount val="41"/>
                <c:pt idx="0" formatCode="0%">
                  <c:v>0.01</c:v>
                </c:pt>
                <c:pt idx="12" formatCode="0%">
                  <c:v>0.05</c:v>
                </c:pt>
                <c:pt idx="24" formatCode="0.0%">
                  <c:v>0.06</c:v>
                </c:pt>
                <c:pt idx="26" formatCode="0.0%">
                  <c:v>0.06</c:v>
                </c:pt>
                <c:pt idx="30" formatCode="0.0%">
                  <c:v>0.06</c:v>
                </c:pt>
                <c:pt idx="36" formatCode="0.0%">
                  <c:v>0.1</c:v>
                </c:pt>
                <c:pt idx="40" formatCode="0.0%">
                  <c:v>0.1</c:v>
                </c:pt>
              </c:numCache>
            </c:numRef>
          </c:val>
          <c:smooth val="0"/>
          <c:extLst xmlns:c16r2="http://schemas.microsoft.com/office/drawing/2015/06/chart">
            <c:ext xmlns:c16="http://schemas.microsoft.com/office/drawing/2014/chart" uri="{C3380CC4-5D6E-409C-BE32-E72D297353CC}">
              <c16:uniqueId val="{00000003-7850-4C23-BA7B-30E100CACF90}"/>
            </c:ext>
          </c:extLst>
        </c:ser>
        <c:ser>
          <c:idx val="1"/>
          <c:order val="4"/>
          <c:tx>
            <c:strRef>
              <c:f>Hárok1!$A$7</c:f>
              <c:strCache>
                <c:ptCount val="1"/>
                <c:pt idx="0">
                  <c:v>rast priemernej mzdy</c:v>
                </c:pt>
              </c:strCache>
            </c:strRef>
          </c:tx>
          <c:spPr>
            <a:ln w="28575" cap="rnd">
              <a:solidFill>
                <a:schemeClr val="bg1">
                  <a:lumMod val="75000"/>
                </a:schemeClr>
              </a:solidFill>
              <a:round/>
            </a:ln>
            <a:effectLst/>
          </c:spPr>
          <c:marker>
            <c:symbol val="none"/>
          </c:marker>
          <c:cat>
            <c:strRef>
              <c:f>Hárok1!$B$1:$AP$1</c:f>
              <c:strCache>
                <c:ptCount val="41"/>
                <c:pt idx="0">
                  <c:v>1Q2010</c:v>
                </c:pt>
                <c:pt idx="4">
                  <c:v>1Q2011</c:v>
                </c:pt>
                <c:pt idx="8">
                  <c:v>1Q2012</c:v>
                </c:pt>
                <c:pt idx="12">
                  <c:v>1Q2013</c:v>
                </c:pt>
                <c:pt idx="16">
                  <c:v>1Q2014</c:v>
                </c:pt>
                <c:pt idx="20">
                  <c:v>1Q2015</c:v>
                </c:pt>
                <c:pt idx="24">
                  <c:v>1Q2016</c:v>
                </c:pt>
                <c:pt idx="28">
                  <c:v>1Q2017</c:v>
                </c:pt>
                <c:pt idx="32">
                  <c:v>1Q2018</c:v>
                </c:pt>
                <c:pt idx="36">
                  <c:v>1Q2019</c:v>
                </c:pt>
                <c:pt idx="40">
                  <c:v>1Q2020</c:v>
                </c:pt>
              </c:strCache>
            </c:strRef>
          </c:cat>
          <c:val>
            <c:numRef>
              <c:f>Hárok1!$B$7:$AI$7</c:f>
              <c:numCache>
                <c:formatCode>0.0%</c:formatCode>
                <c:ptCount val="34"/>
                <c:pt idx="0">
                  <c:v>2.0999999999999942E-2</c:v>
                </c:pt>
                <c:pt idx="1">
                  <c:v>3.5999999999999942E-2</c:v>
                </c:pt>
                <c:pt idx="2">
                  <c:v>3.7000000000000026E-2</c:v>
                </c:pt>
                <c:pt idx="3">
                  <c:v>3.7999999999999971E-2</c:v>
                </c:pt>
                <c:pt idx="4">
                  <c:v>2.9000000000000057E-2</c:v>
                </c:pt>
                <c:pt idx="5">
                  <c:v>0.03</c:v>
                </c:pt>
                <c:pt idx="6">
                  <c:v>2.5000000000000001E-2</c:v>
                </c:pt>
                <c:pt idx="7">
                  <c:v>5.0000000000000001E-3</c:v>
                </c:pt>
                <c:pt idx="8">
                  <c:v>3.2000000000000028E-2</c:v>
                </c:pt>
                <c:pt idx="9">
                  <c:v>1.4999999999999999E-2</c:v>
                </c:pt>
                <c:pt idx="10">
                  <c:v>0.02</c:v>
                </c:pt>
                <c:pt idx="11">
                  <c:v>3.2000000000000028E-2</c:v>
                </c:pt>
                <c:pt idx="12">
                  <c:v>2.5000000000000001E-2</c:v>
                </c:pt>
                <c:pt idx="13">
                  <c:v>3.2000000000000001E-2</c:v>
                </c:pt>
                <c:pt idx="14">
                  <c:v>2.4E-2</c:v>
                </c:pt>
                <c:pt idx="15">
                  <c:v>1.4E-2</c:v>
                </c:pt>
                <c:pt idx="16">
                  <c:v>4.1000000000000002E-2</c:v>
                </c:pt>
                <c:pt idx="17">
                  <c:v>4.8000000000000001E-2</c:v>
                </c:pt>
                <c:pt idx="18">
                  <c:v>4.2000000000000003E-2</c:v>
                </c:pt>
                <c:pt idx="19">
                  <c:v>3.5000000000000003E-2</c:v>
                </c:pt>
                <c:pt idx="20">
                  <c:v>2.2000000000000002E-2</c:v>
                </c:pt>
                <c:pt idx="21">
                  <c:v>2.3E-2</c:v>
                </c:pt>
                <c:pt idx="22">
                  <c:v>2.8999999999999998E-2</c:v>
                </c:pt>
                <c:pt idx="23">
                  <c:v>4.1000000000000002E-2</c:v>
                </c:pt>
                <c:pt idx="24">
                  <c:v>3.3000000000000002E-2</c:v>
                </c:pt>
                <c:pt idx="25">
                  <c:v>2.7E-2</c:v>
                </c:pt>
                <c:pt idx="26">
                  <c:v>3.3000000000000002E-2</c:v>
                </c:pt>
                <c:pt idx="27">
                  <c:v>3.5999999999999997E-2</c:v>
                </c:pt>
                <c:pt idx="28">
                  <c:v>3.5000000000000003E-2</c:v>
                </c:pt>
                <c:pt idx="29">
                  <c:v>4.8000000000000001E-2</c:v>
                </c:pt>
                <c:pt idx="30">
                  <c:v>5.2000000000000005E-2</c:v>
                </c:pt>
                <c:pt idx="31">
                  <c:v>5.1999999999999998E-2</c:v>
                </c:pt>
                <c:pt idx="32">
                  <c:v>6.5000000000000002E-2</c:v>
                </c:pt>
                <c:pt idx="33">
                  <c:v>6.4000000000000001E-2</c:v>
                </c:pt>
              </c:numCache>
            </c:numRef>
          </c:val>
          <c:smooth val="0"/>
          <c:extLst xmlns:c16r2="http://schemas.microsoft.com/office/drawing/2015/06/chart">
            <c:ext xmlns:c16="http://schemas.microsoft.com/office/drawing/2014/chart" uri="{C3380CC4-5D6E-409C-BE32-E72D297353CC}">
              <c16:uniqueId val="{00000004-7850-4C23-BA7B-30E100CACF90}"/>
            </c:ext>
          </c:extLst>
        </c:ser>
        <c:dLbls>
          <c:showLegendKey val="0"/>
          <c:showVal val="0"/>
          <c:showCatName val="0"/>
          <c:showSerName val="0"/>
          <c:showPercent val="0"/>
          <c:showBubbleSize val="0"/>
        </c:dLbls>
        <c:marker val="1"/>
        <c:smooth val="0"/>
        <c:axId val="225098728"/>
        <c:axId val="225099120"/>
      </c:lineChart>
      <c:catAx>
        <c:axId val="22509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099120"/>
        <c:crosses val="autoZero"/>
        <c:auto val="1"/>
        <c:lblAlgn val="ctr"/>
        <c:lblOffset val="100"/>
        <c:noMultiLvlLbl val="0"/>
      </c:catAx>
      <c:valAx>
        <c:axId val="225099120"/>
        <c:scaling>
          <c:orientation val="minMax"/>
          <c:max val="0.1"/>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098728"/>
        <c:crosses val="autoZero"/>
        <c:crossBetween val="between"/>
        <c:majorUnit val="2.0000000000000004E-2"/>
      </c:valAx>
      <c:spPr>
        <a:noFill/>
        <a:ln>
          <a:noFill/>
        </a:ln>
        <a:effectLst/>
      </c:spPr>
    </c:plotArea>
    <c:legend>
      <c:legendPos val="b"/>
      <c:layout>
        <c:manualLayout>
          <c:xMode val="edge"/>
          <c:yMode val="edge"/>
          <c:x val="0.13920779783242801"/>
          <c:y val="4.8866088930836674E-2"/>
          <c:w val="0.65973294093705481"/>
          <c:h val="0.27636442238517334"/>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42121203291151E-2"/>
          <c:y val="3.9249636573862136E-2"/>
          <c:w val="0.91502315051481242"/>
          <c:h val="0.91850794206351871"/>
        </c:manualLayout>
      </c:layout>
      <c:lineChart>
        <c:grouping val="standard"/>
        <c:varyColors val="0"/>
        <c:ser>
          <c:idx val="4"/>
          <c:order val="0"/>
          <c:tx>
            <c:strRef>
              <c:f>Priemerky!$C$33</c:f>
              <c:strCache>
                <c:ptCount val="1"/>
                <c:pt idx="0">
                  <c:v>učitelia RŠ</c:v>
                </c:pt>
              </c:strCache>
            </c:strRef>
          </c:tx>
          <c:spPr>
            <a:ln w="28575" cap="rnd">
              <a:solidFill>
                <a:schemeClr val="accent5"/>
              </a:solidFill>
              <a:round/>
            </a:ln>
            <a:effectLst/>
          </c:spPr>
          <c:marker>
            <c:symbol val="none"/>
          </c:marker>
          <c:cat>
            <c:numRef>
              <c:f>Priemerky!$D$28:$L$28</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Priemerky!$D$33:$L$33</c:f>
              <c:numCache>
                <c:formatCode>#\ ##0.0000</c:formatCode>
                <c:ptCount val="9"/>
                <c:pt idx="0">
                  <c:v>0.60300828949098306</c:v>
                </c:pt>
                <c:pt idx="1">
                  <c:v>0.59316323671788762</c:v>
                </c:pt>
                <c:pt idx="2">
                  <c:v>0.61369995328014471</c:v>
                </c:pt>
                <c:pt idx="3">
                  <c:v>0.63882191569827773</c:v>
                </c:pt>
                <c:pt idx="4">
                  <c:v>0.64998617571336736</c:v>
                </c:pt>
                <c:pt idx="5">
                  <c:v>0.65926293973403161</c:v>
                </c:pt>
                <c:pt idx="6">
                  <c:v>0.66944115125146719</c:v>
                </c:pt>
                <c:pt idx="7">
                  <c:v>0.68669225847728721</c:v>
                </c:pt>
                <c:pt idx="8">
                  <c:v>0.68222425350396099</c:v>
                </c:pt>
              </c:numCache>
            </c:numRef>
          </c:val>
          <c:smooth val="0"/>
        </c:ser>
        <c:ser>
          <c:idx val="11"/>
          <c:order val="1"/>
          <c:tx>
            <c:strRef>
              <c:f>Priemerky!$C$44</c:f>
              <c:strCache>
                <c:ptCount val="1"/>
                <c:pt idx="0">
                  <c:v>učitelia VŠ</c:v>
                </c:pt>
              </c:strCache>
            </c:strRef>
          </c:tx>
          <c:spPr>
            <a:ln w="28575" cap="rnd">
              <a:solidFill>
                <a:schemeClr val="tx1"/>
              </a:solidFill>
              <a:prstDash val="sysDot"/>
              <a:round/>
            </a:ln>
            <a:effectLst/>
          </c:spPr>
          <c:marker>
            <c:symbol val="none"/>
          </c:marker>
          <c:cat>
            <c:numRef>
              <c:f>Priemerky!$D$28:$L$28</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Priemerky!$D$44:$L$44</c:f>
              <c:numCache>
                <c:formatCode>#\ ##0.0000</c:formatCode>
                <c:ptCount val="9"/>
                <c:pt idx="0">
                  <c:v>0.90909451945988873</c:v>
                </c:pt>
                <c:pt idx="1">
                  <c:v>0.90492175273865416</c:v>
                </c:pt>
                <c:pt idx="2">
                  <c:v>0.92283054552887323</c:v>
                </c:pt>
                <c:pt idx="3">
                  <c:v>0.93552967693463562</c:v>
                </c:pt>
                <c:pt idx="4">
                  <c:v>0.94677693970144627</c:v>
                </c:pt>
                <c:pt idx="5">
                  <c:v>0.92439409528739069</c:v>
                </c:pt>
                <c:pt idx="6">
                  <c:v>0.95542410628145935</c:v>
                </c:pt>
                <c:pt idx="7">
                  <c:v>0.96839326556524463</c:v>
                </c:pt>
                <c:pt idx="8">
                  <c:v>0.97257769652650827</c:v>
                </c:pt>
              </c:numCache>
            </c:numRef>
          </c:val>
          <c:smooth val="0"/>
        </c:ser>
        <c:ser>
          <c:idx val="8"/>
          <c:order val="2"/>
          <c:tx>
            <c:strRef>
              <c:f>Priemerky!$C$41</c:f>
              <c:strCache>
                <c:ptCount val="1"/>
                <c:pt idx="0">
                  <c:v>lekári</c:v>
                </c:pt>
              </c:strCache>
            </c:strRef>
          </c:tx>
          <c:spPr>
            <a:ln w="28575" cap="rnd">
              <a:solidFill>
                <a:schemeClr val="accent3">
                  <a:lumMod val="60000"/>
                </a:schemeClr>
              </a:solidFill>
              <a:round/>
            </a:ln>
            <a:effectLst/>
          </c:spPr>
          <c:marker>
            <c:symbol val="none"/>
          </c:marker>
          <c:cat>
            <c:numRef>
              <c:f>Priemerky!$D$28:$L$28</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Priemerky!$D$41:$L$41</c:f>
              <c:numCache>
                <c:formatCode>#\ ##0.0000</c:formatCode>
                <c:ptCount val="9"/>
                <c:pt idx="0">
                  <c:v>1.3232644956314537</c:v>
                </c:pt>
                <c:pt idx="1">
                  <c:v>1.2994757433489827</c:v>
                </c:pt>
                <c:pt idx="2">
                  <c:v>1.5168437259430332</c:v>
                </c:pt>
                <c:pt idx="3">
                  <c:v>1.56954169797145</c:v>
                </c:pt>
                <c:pt idx="4">
                  <c:v>1.5885826771653544</c:v>
                </c:pt>
                <c:pt idx="5">
                  <c:v>1.6540124309392266</c:v>
                </c:pt>
                <c:pt idx="6">
                  <c:v>1.6641821808510637</c:v>
                </c:pt>
                <c:pt idx="7">
                  <c:v>1.6596353166986566</c:v>
                </c:pt>
                <c:pt idx="8">
                  <c:v>1.650292504570384</c:v>
                </c:pt>
              </c:numCache>
            </c:numRef>
          </c:val>
          <c:smooth val="0"/>
        </c:ser>
        <c:ser>
          <c:idx val="9"/>
          <c:order val="3"/>
          <c:tx>
            <c:strRef>
              <c:f>Priemerky!$C$42</c:f>
              <c:strCache>
                <c:ptCount val="1"/>
                <c:pt idx="0">
                  <c:v>zdravotné sestry</c:v>
                </c:pt>
              </c:strCache>
            </c:strRef>
          </c:tx>
          <c:spPr>
            <a:ln w="28575" cap="rnd">
              <a:solidFill>
                <a:schemeClr val="accent1">
                  <a:lumMod val="50000"/>
                </a:schemeClr>
              </a:solidFill>
              <a:prstDash val="sysDot"/>
              <a:round/>
            </a:ln>
            <a:effectLst/>
          </c:spPr>
          <c:marker>
            <c:symbol val="none"/>
          </c:marker>
          <c:cat>
            <c:numRef>
              <c:f>Priemerky!$D$28:$L$28</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Priemerky!$D$42:$L$42</c:f>
              <c:numCache>
                <c:formatCode>#\ ##0.0000</c:formatCode>
                <c:ptCount val="9"/>
                <c:pt idx="0">
                  <c:v>0.61217633042096908</c:v>
                </c:pt>
                <c:pt idx="1">
                  <c:v>0.60890453834115799</c:v>
                </c:pt>
                <c:pt idx="2">
                  <c:v>0.67642802155504234</c:v>
                </c:pt>
                <c:pt idx="3">
                  <c:v>0.68728775356874527</c:v>
                </c:pt>
                <c:pt idx="4">
                  <c:v>0.66480314960629927</c:v>
                </c:pt>
                <c:pt idx="5">
                  <c:v>0.68862569060773482</c:v>
                </c:pt>
                <c:pt idx="6">
                  <c:v>0.70920212765957458</c:v>
                </c:pt>
                <c:pt idx="7">
                  <c:v>0.70692258477287273</c:v>
                </c:pt>
                <c:pt idx="8">
                  <c:v>0.71985984156002436</c:v>
                </c:pt>
              </c:numCache>
            </c:numRef>
          </c:val>
          <c:smooth val="0"/>
        </c:ser>
        <c:ser>
          <c:idx val="0"/>
          <c:order val="4"/>
          <c:tx>
            <c:strRef>
              <c:f>Priemerky!$C$29</c:f>
              <c:strCache>
                <c:ptCount val="1"/>
                <c:pt idx="0">
                  <c:v>policajti</c:v>
                </c:pt>
              </c:strCache>
            </c:strRef>
          </c:tx>
          <c:spPr>
            <a:ln w="28575" cap="rnd">
              <a:solidFill>
                <a:srgbClr val="002060"/>
              </a:solidFill>
              <a:prstDash val="dash"/>
              <a:round/>
            </a:ln>
            <a:effectLst/>
          </c:spPr>
          <c:marker>
            <c:symbol val="none"/>
          </c:marker>
          <c:cat>
            <c:numRef>
              <c:f>Priemerky!$D$28:$L$28</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Priemerky!$D$29:$L$29</c:f>
              <c:numCache>
                <c:formatCode>#\ ##0.0000</c:formatCode>
                <c:ptCount val="9"/>
                <c:pt idx="0">
                  <c:v>0.99790339212703827</c:v>
                </c:pt>
                <c:pt idx="1">
                  <c:v>0.95773539608884228</c:v>
                </c:pt>
                <c:pt idx="2">
                  <c:v>0.94874720837477133</c:v>
                </c:pt>
                <c:pt idx="3">
                  <c:v>0.9146563950304536</c:v>
                </c:pt>
                <c:pt idx="4">
                  <c:v>0.91441213909119134</c:v>
                </c:pt>
                <c:pt idx="5">
                  <c:v>0.91952284918943927</c:v>
                </c:pt>
                <c:pt idx="6">
                  <c:v>0.94060371602195203</c:v>
                </c:pt>
                <c:pt idx="7">
                  <c:v>0.94729350092060183</c:v>
                </c:pt>
                <c:pt idx="8">
                  <c:v>0.97727605118829985</c:v>
                </c:pt>
              </c:numCache>
            </c:numRef>
          </c:val>
          <c:smooth val="0"/>
        </c:ser>
        <c:ser>
          <c:idx val="1"/>
          <c:order val="5"/>
          <c:tx>
            <c:strRef>
              <c:f>Priemerky!$C$30</c:f>
              <c:strCache>
                <c:ptCount val="1"/>
                <c:pt idx="0">
                  <c:v>vojaci</c:v>
                </c:pt>
              </c:strCache>
            </c:strRef>
          </c:tx>
          <c:spPr>
            <a:ln w="28575" cap="rnd">
              <a:solidFill>
                <a:srgbClr val="00B0F0"/>
              </a:solidFill>
              <a:round/>
            </a:ln>
            <a:effectLst/>
          </c:spPr>
          <c:marker>
            <c:symbol val="none"/>
          </c:marker>
          <c:cat>
            <c:numRef>
              <c:f>Priemerky!$D$28:$L$28</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Priemerky!$D$30:$L$30</c:f>
              <c:numCache>
                <c:formatCode>#\ ##0.0000</c:formatCode>
                <c:ptCount val="9"/>
                <c:pt idx="0">
                  <c:v>0.91416345217720485</c:v>
                </c:pt>
                <c:pt idx="1">
                  <c:v>0.9042879574748337</c:v>
                </c:pt>
                <c:pt idx="2">
                  <c:v>0.89002773332582918</c:v>
                </c:pt>
                <c:pt idx="3">
                  <c:v>0.87551160436694875</c:v>
                </c:pt>
                <c:pt idx="4">
                  <c:v>0.85830269459816277</c:v>
                </c:pt>
                <c:pt idx="5">
                  <c:v>0.8002238386340208</c:v>
                </c:pt>
                <c:pt idx="6">
                  <c:v>0.84097769780880838</c:v>
                </c:pt>
                <c:pt idx="7">
                  <c:v>0.85087069205537025</c:v>
                </c:pt>
                <c:pt idx="8">
                  <c:v>0.92117001828153566</c:v>
                </c:pt>
              </c:numCache>
            </c:numRef>
          </c:val>
          <c:smooth val="0"/>
        </c:ser>
        <c:ser>
          <c:idx val="2"/>
          <c:order val="6"/>
          <c:tx>
            <c:strRef>
              <c:f>Priemerky!$C$31</c:f>
              <c:strCache>
                <c:ptCount val="1"/>
                <c:pt idx="0">
                  <c:v>hasiči</c:v>
                </c:pt>
              </c:strCache>
            </c:strRef>
          </c:tx>
          <c:spPr>
            <a:ln w="28575" cap="rnd">
              <a:solidFill>
                <a:schemeClr val="accent3"/>
              </a:solidFill>
              <a:round/>
            </a:ln>
            <a:effectLst/>
          </c:spPr>
          <c:marker>
            <c:symbol val="none"/>
          </c:marker>
          <c:cat>
            <c:numRef>
              <c:f>Priemerky!$D$28:$L$28</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Priemerky!$D$31:$L$31</c:f>
              <c:numCache>
                <c:formatCode>#\ ##0.0000</c:formatCode>
                <c:ptCount val="9"/>
                <c:pt idx="0">
                  <c:v>0.88487592269193183</c:v>
                </c:pt>
                <c:pt idx="1">
                  <c:v>0.82505781655831156</c:v>
                </c:pt>
                <c:pt idx="2">
                  <c:v>0.83523002247709321</c:v>
                </c:pt>
                <c:pt idx="3">
                  <c:v>0.80662220301527121</c:v>
                </c:pt>
                <c:pt idx="4">
                  <c:v>0.79401999304374382</c:v>
                </c:pt>
                <c:pt idx="5">
                  <c:v>0.82491712332695211</c:v>
                </c:pt>
                <c:pt idx="6">
                  <c:v>0.83612638351852375</c:v>
                </c:pt>
                <c:pt idx="7">
                  <c:v>0.8578362756315091</c:v>
                </c:pt>
                <c:pt idx="8">
                  <c:v>0.88599634369287028</c:v>
                </c:pt>
              </c:numCache>
            </c:numRef>
          </c:val>
          <c:smooth val="0"/>
        </c:ser>
        <c:ser>
          <c:idx val="3"/>
          <c:order val="7"/>
          <c:tx>
            <c:strRef>
              <c:f>Priemerky!$C$32</c:f>
              <c:strCache>
                <c:ptCount val="1"/>
                <c:pt idx="0">
                  <c:v>colníci</c:v>
                </c:pt>
              </c:strCache>
            </c:strRef>
          </c:tx>
          <c:spPr>
            <a:ln w="28575" cap="rnd">
              <a:solidFill>
                <a:schemeClr val="bg1">
                  <a:lumMod val="50000"/>
                </a:schemeClr>
              </a:solidFill>
              <a:prstDash val="sysDash"/>
              <a:round/>
            </a:ln>
            <a:effectLst/>
          </c:spPr>
          <c:marker>
            <c:symbol val="none"/>
          </c:marker>
          <c:cat>
            <c:numRef>
              <c:f>Priemerky!$D$28:$L$28</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Priemerky!$D$32:$L$32</c:f>
              <c:numCache>
                <c:formatCode>#\ ##0.0000</c:formatCode>
                <c:ptCount val="9"/>
                <c:pt idx="0">
                  <c:v>0.88098654998209225</c:v>
                </c:pt>
                <c:pt idx="1">
                  <c:v>0.85544313676599337</c:v>
                </c:pt>
                <c:pt idx="2">
                  <c:v>0.85418934934005497</c:v>
                </c:pt>
                <c:pt idx="3">
                  <c:v>0.87055257457051027</c:v>
                </c:pt>
                <c:pt idx="4">
                  <c:v>0.85753972028130943</c:v>
                </c:pt>
                <c:pt idx="5">
                  <c:v>0.84823858651634731</c:v>
                </c:pt>
                <c:pt idx="6">
                  <c:v>0.85858865248226957</c:v>
                </c:pt>
                <c:pt idx="7">
                  <c:v>0.8687123381508457</c:v>
                </c:pt>
                <c:pt idx="8">
                  <c:v>0.90823278488726389</c:v>
                </c:pt>
              </c:numCache>
            </c:numRef>
          </c:val>
          <c:smooth val="0"/>
        </c:ser>
        <c:ser>
          <c:idx val="6"/>
          <c:order val="9"/>
          <c:tx>
            <c:strRef>
              <c:f>Priemerky!$C$35</c:f>
              <c:strCache>
                <c:ptCount val="1"/>
                <c:pt idx="0">
                  <c:v>štátna služba</c:v>
                </c:pt>
              </c:strCache>
            </c:strRef>
          </c:tx>
          <c:spPr>
            <a:ln w="28575" cap="rnd">
              <a:solidFill>
                <a:schemeClr val="accent1">
                  <a:lumMod val="60000"/>
                </a:schemeClr>
              </a:solidFill>
              <a:round/>
            </a:ln>
            <a:effectLst/>
          </c:spPr>
          <c:marker>
            <c:symbol val="none"/>
          </c:marker>
          <c:cat>
            <c:numRef>
              <c:f>Priemerky!$D$28:$L$28</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Priemerky!$D$35:$L$35</c:f>
              <c:numCache>
                <c:formatCode>#\ ##0.0000</c:formatCode>
                <c:ptCount val="9"/>
                <c:pt idx="0">
                  <c:v>0.76103922561629822</c:v>
                </c:pt>
                <c:pt idx="1">
                  <c:v>0.7459506330303084</c:v>
                </c:pt>
                <c:pt idx="2">
                  <c:v>0.74582154159727709</c:v>
                </c:pt>
                <c:pt idx="3">
                  <c:v>0.74248949750907123</c:v>
                </c:pt>
                <c:pt idx="4">
                  <c:v>0.73267657597383318</c:v>
                </c:pt>
                <c:pt idx="5">
                  <c:v>0.74379977324394897</c:v>
                </c:pt>
                <c:pt idx="6">
                  <c:v>0.76193446018886968</c:v>
                </c:pt>
                <c:pt idx="7">
                  <c:v>0.77511249428554996</c:v>
                </c:pt>
                <c:pt idx="8">
                  <c:v>0.79951858622790983</c:v>
                </c:pt>
              </c:numCache>
            </c:numRef>
          </c:val>
          <c:smooth val="0"/>
        </c:ser>
        <c:ser>
          <c:idx val="7"/>
          <c:order val="10"/>
          <c:tx>
            <c:strRef>
              <c:f>Priemerky!$C$40</c:f>
              <c:strCache>
                <c:ptCount val="1"/>
                <c:pt idx="0">
                  <c:v>SŠ vzdelaní zamestnanci</c:v>
                </c:pt>
              </c:strCache>
            </c:strRef>
          </c:tx>
          <c:spPr>
            <a:ln w="28575" cap="rnd">
              <a:solidFill>
                <a:sysClr val="windowText" lastClr="000000"/>
              </a:solidFill>
              <a:round/>
            </a:ln>
            <a:effectLst/>
          </c:spPr>
          <c:marker>
            <c:symbol val="none"/>
          </c:marker>
          <c:cat>
            <c:numRef>
              <c:f>Priemerky!$D$28:$L$28</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Priemerky!$D$40:$L$40</c:f>
              <c:numCache>
                <c:formatCode>#\ ##0.0000</c:formatCode>
                <c:ptCount val="9"/>
                <c:pt idx="0">
                  <c:v>0.62589356632247817</c:v>
                </c:pt>
                <c:pt idx="1">
                  <c:v>0.63693270735524254</c:v>
                </c:pt>
                <c:pt idx="2">
                  <c:v>0.64742109314857588</c:v>
                </c:pt>
                <c:pt idx="3">
                  <c:v>0.64988730277986473</c:v>
                </c:pt>
                <c:pt idx="4">
                  <c:v>0.65068002863278451</c:v>
                </c:pt>
                <c:pt idx="5">
                  <c:v>0.64848066298342544</c:v>
                </c:pt>
                <c:pt idx="6">
                  <c:v>0.65558510638297873</c:v>
                </c:pt>
                <c:pt idx="7">
                  <c:v>0.66282789507357642</c:v>
                </c:pt>
                <c:pt idx="8">
                  <c:v>0.67763558805606339</c:v>
                </c:pt>
              </c:numCache>
            </c:numRef>
          </c:val>
          <c:smooth val="0"/>
        </c:ser>
        <c:dLbls>
          <c:showLegendKey val="0"/>
          <c:showVal val="0"/>
          <c:showCatName val="0"/>
          <c:showSerName val="0"/>
          <c:showPercent val="0"/>
          <c:showBubbleSize val="0"/>
        </c:dLbls>
        <c:smooth val="0"/>
        <c:axId val="224348976"/>
        <c:axId val="224349368"/>
        <c:extLst>
          <c:ext xmlns:c15="http://schemas.microsoft.com/office/drawing/2012/chart" uri="{02D57815-91ED-43cb-92C2-25804820EDAC}">
            <c15:filteredLineSeries>
              <c15:ser>
                <c:idx val="5"/>
                <c:order val="8"/>
                <c:tx>
                  <c:strRef>
                    <c:extLst>
                      <c:ext uri="{02D57815-91ED-43cb-92C2-25804820EDAC}">
                        <c15:formulaRef>
                          <c15:sqref>Priemerky!$C$34</c15:sqref>
                        </c15:formulaRef>
                      </c:ext>
                    </c:extLst>
                    <c:strCache>
                      <c:ptCount val="1"/>
                      <c:pt idx="0">
                        <c:v>zdravotnícki pracovníci</c:v>
                      </c:pt>
                    </c:strCache>
                  </c:strRef>
                </c:tx>
                <c:spPr>
                  <a:ln w="28575" cap="rnd">
                    <a:solidFill>
                      <a:srgbClr val="00B0F0"/>
                    </a:solidFill>
                    <a:prstDash val="sysDot"/>
                    <a:round/>
                  </a:ln>
                  <a:effectLst/>
                </c:spPr>
                <c:marker>
                  <c:symbol val="none"/>
                </c:marker>
                <c:cat>
                  <c:numRef>
                    <c:extLst>
                      <c:ext uri="{02D57815-91ED-43cb-92C2-25804820EDAC}">
                        <c15:formulaRef>
                          <c15:sqref>Priemerky!$D$28:$L$28</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c:ext uri="{02D57815-91ED-43cb-92C2-25804820EDAC}">
                        <c15:formulaRef>
                          <c15:sqref>Priemerky!$D$34:$L$34</c15:sqref>
                        </c15:formulaRef>
                      </c:ext>
                    </c:extLst>
                    <c:numCache>
                      <c:formatCode>#\ ##0.0000</c:formatCode>
                      <c:ptCount val="9"/>
                      <c:pt idx="0">
                        <c:v>0.72131850675138998</c:v>
                      </c:pt>
                      <c:pt idx="1">
                        <c:v>0.71582942097026603</c:v>
                      </c:pt>
                      <c:pt idx="2">
                        <c:v>0.80023094688221708</c:v>
                      </c:pt>
                      <c:pt idx="3">
                        <c:v>0.81891059353869278</c:v>
                      </c:pt>
                      <c:pt idx="4">
                        <c:v>0.81055118110236213</c:v>
                      </c:pt>
                      <c:pt idx="5">
                        <c:v>0.84323204419889508</c:v>
                      </c:pt>
                      <c:pt idx="6">
                        <c:v>0.8703789893617021</c:v>
                      </c:pt>
                      <c:pt idx="7">
                        <c:v>0.86925783749200258</c:v>
                      </c:pt>
                      <c:pt idx="8">
                        <c:v>0.8799512492382694</c:v>
                      </c:pt>
                    </c:numCache>
                  </c:numRef>
                </c:val>
                <c:smooth val="0"/>
              </c15:ser>
            </c15:filteredLineSeries>
            <c15:filteredLineSeries>
              <c15:ser>
                <c:idx val="10"/>
                <c:order val="11"/>
                <c:tx>
                  <c:strRef>
                    <c:extLst xmlns:c15="http://schemas.microsoft.com/office/drawing/2012/chart">
                      <c:ext xmlns:c15="http://schemas.microsoft.com/office/drawing/2012/chart" uri="{02D57815-91ED-43cb-92C2-25804820EDAC}">
                        <c15:formulaRef>
                          <c15:sqref>Priemerky!$C$43</c15:sqref>
                        </c15:formulaRef>
                      </c:ext>
                    </c:extLst>
                    <c:strCache>
                      <c:ptCount val="1"/>
                      <c:pt idx="0">
                        <c:v>obce a VÚC bez škol. a zdrav.</c:v>
                      </c:pt>
                    </c:strCache>
                  </c:strRef>
                </c:tx>
                <c:spPr>
                  <a:ln w="28575" cap="rnd">
                    <a:solidFill>
                      <a:schemeClr val="bg1">
                        <a:lumMod val="75000"/>
                      </a:schemeClr>
                    </a:solidFill>
                    <a:prstDash val="dashDot"/>
                    <a:round/>
                  </a:ln>
                  <a:effectLst/>
                </c:spPr>
                <c:marker>
                  <c:symbol val="none"/>
                </c:marker>
                <c:cat>
                  <c:numRef>
                    <c:extLst xmlns:c15="http://schemas.microsoft.com/office/drawing/2012/chart">
                      <c:ext xmlns:c15="http://schemas.microsoft.com/office/drawing/2012/chart" uri="{02D57815-91ED-43cb-92C2-25804820EDAC}">
                        <c15:formulaRef>
                          <c15:sqref>Priemerky!$D$28:$L$28</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xmlns:c15="http://schemas.microsoft.com/office/drawing/2012/chart">
                      <c:ext xmlns:c15="http://schemas.microsoft.com/office/drawing/2012/chart" uri="{02D57815-91ED-43cb-92C2-25804820EDAC}">
                        <c15:formulaRef>
                          <c15:sqref>Priemerky!$D$43:$L$43</c15:sqref>
                        </c15:formulaRef>
                      </c:ext>
                    </c:extLst>
                    <c:numCache>
                      <c:formatCode>#\ ##0.0000</c:formatCode>
                      <c:ptCount val="9"/>
                      <c:pt idx="0">
                        <c:v>0.48282473788985336</c:v>
                      </c:pt>
                      <c:pt idx="1">
                        <c:v>0.47023318295988825</c:v>
                      </c:pt>
                      <c:pt idx="2">
                        <c:v>0.47820837233639102</c:v>
                      </c:pt>
                      <c:pt idx="3">
                        <c:v>0.48652061019022624</c:v>
                      </c:pt>
                      <c:pt idx="4">
                        <c:v>0.4839719030347846</c:v>
                      </c:pt>
                      <c:pt idx="5">
                        <c:v>0.47519006682259413</c:v>
                      </c:pt>
                      <c:pt idx="6">
                        <c:v>0.47864194479196015</c:v>
                      </c:pt>
                      <c:pt idx="7">
                        <c:v>0.49364853959827648</c:v>
                      </c:pt>
                      <c:pt idx="8">
                        <c:v>0.50670322973796467</c:v>
                      </c:pt>
                    </c:numCache>
                  </c:numRef>
                </c:val>
                <c:smooth val="0"/>
              </c15:ser>
            </c15:filteredLineSeries>
          </c:ext>
        </c:extLst>
      </c:lineChart>
      <c:catAx>
        <c:axId val="22434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4349368"/>
        <c:crosses val="autoZero"/>
        <c:auto val="1"/>
        <c:lblAlgn val="ctr"/>
        <c:lblOffset val="100"/>
        <c:noMultiLvlLbl val="0"/>
      </c:catAx>
      <c:valAx>
        <c:axId val="224349368"/>
        <c:scaling>
          <c:orientation val="minMax"/>
          <c:max val="1.7500000000000002"/>
          <c:min val="0.5"/>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4348976"/>
        <c:crosses val="autoZero"/>
        <c:crossBetween val="between"/>
        <c:majorUnit val="0.25"/>
      </c:valAx>
      <c:spPr>
        <a:noFill/>
        <a:ln>
          <a:noFill/>
        </a:ln>
        <a:effectLst/>
      </c:spPr>
    </c:plotArea>
    <c:legend>
      <c:legendPos val="b"/>
      <c:layout>
        <c:manualLayout>
          <c:xMode val="edge"/>
          <c:yMode val="edge"/>
          <c:x val="0.38287894310608944"/>
          <c:y val="0.18831404463703783"/>
          <c:w val="0.58016166690820081"/>
          <c:h val="0.39036516408603289"/>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Graf_40!$B$5</c:f>
              <c:strCache>
                <c:ptCount val="1"/>
                <c:pt idx="0">
                  <c:v>Verejná správa</c:v>
                </c:pt>
              </c:strCache>
            </c:strRef>
          </c:tx>
          <c:spPr>
            <a:solidFill>
              <a:srgbClr val="0070C0"/>
            </a:solidFill>
            <a:ln w="25400">
              <a:noFill/>
            </a:ln>
          </c:spPr>
          <c:invertIfNegative val="0"/>
          <c:dPt>
            <c:idx val="0"/>
            <c:invertIfNegative val="0"/>
            <c:bubble3D val="0"/>
          </c:dPt>
          <c:dLbls>
            <c:dLbl>
              <c:idx val="0"/>
              <c:layout>
                <c:manualLayout>
                  <c:x val="2.6886233129488255E-3"/>
                  <c:y val="8.9133494991326771E-3"/>
                </c:manualLayout>
              </c:layout>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b="0"/>
                </a:pPr>
                <a:endParaRPr lang="sk-SK"/>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Graf_40!$A$6:$A$29</c:f>
              <c:strCache>
                <c:ptCount val="24"/>
                <c:pt idx="0">
                  <c:v>Slovensko</c:v>
                </c:pt>
                <c:pt idx="1">
                  <c:v>Lotyšsko</c:v>
                </c:pt>
                <c:pt idx="2">
                  <c:v>Španielsko</c:v>
                </c:pt>
                <c:pt idx="3">
                  <c:v>Bulharsko</c:v>
                </c:pt>
                <c:pt idx="4">
                  <c:v>Chorvátsko</c:v>
                </c:pt>
                <c:pt idx="5">
                  <c:v>Rumunsko</c:v>
                </c:pt>
                <c:pt idx="6">
                  <c:v>Estónsko</c:v>
                </c:pt>
                <c:pt idx="7">
                  <c:v>Nórsko</c:v>
                </c:pt>
                <c:pt idx="8">
                  <c:v>Litva</c:v>
                </c:pt>
                <c:pt idx="9">
                  <c:v>Švédsko</c:v>
                </c:pt>
                <c:pt idx="10">
                  <c:v>Maďarsko</c:v>
                </c:pt>
                <c:pt idx="11">
                  <c:v>Holandsko</c:v>
                </c:pt>
                <c:pt idx="12">
                  <c:v>Fínsko</c:v>
                </c:pt>
                <c:pt idx="13">
                  <c:v>UK</c:v>
                </c:pt>
                <c:pt idx="14">
                  <c:v>Švajčiarsko</c:v>
                </c:pt>
                <c:pt idx="15">
                  <c:v>Írsko</c:v>
                </c:pt>
                <c:pt idx="16">
                  <c:v>Poľsko</c:v>
                </c:pt>
                <c:pt idx="17">
                  <c:v>Česká republika</c:v>
                </c:pt>
                <c:pt idx="18">
                  <c:v>Rakúsko</c:v>
                </c:pt>
                <c:pt idx="19">
                  <c:v>Slovinsko</c:v>
                </c:pt>
                <c:pt idx="20">
                  <c:v>Cyprus</c:v>
                </c:pt>
                <c:pt idx="21">
                  <c:v>Luxembursko</c:v>
                </c:pt>
                <c:pt idx="22">
                  <c:v>Grécko</c:v>
                </c:pt>
                <c:pt idx="23">
                  <c:v>Portugalsko</c:v>
                </c:pt>
              </c:strCache>
            </c:strRef>
          </c:cat>
          <c:val>
            <c:numRef>
              <c:f>Graf_40!$B$6:$B$29</c:f>
              <c:numCache>
                <c:formatCode>0.0</c:formatCode>
                <c:ptCount val="24"/>
                <c:pt idx="0">
                  <c:v>4.2</c:v>
                </c:pt>
                <c:pt idx="1">
                  <c:v>4.1499999999999995</c:v>
                </c:pt>
                <c:pt idx="2">
                  <c:v>3.05</c:v>
                </c:pt>
                <c:pt idx="3">
                  <c:v>2.6374999999999997</c:v>
                </c:pt>
                <c:pt idx="4">
                  <c:v>2.5571428571428569</c:v>
                </c:pt>
                <c:pt idx="5">
                  <c:v>2.4875000000000003</c:v>
                </c:pt>
                <c:pt idx="6">
                  <c:v>2.4</c:v>
                </c:pt>
                <c:pt idx="7">
                  <c:v>2.1124999999999998</c:v>
                </c:pt>
                <c:pt idx="8">
                  <c:v>2.1</c:v>
                </c:pt>
                <c:pt idx="9">
                  <c:v>1.6625000000000001</c:v>
                </c:pt>
                <c:pt idx="10">
                  <c:v>1.4</c:v>
                </c:pt>
                <c:pt idx="11">
                  <c:v>1.3625</c:v>
                </c:pt>
                <c:pt idx="12">
                  <c:v>1.0874999999999999</c:v>
                </c:pt>
                <c:pt idx="13">
                  <c:v>0.95</c:v>
                </c:pt>
                <c:pt idx="14">
                  <c:v>0.91250000000000009</c:v>
                </c:pt>
                <c:pt idx="15">
                  <c:v>0.85</c:v>
                </c:pt>
                <c:pt idx="16">
                  <c:v>0.6875</c:v>
                </c:pt>
                <c:pt idx="17">
                  <c:v>0.57499999999999996</c:v>
                </c:pt>
                <c:pt idx="18">
                  <c:v>0.55000000000000004</c:v>
                </c:pt>
                <c:pt idx="19">
                  <c:v>0.28749999999999998</c:v>
                </c:pt>
                <c:pt idx="20">
                  <c:v>0.25</c:v>
                </c:pt>
                <c:pt idx="21">
                  <c:v>0.1875</c:v>
                </c:pt>
                <c:pt idx="22">
                  <c:v>7.1428571428571425E-2</c:v>
                </c:pt>
                <c:pt idx="23">
                  <c:v>6.25E-2</c:v>
                </c:pt>
              </c:numCache>
            </c:numRef>
          </c:val>
          <c:extLst/>
        </c:ser>
        <c:dLbls>
          <c:showLegendKey val="0"/>
          <c:showVal val="0"/>
          <c:showCatName val="0"/>
          <c:showSerName val="0"/>
          <c:showPercent val="0"/>
          <c:showBubbleSize val="0"/>
        </c:dLbls>
        <c:gapWidth val="150"/>
        <c:axId val="226020504"/>
        <c:axId val="226020896"/>
      </c:barChart>
      <c:lineChart>
        <c:grouping val="standard"/>
        <c:varyColors val="0"/>
        <c:ser>
          <c:idx val="1"/>
          <c:order val="1"/>
          <c:tx>
            <c:strRef>
              <c:f>Graf_40!$C$5</c:f>
              <c:strCache>
                <c:ptCount val="1"/>
                <c:pt idx="0">
                  <c:v>Medián EÚ za verejnú správu</c:v>
                </c:pt>
              </c:strCache>
            </c:strRef>
          </c:tx>
          <c:spPr>
            <a:ln w="28575" cap="rnd">
              <a:solidFill>
                <a:srgbClr val="0070C0"/>
              </a:solidFill>
              <a:prstDash val="sysDash"/>
              <a:round/>
            </a:ln>
            <a:effectLst/>
          </c:spPr>
          <c:marker>
            <c:symbol val="none"/>
          </c:marker>
          <c:dLbls>
            <c:dLbl>
              <c:idx val="23"/>
              <c:layout>
                <c:manualLayout>
                  <c:x val="-1.3536379018612521E-2"/>
                  <c:y val="-2.768166089965398E-2"/>
                </c:manualLayout>
              </c:layout>
              <c:numFmt formatCode="#,##0.0" sourceLinked="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Arial Narrow" panose="020B0606020202030204" pitchFamily="34" charset="0"/>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rgbClr val="0070C0"/>
                    </a:solidFill>
                  </a:defRPr>
                </a:pPr>
                <a:endParaRPr lang="sk-SK"/>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#REF!</c:f>
              <c:extLst xmlns:c15="http://schemas.microsoft.com/office/drawing/2012/chart"/>
            </c:multiLvlStrRef>
          </c:cat>
          <c:val>
            <c:numRef>
              <c:f>Graf_40!$C$6:$C$29</c:f>
              <c:numCache>
                <c:formatCode>0.00</c:formatCode>
                <c:ptCount val="24"/>
                <c:pt idx="0">
                  <c:v>1.2250000000000001</c:v>
                </c:pt>
                <c:pt idx="1">
                  <c:v>1.2250000000000001</c:v>
                </c:pt>
                <c:pt idx="2">
                  <c:v>1.2250000000000001</c:v>
                </c:pt>
                <c:pt idx="3">
                  <c:v>1.2250000000000001</c:v>
                </c:pt>
                <c:pt idx="4">
                  <c:v>1.2250000000000001</c:v>
                </c:pt>
                <c:pt idx="5">
                  <c:v>1.2250000000000001</c:v>
                </c:pt>
                <c:pt idx="6">
                  <c:v>1.2250000000000001</c:v>
                </c:pt>
                <c:pt idx="7">
                  <c:v>1.2250000000000001</c:v>
                </c:pt>
                <c:pt idx="8">
                  <c:v>1.2250000000000001</c:v>
                </c:pt>
                <c:pt idx="9">
                  <c:v>1.2250000000000001</c:v>
                </c:pt>
                <c:pt idx="10">
                  <c:v>1.2250000000000001</c:v>
                </c:pt>
                <c:pt idx="11">
                  <c:v>1.2250000000000001</c:v>
                </c:pt>
                <c:pt idx="12">
                  <c:v>1.2250000000000001</c:v>
                </c:pt>
                <c:pt idx="13">
                  <c:v>1.2250000000000001</c:v>
                </c:pt>
                <c:pt idx="14">
                  <c:v>1.2250000000000001</c:v>
                </c:pt>
                <c:pt idx="15">
                  <c:v>1.2250000000000001</c:v>
                </c:pt>
                <c:pt idx="16">
                  <c:v>1.2250000000000001</c:v>
                </c:pt>
                <c:pt idx="17">
                  <c:v>1.2250000000000001</c:v>
                </c:pt>
                <c:pt idx="18">
                  <c:v>1.2250000000000001</c:v>
                </c:pt>
                <c:pt idx="19">
                  <c:v>1.2250000000000001</c:v>
                </c:pt>
                <c:pt idx="20">
                  <c:v>1.2250000000000001</c:v>
                </c:pt>
                <c:pt idx="21">
                  <c:v>1.2250000000000001</c:v>
                </c:pt>
                <c:pt idx="22">
                  <c:v>1.2250000000000001</c:v>
                </c:pt>
                <c:pt idx="23">
                  <c:v>1.2250000000000001</c:v>
                </c:pt>
              </c:numCache>
            </c:numRef>
          </c:val>
          <c:smooth val="0"/>
          <c:extLst/>
        </c:ser>
        <c:ser>
          <c:idx val="2"/>
          <c:order val="2"/>
          <c:tx>
            <c:strRef>
              <c:f>Graf_40!$D$5</c:f>
              <c:strCache>
                <c:ptCount val="1"/>
                <c:pt idx="0">
                  <c:v>Vzdelávanie</c:v>
                </c:pt>
              </c:strCache>
            </c:strRef>
          </c:tx>
          <c:spPr>
            <a:ln>
              <a:noFill/>
            </a:ln>
          </c:spPr>
          <c:marker>
            <c:symbol val="triangle"/>
            <c:size val="8"/>
            <c:spPr>
              <a:solidFill>
                <a:schemeClr val="bg1">
                  <a:lumMod val="75000"/>
                </a:schemeClr>
              </a:solidFill>
              <a:ln>
                <a:noFill/>
              </a:ln>
            </c:spPr>
          </c:marker>
          <c:cat>
            <c:multiLvlStrRef>
              <c:f>#REF!</c:f>
              <c:extLst xmlns:c15="http://schemas.microsoft.com/office/drawing/2012/chart"/>
            </c:multiLvlStrRef>
          </c:cat>
          <c:val>
            <c:numRef>
              <c:f>Graf_40!$D$6:$D$29</c:f>
              <c:numCache>
                <c:formatCode>0.0</c:formatCode>
                <c:ptCount val="24"/>
                <c:pt idx="0">
                  <c:v>0.15</c:v>
                </c:pt>
                <c:pt idx="1">
                  <c:v>0.71250000000000002</c:v>
                </c:pt>
                <c:pt idx="2">
                  <c:v>0.54999999999999993</c:v>
                </c:pt>
                <c:pt idx="3">
                  <c:v>0.52500000000000002</c:v>
                </c:pt>
                <c:pt idx="4">
                  <c:v>1.2142857142857142</c:v>
                </c:pt>
                <c:pt idx="5">
                  <c:v>0.55000000000000004</c:v>
                </c:pt>
                <c:pt idx="6">
                  <c:v>1.3250000000000002</c:v>
                </c:pt>
                <c:pt idx="7">
                  <c:v>1.675</c:v>
                </c:pt>
                <c:pt idx="8">
                  <c:v>0.28749999999999998</c:v>
                </c:pt>
                <c:pt idx="9">
                  <c:v>1.625</c:v>
                </c:pt>
                <c:pt idx="10">
                  <c:v>1.6</c:v>
                </c:pt>
                <c:pt idx="11">
                  <c:v>0.77500000000000002</c:v>
                </c:pt>
                <c:pt idx="12">
                  <c:v>1.05</c:v>
                </c:pt>
                <c:pt idx="13">
                  <c:v>1.6750000000000003</c:v>
                </c:pt>
                <c:pt idx="14">
                  <c:v>0.45</c:v>
                </c:pt>
                <c:pt idx="15">
                  <c:v>0.51250000000000007</c:v>
                </c:pt>
                <c:pt idx="16">
                  <c:v>0.11249999999999999</c:v>
                </c:pt>
                <c:pt idx="17">
                  <c:v>0.47500000000000003</c:v>
                </c:pt>
                <c:pt idx="18">
                  <c:v>1.075</c:v>
                </c:pt>
                <c:pt idx="19">
                  <c:v>0.53749999999999998</c:v>
                </c:pt>
                <c:pt idx="20">
                  <c:v>0.72499999999999998</c:v>
                </c:pt>
                <c:pt idx="21">
                  <c:v>1.5874999999999999</c:v>
                </c:pt>
                <c:pt idx="22">
                  <c:v>7.1428571428571425E-2</c:v>
                </c:pt>
                <c:pt idx="23">
                  <c:v>7.4999999999999997E-2</c:v>
                </c:pt>
              </c:numCache>
            </c:numRef>
          </c:val>
          <c:smooth val="0"/>
          <c:extLst/>
        </c:ser>
        <c:ser>
          <c:idx val="3"/>
          <c:order val="3"/>
          <c:tx>
            <c:strRef>
              <c:f>Graf_40!$E$5</c:f>
              <c:strCache>
                <c:ptCount val="1"/>
                <c:pt idx="0">
                  <c:v>Zdravotníctvo</c:v>
                </c:pt>
              </c:strCache>
            </c:strRef>
          </c:tx>
          <c:spPr>
            <a:ln>
              <a:noFill/>
            </a:ln>
          </c:spPr>
          <c:marker>
            <c:symbol val="x"/>
            <c:size val="6"/>
            <c:spPr>
              <a:solidFill>
                <a:schemeClr val="tx1"/>
              </a:solidFill>
              <a:ln>
                <a:noFill/>
              </a:ln>
            </c:spPr>
          </c:marker>
          <c:cat>
            <c:multiLvlStrRef>
              <c:f>#REF!</c:f>
              <c:extLst xmlns:c15="http://schemas.microsoft.com/office/drawing/2012/chart"/>
            </c:multiLvlStrRef>
          </c:cat>
          <c:val>
            <c:numRef>
              <c:f>Graf_40!$E$6:$E$29</c:f>
              <c:numCache>
                <c:formatCode>0.0</c:formatCode>
                <c:ptCount val="24"/>
                <c:pt idx="0">
                  <c:v>0.45</c:v>
                </c:pt>
                <c:pt idx="1">
                  <c:v>1.3749999999999998</c:v>
                </c:pt>
                <c:pt idx="2">
                  <c:v>0.6</c:v>
                </c:pt>
                <c:pt idx="3">
                  <c:v>2.5249999999999999</c:v>
                </c:pt>
                <c:pt idx="4">
                  <c:v>1.2428571428571431</c:v>
                </c:pt>
                <c:pt idx="5">
                  <c:v>1.8625</c:v>
                </c:pt>
                <c:pt idx="6">
                  <c:v>1.2874999999999999</c:v>
                </c:pt>
                <c:pt idx="7">
                  <c:v>2.8250000000000006</c:v>
                </c:pt>
                <c:pt idx="8">
                  <c:v>0.82500000000000007</c:v>
                </c:pt>
                <c:pt idx="9">
                  <c:v>1.55</c:v>
                </c:pt>
                <c:pt idx="10">
                  <c:v>2.9750000000000001</c:v>
                </c:pt>
                <c:pt idx="11">
                  <c:v>1.5125</c:v>
                </c:pt>
                <c:pt idx="12">
                  <c:v>1.4249999999999998</c:v>
                </c:pt>
                <c:pt idx="13">
                  <c:v>2.4125000000000001</c:v>
                </c:pt>
                <c:pt idx="14">
                  <c:v>1</c:v>
                </c:pt>
                <c:pt idx="15">
                  <c:v>0.8125</c:v>
                </c:pt>
                <c:pt idx="16">
                  <c:v>0.35</c:v>
                </c:pt>
                <c:pt idx="17">
                  <c:v>1.0874999999999999</c:v>
                </c:pt>
                <c:pt idx="18">
                  <c:v>1.5125</c:v>
                </c:pt>
                <c:pt idx="19">
                  <c:v>0.6875</c:v>
                </c:pt>
                <c:pt idx="20">
                  <c:v>0.53750000000000009</c:v>
                </c:pt>
                <c:pt idx="21">
                  <c:v>1.075</c:v>
                </c:pt>
                <c:pt idx="22">
                  <c:v>9.9999999999999992E-2</c:v>
                </c:pt>
                <c:pt idx="23">
                  <c:v>0.15</c:v>
                </c:pt>
              </c:numCache>
            </c:numRef>
          </c:val>
          <c:smooth val="0"/>
          <c:extLst/>
        </c:ser>
        <c:dLbls>
          <c:showLegendKey val="0"/>
          <c:showVal val="0"/>
          <c:showCatName val="0"/>
          <c:showSerName val="0"/>
          <c:showPercent val="0"/>
          <c:showBubbleSize val="0"/>
        </c:dLbls>
        <c:marker val="1"/>
        <c:smooth val="0"/>
        <c:axId val="226020504"/>
        <c:axId val="226020896"/>
      </c:lineChart>
      <c:catAx>
        <c:axId val="226020504"/>
        <c:scaling>
          <c:orientation val="minMax"/>
        </c:scaling>
        <c:delete val="0"/>
        <c:axPos val="b"/>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6020896"/>
        <c:crosses val="autoZero"/>
        <c:auto val="1"/>
        <c:lblAlgn val="ctr"/>
        <c:lblOffset val="100"/>
        <c:noMultiLvlLbl val="0"/>
      </c:catAx>
      <c:valAx>
        <c:axId val="22602089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6020504"/>
        <c:crosses val="autoZero"/>
        <c:crossBetween val="between"/>
      </c:valAx>
      <c:spPr>
        <a:noFill/>
        <a:ln w="25400">
          <a:noFill/>
        </a:ln>
      </c:spPr>
    </c:plotArea>
    <c:legend>
      <c:legendPos val="t"/>
      <c:layout>
        <c:manualLayout>
          <c:xMode val="edge"/>
          <c:yMode val="edge"/>
          <c:x val="0.63396192227240633"/>
          <c:y val="2.3047176409539065E-2"/>
          <c:w val="0.36305705441642128"/>
          <c:h val="0.2414313089756514"/>
        </c:manualLayout>
      </c:layout>
      <c:overlay val="1"/>
    </c:legend>
    <c:plotVisOnly val="1"/>
    <c:dispBlanksAs val="gap"/>
    <c:showDLblsOverMax val="0"/>
  </c:chart>
  <c:spPr>
    <a:no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9988401613464E-2"/>
          <c:y val="5.0925925925925923E-2"/>
          <c:w val="0.85943202271565478"/>
          <c:h val="0.87568788276465459"/>
        </c:manualLayout>
      </c:layout>
      <c:barChart>
        <c:barDir val="col"/>
        <c:grouping val="stacked"/>
        <c:varyColors val="0"/>
        <c:ser>
          <c:idx val="0"/>
          <c:order val="0"/>
          <c:tx>
            <c:strRef>
              <c:f>Graf_41!$B$4</c:f>
              <c:strCache>
                <c:ptCount val="1"/>
                <c:pt idx="0">
                  <c:v>Počet neobsadených miest</c:v>
                </c:pt>
              </c:strCache>
            </c:strRef>
          </c:tx>
          <c:spPr>
            <a:solidFill>
              <a:srgbClr val="00B0F0"/>
            </a:solidFill>
            <a:ln>
              <a:solidFill>
                <a:srgbClr val="00B0F0"/>
              </a:solidFill>
            </a:ln>
            <a:effectLst/>
          </c:spPr>
          <c:invertIfNegative val="0"/>
          <c:cat>
            <c:strRef>
              <c:f>Graf_41!$A$5:$A$18</c:f>
              <c:strCache>
                <c:ptCount val="14"/>
                <c:pt idx="0">
                  <c:v>MŽP SR</c:v>
                </c:pt>
                <c:pt idx="1">
                  <c:v>MZ SR</c:v>
                </c:pt>
                <c:pt idx="2">
                  <c:v>MŠVVaŠ SR</c:v>
                </c:pt>
                <c:pt idx="3">
                  <c:v>MO SR</c:v>
                </c:pt>
                <c:pt idx="4">
                  <c:v>MDV SR</c:v>
                </c:pt>
                <c:pt idx="5">
                  <c:v>MPRV SR</c:v>
                </c:pt>
                <c:pt idx="6">
                  <c:v>MV SR</c:v>
                </c:pt>
                <c:pt idx="7">
                  <c:v>MS SR</c:v>
                </c:pt>
                <c:pt idx="8">
                  <c:v>MH SR</c:v>
                </c:pt>
                <c:pt idx="9">
                  <c:v>MF SR</c:v>
                </c:pt>
                <c:pt idx="10">
                  <c:v>MZV SR</c:v>
                </c:pt>
                <c:pt idx="11">
                  <c:v>MK SR</c:v>
                </c:pt>
                <c:pt idx="12">
                  <c:v>MPSVAR SR</c:v>
                </c:pt>
                <c:pt idx="13">
                  <c:v>SPOLU</c:v>
                </c:pt>
              </c:strCache>
            </c:strRef>
          </c:cat>
          <c:val>
            <c:numRef>
              <c:f>Graf_41!$B$5:$B$18</c:f>
              <c:numCache>
                <c:formatCode>#,##0</c:formatCode>
                <c:ptCount val="14"/>
                <c:pt idx="0">
                  <c:v>80.516666666666652</c:v>
                </c:pt>
                <c:pt idx="1">
                  <c:v>192.21666666666661</c:v>
                </c:pt>
                <c:pt idx="2">
                  <c:v>230.41666666666666</c:v>
                </c:pt>
                <c:pt idx="3">
                  <c:v>1410.5833333333333</c:v>
                </c:pt>
                <c:pt idx="4">
                  <c:v>98.949999999999974</c:v>
                </c:pt>
                <c:pt idx="5">
                  <c:v>190.81666666666675</c:v>
                </c:pt>
                <c:pt idx="6">
                  <c:v>1978.0833333333346</c:v>
                </c:pt>
                <c:pt idx="7">
                  <c:v>499.68333333333402</c:v>
                </c:pt>
                <c:pt idx="8">
                  <c:v>34.79999999999999</c:v>
                </c:pt>
                <c:pt idx="9">
                  <c:v>261.7999999999999</c:v>
                </c:pt>
                <c:pt idx="10">
                  <c:v>6.5499999999999927</c:v>
                </c:pt>
                <c:pt idx="11">
                  <c:v>-4.9500000000000073</c:v>
                </c:pt>
                <c:pt idx="12">
                  <c:v>-469.16666666666669</c:v>
                </c:pt>
              </c:numCache>
            </c:numRef>
          </c:val>
        </c:ser>
        <c:ser>
          <c:idx val="4"/>
          <c:order val="4"/>
          <c:tx>
            <c:strRef>
              <c:f>Graf_41!$F$4</c:f>
              <c:strCache>
                <c:ptCount val="1"/>
                <c:pt idx="0">
                  <c:v>Bežná neobsadenosť v zahraniči</c:v>
                </c:pt>
              </c:strCache>
            </c:strRef>
          </c:tx>
          <c:spPr>
            <a:solidFill>
              <a:schemeClr val="bg1">
                <a:lumMod val="75000"/>
              </a:schemeClr>
            </a:solidFill>
            <a:ln>
              <a:solidFill>
                <a:schemeClr val="bg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Graf_41!$A$5:$A$18</c:f>
              <c:strCache>
                <c:ptCount val="14"/>
                <c:pt idx="0">
                  <c:v>MŽP SR</c:v>
                </c:pt>
                <c:pt idx="1">
                  <c:v>MZ SR</c:v>
                </c:pt>
                <c:pt idx="2">
                  <c:v>MŠVVaŠ SR</c:v>
                </c:pt>
                <c:pt idx="3">
                  <c:v>MO SR</c:v>
                </c:pt>
                <c:pt idx="4">
                  <c:v>MDV SR</c:v>
                </c:pt>
                <c:pt idx="5">
                  <c:v>MPRV SR</c:v>
                </c:pt>
                <c:pt idx="6">
                  <c:v>MV SR</c:v>
                </c:pt>
                <c:pt idx="7">
                  <c:v>MS SR</c:v>
                </c:pt>
                <c:pt idx="8">
                  <c:v>MH SR</c:v>
                </c:pt>
                <c:pt idx="9">
                  <c:v>MF SR</c:v>
                </c:pt>
                <c:pt idx="10">
                  <c:v>MZV SR</c:v>
                </c:pt>
                <c:pt idx="11">
                  <c:v>MK SR</c:v>
                </c:pt>
                <c:pt idx="12">
                  <c:v>MPSVAR SR</c:v>
                </c:pt>
                <c:pt idx="13">
                  <c:v>SPOLU</c:v>
                </c:pt>
              </c:strCache>
            </c:strRef>
          </c:cat>
          <c:val>
            <c:numRef>
              <c:f>Graf_41!$F$5:$F$18</c:f>
              <c:numCache>
                <c:formatCode>General</c:formatCode>
                <c:ptCount val="14"/>
                <c:pt idx="13" formatCode="0">
                  <c:v>1420.2950597976098</c:v>
                </c:pt>
              </c:numCache>
            </c:numRef>
          </c:val>
        </c:ser>
        <c:ser>
          <c:idx val="5"/>
          <c:order val="5"/>
          <c:tx>
            <c:strRef>
              <c:f>Graf_41!$G$4</c:f>
              <c:strCache>
                <c:ptCount val="1"/>
                <c:pt idx="0">
                  <c:v>Rezerva miest</c:v>
                </c:pt>
              </c:strCache>
            </c:strRef>
          </c:tx>
          <c:spPr>
            <a:solidFill>
              <a:schemeClr val="bg1">
                <a:lumMod val="65000"/>
              </a:schemeClr>
            </a:solidFill>
            <a:ln>
              <a:solidFill>
                <a:schemeClr val="bg1">
                  <a:lumMod val="65000"/>
                </a:schemeClr>
              </a:solidFill>
            </a:ln>
            <a:effectLst/>
          </c:spPr>
          <c:invertIfNegative val="0"/>
          <c:dLbls>
            <c:dLbl>
              <c:idx val="13"/>
              <c:layout>
                <c:manualLayout>
                  <c:x val="0"/>
                  <c:y val="-0.1040692318944284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Graf_41!$A$5:$A$18</c:f>
              <c:strCache>
                <c:ptCount val="14"/>
                <c:pt idx="0">
                  <c:v>MŽP SR</c:v>
                </c:pt>
                <c:pt idx="1">
                  <c:v>MZ SR</c:v>
                </c:pt>
                <c:pt idx="2">
                  <c:v>MŠVVaŠ SR</c:v>
                </c:pt>
                <c:pt idx="3">
                  <c:v>MO SR</c:v>
                </c:pt>
                <c:pt idx="4">
                  <c:v>MDV SR</c:v>
                </c:pt>
                <c:pt idx="5">
                  <c:v>MPRV SR</c:v>
                </c:pt>
                <c:pt idx="6">
                  <c:v>MV SR</c:v>
                </c:pt>
                <c:pt idx="7">
                  <c:v>MS SR</c:v>
                </c:pt>
                <c:pt idx="8">
                  <c:v>MH SR</c:v>
                </c:pt>
                <c:pt idx="9">
                  <c:v>MF SR</c:v>
                </c:pt>
                <c:pt idx="10">
                  <c:v>MZV SR</c:v>
                </c:pt>
                <c:pt idx="11">
                  <c:v>MK SR</c:v>
                </c:pt>
                <c:pt idx="12">
                  <c:v>MPSVAR SR</c:v>
                </c:pt>
                <c:pt idx="13">
                  <c:v>SPOLU</c:v>
                </c:pt>
              </c:strCache>
            </c:strRef>
          </c:cat>
          <c:val>
            <c:numRef>
              <c:f>Graf_41!$G$5:$G$18</c:f>
              <c:numCache>
                <c:formatCode>General</c:formatCode>
                <c:ptCount val="14"/>
                <c:pt idx="13" formatCode="#,##0">
                  <c:v>3772.2716068690606</c:v>
                </c:pt>
              </c:numCache>
            </c:numRef>
          </c:val>
        </c:ser>
        <c:dLbls>
          <c:showLegendKey val="0"/>
          <c:showVal val="0"/>
          <c:showCatName val="0"/>
          <c:showSerName val="0"/>
          <c:showPercent val="0"/>
          <c:showBubbleSize val="0"/>
        </c:dLbls>
        <c:gapWidth val="219"/>
        <c:overlap val="100"/>
        <c:axId val="224350936"/>
        <c:axId val="224350544"/>
      </c:barChart>
      <c:lineChart>
        <c:grouping val="standard"/>
        <c:varyColors val="0"/>
        <c:ser>
          <c:idx val="3"/>
          <c:order val="3"/>
          <c:tx>
            <c:strRef>
              <c:f>Graf_41!$E$52</c:f>
              <c:strCache>
                <c:ptCount val="1"/>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Pt>
            <c:idx val="13"/>
            <c:marker>
              <c:symbol val="circle"/>
              <c:size val="5"/>
              <c:spPr>
                <a:noFill/>
                <a:ln w="9525">
                  <a:noFill/>
                </a:ln>
                <a:effectLst/>
              </c:spPr>
            </c:marker>
            <c:bubble3D val="0"/>
            <c:spPr>
              <a:ln w="28575" cap="rnd">
                <a:noFill/>
                <a:round/>
              </a:ln>
              <a:effectLst/>
            </c:spPr>
          </c:dPt>
          <c:dLbls>
            <c:dLbl>
              <c:idx val="13"/>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Graf_41!$A$53:$A$66</c:f>
              <c:numCache>
                <c:formatCode>General</c:formatCode>
                <c:ptCount val="14"/>
              </c:numCache>
            </c:numRef>
          </c:cat>
          <c:val>
            <c:numRef>
              <c:f>Graf_41!$E$53:$E$66</c:f>
              <c:numCache>
                <c:formatCode>General</c:formatCode>
                <c:ptCount val="14"/>
              </c:numCache>
            </c:numRef>
          </c:val>
          <c:smooth val="0"/>
        </c:ser>
        <c:dLbls>
          <c:showLegendKey val="0"/>
          <c:showVal val="0"/>
          <c:showCatName val="0"/>
          <c:showSerName val="0"/>
          <c:showPercent val="0"/>
          <c:showBubbleSize val="0"/>
        </c:dLbls>
        <c:marker val="1"/>
        <c:smooth val="0"/>
        <c:axId val="224350936"/>
        <c:axId val="224350544"/>
      </c:lineChart>
      <c:lineChart>
        <c:grouping val="standard"/>
        <c:varyColors val="0"/>
        <c:ser>
          <c:idx val="1"/>
          <c:order val="1"/>
          <c:tx>
            <c:strRef>
              <c:f>Graf_41!$C$4</c:f>
              <c:strCache>
                <c:ptCount val="1"/>
                <c:pt idx="0">
                  <c:v>Podiel na celkovom rozpočtovanom počte</c:v>
                </c:pt>
              </c:strCache>
            </c:strRef>
          </c:tx>
          <c:spPr>
            <a:ln w="28575" cap="rnd">
              <a:noFill/>
              <a:round/>
            </a:ln>
            <a:effectLst/>
          </c:spPr>
          <c:marker>
            <c:symbol val="circle"/>
            <c:size val="5"/>
            <c:spPr>
              <a:solidFill>
                <a:schemeClr val="tx1"/>
              </a:solidFill>
              <a:ln w="9525">
                <a:noFill/>
              </a:ln>
              <a:effectLst/>
            </c:spPr>
          </c:marker>
          <c:dLbls>
            <c:dLbl>
              <c:idx val="13"/>
              <c:layout>
                <c:manualLayout>
                  <c:x val="-3.0551009274413531E-2"/>
                  <c:y val="-4.62962962962963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Graf_41!$A$5:$A$18</c:f>
              <c:strCache>
                <c:ptCount val="14"/>
                <c:pt idx="0">
                  <c:v>MŽP SR</c:v>
                </c:pt>
                <c:pt idx="1">
                  <c:v>MZ SR</c:v>
                </c:pt>
                <c:pt idx="2">
                  <c:v>MŠVVaŠ SR</c:v>
                </c:pt>
                <c:pt idx="3">
                  <c:v>MO SR</c:v>
                </c:pt>
                <c:pt idx="4">
                  <c:v>MDV SR</c:v>
                </c:pt>
                <c:pt idx="5">
                  <c:v>MPRV SR</c:v>
                </c:pt>
                <c:pt idx="6">
                  <c:v>MV SR</c:v>
                </c:pt>
                <c:pt idx="7">
                  <c:v>MS SR</c:v>
                </c:pt>
                <c:pt idx="8">
                  <c:v>MH SR</c:v>
                </c:pt>
                <c:pt idx="9">
                  <c:v>MF SR</c:v>
                </c:pt>
                <c:pt idx="10">
                  <c:v>MZV SR</c:v>
                </c:pt>
                <c:pt idx="11">
                  <c:v>MK SR</c:v>
                </c:pt>
                <c:pt idx="12">
                  <c:v>MPSVAR SR</c:v>
                </c:pt>
                <c:pt idx="13">
                  <c:v>SPOLU</c:v>
                </c:pt>
              </c:strCache>
            </c:strRef>
          </c:cat>
          <c:val>
            <c:numRef>
              <c:f>Graf_41!$C$5:$C$18</c:f>
              <c:numCache>
                <c:formatCode>0%</c:formatCode>
                <c:ptCount val="14"/>
                <c:pt idx="0">
                  <c:v>7.9384345012694396E-2</c:v>
                </c:pt>
                <c:pt idx="1">
                  <c:v>7.3983919743213264E-2</c:v>
                </c:pt>
                <c:pt idx="2">
                  <c:v>7.1843547055492576E-2</c:v>
                </c:pt>
                <c:pt idx="3">
                  <c:v>6.5742577659552381E-2</c:v>
                </c:pt>
                <c:pt idx="4">
                  <c:v>6.1040859034559136E-2</c:v>
                </c:pt>
                <c:pt idx="5">
                  <c:v>5.7225662210187878E-2</c:v>
                </c:pt>
                <c:pt idx="6">
                  <c:v>4.3862162250823782E-2</c:v>
                </c:pt>
                <c:pt idx="7">
                  <c:v>4.2605344863544552E-2</c:v>
                </c:pt>
                <c:pt idx="8">
                  <c:v>3.9457478267789232E-2</c:v>
                </c:pt>
                <c:pt idx="9">
                  <c:v>2.4754437892436334E-2</c:v>
                </c:pt>
                <c:pt idx="10">
                  <c:v>5.071034552355279E-3</c:v>
                </c:pt>
                <c:pt idx="11">
                  <c:v>-5.1912097373379524E-3</c:v>
                </c:pt>
                <c:pt idx="12">
                  <c:v>-3.5952362802598739E-2</c:v>
                </c:pt>
                <c:pt idx="13">
                  <c:v>4.05017250487354E-2</c:v>
                </c:pt>
              </c:numCache>
            </c:numRef>
          </c:val>
          <c:smooth val="0"/>
        </c:ser>
        <c:ser>
          <c:idx val="2"/>
          <c:order val="2"/>
          <c:tx>
            <c:strRef>
              <c:f>Graf_41!$D$4</c:f>
              <c:strCache>
                <c:ptCount val="1"/>
                <c:pt idx="0">
                  <c:v>medián EÚ (pravá os)</c:v>
                </c:pt>
              </c:strCache>
            </c:strRef>
          </c:tx>
          <c:spPr>
            <a:ln w="28575" cap="rnd">
              <a:solidFill>
                <a:schemeClr val="bg1">
                  <a:lumMod val="75000"/>
                </a:schemeClr>
              </a:solidFill>
              <a:prstDash val="sysDash"/>
              <a:round/>
            </a:ln>
            <a:effectLst/>
          </c:spPr>
          <c:marker>
            <c:symbol val="none"/>
          </c:marker>
          <c:cat>
            <c:strRef>
              <c:f>Graf_41!$A$5:$A$18</c:f>
              <c:strCache>
                <c:ptCount val="14"/>
                <c:pt idx="0">
                  <c:v>MŽP SR</c:v>
                </c:pt>
                <c:pt idx="1">
                  <c:v>MZ SR</c:v>
                </c:pt>
                <c:pt idx="2">
                  <c:v>MŠVVaŠ SR</c:v>
                </c:pt>
                <c:pt idx="3">
                  <c:v>MO SR</c:v>
                </c:pt>
                <c:pt idx="4">
                  <c:v>MDV SR</c:v>
                </c:pt>
                <c:pt idx="5">
                  <c:v>MPRV SR</c:v>
                </c:pt>
                <c:pt idx="6">
                  <c:v>MV SR</c:v>
                </c:pt>
                <c:pt idx="7">
                  <c:v>MS SR</c:v>
                </c:pt>
                <c:pt idx="8">
                  <c:v>MH SR</c:v>
                </c:pt>
                <c:pt idx="9">
                  <c:v>MF SR</c:v>
                </c:pt>
                <c:pt idx="10">
                  <c:v>MZV SR</c:v>
                </c:pt>
                <c:pt idx="11">
                  <c:v>MK SR</c:v>
                </c:pt>
                <c:pt idx="12">
                  <c:v>MPSVAR SR</c:v>
                </c:pt>
                <c:pt idx="13">
                  <c:v>SPOLU</c:v>
                </c:pt>
              </c:strCache>
            </c:strRef>
          </c:cat>
          <c:val>
            <c:numRef>
              <c:f>Graf_41!$D$5:$D$18</c:f>
              <c:numCache>
                <c:formatCode>0.00%</c:formatCode>
                <c:ptCount val="14"/>
                <c:pt idx="0">
                  <c:v>1.14E-2</c:v>
                </c:pt>
                <c:pt idx="1">
                  <c:v>1.14E-2</c:v>
                </c:pt>
                <c:pt idx="2">
                  <c:v>1.14E-2</c:v>
                </c:pt>
                <c:pt idx="3">
                  <c:v>1.14E-2</c:v>
                </c:pt>
                <c:pt idx="4">
                  <c:v>1.14E-2</c:v>
                </c:pt>
                <c:pt idx="5">
                  <c:v>1.14E-2</c:v>
                </c:pt>
                <c:pt idx="6">
                  <c:v>1.14E-2</c:v>
                </c:pt>
                <c:pt idx="7">
                  <c:v>1.14E-2</c:v>
                </c:pt>
                <c:pt idx="8">
                  <c:v>1.14E-2</c:v>
                </c:pt>
                <c:pt idx="9">
                  <c:v>1.14E-2</c:v>
                </c:pt>
                <c:pt idx="10">
                  <c:v>1.14E-2</c:v>
                </c:pt>
                <c:pt idx="11">
                  <c:v>1.14E-2</c:v>
                </c:pt>
                <c:pt idx="12">
                  <c:v>1.14E-2</c:v>
                </c:pt>
                <c:pt idx="13">
                  <c:v>1.14E-2</c:v>
                </c:pt>
              </c:numCache>
            </c:numRef>
          </c:val>
          <c:smooth val="0"/>
        </c:ser>
        <c:dLbls>
          <c:showLegendKey val="0"/>
          <c:showVal val="0"/>
          <c:showCatName val="0"/>
          <c:showSerName val="0"/>
          <c:showPercent val="0"/>
          <c:showBubbleSize val="0"/>
        </c:dLbls>
        <c:marker val="1"/>
        <c:smooth val="0"/>
        <c:axId val="226021288"/>
        <c:axId val="224350152"/>
      </c:lineChart>
      <c:catAx>
        <c:axId val="224350936"/>
        <c:scaling>
          <c:orientation val="minMax"/>
        </c:scaling>
        <c:delete val="0"/>
        <c:axPos val="b"/>
        <c:numFmt formatCode="General" sourceLinked="1"/>
        <c:majorTickMark val="in"/>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4350544"/>
        <c:crosses val="autoZero"/>
        <c:auto val="1"/>
        <c:lblAlgn val="ctr"/>
        <c:lblOffset val="1000"/>
        <c:noMultiLvlLbl val="0"/>
      </c:catAx>
      <c:valAx>
        <c:axId val="224350544"/>
        <c:scaling>
          <c:orientation val="minMax"/>
          <c:max val="8000"/>
          <c:min val="-2000"/>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4350936"/>
        <c:crosses val="autoZero"/>
        <c:crossBetween val="between"/>
      </c:valAx>
      <c:valAx>
        <c:axId val="224350152"/>
        <c:scaling>
          <c:orientation val="minMax"/>
          <c:max val="0.12000000000000001"/>
          <c:min val="-4.0000000000000008E-2"/>
        </c:scaling>
        <c:delete val="0"/>
        <c:axPos val="r"/>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6021288"/>
        <c:crosses val="max"/>
        <c:crossBetween val="between"/>
        <c:majorUnit val="2.0000000000000004E-2"/>
      </c:valAx>
      <c:catAx>
        <c:axId val="226021288"/>
        <c:scaling>
          <c:orientation val="minMax"/>
        </c:scaling>
        <c:delete val="1"/>
        <c:axPos val="b"/>
        <c:numFmt formatCode="General" sourceLinked="1"/>
        <c:majorTickMark val="out"/>
        <c:minorTickMark val="none"/>
        <c:tickLblPos val="nextTo"/>
        <c:crossAx val="224350152"/>
        <c:crosses val="autoZero"/>
        <c:auto val="1"/>
        <c:lblAlgn val="ctr"/>
        <c:lblOffset val="100"/>
        <c:noMultiLvlLbl val="0"/>
      </c:catAx>
      <c:spPr>
        <a:noFill/>
        <a:ln>
          <a:noFill/>
        </a:ln>
        <a:effectLst/>
      </c:spPr>
    </c:plotArea>
    <c:legend>
      <c:legendPos val="t"/>
      <c:legendEntry>
        <c:idx val="3"/>
        <c:delete val="1"/>
      </c:legendEntry>
      <c:layout>
        <c:manualLayout>
          <c:xMode val="edge"/>
          <c:yMode val="edge"/>
          <c:x val="0.38777770618279916"/>
          <c:y val="2.7777777777777776E-2"/>
          <c:w val="0.46552126156079915"/>
          <c:h val="0.2416761354197813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9839494126635E-2"/>
          <c:y val="2.31535077564251E-2"/>
          <c:w val="0.8146890860544449"/>
          <c:h val="0.90054748018734287"/>
        </c:manualLayout>
      </c:layout>
      <c:barChart>
        <c:barDir val="col"/>
        <c:grouping val="clustered"/>
        <c:varyColors val="0"/>
        <c:ser>
          <c:idx val="0"/>
          <c:order val="0"/>
          <c:tx>
            <c:strRef>
              <c:f>Graf_42!$A$5</c:f>
              <c:strCache>
                <c:ptCount val="1"/>
                <c:pt idx="0">
                  <c:v>Rozpočet</c:v>
                </c:pt>
              </c:strCache>
            </c:strRef>
          </c:tx>
          <c:spPr>
            <a:solidFill>
              <a:schemeClr val="bg1">
                <a:lumMod val="75000"/>
              </a:schemeClr>
            </a:solidFill>
            <a:ln>
              <a:noFill/>
            </a:ln>
            <a:effectLst/>
          </c:spPr>
          <c:invertIfNegative val="0"/>
          <c:cat>
            <c:numRef>
              <c:f>Graf_42!$B$4:$J$4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Graf_42!$B$5:$J$5</c:f>
              <c:numCache>
                <c:formatCode>#,##0</c:formatCode>
                <c:ptCount val="9"/>
                <c:pt idx="0">
                  <c:v>2207385053</c:v>
                </c:pt>
                <c:pt idx="1">
                  <c:v>2244707366</c:v>
                </c:pt>
                <c:pt idx="2">
                  <c:v>2277028914</c:v>
                </c:pt>
                <c:pt idx="3">
                  <c:v>2382892130</c:v>
                </c:pt>
                <c:pt idx="4">
                  <c:v>2405797333</c:v>
                </c:pt>
                <c:pt idx="5">
                  <c:v>2534564778</c:v>
                </c:pt>
                <c:pt idx="6">
                  <c:v>2729830972</c:v>
                </c:pt>
                <c:pt idx="7">
                  <c:v>2729830972</c:v>
                </c:pt>
                <c:pt idx="8">
                  <c:v>3022005657</c:v>
                </c:pt>
              </c:numCache>
            </c:numRef>
          </c:val>
        </c:ser>
        <c:ser>
          <c:idx val="1"/>
          <c:order val="1"/>
          <c:tx>
            <c:strRef>
              <c:f>Graf_42!$A$6</c:f>
              <c:strCache>
                <c:ptCount val="1"/>
                <c:pt idx="0">
                  <c:v>Skutočnosť</c:v>
                </c:pt>
              </c:strCache>
            </c:strRef>
          </c:tx>
          <c:spPr>
            <a:solidFill>
              <a:srgbClr val="00B0F0"/>
            </a:solidFill>
            <a:ln>
              <a:noFill/>
            </a:ln>
            <a:effectLst/>
          </c:spPr>
          <c:invertIfNegative val="0"/>
          <c:cat>
            <c:numRef>
              <c:f>Graf_42!$B$4:$J$4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Graf_42!$B$6:$J$6</c:f>
              <c:numCache>
                <c:formatCode>#,##0</c:formatCode>
                <c:ptCount val="9"/>
                <c:pt idx="0">
                  <c:v>2292361143</c:v>
                </c:pt>
                <c:pt idx="1">
                  <c:v>2251744336</c:v>
                </c:pt>
                <c:pt idx="2">
                  <c:v>2340409820</c:v>
                </c:pt>
                <c:pt idx="3">
                  <c:v>2463579959</c:v>
                </c:pt>
                <c:pt idx="4">
                  <c:v>2537058128</c:v>
                </c:pt>
                <c:pt idx="5">
                  <c:v>2723177665</c:v>
                </c:pt>
                <c:pt idx="6">
                  <c:v>2870950870</c:v>
                </c:pt>
                <c:pt idx="7">
                  <c:v>2870950870</c:v>
                </c:pt>
                <c:pt idx="8">
                  <c:v>3092554507</c:v>
                </c:pt>
              </c:numCache>
            </c:numRef>
          </c:val>
        </c:ser>
        <c:dLbls>
          <c:showLegendKey val="0"/>
          <c:showVal val="0"/>
          <c:showCatName val="0"/>
          <c:showSerName val="0"/>
          <c:showPercent val="0"/>
          <c:showBubbleSize val="0"/>
        </c:dLbls>
        <c:gapWidth val="141"/>
        <c:axId val="226022072"/>
        <c:axId val="226022464"/>
      </c:barChart>
      <c:lineChart>
        <c:grouping val="standard"/>
        <c:varyColors val="0"/>
        <c:ser>
          <c:idx val="2"/>
          <c:order val="2"/>
          <c:tx>
            <c:strRef>
              <c:f>Graf_42!$A$7</c:f>
              <c:strCache>
                <c:ptCount val="1"/>
                <c:pt idx="0">
                  <c:v>Prekročenie rozpočtu (zdroj ŠR)</c:v>
                </c:pt>
              </c:strCache>
            </c:strRef>
          </c:tx>
          <c:spPr>
            <a:ln w="28575" cap="rnd">
              <a:noFill/>
              <a:round/>
            </a:ln>
            <a:effectLst/>
          </c:spPr>
          <c:marker>
            <c:symbol val="triangle"/>
            <c:size val="8"/>
            <c:spPr>
              <a:solidFill>
                <a:srgbClr val="002060"/>
              </a:solidFill>
              <a:ln w="9525">
                <a:no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Graf_30_31!#REF!</c:f>
            </c:multiLvlStrRef>
          </c:cat>
          <c:val>
            <c:numRef>
              <c:f>Graf_42!$B$7:$J$7</c:f>
              <c:numCache>
                <c:formatCode>0%</c:formatCode>
                <c:ptCount val="9"/>
                <c:pt idx="0">
                  <c:v>3.8496269549579187E-2</c:v>
                </c:pt>
                <c:pt idx="1">
                  <c:v>3.1349164290130904E-3</c:v>
                </c:pt>
                <c:pt idx="2">
                  <c:v>2.78349148797854E-2</c:v>
                </c:pt>
                <c:pt idx="3">
                  <c:v>3.3861301560469625E-2</c:v>
                </c:pt>
                <c:pt idx="4">
                  <c:v>5.4560204718624217E-2</c:v>
                </c:pt>
                <c:pt idx="5">
                  <c:v>7.4416281894689851E-2</c:v>
                </c:pt>
                <c:pt idx="6">
                  <c:v>5.1695471055707598E-2</c:v>
                </c:pt>
                <c:pt idx="7">
                  <c:v>5.1695471055707598E-2</c:v>
                </c:pt>
                <c:pt idx="8">
                  <c:v>2.3345042335240151E-2</c:v>
                </c:pt>
              </c:numCache>
            </c:numRef>
          </c:val>
          <c:smooth val="0"/>
        </c:ser>
        <c:dLbls>
          <c:showLegendKey val="0"/>
          <c:showVal val="0"/>
          <c:showCatName val="0"/>
          <c:showSerName val="0"/>
          <c:showPercent val="0"/>
          <c:showBubbleSize val="0"/>
        </c:dLbls>
        <c:marker val="1"/>
        <c:smooth val="0"/>
        <c:axId val="226023248"/>
        <c:axId val="226022856"/>
      </c:lineChart>
      <c:catAx>
        <c:axId val="22602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crossAx val="226022464"/>
        <c:crosses val="autoZero"/>
        <c:auto val="1"/>
        <c:lblAlgn val="ctr"/>
        <c:lblOffset val="100"/>
        <c:noMultiLvlLbl val="0"/>
      </c:catAx>
      <c:valAx>
        <c:axId val="22602246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crossAx val="226022072"/>
        <c:crosses val="autoZero"/>
        <c:crossBetween val="between"/>
        <c:dispUnits>
          <c:builtInUnit val="billions"/>
        </c:dispUnits>
      </c:valAx>
      <c:valAx>
        <c:axId val="226022856"/>
        <c:scaling>
          <c:orientation val="minMax"/>
        </c:scaling>
        <c:delete val="0"/>
        <c:axPos val="r"/>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crossAx val="226023248"/>
        <c:crosses val="max"/>
        <c:crossBetween val="between"/>
      </c:valAx>
      <c:catAx>
        <c:axId val="226023248"/>
        <c:scaling>
          <c:orientation val="minMax"/>
        </c:scaling>
        <c:delete val="1"/>
        <c:axPos val="b"/>
        <c:numFmt formatCode="0%" sourceLinked="1"/>
        <c:majorTickMark val="out"/>
        <c:minorTickMark val="none"/>
        <c:tickLblPos val="nextTo"/>
        <c:crossAx val="226022856"/>
        <c:crosses val="autoZero"/>
        <c:auto val="1"/>
        <c:lblAlgn val="ctr"/>
        <c:lblOffset val="100"/>
        <c:noMultiLvlLbl val="0"/>
      </c:catAx>
      <c:spPr>
        <a:noFill/>
        <a:ln>
          <a:noFill/>
        </a:ln>
        <a:effectLst/>
      </c:spPr>
    </c:plotArea>
    <c:legend>
      <c:legendPos val="t"/>
      <c:layout>
        <c:manualLayout>
          <c:xMode val="edge"/>
          <c:yMode val="edge"/>
          <c:x val="5.7653149984494015E-2"/>
          <c:y val="5.0937717064135218E-2"/>
          <c:w val="0.56326253526666514"/>
          <c:h val="0.192730163186651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Arial Narrow" panose="020B0606020202030204" pitchFamily="34" charset="0"/>
        </a:defRPr>
      </a:pPr>
      <a:endParaRPr lang="sk-SK"/>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26076512811749E-2"/>
          <c:y val="4.3476277372262777E-2"/>
          <c:w val="0.7287355013606216"/>
          <c:h val="0.70553372320248287"/>
        </c:manualLayout>
      </c:layout>
      <c:barChart>
        <c:barDir val="col"/>
        <c:grouping val="clustered"/>
        <c:varyColors val="0"/>
        <c:ser>
          <c:idx val="2"/>
          <c:order val="0"/>
          <c:tx>
            <c:v>Abs. odchýlka (mil. eur)</c:v>
          </c:tx>
          <c:spPr>
            <a:solidFill>
              <a:srgbClr val="00B0F0"/>
            </a:solidFill>
            <a:ln>
              <a:solidFill>
                <a:srgbClr val="00B0F0"/>
              </a:solidFill>
            </a:ln>
            <a:effectLst/>
          </c:spPr>
          <c:invertIfNegative val="0"/>
          <c:dLbls>
            <c:dLbl>
              <c:idx val="0"/>
              <c:layout>
                <c:manualLayout>
                  <c:x val="-3.2840722495894909E-3"/>
                  <c:y val="6.712642520953411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2840722495894909E-3"/>
                  <c:y val="9.291043914158331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Graf_43!$A$5:$A$10</c:f>
              <c:strCache>
                <c:ptCount val="6"/>
                <c:pt idx="0">
                  <c:v>Tarifný, osobný a ostatné platy</c:v>
                </c:pt>
                <c:pt idx="1">
                  <c:v>Príplatky</c:v>
                </c:pt>
                <c:pt idx="2">
                  <c:v>Odmeny</c:v>
                </c:pt>
                <c:pt idx="4">
                  <c:v>Poistné do VZP</c:v>
                </c:pt>
                <c:pt idx="5">
                  <c:v>Poistné do SP</c:v>
                </c:pt>
              </c:strCache>
            </c:strRef>
          </c:cat>
          <c:val>
            <c:numRef>
              <c:f>Graf_43!$B$5:$B$10</c:f>
              <c:numCache>
                <c:formatCode>#\ ##0\ \ </c:formatCode>
                <c:ptCount val="6"/>
                <c:pt idx="0">
                  <c:v>-85530347.103083849</c:v>
                </c:pt>
                <c:pt idx="1">
                  <c:v>29302192.688304543</c:v>
                </c:pt>
                <c:pt idx="2">
                  <c:v>100860499.72878677</c:v>
                </c:pt>
                <c:pt idx="4">
                  <c:v>-29506198.917954773</c:v>
                </c:pt>
                <c:pt idx="5">
                  <c:v>42821524.89795208</c:v>
                </c:pt>
              </c:numCache>
            </c:numRef>
          </c:val>
        </c:ser>
        <c:dLbls>
          <c:showLegendKey val="0"/>
          <c:showVal val="0"/>
          <c:showCatName val="0"/>
          <c:showSerName val="0"/>
          <c:showPercent val="0"/>
          <c:showBubbleSize val="0"/>
        </c:dLbls>
        <c:gapWidth val="84"/>
        <c:overlap val="4"/>
        <c:axId val="226024032"/>
        <c:axId val="225907288"/>
        <c:extLst/>
      </c:barChart>
      <c:lineChart>
        <c:grouping val="standard"/>
        <c:varyColors val="0"/>
        <c:ser>
          <c:idx val="3"/>
          <c:order val="1"/>
          <c:tx>
            <c:strRef>
              <c:f>Graf_43!$C$4</c:f>
              <c:strCache>
                <c:ptCount val="1"/>
                <c:pt idx="0">
                  <c:v>% odchýlka (pravá os)</c:v>
                </c:pt>
              </c:strCache>
            </c:strRef>
          </c:tx>
          <c:spPr>
            <a:ln w="28575" cap="rnd">
              <a:noFill/>
              <a:round/>
            </a:ln>
            <a:effectLst/>
          </c:spPr>
          <c:marker>
            <c:symbol val="circle"/>
            <c:size val="5"/>
            <c:spPr>
              <a:solidFill>
                <a:schemeClr val="tx1"/>
              </a:solidFill>
              <a:ln w="9525">
                <a:noFill/>
              </a:ln>
              <a:effectLst/>
            </c:spPr>
          </c:marker>
          <c:dLbls>
            <c:dLbl>
              <c:idx val="2"/>
              <c:layout>
                <c:manualLayout>
                  <c:x val="-4.3643687636514043E-2"/>
                  <c:y val="3.566833076698785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Graf_43!$A$17:$A$45</c:f>
              <c:numCache>
                <c:formatCode>General</c:formatCode>
                <c:ptCount val="29"/>
              </c:numCache>
            </c:numRef>
          </c:cat>
          <c:val>
            <c:numRef>
              <c:f>Graf_43!$C$5:$C$10</c:f>
              <c:numCache>
                <c:formatCode>0%</c:formatCode>
                <c:ptCount val="6"/>
                <c:pt idx="0">
                  <c:v>-6.0768462099565421E-2</c:v>
                </c:pt>
                <c:pt idx="1">
                  <c:v>9.9013893797268659E-2</c:v>
                </c:pt>
                <c:pt idx="2">
                  <c:v>9.3025724380317421</c:v>
                </c:pt>
                <c:pt idx="4">
                  <c:v>-0.1666601966902487</c:v>
                </c:pt>
                <c:pt idx="5">
                  <c:v>0.19708729964063754</c:v>
                </c:pt>
              </c:numCache>
            </c:numRef>
          </c:val>
          <c:smooth val="0"/>
        </c:ser>
        <c:dLbls>
          <c:showLegendKey val="0"/>
          <c:showVal val="0"/>
          <c:showCatName val="0"/>
          <c:showSerName val="0"/>
          <c:showPercent val="0"/>
          <c:showBubbleSize val="0"/>
        </c:dLbls>
        <c:marker val="1"/>
        <c:smooth val="0"/>
        <c:axId val="225908072"/>
        <c:axId val="225907680"/>
      </c:lineChart>
      <c:catAx>
        <c:axId val="2260240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crossAx val="225907288"/>
        <c:crosses val="autoZero"/>
        <c:auto val="1"/>
        <c:lblAlgn val="ctr"/>
        <c:lblOffset val="500"/>
        <c:noMultiLvlLbl val="0"/>
      </c:catAx>
      <c:valAx>
        <c:axId val="22590728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 ##0\ \ "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crossAx val="226024032"/>
        <c:crosses val="autoZero"/>
        <c:crossBetween val="between"/>
        <c:dispUnits>
          <c:builtInUnit val="millions"/>
        </c:dispUnits>
      </c:valAx>
      <c:valAx>
        <c:axId val="225907680"/>
        <c:scaling>
          <c:orientation val="minMax"/>
        </c:scaling>
        <c:delete val="0"/>
        <c:axPos val="r"/>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crossAx val="225908072"/>
        <c:crosses val="max"/>
        <c:crossBetween val="between"/>
      </c:valAx>
      <c:catAx>
        <c:axId val="225908072"/>
        <c:scaling>
          <c:orientation val="minMax"/>
        </c:scaling>
        <c:delete val="1"/>
        <c:axPos val="b"/>
        <c:numFmt formatCode="General" sourceLinked="1"/>
        <c:majorTickMark val="out"/>
        <c:minorTickMark val="none"/>
        <c:tickLblPos val="nextTo"/>
        <c:crossAx val="225907680"/>
        <c:crosses val="autoZero"/>
        <c:auto val="1"/>
        <c:lblAlgn val="ctr"/>
        <c:lblOffset val="100"/>
        <c:noMultiLvlLbl val="0"/>
      </c:catAx>
      <c:spPr>
        <a:noFill/>
        <a:ln>
          <a:noFill/>
        </a:ln>
        <a:effectLst/>
      </c:spPr>
    </c:plotArea>
    <c:legend>
      <c:legendPos val="t"/>
      <c:layout>
        <c:manualLayout>
          <c:xMode val="edge"/>
          <c:yMode val="edge"/>
          <c:x val="0.48696803832503854"/>
          <c:y val="0.14488584114029543"/>
          <c:w val="0.35586195454490593"/>
          <c:h val="0.1711575413146561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Arial Narrow" panose="020B0606020202030204" pitchFamily="34" charset="0"/>
        </a:defRPr>
      </a:pPr>
      <a:endParaRPr lang="sk-SK"/>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F0"/>
            </a:solidFill>
            <a:ln>
              <a:noFill/>
            </a:ln>
            <a:effectLst/>
          </c:spPr>
          <c:invertIfNegative val="0"/>
          <c:dPt>
            <c:idx val="25"/>
            <c:invertIfNegative val="0"/>
            <c:bubble3D val="0"/>
            <c:spPr>
              <a:solidFill>
                <a:srgbClr val="0070C0"/>
              </a:solidFill>
              <a:ln>
                <a:noFill/>
              </a:ln>
              <a:effectLst/>
            </c:spPr>
          </c:dPt>
          <c:cat>
            <c:strRef>
              <c:f>'Human resource management'!$A$2:$A$27</c:f>
              <c:strCache>
                <c:ptCount val="26"/>
                <c:pt idx="0">
                  <c:v>Luxembursko</c:v>
                </c:pt>
                <c:pt idx="1">
                  <c:v>Grécko</c:v>
                </c:pt>
                <c:pt idx="2">
                  <c:v>Česká Rep.</c:v>
                </c:pt>
                <c:pt idx="3">
                  <c:v>Litva</c:v>
                </c:pt>
                <c:pt idx="4">
                  <c:v>Španielsko</c:v>
                </c:pt>
                <c:pt idx="5">
                  <c:v>Holandsko</c:v>
                </c:pt>
                <c:pt idx="6">
                  <c:v>Maďarsko</c:v>
                </c:pt>
                <c:pt idx="7">
                  <c:v>Lotyšsko</c:v>
                </c:pt>
                <c:pt idx="8">
                  <c:v>Írsko</c:v>
                </c:pt>
                <c:pt idx="9">
                  <c:v>Švajčiarsko</c:v>
                </c:pt>
                <c:pt idx="10">
                  <c:v>Rakúsko</c:v>
                </c:pt>
                <c:pt idx="11">
                  <c:v>Belgicko</c:v>
                </c:pt>
                <c:pt idx="12">
                  <c:v>Poľsko</c:v>
                </c:pt>
                <c:pt idx="13">
                  <c:v>Francúzsko</c:v>
                </c:pt>
                <c:pt idx="14">
                  <c:v>Dánsko</c:v>
                </c:pt>
                <c:pt idx="15">
                  <c:v>Spojené Kráľ.</c:v>
                </c:pt>
                <c:pt idx="16">
                  <c:v>Slovinsko</c:v>
                </c:pt>
                <c:pt idx="17">
                  <c:v>Nórsko</c:v>
                </c:pt>
                <c:pt idx="18">
                  <c:v>Fínsko</c:v>
                </c:pt>
                <c:pt idx="19">
                  <c:v>Estónsko</c:v>
                </c:pt>
                <c:pt idx="20">
                  <c:v>Island</c:v>
                </c:pt>
                <c:pt idx="21">
                  <c:v>Taliansko</c:v>
                </c:pt>
                <c:pt idx="22">
                  <c:v>Portugalsko</c:v>
                </c:pt>
                <c:pt idx="23">
                  <c:v>Nemecko</c:v>
                </c:pt>
                <c:pt idx="24">
                  <c:v>Švédsko</c:v>
                </c:pt>
                <c:pt idx="25">
                  <c:v>Slovensko</c:v>
                </c:pt>
              </c:strCache>
            </c:strRef>
          </c:cat>
          <c:val>
            <c:numRef>
              <c:f>'Human resource management'!$C$2:$C$27</c:f>
              <c:numCache>
                <c:formatCode>0.00</c:formatCode>
                <c:ptCount val="26"/>
                <c:pt idx="0">
                  <c:v>0.44</c:v>
                </c:pt>
                <c:pt idx="1">
                  <c:v>0.45</c:v>
                </c:pt>
                <c:pt idx="2">
                  <c:v>0.5</c:v>
                </c:pt>
                <c:pt idx="3">
                  <c:v>0.5</c:v>
                </c:pt>
                <c:pt idx="4">
                  <c:v>0.5</c:v>
                </c:pt>
                <c:pt idx="5">
                  <c:v>0.53</c:v>
                </c:pt>
                <c:pt idx="6">
                  <c:v>0.59</c:v>
                </c:pt>
                <c:pt idx="7">
                  <c:v>0.59</c:v>
                </c:pt>
                <c:pt idx="8">
                  <c:v>0.61</c:v>
                </c:pt>
                <c:pt idx="9">
                  <c:v>0.61</c:v>
                </c:pt>
                <c:pt idx="10">
                  <c:v>0.62</c:v>
                </c:pt>
                <c:pt idx="11">
                  <c:v>0.63</c:v>
                </c:pt>
                <c:pt idx="12">
                  <c:v>0.63</c:v>
                </c:pt>
                <c:pt idx="13">
                  <c:v>0.66</c:v>
                </c:pt>
                <c:pt idx="14">
                  <c:v>0.67</c:v>
                </c:pt>
                <c:pt idx="15">
                  <c:v>0.67</c:v>
                </c:pt>
                <c:pt idx="16">
                  <c:v>0.7</c:v>
                </c:pt>
                <c:pt idx="17">
                  <c:v>0.72</c:v>
                </c:pt>
                <c:pt idx="18">
                  <c:v>0.73</c:v>
                </c:pt>
                <c:pt idx="19">
                  <c:v>0.75</c:v>
                </c:pt>
                <c:pt idx="20">
                  <c:v>0.76</c:v>
                </c:pt>
                <c:pt idx="21">
                  <c:v>0.77</c:v>
                </c:pt>
                <c:pt idx="22">
                  <c:v>0.79</c:v>
                </c:pt>
                <c:pt idx="23">
                  <c:v>0.8</c:v>
                </c:pt>
                <c:pt idx="24">
                  <c:v>0.83</c:v>
                </c:pt>
                <c:pt idx="25">
                  <c:v>0.84</c:v>
                </c:pt>
              </c:numCache>
            </c:numRef>
          </c:val>
          <c:extLst xmlns:c16r2="http://schemas.microsoft.com/office/drawing/2015/06/chart">
            <c:ext xmlns:c16="http://schemas.microsoft.com/office/drawing/2014/chart" uri="{C3380CC4-5D6E-409C-BE32-E72D297353CC}">
              <c16:uniqueId val="{00000000-8DDE-4A96-9303-04329E5D3825}"/>
            </c:ext>
          </c:extLst>
        </c:ser>
        <c:dLbls>
          <c:showLegendKey val="0"/>
          <c:showVal val="0"/>
          <c:showCatName val="0"/>
          <c:showSerName val="0"/>
          <c:showPercent val="0"/>
          <c:showBubbleSize val="0"/>
        </c:dLbls>
        <c:gapWidth val="219"/>
        <c:overlap val="-27"/>
        <c:axId val="225908464"/>
        <c:axId val="225908856"/>
      </c:barChart>
      <c:catAx>
        <c:axId val="22590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908856"/>
        <c:crosses val="autoZero"/>
        <c:auto val="1"/>
        <c:lblAlgn val="ctr"/>
        <c:lblOffset val="100"/>
        <c:noMultiLvlLbl val="0"/>
      </c:catAx>
      <c:valAx>
        <c:axId val="225908856"/>
        <c:scaling>
          <c:orientation val="minMax"/>
          <c:max val="1"/>
        </c:scaling>
        <c:delete val="0"/>
        <c:axPos val="l"/>
        <c:majorGridlines>
          <c:spPr>
            <a:ln w="9525" cap="flat" cmpd="sng" algn="ctr">
              <a:solidFill>
                <a:schemeClr val="bg1">
                  <a:lumMod val="75000"/>
                </a:schemeClr>
              </a:solidFill>
              <a:prstDash val="dash"/>
              <a:round/>
            </a:ln>
            <a:effectLst/>
          </c:spPr>
        </c:majorGridlines>
        <c:numFmt formatCode="#,##0.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908464"/>
        <c:crosses val="autoZero"/>
        <c:crossBetween val="between"/>
        <c:majorUnit val="0.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sk-SK"/>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857490035967721E-2"/>
          <c:y val="4.8436811977102597E-2"/>
          <c:w val="0.90789206904692465"/>
          <c:h val="0.65885020647187931"/>
        </c:manualLayout>
      </c:layout>
      <c:barChart>
        <c:barDir val="col"/>
        <c:grouping val="stacked"/>
        <c:varyColors val="0"/>
        <c:ser>
          <c:idx val="0"/>
          <c:order val="0"/>
          <c:tx>
            <c:strRef>
              <c:f>'Scope waterfall PASTE'!$R$2</c:f>
              <c:strCache>
                <c:ptCount val="1"/>
                <c:pt idx="0">
                  <c:v>xxx</c:v>
                </c:pt>
              </c:strCache>
            </c:strRef>
          </c:tx>
          <c:spPr>
            <a:noFill/>
            <a:ln>
              <a:noFill/>
            </a:ln>
            <a:effectLst/>
          </c:spPr>
          <c:invertIfNegative val="0"/>
          <c:dPt>
            <c:idx val="11"/>
            <c:invertIfNegative val="0"/>
            <c:bubble3D val="0"/>
            <c:spPr>
              <a:solidFill>
                <a:srgbClr val="002060"/>
              </a:solidFill>
              <a:ln>
                <a:solidFill>
                  <a:srgbClr val="002060"/>
                </a:solidFill>
              </a:ln>
              <a:effectLst/>
            </c:spPr>
          </c:dPt>
          <c:dLbls>
            <c:dLbl>
              <c:idx val="11"/>
              <c:layout>
                <c:manualLayout>
                  <c:x val="0"/>
                  <c:y val="-0.35667751310266027"/>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'Scope waterfall PASTE'!$Q$3:$Q$14</c:f>
              <c:strCache>
                <c:ptCount val="12"/>
                <c:pt idx="0">
                  <c:v>Vnútorná správa</c:v>
                </c:pt>
                <c:pt idx="1">
                  <c:v>Financovanie</c:v>
                </c:pt>
                <c:pt idx="2">
                  <c:v>Právo a legislatíva</c:v>
                </c:pt>
                <c:pt idx="3">
                  <c:v>Kancelária ministra</c:v>
                </c:pt>
                <c:pt idx="4">
                  <c:v>Medzinárodné  vzťahy</c:v>
                </c:pt>
                <c:pt idx="5">
                  <c:v>IT</c:v>
                </c:pt>
                <c:pt idx="6">
                  <c:v>Ľudské zdroje</c:v>
                </c:pt>
                <c:pt idx="7">
                  <c:v>Verejné obstarávanie</c:v>
                </c:pt>
                <c:pt idx="8">
                  <c:v>Kancelária št. tajomníka</c:v>
                </c:pt>
                <c:pt idx="9">
                  <c:v>Kancelária gen. tajomníka</c:v>
                </c:pt>
                <c:pt idx="10">
                  <c:v>Majetkové práva a PRO</c:v>
                </c:pt>
                <c:pt idx="11">
                  <c:v>Spolu</c:v>
                </c:pt>
              </c:strCache>
            </c:strRef>
          </c:cat>
          <c:val>
            <c:numRef>
              <c:f>'Scope waterfall PASTE'!$R$3:$R$14</c:f>
              <c:numCache>
                <c:formatCode>General</c:formatCode>
                <c:ptCount val="12"/>
                <c:pt idx="0">
                  <c:v>0</c:v>
                </c:pt>
                <c:pt idx="1">
                  <c:v>394.85</c:v>
                </c:pt>
                <c:pt idx="2">
                  <c:v>703.3900000000001</c:v>
                </c:pt>
                <c:pt idx="3">
                  <c:v>948.2600000000001</c:v>
                </c:pt>
                <c:pt idx="4">
                  <c:v>1167.8900000000001</c:v>
                </c:pt>
                <c:pt idx="5">
                  <c:v>1335.1200000000001</c:v>
                </c:pt>
                <c:pt idx="6">
                  <c:v>1523.22</c:v>
                </c:pt>
                <c:pt idx="7">
                  <c:v>1687.47</c:v>
                </c:pt>
                <c:pt idx="8">
                  <c:v>1787.27</c:v>
                </c:pt>
                <c:pt idx="9">
                  <c:v>1861.77</c:v>
                </c:pt>
                <c:pt idx="10">
                  <c:v>1919.36</c:v>
                </c:pt>
                <c:pt idx="11">
                  <c:v>1951.1</c:v>
                </c:pt>
              </c:numCache>
            </c:numRef>
          </c:val>
        </c:ser>
        <c:ser>
          <c:idx val="1"/>
          <c:order val="1"/>
          <c:tx>
            <c:strRef>
              <c:f>'Scope waterfall PASTE'!$S$2</c:f>
              <c:strCache>
                <c:ptCount val="1"/>
                <c:pt idx="0">
                  <c:v>Oblasť vstupujúca do analýzy</c:v>
                </c:pt>
              </c:strCache>
            </c:strRef>
          </c:tx>
          <c:spPr>
            <a:solidFill>
              <a:srgbClr val="00B0F0"/>
            </a:solidFill>
            <a:ln>
              <a:noFill/>
            </a:ln>
            <a:effectLst/>
          </c:spPr>
          <c:invertIfNegative val="0"/>
          <c:dPt>
            <c:idx val="8"/>
            <c:invertIfNegative val="0"/>
            <c:bubble3D val="0"/>
            <c:spPr>
              <a:solidFill>
                <a:schemeClr val="bg1">
                  <a:lumMod val="65000"/>
                </a:schemeClr>
              </a:solidFill>
              <a:ln>
                <a:noFill/>
              </a:ln>
              <a:effectLst/>
            </c:spPr>
          </c:dPt>
          <c:dPt>
            <c:idx val="9"/>
            <c:invertIfNegative val="0"/>
            <c:bubble3D val="0"/>
            <c:spPr>
              <a:solidFill>
                <a:schemeClr val="bg1">
                  <a:lumMod val="65000"/>
                </a:schemeClr>
              </a:solidFill>
              <a:ln>
                <a:noFill/>
              </a:ln>
              <a:effectLst/>
            </c:spPr>
          </c:dPt>
          <c:dPt>
            <c:idx val="10"/>
            <c:invertIfNegative val="0"/>
            <c:bubble3D val="0"/>
            <c:spPr>
              <a:solidFill>
                <a:schemeClr val="bg1">
                  <a:lumMod val="65000"/>
                </a:schemeClr>
              </a:solidFill>
              <a:ln>
                <a:noFill/>
              </a:ln>
              <a:effectLst/>
            </c:spPr>
          </c:dPt>
          <c:dLbls>
            <c:dLbl>
              <c:idx val="8"/>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inBase"/>
              <c:showLegendKey val="0"/>
              <c:showVal val="1"/>
              <c:showCatName val="0"/>
              <c:showSerName val="0"/>
              <c:showPercent val="0"/>
              <c:showBubbleSize val="0"/>
              <c:extLst>
                <c:ext xmlns:c15="http://schemas.microsoft.com/office/drawing/2012/chart" uri="{CE6537A1-D6FC-4f65-9D91-7224C49458BB}"/>
              </c:extLst>
            </c:dLbl>
            <c:dLbl>
              <c:idx val="9"/>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inBase"/>
              <c:showLegendKey val="0"/>
              <c:showVal val="1"/>
              <c:showCatName val="0"/>
              <c:showSerName val="0"/>
              <c:showPercent val="0"/>
              <c:showBubbleSize val="0"/>
              <c:extLst>
                <c:ext xmlns:c15="http://schemas.microsoft.com/office/drawing/2012/chart" uri="{CE6537A1-D6FC-4f65-9D91-7224C49458BB}"/>
              </c:extLst>
            </c:dLbl>
            <c:dLbl>
              <c:idx val="1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inBase"/>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'Scope waterfall PASTE'!$Q$3:$Q$14</c:f>
              <c:strCache>
                <c:ptCount val="12"/>
                <c:pt idx="0">
                  <c:v>Vnútorná správa</c:v>
                </c:pt>
                <c:pt idx="1">
                  <c:v>Financovanie</c:v>
                </c:pt>
                <c:pt idx="2">
                  <c:v>Právo a legislatíva</c:v>
                </c:pt>
                <c:pt idx="3">
                  <c:v>Kancelária ministra</c:v>
                </c:pt>
                <c:pt idx="4">
                  <c:v>Medzinárodné  vzťahy</c:v>
                </c:pt>
                <c:pt idx="5">
                  <c:v>IT</c:v>
                </c:pt>
                <c:pt idx="6">
                  <c:v>Ľudské zdroje</c:v>
                </c:pt>
                <c:pt idx="7">
                  <c:v>Verejné obstarávanie</c:v>
                </c:pt>
                <c:pt idx="8">
                  <c:v>Kancelária št. tajomníka</c:v>
                </c:pt>
                <c:pt idx="9">
                  <c:v>Kancelária gen. tajomníka</c:v>
                </c:pt>
                <c:pt idx="10">
                  <c:v>Majetkové práva a PRO</c:v>
                </c:pt>
                <c:pt idx="11">
                  <c:v>Spolu</c:v>
                </c:pt>
              </c:strCache>
            </c:strRef>
          </c:cat>
          <c:val>
            <c:numRef>
              <c:f>'Scope waterfall PASTE'!$S$3:$S$14</c:f>
              <c:numCache>
                <c:formatCode>General</c:formatCode>
                <c:ptCount val="12"/>
                <c:pt idx="0">
                  <c:v>394.85</c:v>
                </c:pt>
                <c:pt idx="1">
                  <c:v>308.54000000000002</c:v>
                </c:pt>
                <c:pt idx="2">
                  <c:v>244.87</c:v>
                </c:pt>
                <c:pt idx="3">
                  <c:v>219.63</c:v>
                </c:pt>
                <c:pt idx="4">
                  <c:v>167.23</c:v>
                </c:pt>
                <c:pt idx="5">
                  <c:v>188.1</c:v>
                </c:pt>
                <c:pt idx="6">
                  <c:v>164.25</c:v>
                </c:pt>
                <c:pt idx="7">
                  <c:v>99.8</c:v>
                </c:pt>
                <c:pt idx="8">
                  <c:v>74.5</c:v>
                </c:pt>
                <c:pt idx="9">
                  <c:v>57.589999999999996</c:v>
                </c:pt>
                <c:pt idx="10">
                  <c:v>31.74</c:v>
                </c:pt>
              </c:numCache>
            </c:numRef>
          </c:val>
        </c:ser>
        <c:ser>
          <c:idx val="2"/>
          <c:order val="2"/>
          <c:tx>
            <c:strRef>
              <c:f>'Scope waterfall PASTE'!$T$2</c:f>
              <c:strCache>
                <c:ptCount val="1"/>
                <c:pt idx="0">
                  <c:v>Oblasť nevstupujúca do analýzy</c:v>
                </c:pt>
              </c:strCache>
            </c:strRef>
          </c:tx>
          <c:spPr>
            <a:solidFill>
              <a:schemeClr val="accent3"/>
            </a:solidFill>
            <a:ln>
              <a:noFill/>
            </a:ln>
            <a:effectLst/>
          </c:spPr>
          <c:invertIfNegative val="0"/>
          <c:cat>
            <c:strRef>
              <c:f>'Scope waterfall PASTE'!$Q$3:$Q$14</c:f>
              <c:strCache>
                <c:ptCount val="12"/>
                <c:pt idx="0">
                  <c:v>Vnútorná správa</c:v>
                </c:pt>
                <c:pt idx="1">
                  <c:v>Financovanie</c:v>
                </c:pt>
                <c:pt idx="2">
                  <c:v>Právo a legislatíva</c:v>
                </c:pt>
                <c:pt idx="3">
                  <c:v>Kancelária ministra</c:v>
                </c:pt>
                <c:pt idx="4">
                  <c:v>Medzinárodné  vzťahy</c:v>
                </c:pt>
                <c:pt idx="5">
                  <c:v>IT</c:v>
                </c:pt>
                <c:pt idx="6">
                  <c:v>Ľudské zdroje</c:v>
                </c:pt>
                <c:pt idx="7">
                  <c:v>Verejné obstarávanie</c:v>
                </c:pt>
                <c:pt idx="8">
                  <c:v>Kancelária št. tajomníka</c:v>
                </c:pt>
                <c:pt idx="9">
                  <c:v>Kancelária gen. tajomníka</c:v>
                </c:pt>
                <c:pt idx="10">
                  <c:v>Majetkové práva a PRO</c:v>
                </c:pt>
                <c:pt idx="11">
                  <c:v>Spolu</c:v>
                </c:pt>
              </c:strCache>
            </c:strRef>
          </c:cat>
          <c:val>
            <c:numRef>
              <c:f>'Scope waterfall PASTE'!$T$3:$T$14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dLbls>
          <c:showLegendKey val="0"/>
          <c:showVal val="0"/>
          <c:showCatName val="0"/>
          <c:showSerName val="0"/>
          <c:showPercent val="0"/>
          <c:showBubbleSize val="0"/>
        </c:dLbls>
        <c:gapWidth val="150"/>
        <c:overlap val="100"/>
        <c:axId val="225909248"/>
        <c:axId val="225910032"/>
      </c:barChart>
      <c:catAx>
        <c:axId val="2259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5910032"/>
        <c:crosses val="autoZero"/>
        <c:auto val="1"/>
        <c:lblAlgn val="ctr"/>
        <c:lblOffset val="100"/>
        <c:noMultiLvlLbl val="0"/>
      </c:catAx>
      <c:valAx>
        <c:axId val="225910032"/>
        <c:scaling>
          <c:orientation val="minMax"/>
          <c:max val="2000"/>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909248"/>
        <c:crosses val="autoZero"/>
        <c:crossBetween val="between"/>
        <c:majorUnit val="500"/>
      </c:valAx>
      <c:spPr>
        <a:noFill/>
        <a:ln>
          <a:noFill/>
        </a:ln>
        <a:effectLst/>
      </c:spPr>
    </c:plotArea>
    <c:legend>
      <c:legendPos val="b"/>
      <c:legendEntry>
        <c:idx val="0"/>
        <c:delete val="1"/>
      </c:legendEntry>
      <c:layout>
        <c:manualLayout>
          <c:xMode val="edge"/>
          <c:yMode val="edge"/>
          <c:x val="7.3997000374953145E-2"/>
          <c:y val="6.3503481623156721E-2"/>
          <c:w val="0.48208535852853412"/>
          <c:h val="0.140232329003038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36088136565499"/>
          <c:y val="4.4676507864120737E-2"/>
          <c:w val="0.83929501220779978"/>
          <c:h val="0.83423454212615344"/>
        </c:manualLayout>
      </c:layout>
      <c:lineChart>
        <c:grouping val="standard"/>
        <c:varyColors val="0"/>
        <c:ser>
          <c:idx val="0"/>
          <c:order val="0"/>
          <c:tx>
            <c:strRef>
              <c:f>'Charts_per FTE costs'!$R$1</c:f>
              <c:strCache>
                <c:ptCount val="1"/>
                <c:pt idx="0">
                  <c:v>Min</c:v>
                </c:pt>
              </c:strCache>
            </c:strRef>
          </c:tx>
          <c:spPr>
            <a:ln w="28575" cap="rnd">
              <a:noFill/>
              <a:round/>
            </a:ln>
            <a:effectLst/>
          </c:spPr>
          <c:marker>
            <c:symbol val="circle"/>
            <c:size val="5"/>
            <c:spPr>
              <a:noFill/>
              <a:ln w="9525">
                <a:noFill/>
              </a:ln>
              <a:effectLst/>
            </c:spPr>
          </c:marker>
          <c:cat>
            <c:strRef>
              <c:f>'Charts_per FTE costs'!$Q$2:$Q$5</c:f>
              <c:strCache>
                <c:ptCount val="4"/>
                <c:pt idx="0">
                  <c:v>Ľudské zdroje </c:v>
                </c:pt>
                <c:pt idx="1">
                  <c:v>IT </c:v>
                </c:pt>
                <c:pt idx="2">
                  <c:v>Vnútorná správa </c:v>
                </c:pt>
                <c:pt idx="3">
                  <c:v>Verejné obstarávanie </c:v>
                </c:pt>
              </c:strCache>
            </c:strRef>
          </c:cat>
          <c:val>
            <c:numRef>
              <c:f>'Charts_per FTE costs'!$R$2:$R$5</c:f>
              <c:numCache>
                <c:formatCode>_-* #\ ##0\ [$€-1]_-;\-* #\ ##0\ [$€-1]_-;_-* "-"??\ [$€-1]_-;_-@_-</c:formatCode>
                <c:ptCount val="4"/>
                <c:pt idx="0">
                  <c:v>316.26094520150775</c:v>
                </c:pt>
                <c:pt idx="1">
                  <c:v>540.74192546583856</c:v>
                </c:pt>
                <c:pt idx="2">
                  <c:v>836.33867787764564</c:v>
                </c:pt>
                <c:pt idx="3">
                  <c:v>119.75575529138882</c:v>
                </c:pt>
              </c:numCache>
            </c:numRef>
          </c:val>
          <c:smooth val="0"/>
          <c:extLst xmlns:c16r2="http://schemas.microsoft.com/office/drawing/2015/06/chart">
            <c:ext xmlns:c16="http://schemas.microsoft.com/office/drawing/2014/chart" uri="{C3380CC4-5D6E-409C-BE32-E72D297353CC}">
              <c16:uniqueId val="{00000000-7555-4FF2-929C-8600797D546B}"/>
            </c:ext>
          </c:extLst>
        </c:ser>
        <c:ser>
          <c:idx val="1"/>
          <c:order val="1"/>
          <c:tx>
            <c:strRef>
              <c:f>'Charts_per FTE costs'!$S$1</c:f>
              <c:strCache>
                <c:ptCount val="1"/>
                <c:pt idx="0">
                  <c:v>Medián</c:v>
                </c:pt>
              </c:strCache>
            </c:strRef>
          </c:tx>
          <c:spPr>
            <a:ln w="28575" cap="rnd">
              <a:noFill/>
              <a:round/>
            </a:ln>
            <a:effectLst/>
          </c:spPr>
          <c:marker>
            <c:symbol val="square"/>
            <c:size val="5"/>
            <c:spPr>
              <a:solidFill>
                <a:srgbClr val="00B0F0"/>
              </a:solidFill>
              <a:ln w="9525">
                <a:noFill/>
              </a:ln>
              <a:effectLst/>
            </c:spPr>
          </c:marker>
          <c:cat>
            <c:strRef>
              <c:f>'Charts_per FTE costs'!$Q$2:$Q$5</c:f>
              <c:strCache>
                <c:ptCount val="4"/>
                <c:pt idx="0">
                  <c:v>Ľudské zdroje </c:v>
                </c:pt>
                <c:pt idx="1">
                  <c:v>IT </c:v>
                </c:pt>
                <c:pt idx="2">
                  <c:v>Vnútorná správa </c:v>
                </c:pt>
                <c:pt idx="3">
                  <c:v>Verejné obstarávanie </c:v>
                </c:pt>
              </c:strCache>
            </c:strRef>
          </c:cat>
          <c:val>
            <c:numRef>
              <c:f>'Charts_per FTE costs'!$S$2:$S$5</c:f>
              <c:numCache>
                <c:formatCode>_-* #\ ##0\ [$€-1]_-;\-* #\ ##0\ [$€-1]_-;_-* "-"??\ [$€-1]_-;_-@_-</c:formatCode>
                <c:ptCount val="4"/>
                <c:pt idx="0">
                  <c:v>836.14403000858192</c:v>
                </c:pt>
                <c:pt idx="1">
                  <c:v>1344.5936251156427</c:v>
                </c:pt>
                <c:pt idx="2">
                  <c:v>2171.2189972832757</c:v>
                </c:pt>
                <c:pt idx="3">
                  <c:v>465.74293119670546</c:v>
                </c:pt>
              </c:numCache>
            </c:numRef>
          </c:val>
          <c:smooth val="0"/>
          <c:extLst xmlns:c16r2="http://schemas.microsoft.com/office/drawing/2015/06/chart">
            <c:ext xmlns:c16="http://schemas.microsoft.com/office/drawing/2014/chart" uri="{C3380CC4-5D6E-409C-BE32-E72D297353CC}">
              <c16:uniqueId val="{00000001-7555-4FF2-929C-8600797D546B}"/>
            </c:ext>
          </c:extLst>
        </c:ser>
        <c:ser>
          <c:idx val="2"/>
          <c:order val="2"/>
          <c:tx>
            <c:strRef>
              <c:f>'Charts_per FTE costs'!$T$1</c:f>
              <c:strCache>
                <c:ptCount val="1"/>
                <c:pt idx="0">
                  <c:v>Max</c:v>
                </c:pt>
              </c:strCache>
            </c:strRef>
          </c:tx>
          <c:spPr>
            <a:ln w="28575" cap="rnd">
              <a:noFill/>
              <a:round/>
            </a:ln>
            <a:effectLst/>
          </c:spPr>
          <c:marker>
            <c:symbol val="circle"/>
            <c:size val="5"/>
            <c:spPr>
              <a:noFill/>
              <a:ln w="9525">
                <a:noFill/>
              </a:ln>
              <a:effectLst/>
            </c:spPr>
          </c:marker>
          <c:cat>
            <c:strRef>
              <c:f>'Charts_per FTE costs'!$Q$2:$Q$5</c:f>
              <c:strCache>
                <c:ptCount val="4"/>
                <c:pt idx="0">
                  <c:v>Ľudské zdroje </c:v>
                </c:pt>
                <c:pt idx="1">
                  <c:v>IT </c:v>
                </c:pt>
                <c:pt idx="2">
                  <c:v>Vnútorná správa </c:v>
                </c:pt>
                <c:pt idx="3">
                  <c:v>Verejné obstarávanie </c:v>
                </c:pt>
              </c:strCache>
            </c:strRef>
          </c:cat>
          <c:val>
            <c:numRef>
              <c:f>'Charts_per FTE costs'!$T$2:$T$5</c:f>
              <c:numCache>
                <c:formatCode>_-* #\ ##0\ [$€-1]_-;\-* #\ ##0\ [$€-1]_-;_-* "-"??\ [$€-1]_-;_-@_-</c:formatCode>
                <c:ptCount val="4"/>
                <c:pt idx="0">
                  <c:v>1156.1524498532378</c:v>
                </c:pt>
                <c:pt idx="1">
                  <c:v>2408.5587286063569</c:v>
                </c:pt>
                <c:pt idx="2">
                  <c:v>2946.9322371699077</c:v>
                </c:pt>
                <c:pt idx="3">
                  <c:v>967.36455175400602</c:v>
                </c:pt>
              </c:numCache>
            </c:numRef>
          </c:val>
          <c:smooth val="0"/>
          <c:extLst xmlns:c16r2="http://schemas.microsoft.com/office/drawing/2015/06/chart">
            <c:ext xmlns:c16="http://schemas.microsoft.com/office/drawing/2014/chart" uri="{C3380CC4-5D6E-409C-BE32-E72D297353CC}">
              <c16:uniqueId val="{00000002-7555-4FF2-929C-8600797D546B}"/>
            </c:ext>
          </c:extLst>
        </c:ser>
        <c:dLbls>
          <c:showLegendKey val="0"/>
          <c:showVal val="0"/>
          <c:showCatName val="0"/>
          <c:showSerName val="0"/>
          <c:showPercent val="0"/>
          <c:showBubbleSize val="0"/>
        </c:dLbls>
        <c:hiLowLines>
          <c:spPr>
            <a:ln w="9525" cap="flat" cmpd="sng" algn="ctr">
              <a:solidFill>
                <a:srgbClr val="00B0F0"/>
              </a:solidFill>
              <a:round/>
            </a:ln>
            <a:effectLst/>
          </c:spPr>
        </c:hiLowLines>
        <c:marker val="1"/>
        <c:smooth val="0"/>
        <c:axId val="225910816"/>
        <c:axId val="225453512"/>
      </c:lineChart>
      <c:catAx>
        <c:axId val="225910816"/>
        <c:scaling>
          <c:orientation val="minMax"/>
        </c:scaling>
        <c:delete val="0"/>
        <c:axPos val="b"/>
        <c:numFmt formatCode="General" sourceLinked="1"/>
        <c:majorTickMark val="none"/>
        <c:minorTickMark val="none"/>
        <c:tickLblPos val="nextTo"/>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453512"/>
        <c:crosses val="autoZero"/>
        <c:auto val="1"/>
        <c:lblAlgn val="ctr"/>
        <c:lblOffset val="100"/>
        <c:noMultiLvlLbl val="0"/>
      </c:catAx>
      <c:valAx>
        <c:axId val="225453512"/>
        <c:scaling>
          <c:orientation val="minMax"/>
          <c:max val="3000"/>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5910816"/>
        <c:crosses val="autoZero"/>
        <c:crossBetween val="between"/>
        <c:majorUnit val="1000"/>
      </c:valAx>
      <c:spPr>
        <a:noFill/>
        <a:ln>
          <a:noFill/>
        </a:ln>
        <a:effectLst/>
      </c:spPr>
    </c:plotArea>
    <c:legend>
      <c:legendPos val="b"/>
      <c:legendEntry>
        <c:idx val="0"/>
        <c:delete val="1"/>
      </c:legendEntry>
      <c:legendEntry>
        <c:idx val="2"/>
        <c:delete val="1"/>
      </c:legendEntry>
      <c:layout>
        <c:manualLayout>
          <c:xMode val="edge"/>
          <c:yMode val="edge"/>
          <c:x val="0.65500473013210392"/>
          <c:y val="9.4792570492624795E-2"/>
          <c:w val="0.33720948657911015"/>
          <c:h val="9.107769304945070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50071581961345"/>
          <c:y val="3.159689911988333E-2"/>
          <c:w val="0.8602007874015748"/>
          <c:h val="0.83434688304701066"/>
        </c:manualLayout>
      </c:layout>
      <c:barChart>
        <c:barDir val="col"/>
        <c:grouping val="stacked"/>
        <c:varyColors val="0"/>
        <c:ser>
          <c:idx val="0"/>
          <c:order val="0"/>
          <c:tx>
            <c:strRef>
              <c:f>Chart_salaries!$A$89</c:f>
              <c:strCache>
                <c:ptCount val="1"/>
                <c:pt idx="0">
                  <c:v>Hrubá mesačná mzda</c:v>
                </c:pt>
              </c:strCache>
            </c:strRef>
          </c:tx>
          <c:spPr>
            <a:solidFill>
              <a:srgbClr val="0070C0"/>
            </a:solidFill>
            <a:ln>
              <a:noFill/>
            </a:ln>
            <a:effectLst/>
          </c:spPr>
          <c:invertIfNegative val="0"/>
          <c:cat>
            <c:strRef>
              <c:f>Chart_salaries!$B$87:$O$87</c:f>
              <c:strCache>
                <c:ptCount val="12"/>
                <c:pt idx="0">
                  <c:v>A</c:v>
                </c:pt>
                <c:pt idx="1">
                  <c:v>B</c:v>
                </c:pt>
                <c:pt idx="2">
                  <c:v>C</c:v>
                </c:pt>
                <c:pt idx="3">
                  <c:v>D</c:v>
                </c:pt>
                <c:pt idx="4">
                  <c:v>E</c:v>
                </c:pt>
                <c:pt idx="5">
                  <c:v>F</c:v>
                </c:pt>
                <c:pt idx="6">
                  <c:v>G</c:v>
                </c:pt>
                <c:pt idx="7">
                  <c:v>H</c:v>
                </c:pt>
                <c:pt idx="8">
                  <c:v>I</c:v>
                </c:pt>
                <c:pt idx="9">
                  <c:v>J</c:v>
                </c:pt>
                <c:pt idx="10">
                  <c:v>K</c:v>
                </c:pt>
                <c:pt idx="11">
                  <c:v>L</c:v>
                </c:pt>
              </c:strCache>
              <c:extLst/>
            </c:strRef>
          </c:cat>
          <c:val>
            <c:numRef>
              <c:f>Chart_salaries!$B$89:$O$89</c:f>
              <c:numCache>
                <c:formatCode>#\ ##0\ "€"</c:formatCode>
                <c:ptCount val="12"/>
                <c:pt idx="0">
                  <c:v>1544.7292354017068</c:v>
                </c:pt>
                <c:pt idx="1">
                  <c:v>1761.0633682363609</c:v>
                </c:pt>
                <c:pt idx="2">
                  <c:v>1528.1685950917415</c:v>
                </c:pt>
                <c:pt idx="3">
                  <c:v>1666.4129457574986</c:v>
                </c:pt>
                <c:pt idx="4">
                  <c:v>1277.7626731248804</c:v>
                </c:pt>
                <c:pt idx="5">
                  <c:v>1666.2208481908083</c:v>
                </c:pt>
                <c:pt idx="6">
                  <c:v>1864.5649050059694</c:v>
                </c:pt>
                <c:pt idx="7">
                  <c:v>1462.7475782186284</c:v>
                </c:pt>
                <c:pt idx="8">
                  <c:v>1478.4027856316541</c:v>
                </c:pt>
                <c:pt idx="9">
                  <c:v>1027.3365877953513</c:v>
                </c:pt>
                <c:pt idx="10">
                  <c:v>1562.3062006830546</c:v>
                </c:pt>
                <c:pt idx="11">
                  <c:v>1498.9675789459891</c:v>
                </c:pt>
              </c:numCache>
              <c:extLst/>
            </c:numRef>
          </c:val>
          <c:extLst xmlns:c16r2="http://schemas.microsoft.com/office/drawing/2015/06/chart">
            <c:ext xmlns:c16="http://schemas.microsoft.com/office/drawing/2014/chart" uri="{C3380CC4-5D6E-409C-BE32-E72D297353CC}">
              <c16:uniqueId val="{00000000-296E-49E9-B996-F68F4320E8D6}"/>
            </c:ext>
          </c:extLst>
        </c:ser>
        <c:ser>
          <c:idx val="1"/>
          <c:order val="1"/>
          <c:tx>
            <c:strRef>
              <c:f>Chart_salaries!$A$90</c:f>
              <c:strCache>
                <c:ptCount val="1"/>
                <c:pt idx="0">
                  <c:v>Odmeny</c:v>
                </c:pt>
              </c:strCache>
            </c:strRef>
          </c:tx>
          <c:spPr>
            <a:solidFill>
              <a:srgbClr val="00B0F0"/>
            </a:solidFill>
            <a:ln>
              <a:noFill/>
            </a:ln>
            <a:effectLst/>
          </c:spPr>
          <c:invertIfNegative val="0"/>
          <c:cat>
            <c:strRef>
              <c:f>Chart_salaries!$B$87:$O$87</c:f>
              <c:strCache>
                <c:ptCount val="12"/>
                <c:pt idx="0">
                  <c:v>A</c:v>
                </c:pt>
                <c:pt idx="1">
                  <c:v>B</c:v>
                </c:pt>
                <c:pt idx="2">
                  <c:v>C</c:v>
                </c:pt>
                <c:pt idx="3">
                  <c:v>D</c:v>
                </c:pt>
                <c:pt idx="4">
                  <c:v>E</c:v>
                </c:pt>
                <c:pt idx="5">
                  <c:v>F</c:v>
                </c:pt>
                <c:pt idx="6">
                  <c:v>G</c:v>
                </c:pt>
                <c:pt idx="7">
                  <c:v>H</c:v>
                </c:pt>
                <c:pt idx="8">
                  <c:v>I</c:v>
                </c:pt>
                <c:pt idx="9">
                  <c:v>J</c:v>
                </c:pt>
                <c:pt idx="10">
                  <c:v>K</c:v>
                </c:pt>
                <c:pt idx="11">
                  <c:v>L</c:v>
                </c:pt>
              </c:strCache>
              <c:extLst/>
            </c:strRef>
          </c:cat>
          <c:val>
            <c:numRef>
              <c:f>Chart_salaries!$B$90:$O$90</c:f>
              <c:numCache>
                <c:formatCode>#\ ##0\ "€"</c:formatCode>
                <c:ptCount val="12"/>
                <c:pt idx="0">
                  <c:v>153.37072586088644</c:v>
                </c:pt>
                <c:pt idx="1">
                  <c:v>163.25911401492928</c:v>
                </c:pt>
                <c:pt idx="2">
                  <c:v>163.7231824616041</c:v>
                </c:pt>
                <c:pt idx="3">
                  <c:v>199.14791114898981</c:v>
                </c:pt>
                <c:pt idx="4">
                  <c:v>173.05722666322777</c:v>
                </c:pt>
                <c:pt idx="5">
                  <c:v>258.6539991332732</c:v>
                </c:pt>
                <c:pt idx="6">
                  <c:v>221.25171675774132</c:v>
                </c:pt>
                <c:pt idx="7">
                  <c:v>156.09537943825387</c:v>
                </c:pt>
                <c:pt idx="8">
                  <c:v>225.52159541239709</c:v>
                </c:pt>
                <c:pt idx="9">
                  <c:v>62.005335460755916</c:v>
                </c:pt>
                <c:pt idx="10">
                  <c:v>152.39646513743631</c:v>
                </c:pt>
                <c:pt idx="11">
                  <c:v>131.39859531054813</c:v>
                </c:pt>
              </c:numCache>
              <c:extLst/>
            </c:numRef>
          </c:val>
          <c:extLst xmlns:c16r2="http://schemas.microsoft.com/office/drawing/2015/06/chart">
            <c:ext xmlns:c16="http://schemas.microsoft.com/office/drawing/2014/chart" uri="{C3380CC4-5D6E-409C-BE32-E72D297353CC}">
              <c16:uniqueId val="{00000001-296E-49E9-B996-F68F4320E8D6}"/>
            </c:ext>
          </c:extLst>
        </c:ser>
        <c:dLbls>
          <c:showLegendKey val="0"/>
          <c:showVal val="0"/>
          <c:showCatName val="0"/>
          <c:showSerName val="0"/>
          <c:showPercent val="0"/>
          <c:showBubbleSize val="0"/>
        </c:dLbls>
        <c:gapWidth val="219"/>
        <c:overlap val="100"/>
        <c:axId val="225454296"/>
        <c:axId val="225454688"/>
      </c:barChart>
      <c:lineChart>
        <c:grouping val="standard"/>
        <c:varyColors val="0"/>
        <c:ser>
          <c:idx val="2"/>
          <c:order val="2"/>
          <c:tx>
            <c:strRef>
              <c:f>Chart_salaries!$A$91</c:f>
              <c:strCache>
                <c:ptCount val="1"/>
                <c:pt idx="0">
                  <c:v>Total</c:v>
                </c:pt>
              </c:strCache>
            </c:strRef>
          </c:tx>
          <c:spPr>
            <a:ln w="28575" cap="rnd">
              <a:noFill/>
              <a:round/>
            </a:ln>
            <a:effectLst/>
          </c:spPr>
          <c:marker>
            <c:symbol val="none"/>
          </c:marker>
          <c:dLbls>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Chart_salaries!$B$87:$O$87</c:f>
              <c:strCache>
                <c:ptCount val="12"/>
                <c:pt idx="0">
                  <c:v>A</c:v>
                </c:pt>
                <c:pt idx="1">
                  <c:v>B</c:v>
                </c:pt>
                <c:pt idx="2">
                  <c:v>C</c:v>
                </c:pt>
                <c:pt idx="3">
                  <c:v>D</c:v>
                </c:pt>
                <c:pt idx="4">
                  <c:v>E</c:v>
                </c:pt>
                <c:pt idx="5">
                  <c:v>F</c:v>
                </c:pt>
                <c:pt idx="6">
                  <c:v>G</c:v>
                </c:pt>
                <c:pt idx="7">
                  <c:v>H</c:v>
                </c:pt>
                <c:pt idx="8">
                  <c:v>I</c:v>
                </c:pt>
                <c:pt idx="9">
                  <c:v>J</c:v>
                </c:pt>
                <c:pt idx="10">
                  <c:v>K</c:v>
                </c:pt>
                <c:pt idx="11">
                  <c:v>L</c:v>
                </c:pt>
              </c:strCache>
              <c:extLst/>
            </c:strRef>
          </c:cat>
          <c:val>
            <c:numRef>
              <c:f>Chart_salaries!$B$91:$O$91</c:f>
              <c:numCache>
                <c:formatCode>#\ ##0\ "€"</c:formatCode>
                <c:ptCount val="12"/>
                <c:pt idx="0">
                  <c:v>1698.0999612625933</c:v>
                </c:pt>
                <c:pt idx="1">
                  <c:v>1924.3224822512902</c:v>
                </c:pt>
                <c:pt idx="2">
                  <c:v>1691.8917775533455</c:v>
                </c:pt>
                <c:pt idx="3">
                  <c:v>1865.5608569064884</c:v>
                </c:pt>
                <c:pt idx="4">
                  <c:v>1450.8198997881082</c:v>
                </c:pt>
                <c:pt idx="5">
                  <c:v>1924.8748473240814</c:v>
                </c:pt>
                <c:pt idx="6">
                  <c:v>2085.8166217637108</c:v>
                </c:pt>
                <c:pt idx="7">
                  <c:v>1618.8429576568824</c:v>
                </c:pt>
                <c:pt idx="8">
                  <c:v>1703.9243810440512</c:v>
                </c:pt>
                <c:pt idx="9">
                  <c:v>1089.3419232561073</c:v>
                </c:pt>
                <c:pt idx="10">
                  <c:v>1714.7026658204909</c:v>
                </c:pt>
                <c:pt idx="11">
                  <c:v>1630.3661742565373</c:v>
                </c:pt>
              </c:numCache>
              <c:extLst/>
            </c:numRef>
          </c:val>
          <c:smooth val="0"/>
          <c:extLst xmlns:c16r2="http://schemas.microsoft.com/office/drawing/2015/06/chart">
            <c:ext xmlns:c16="http://schemas.microsoft.com/office/drawing/2014/chart" uri="{C3380CC4-5D6E-409C-BE32-E72D297353CC}">
              <c16:uniqueId val="{00000002-296E-49E9-B996-F68F4320E8D6}"/>
            </c:ext>
          </c:extLst>
        </c:ser>
        <c:ser>
          <c:idx val="3"/>
          <c:order val="3"/>
          <c:tx>
            <c:strRef>
              <c:f>Chart_salaries!$A$92</c:f>
              <c:strCache>
                <c:ptCount val="1"/>
                <c:pt idx="0">
                  <c:v>Medián </c:v>
                </c:pt>
              </c:strCache>
            </c:strRef>
          </c:tx>
          <c:spPr>
            <a:ln w="28575" cap="rnd">
              <a:solidFill>
                <a:schemeClr val="accent3"/>
              </a:solidFill>
              <a:round/>
            </a:ln>
            <a:effectLst/>
          </c:spPr>
          <c:marker>
            <c:symbol val="none"/>
          </c:marker>
          <c:cat>
            <c:strRef>
              <c:f>Chart_salaries!$B$87:$O$87</c:f>
              <c:strCache>
                <c:ptCount val="12"/>
                <c:pt idx="0">
                  <c:v>A</c:v>
                </c:pt>
                <c:pt idx="1">
                  <c:v>B</c:v>
                </c:pt>
                <c:pt idx="2">
                  <c:v>C</c:v>
                </c:pt>
                <c:pt idx="3">
                  <c:v>D</c:v>
                </c:pt>
                <c:pt idx="4">
                  <c:v>E</c:v>
                </c:pt>
                <c:pt idx="5">
                  <c:v>F</c:v>
                </c:pt>
                <c:pt idx="6">
                  <c:v>G</c:v>
                </c:pt>
                <c:pt idx="7">
                  <c:v>H</c:v>
                </c:pt>
                <c:pt idx="8">
                  <c:v>I</c:v>
                </c:pt>
                <c:pt idx="9">
                  <c:v>J</c:v>
                </c:pt>
                <c:pt idx="10">
                  <c:v>K</c:v>
                </c:pt>
                <c:pt idx="11">
                  <c:v>L</c:v>
                </c:pt>
              </c:strCache>
              <c:extLst/>
            </c:strRef>
          </c:cat>
          <c:val>
            <c:numRef>
              <c:f>Chart_salaries!$B$92:$O$92</c:f>
              <c:numCache>
                <c:formatCode>#\ ##0\ "€"</c:formatCode>
                <c:ptCount val="12"/>
                <c:pt idx="0">
                  <c:v>1701.0121711533222</c:v>
                </c:pt>
                <c:pt idx="1">
                  <c:v>1701.0121711533222</c:v>
                </c:pt>
                <c:pt idx="2">
                  <c:v>1701.0121711533222</c:v>
                </c:pt>
                <c:pt idx="3">
                  <c:v>1701.0121711533222</c:v>
                </c:pt>
                <c:pt idx="4">
                  <c:v>1701.0121711533222</c:v>
                </c:pt>
                <c:pt idx="5">
                  <c:v>1701.0121711533222</c:v>
                </c:pt>
                <c:pt idx="6">
                  <c:v>1701.0121711533222</c:v>
                </c:pt>
                <c:pt idx="7">
                  <c:v>1701.0121711533222</c:v>
                </c:pt>
                <c:pt idx="8">
                  <c:v>1701.0121711533222</c:v>
                </c:pt>
                <c:pt idx="9">
                  <c:v>1701.0121711533222</c:v>
                </c:pt>
                <c:pt idx="10">
                  <c:v>1701.0121711533222</c:v>
                </c:pt>
                <c:pt idx="11">
                  <c:v>1701.0121711533222</c:v>
                </c:pt>
              </c:numCache>
              <c:extLst/>
            </c:numRef>
          </c:val>
          <c:smooth val="0"/>
          <c:extLst xmlns:c16r2="http://schemas.microsoft.com/office/drawing/2015/06/chart">
            <c:ext xmlns:c16="http://schemas.microsoft.com/office/drawing/2014/chart" uri="{C3380CC4-5D6E-409C-BE32-E72D297353CC}">
              <c16:uniqueId val="{00000003-296E-49E9-B996-F68F4320E8D6}"/>
            </c:ext>
          </c:extLst>
        </c:ser>
        <c:dLbls>
          <c:showLegendKey val="0"/>
          <c:showVal val="0"/>
          <c:showCatName val="0"/>
          <c:showSerName val="0"/>
          <c:showPercent val="0"/>
          <c:showBubbleSize val="0"/>
        </c:dLbls>
        <c:marker val="1"/>
        <c:smooth val="0"/>
        <c:axId val="225454296"/>
        <c:axId val="225454688"/>
      </c:lineChart>
      <c:catAx>
        <c:axId val="2254542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sk-SK"/>
                  <a:t>Úrad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225454688"/>
        <c:crosses val="autoZero"/>
        <c:auto val="1"/>
        <c:lblAlgn val="ctr"/>
        <c:lblOffset val="100"/>
        <c:noMultiLvlLbl val="0"/>
      </c:catAx>
      <c:valAx>
        <c:axId val="225454688"/>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454296"/>
        <c:crosses val="autoZero"/>
        <c:crossBetween val="between"/>
      </c:valAx>
      <c:spPr>
        <a:noFill/>
        <a:ln>
          <a:noFill/>
        </a:ln>
        <a:effectLst/>
      </c:spPr>
    </c:plotArea>
    <c:legend>
      <c:legendPos val="b"/>
      <c:legendEntry>
        <c:idx val="2"/>
        <c:delete val="1"/>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Entry>
      <c:layout>
        <c:manualLayout>
          <c:xMode val="edge"/>
          <c:yMode val="edge"/>
          <c:x val="8.6363636363636365E-2"/>
          <c:y val="5.0217745128227687E-2"/>
          <c:w val="0.91004545454545449"/>
          <c:h val="5.530455555969126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417470012510118E-2"/>
          <c:y val="3.5290294595528501E-2"/>
          <c:w val="0.93616132135261021"/>
          <c:h val="0.77906058932277189"/>
        </c:manualLayout>
      </c:layout>
      <c:barChart>
        <c:barDir val="col"/>
        <c:grouping val="clustered"/>
        <c:varyColors val="0"/>
        <c:ser>
          <c:idx val="0"/>
          <c:order val="0"/>
          <c:tx>
            <c:strRef>
              <c:f>Graf_3!$B$7</c:f>
              <c:strCache>
                <c:ptCount val="1"/>
                <c:pt idx="0">
                  <c:v>podiel 2018</c:v>
                </c:pt>
              </c:strCache>
            </c:strRef>
          </c:tx>
          <c:spPr>
            <a:solidFill>
              <a:srgbClr val="00B0F0"/>
            </a:solidFill>
            <a:ln>
              <a:noFill/>
            </a:ln>
          </c:spPr>
          <c:invertIfNegative val="0"/>
          <c:dPt>
            <c:idx val="6"/>
            <c:invertIfNegative val="0"/>
            <c:bubble3D val="0"/>
          </c:dPt>
          <c:dPt>
            <c:idx val="7"/>
            <c:invertIfNegative val="0"/>
            <c:bubble3D val="0"/>
          </c:dPt>
          <c:dPt>
            <c:idx val="9"/>
            <c:invertIfNegative val="0"/>
            <c:bubble3D val="0"/>
          </c:dPt>
          <c:dPt>
            <c:idx val="13"/>
            <c:invertIfNegative val="0"/>
            <c:bubble3D val="0"/>
            <c:spPr>
              <a:solidFill>
                <a:srgbClr val="002060"/>
              </a:solidFill>
              <a:ln>
                <a:noFill/>
              </a:ln>
            </c:spPr>
          </c:dPt>
          <c:dPt>
            <c:idx val="18"/>
            <c:invertIfNegative val="0"/>
            <c:bubble3D val="0"/>
          </c:dPt>
          <c:dPt>
            <c:idx val="20"/>
            <c:invertIfNegative val="0"/>
            <c:bubble3D val="0"/>
          </c:dPt>
          <c:dLbls>
            <c:dLbl>
              <c:idx val="13"/>
              <c:numFmt formatCode="#,##0" sourceLinked="0"/>
              <c:spPr>
                <a:noFill/>
                <a:ln>
                  <a:noFill/>
                </a:ln>
                <a:effectLst/>
              </c:spPr>
              <c:txPr>
                <a:bodyPr wrap="square" lIns="38100" tIns="19050" rIns="38100" bIns="19050" anchor="ctr">
                  <a:spAutoFit/>
                </a:bodyPr>
                <a:lstStyle/>
                <a:p>
                  <a:pPr>
                    <a:defRPr/>
                  </a:pPr>
                  <a:endParaRPr lang="sk-SK"/>
                </a:p>
              </c:txP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Graf_3!$A$8:$A$33</c:f>
              <c:strCache>
                <c:ptCount val="26"/>
                <c:pt idx="0">
                  <c:v>Švédsko</c:v>
                </c:pt>
                <c:pt idx="1">
                  <c:v>Dánsko</c:v>
                </c:pt>
                <c:pt idx="2">
                  <c:v>Fínsko</c:v>
                </c:pt>
                <c:pt idx="3">
                  <c:v>Litva</c:v>
                </c:pt>
                <c:pt idx="4">
                  <c:v>Estónsko</c:v>
                </c:pt>
                <c:pt idx="5">
                  <c:v>Maďarsko</c:v>
                </c:pt>
                <c:pt idx="6">
                  <c:v>Lotyšsko</c:v>
                </c:pt>
                <c:pt idx="7">
                  <c:v>Luxembursko</c:v>
                </c:pt>
                <c:pt idx="8">
                  <c:v>Francúzko</c:v>
                </c:pt>
                <c:pt idx="9">
                  <c:v>Malta</c:v>
                </c:pt>
                <c:pt idx="10">
                  <c:v>Rakúsko</c:v>
                </c:pt>
                <c:pt idx="11">
                  <c:v>Slovinsko</c:v>
                </c:pt>
                <c:pt idx="12">
                  <c:v>Česká republika</c:v>
                </c:pt>
                <c:pt idx="13">
                  <c:v>Slovensko</c:v>
                </c:pt>
                <c:pt idx="14">
                  <c:v>UK</c:v>
                </c:pt>
                <c:pt idx="15">
                  <c:v>Belgicko</c:v>
                </c:pt>
                <c:pt idx="16">
                  <c:v>Cyprus</c:v>
                </c:pt>
                <c:pt idx="17">
                  <c:v>Poľsko</c:v>
                </c:pt>
                <c:pt idx="18">
                  <c:v>Rumunsko</c:v>
                </c:pt>
                <c:pt idx="19">
                  <c:v>Grécko</c:v>
                </c:pt>
                <c:pt idx="20">
                  <c:v>Írsko</c:v>
                </c:pt>
                <c:pt idx="21">
                  <c:v>Portugalsko</c:v>
                </c:pt>
                <c:pt idx="22">
                  <c:v>Španielsko</c:v>
                </c:pt>
                <c:pt idx="23">
                  <c:v>Holandsko</c:v>
                </c:pt>
                <c:pt idx="24">
                  <c:v>Nemecko</c:v>
                </c:pt>
                <c:pt idx="25">
                  <c:v>Taliansko</c:v>
                </c:pt>
              </c:strCache>
            </c:strRef>
          </c:cat>
          <c:val>
            <c:numRef>
              <c:f>Graf_3!$B$8:$B$33</c:f>
              <c:numCache>
                <c:formatCode>0.0</c:formatCode>
                <c:ptCount val="26"/>
                <c:pt idx="0">
                  <c:v>144.56176047964072</c:v>
                </c:pt>
                <c:pt idx="1">
                  <c:v>142.53120897254718</c:v>
                </c:pt>
                <c:pt idx="2">
                  <c:v>114.635424885682</c:v>
                </c:pt>
                <c:pt idx="3">
                  <c:v>108.93940370272929</c:v>
                </c:pt>
                <c:pt idx="4">
                  <c:v>102.33994600999293</c:v>
                </c:pt>
                <c:pt idx="5">
                  <c:v>93.471601762706698</c:v>
                </c:pt>
                <c:pt idx="6">
                  <c:v>91.502234050307621</c:v>
                </c:pt>
                <c:pt idx="7">
                  <c:v>91.361367430503066</c:v>
                </c:pt>
                <c:pt idx="8">
                  <c:v>90.428009875838399</c:v>
                </c:pt>
                <c:pt idx="9">
                  <c:v>86.188593255006822</c:v>
                </c:pt>
                <c:pt idx="10">
                  <c:v>85.238862074793246</c:v>
                </c:pt>
                <c:pt idx="11">
                  <c:v>83.70103731227745</c:v>
                </c:pt>
                <c:pt idx="12">
                  <c:v>83.599943638369453</c:v>
                </c:pt>
                <c:pt idx="13">
                  <c:v>82.122018254236536</c:v>
                </c:pt>
                <c:pt idx="14">
                  <c:v>78.115597685569284</c:v>
                </c:pt>
                <c:pt idx="15">
                  <c:v>77.641188747133526</c:v>
                </c:pt>
                <c:pt idx="16">
                  <c:v>76.368029103161632</c:v>
                </c:pt>
                <c:pt idx="17">
                  <c:v>74.677393528298026</c:v>
                </c:pt>
                <c:pt idx="18">
                  <c:v>71.170255584676198</c:v>
                </c:pt>
                <c:pt idx="19">
                  <c:v>69.452429042845907</c:v>
                </c:pt>
                <c:pt idx="20">
                  <c:v>68.524459298541402</c:v>
                </c:pt>
                <c:pt idx="21">
                  <c:v>68.020422062832026</c:v>
                </c:pt>
                <c:pt idx="22">
                  <c:v>66.483138626538519</c:v>
                </c:pt>
                <c:pt idx="23">
                  <c:v>64.547731679793898</c:v>
                </c:pt>
                <c:pt idx="24">
                  <c:v>57.203352034296017</c:v>
                </c:pt>
                <c:pt idx="25">
                  <c:v>55.568439593080299</c:v>
                </c:pt>
              </c:numCache>
            </c:numRef>
          </c:val>
        </c:ser>
        <c:dLbls>
          <c:showLegendKey val="0"/>
          <c:showVal val="0"/>
          <c:showCatName val="0"/>
          <c:showSerName val="0"/>
          <c:showPercent val="0"/>
          <c:showBubbleSize val="0"/>
        </c:dLbls>
        <c:gapWidth val="150"/>
        <c:axId val="173662016"/>
        <c:axId val="173661624"/>
      </c:barChart>
      <c:lineChart>
        <c:grouping val="standard"/>
        <c:varyColors val="0"/>
        <c:ser>
          <c:idx val="2"/>
          <c:order val="1"/>
          <c:tx>
            <c:strRef>
              <c:f>Graf_3!$C$7</c:f>
              <c:strCache>
                <c:ptCount val="1"/>
                <c:pt idx="0">
                  <c:v>priemer štátov EÚ</c:v>
                </c:pt>
              </c:strCache>
            </c:strRef>
          </c:tx>
          <c:spPr>
            <a:ln>
              <a:solidFill>
                <a:sysClr val="windowText" lastClr="000000"/>
              </a:solidFill>
            </a:ln>
          </c:spPr>
          <c:marker>
            <c:symbol val="none"/>
          </c:marker>
          <c:dLbls>
            <c:dLbl>
              <c:idx val="24"/>
              <c:layout>
                <c:manualLayout>
                  <c:x val="-1.8100326244266378E-2"/>
                  <c:y val="-2.675077380033378E-2"/>
                </c:manualLayout>
              </c:layout>
              <c:numFmt formatCode="#,##0" sourceLinked="0"/>
              <c:spPr>
                <a:noFill/>
                <a:ln>
                  <a:noFill/>
                </a:ln>
                <a:effectLst/>
              </c:spPr>
              <c:txPr>
                <a:bodyPr wrap="square" lIns="38100" tIns="19050" rIns="38100" bIns="19050" anchor="ctr">
                  <a:spAutoFit/>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1"/>
              </c:ext>
            </c:extLst>
          </c:dLbls>
          <c:cat>
            <c:strRef>
              <c:f>Graf_3!$A$8:$A$33</c:f>
              <c:strCache>
                <c:ptCount val="26"/>
                <c:pt idx="0">
                  <c:v>Švédsko</c:v>
                </c:pt>
                <c:pt idx="1">
                  <c:v>Dánsko</c:v>
                </c:pt>
                <c:pt idx="2">
                  <c:v>Fínsko</c:v>
                </c:pt>
                <c:pt idx="3">
                  <c:v>Litva</c:v>
                </c:pt>
                <c:pt idx="4">
                  <c:v>Estónsko</c:v>
                </c:pt>
                <c:pt idx="5">
                  <c:v>Maďarsko</c:v>
                </c:pt>
                <c:pt idx="6">
                  <c:v>Lotyšsko</c:v>
                </c:pt>
                <c:pt idx="7">
                  <c:v>Luxembursko</c:v>
                </c:pt>
                <c:pt idx="8">
                  <c:v>Francúzko</c:v>
                </c:pt>
                <c:pt idx="9">
                  <c:v>Malta</c:v>
                </c:pt>
                <c:pt idx="10">
                  <c:v>Rakúsko</c:v>
                </c:pt>
                <c:pt idx="11">
                  <c:v>Slovinsko</c:v>
                </c:pt>
                <c:pt idx="12">
                  <c:v>Česká republika</c:v>
                </c:pt>
                <c:pt idx="13">
                  <c:v>Slovensko</c:v>
                </c:pt>
                <c:pt idx="14">
                  <c:v>UK</c:v>
                </c:pt>
                <c:pt idx="15">
                  <c:v>Belgicko</c:v>
                </c:pt>
                <c:pt idx="16">
                  <c:v>Cyprus</c:v>
                </c:pt>
                <c:pt idx="17">
                  <c:v>Poľsko</c:v>
                </c:pt>
                <c:pt idx="18">
                  <c:v>Rumunsko</c:v>
                </c:pt>
                <c:pt idx="19">
                  <c:v>Grécko</c:v>
                </c:pt>
                <c:pt idx="20">
                  <c:v>Írsko</c:v>
                </c:pt>
                <c:pt idx="21">
                  <c:v>Portugalsko</c:v>
                </c:pt>
                <c:pt idx="22">
                  <c:v>Španielsko</c:v>
                </c:pt>
                <c:pt idx="23">
                  <c:v>Holandsko</c:v>
                </c:pt>
                <c:pt idx="24">
                  <c:v>Nemecko</c:v>
                </c:pt>
                <c:pt idx="25">
                  <c:v>Taliansko</c:v>
                </c:pt>
              </c:strCache>
            </c:strRef>
          </c:cat>
          <c:val>
            <c:numRef>
              <c:f>Graf_3!$C$8:$C$33</c:f>
              <c:numCache>
                <c:formatCode>0.0</c:formatCode>
                <c:ptCount val="26"/>
                <c:pt idx="0">
                  <c:v>85.707455718899936</c:v>
                </c:pt>
                <c:pt idx="1">
                  <c:v>85.707455718899936</c:v>
                </c:pt>
                <c:pt idx="2">
                  <c:v>85.707455718899936</c:v>
                </c:pt>
                <c:pt idx="3">
                  <c:v>85.707455718899936</c:v>
                </c:pt>
                <c:pt idx="4">
                  <c:v>85.707455718899936</c:v>
                </c:pt>
                <c:pt idx="5">
                  <c:v>85.707455718899936</c:v>
                </c:pt>
                <c:pt idx="6">
                  <c:v>85.707455718899936</c:v>
                </c:pt>
                <c:pt idx="7">
                  <c:v>85.707455718899936</c:v>
                </c:pt>
                <c:pt idx="8">
                  <c:v>85.707455718899936</c:v>
                </c:pt>
                <c:pt idx="9">
                  <c:v>85.707455718899936</c:v>
                </c:pt>
                <c:pt idx="10">
                  <c:v>85.707455718899936</c:v>
                </c:pt>
                <c:pt idx="11">
                  <c:v>85.707455718899936</c:v>
                </c:pt>
                <c:pt idx="12">
                  <c:v>85.707455718899936</c:v>
                </c:pt>
                <c:pt idx="13">
                  <c:v>85.707455718899936</c:v>
                </c:pt>
                <c:pt idx="14">
                  <c:v>85.707455718899936</c:v>
                </c:pt>
                <c:pt idx="15">
                  <c:v>85.707455718899936</c:v>
                </c:pt>
                <c:pt idx="16">
                  <c:v>85.707455718899936</c:v>
                </c:pt>
                <c:pt idx="17">
                  <c:v>85.707455718899936</c:v>
                </c:pt>
                <c:pt idx="18">
                  <c:v>85.707455718899936</c:v>
                </c:pt>
                <c:pt idx="19">
                  <c:v>85.707455718899936</c:v>
                </c:pt>
                <c:pt idx="20">
                  <c:v>85.707455718899936</c:v>
                </c:pt>
                <c:pt idx="21">
                  <c:v>85.707455718899936</c:v>
                </c:pt>
                <c:pt idx="22">
                  <c:v>85.707455718899936</c:v>
                </c:pt>
                <c:pt idx="23">
                  <c:v>85.707455718899936</c:v>
                </c:pt>
                <c:pt idx="24">
                  <c:v>85.707455718899936</c:v>
                </c:pt>
                <c:pt idx="25">
                  <c:v>85.707455718899936</c:v>
                </c:pt>
              </c:numCache>
            </c:numRef>
          </c:val>
          <c:smooth val="0"/>
        </c:ser>
        <c:dLbls>
          <c:showLegendKey val="0"/>
          <c:showVal val="0"/>
          <c:showCatName val="0"/>
          <c:showSerName val="0"/>
          <c:showPercent val="0"/>
          <c:showBubbleSize val="0"/>
        </c:dLbls>
        <c:marker val="1"/>
        <c:smooth val="0"/>
        <c:axId val="173662016"/>
        <c:axId val="173661624"/>
      </c:lineChart>
      <c:catAx>
        <c:axId val="173662016"/>
        <c:scaling>
          <c:orientation val="minMax"/>
        </c:scaling>
        <c:delete val="0"/>
        <c:axPos val="b"/>
        <c:numFmt formatCode="General" sourceLinked="1"/>
        <c:majorTickMark val="none"/>
        <c:minorTickMark val="none"/>
        <c:tickLblPos val="nextTo"/>
        <c:spPr>
          <a:ln>
            <a:solidFill>
              <a:sysClr val="window" lastClr="FFFFFF">
                <a:lumMod val="75000"/>
              </a:sysClr>
            </a:solidFill>
          </a:ln>
        </c:spPr>
        <c:txPr>
          <a:bodyPr rot="-5400000" vert="horz"/>
          <a:lstStyle/>
          <a:p>
            <a:pPr>
              <a:defRPr sz="600"/>
            </a:pPr>
            <a:endParaRPr lang="sk-SK"/>
          </a:p>
        </c:txPr>
        <c:crossAx val="173661624"/>
        <c:crosses val="autoZero"/>
        <c:auto val="1"/>
        <c:lblAlgn val="ctr"/>
        <c:lblOffset val="100"/>
        <c:noMultiLvlLbl val="0"/>
      </c:catAx>
      <c:valAx>
        <c:axId val="173661624"/>
        <c:scaling>
          <c:orientation val="minMax"/>
          <c:min val="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a:lstStyle/>
          <a:p>
            <a:pPr>
              <a:defRPr sz="800">
                <a:solidFill>
                  <a:sysClr val="windowText" lastClr="000000"/>
                </a:solidFill>
              </a:defRPr>
            </a:pPr>
            <a:endParaRPr lang="sk-SK"/>
          </a:p>
        </c:txPr>
        <c:crossAx val="173662016"/>
        <c:crosses val="autoZero"/>
        <c:crossBetween val="between"/>
      </c:valAx>
    </c:plotArea>
    <c:legend>
      <c:legendPos val="r"/>
      <c:legendEntry>
        <c:idx val="0"/>
        <c:delete val="1"/>
      </c:legendEntry>
      <c:layout>
        <c:manualLayout>
          <c:xMode val="edge"/>
          <c:yMode val="edge"/>
          <c:x val="0.39289801832391769"/>
          <c:y val="0.10960877613565939"/>
          <c:w val="0.48385058396510844"/>
          <c:h val="0.10755428087532432"/>
        </c:manualLayout>
      </c:layout>
      <c:overlay val="0"/>
      <c:spPr>
        <a:noFill/>
        <a:ln>
          <a:noFill/>
        </a:ln>
      </c:spPr>
    </c:legend>
    <c:plotVisOnly val="1"/>
    <c:dispBlanksAs val="gap"/>
    <c:showDLblsOverMax val="0"/>
  </c:chart>
  <c:spPr>
    <a:noFill/>
    <a:ln>
      <a:noFill/>
    </a:ln>
  </c:spPr>
  <c:txPr>
    <a:bodyPr/>
    <a:lstStyle/>
    <a:p>
      <a:pPr>
        <a:defRPr sz="900">
          <a:latin typeface="Arial Narrow" pitchFamily="34" charset="0"/>
        </a:defRPr>
      </a:pPr>
      <a:endParaRPr lang="sk-SK"/>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25028407951551E-2"/>
          <c:y val="2.6893847295216364E-2"/>
          <c:w val="0.91737497159204839"/>
          <c:h val="0.61814452528350816"/>
        </c:manualLayout>
      </c:layout>
      <c:barChart>
        <c:barDir val="col"/>
        <c:grouping val="stacked"/>
        <c:varyColors val="0"/>
        <c:ser>
          <c:idx val="0"/>
          <c:order val="0"/>
          <c:spPr>
            <a:noFill/>
            <a:ln>
              <a:noFill/>
            </a:ln>
            <a:effectLst/>
          </c:spPr>
          <c:invertIfNegative val="0"/>
          <c:dPt>
            <c:idx val="8"/>
            <c:invertIfNegative val="0"/>
            <c:bubble3D val="0"/>
            <c:spPr>
              <a:solidFill>
                <a:srgbClr val="002060"/>
              </a:solidFill>
              <a:ln>
                <a:noFill/>
              </a:ln>
              <a:effectLst/>
            </c:spPr>
          </c:dPt>
          <c:cat>
            <c:strRef>
              <c:f>'Potencial uspor'!$AY$123:$AY$131</c:f>
              <c:strCache>
                <c:ptCount val="9"/>
                <c:pt idx="0">
                  <c:v>Medzinárodné  vzťahy </c:v>
                </c:pt>
                <c:pt idx="1">
                  <c:v>Ľudské zdroje </c:v>
                </c:pt>
                <c:pt idx="2">
                  <c:v>Verejné obstarávanie </c:v>
                </c:pt>
                <c:pt idx="3">
                  <c:v>Kancelária ministra </c:v>
                </c:pt>
                <c:pt idx="4">
                  <c:v>Právo a legislatíva</c:v>
                </c:pt>
                <c:pt idx="5">
                  <c:v>Financovanie </c:v>
                </c:pt>
                <c:pt idx="6">
                  <c:v>IT </c:v>
                </c:pt>
                <c:pt idx="7">
                  <c:v>Vnútorná správa </c:v>
                </c:pt>
                <c:pt idx="8">
                  <c:v>Spolu</c:v>
                </c:pt>
              </c:strCache>
            </c:strRef>
          </c:cat>
          <c:val>
            <c:numRef>
              <c:f>'Potencial uspor'!$AZ$123:$AZ$131</c:f>
              <c:numCache>
                <c:formatCode>#,##0</c:formatCode>
                <c:ptCount val="9"/>
                <c:pt idx="0" formatCode="General">
                  <c:v>0</c:v>
                </c:pt>
                <c:pt idx="1">
                  <c:v>1058020.6683447678</c:v>
                </c:pt>
                <c:pt idx="2">
                  <c:v>2123995.7125646858</c:v>
                </c:pt>
                <c:pt idx="3">
                  <c:v>3439897.1169676674</c:v>
                </c:pt>
                <c:pt idx="4">
                  <c:v>5273619.4006202016</c:v>
                </c:pt>
                <c:pt idx="5">
                  <c:v>7395835.3909602007</c:v>
                </c:pt>
                <c:pt idx="6">
                  <c:v>9575067.9054927826</c:v>
                </c:pt>
                <c:pt idx="7">
                  <c:v>11792102.609114759</c:v>
                </c:pt>
                <c:pt idx="8">
                  <c:v>14292305.934673775</c:v>
                </c:pt>
              </c:numCache>
            </c:numRef>
          </c:val>
        </c:ser>
        <c:ser>
          <c:idx val="1"/>
          <c:order val="1"/>
          <c:spPr>
            <a:solidFill>
              <a:srgbClr val="00B0F0"/>
            </a:solidFill>
            <a:ln>
              <a:noFill/>
            </a:ln>
            <a:effectLst/>
          </c:spPr>
          <c:invertIfNegative val="0"/>
          <c:dLbls>
            <c:dLbl>
              <c:idx val="0"/>
              <c:layout>
                <c:manualLayout>
                  <c:x val="0"/>
                  <c:y val="-4.049493813273340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49943757030371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399325084364454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5274476513865311E-3"/>
                  <c:y val="-6.749156355455568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1991001124859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3002248093033564E-17"/>
                  <c:y val="-6.749156355455572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5274476513865311E-3"/>
                  <c:y val="-7.1991001124859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649043869516310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6600449618606713E-16"/>
                  <c:y val="-3.59955005624297E-2"/>
                </c:manualLayout>
              </c:layout>
              <c:tx>
                <c:rich>
                  <a:bodyPr/>
                  <a:lstStyle/>
                  <a:p>
                    <a:r>
                      <a:rPr lang="en-US"/>
                      <a:t>14,3</a:t>
                    </a:r>
                  </a:p>
                </c:rich>
              </c:tx>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'Potencial uspor'!$AY$123:$AY$131</c:f>
              <c:strCache>
                <c:ptCount val="9"/>
                <c:pt idx="0">
                  <c:v>Medzinárodné  vzťahy </c:v>
                </c:pt>
                <c:pt idx="1">
                  <c:v>Ľudské zdroje </c:v>
                </c:pt>
                <c:pt idx="2">
                  <c:v>Verejné obstarávanie </c:v>
                </c:pt>
                <c:pt idx="3">
                  <c:v>Kancelária ministra </c:v>
                </c:pt>
                <c:pt idx="4">
                  <c:v>Právo a legislatíva</c:v>
                </c:pt>
                <c:pt idx="5">
                  <c:v>Financovanie </c:v>
                </c:pt>
                <c:pt idx="6">
                  <c:v>IT </c:v>
                </c:pt>
                <c:pt idx="7">
                  <c:v>Vnútorná správa </c:v>
                </c:pt>
                <c:pt idx="8">
                  <c:v>Spolu</c:v>
                </c:pt>
              </c:strCache>
            </c:strRef>
          </c:cat>
          <c:val>
            <c:numRef>
              <c:f>'Potencial uspor'!$BA$123:$BA$131</c:f>
              <c:numCache>
                <c:formatCode>#,##0</c:formatCode>
                <c:ptCount val="9"/>
                <c:pt idx="0">
                  <c:v>1058020.6683447678</c:v>
                </c:pt>
                <c:pt idx="1">
                  <c:v>1065975.0442199181</c:v>
                </c:pt>
                <c:pt idx="2">
                  <c:v>1315901.4044029815</c:v>
                </c:pt>
                <c:pt idx="3">
                  <c:v>1833722.2836525345</c:v>
                </c:pt>
                <c:pt idx="4">
                  <c:v>2122215.9903399991</c:v>
                </c:pt>
                <c:pt idx="5">
                  <c:v>2179232.5145325819</c:v>
                </c:pt>
                <c:pt idx="6">
                  <c:v>2217034.7036219756</c:v>
                </c:pt>
                <c:pt idx="7">
                  <c:v>2500203.3255590163</c:v>
                </c:pt>
                <c:pt idx="8" formatCode="General">
                  <c:v>0</c:v>
                </c:pt>
              </c:numCache>
            </c:numRef>
          </c:val>
        </c:ser>
        <c:dLbls>
          <c:showLegendKey val="0"/>
          <c:showVal val="0"/>
          <c:showCatName val="0"/>
          <c:showSerName val="0"/>
          <c:showPercent val="0"/>
          <c:showBubbleSize val="0"/>
        </c:dLbls>
        <c:gapWidth val="150"/>
        <c:overlap val="100"/>
        <c:axId val="225455472"/>
        <c:axId val="225455864"/>
      </c:barChart>
      <c:catAx>
        <c:axId val="22545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455864"/>
        <c:crosses val="autoZero"/>
        <c:auto val="1"/>
        <c:lblAlgn val="ctr"/>
        <c:lblOffset val="100"/>
        <c:noMultiLvlLbl val="0"/>
      </c:catAx>
      <c:valAx>
        <c:axId val="225455864"/>
        <c:scaling>
          <c:orientation val="minMax"/>
        </c:scaling>
        <c:delete val="0"/>
        <c:axPos val="l"/>
        <c:majorGridlines>
          <c:spPr>
            <a:ln w="9525" cap="flat" cmpd="sng" algn="ctr">
              <a:solidFill>
                <a:sysClr val="window" lastClr="FFFFFF">
                  <a:lumMod val="75000"/>
                </a:sysClr>
              </a:solidFill>
              <a:prstDash val="dash"/>
              <a:round/>
            </a:ln>
            <a:effectLst/>
          </c:spPr>
        </c:majorGridlines>
        <c:numFmt formatCode="General"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455472"/>
        <c:crosses val="autoZero"/>
        <c:crossBetween val="between"/>
        <c:majorUnit val="4000000"/>
        <c:dispUnits>
          <c:builtInUnit val="millions"/>
          <c:dispUnitsLbl>
            <c:layout>
              <c:manualLayout>
                <c:xMode val="edge"/>
                <c:yMode val="edge"/>
                <c:x val="4.867184471211046E-3"/>
                <c:y val="5.3036329885971893E-2"/>
              </c:manualLayout>
            </c:layout>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sk-SK"/>
                    <a:t>mil. eur</a:t>
                  </a:r>
                </a:p>
              </c:rich>
            </c:tx>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dispUnitsLbl>
        </c:dispUnits>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415008913565238E-2"/>
          <c:y val="3.255616210912933E-2"/>
          <c:w val="0.91301222218215683"/>
          <c:h val="0.78565419737868225"/>
        </c:manualLayout>
      </c:layout>
      <c:barChart>
        <c:barDir val="col"/>
        <c:grouping val="stacked"/>
        <c:varyColors val="0"/>
        <c:ser>
          <c:idx val="0"/>
          <c:order val="0"/>
          <c:spPr>
            <a:noFill/>
            <a:ln>
              <a:noFill/>
            </a:ln>
            <a:effectLst/>
          </c:spPr>
          <c:invertIfNegative val="0"/>
          <c:dPt>
            <c:idx val="7"/>
            <c:invertIfNegative val="0"/>
            <c:bubble3D val="0"/>
            <c:spPr>
              <a:solidFill>
                <a:srgbClr val="002060"/>
              </a:solidFill>
              <a:ln>
                <a:noFill/>
              </a:ln>
              <a:effectLst/>
            </c:spPr>
          </c:dPt>
          <c:cat>
            <c:strRef>
              <c:f>'12 extrapolacia bez vetiev'!$B$237:$B$244</c:f>
              <c:strCache>
                <c:ptCount val="8"/>
                <c:pt idx="0">
                  <c:v>Právo a legislatíva</c:v>
                </c:pt>
                <c:pt idx="1">
                  <c:v>IT</c:v>
                </c:pt>
                <c:pt idx="2">
                  <c:v>Verejné obstarávanie</c:v>
                </c:pt>
                <c:pt idx="3">
                  <c:v>Ľudské zdroje</c:v>
                </c:pt>
                <c:pt idx="4">
                  <c:v>Kancelária riaditeľa</c:v>
                </c:pt>
                <c:pt idx="5">
                  <c:v>Financovanie</c:v>
                </c:pt>
                <c:pt idx="6">
                  <c:v>Vnútorná správa</c:v>
                </c:pt>
                <c:pt idx="7">
                  <c:v>Spolu</c:v>
                </c:pt>
              </c:strCache>
            </c:strRef>
          </c:cat>
          <c:val>
            <c:numRef>
              <c:f>'12 extrapolacia bez vetiev'!$C$237:$C$244</c:f>
              <c:numCache>
                <c:formatCode>#,##0</c:formatCode>
                <c:ptCount val="8"/>
                <c:pt idx="0" formatCode="General">
                  <c:v>0</c:v>
                </c:pt>
                <c:pt idx="1">
                  <c:v>691956.11754802603</c:v>
                </c:pt>
                <c:pt idx="2">
                  <c:v>1468501.0827337073</c:v>
                </c:pt>
                <c:pt idx="3">
                  <c:v>2305636.0575565123</c:v>
                </c:pt>
                <c:pt idx="4">
                  <c:v>3301951.5708907293</c:v>
                </c:pt>
                <c:pt idx="5">
                  <c:v>4575789.9149185605</c:v>
                </c:pt>
                <c:pt idx="6">
                  <c:v>6065153.9110813364</c:v>
                </c:pt>
                <c:pt idx="7">
                  <c:v>8454498.0125888586</c:v>
                </c:pt>
              </c:numCache>
            </c:numRef>
          </c:val>
        </c:ser>
        <c:ser>
          <c:idx val="1"/>
          <c:order val="1"/>
          <c:spPr>
            <a:solidFill>
              <a:srgbClr val="00B0F0"/>
            </a:solidFill>
            <a:ln>
              <a:noFill/>
            </a:ln>
            <a:effectLst/>
          </c:spPr>
          <c:invertIfNegative val="0"/>
          <c:dLbls>
            <c:dLbl>
              <c:idx val="0"/>
              <c:layout>
                <c:manualLayout>
                  <c:x val="-1.0529015361560297E-17"/>
                  <c:y val="-8.27912477823772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505026611472501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116061446241188E-17"/>
                  <c:y val="-6.505026611472501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8.87049083382613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8.870490833826143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4232122892482375E-17"/>
                  <c:y val="-8.87049083382613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0.13601419278533411"/>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5.0925925925925923E-2"/>
                </c:manualLayout>
              </c:layout>
              <c:tx>
                <c:rich>
                  <a:bodyPr/>
                  <a:lstStyle/>
                  <a:p>
                    <a:r>
                      <a:rPr lang="en-US"/>
                      <a:t>8,5</a:t>
                    </a:r>
                  </a:p>
                </c:rich>
              </c:tx>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extrapolacia bez vetiev'!$B$237:$B$244</c:f>
              <c:strCache>
                <c:ptCount val="8"/>
                <c:pt idx="0">
                  <c:v>Právo a legislatíva</c:v>
                </c:pt>
                <c:pt idx="1">
                  <c:v>IT</c:v>
                </c:pt>
                <c:pt idx="2">
                  <c:v>Verejné obstarávanie</c:v>
                </c:pt>
                <c:pt idx="3">
                  <c:v>Ľudské zdroje</c:v>
                </c:pt>
                <c:pt idx="4">
                  <c:v>Kancelária riaditeľa</c:v>
                </c:pt>
                <c:pt idx="5">
                  <c:v>Financovanie</c:v>
                </c:pt>
                <c:pt idx="6">
                  <c:v>Vnútorná správa</c:v>
                </c:pt>
                <c:pt idx="7">
                  <c:v>Spolu</c:v>
                </c:pt>
              </c:strCache>
            </c:strRef>
          </c:cat>
          <c:val>
            <c:numRef>
              <c:f>'12 extrapolacia bez vetiev'!$D$237:$D$244</c:f>
              <c:numCache>
                <c:formatCode>#,##0</c:formatCode>
                <c:ptCount val="8"/>
                <c:pt idx="0">
                  <c:v>691956.11754802603</c:v>
                </c:pt>
                <c:pt idx="1">
                  <c:v>776544.96518568124</c:v>
                </c:pt>
                <c:pt idx="2">
                  <c:v>837134.97482280491</c:v>
                </c:pt>
                <c:pt idx="3">
                  <c:v>996315.5133342169</c:v>
                </c:pt>
                <c:pt idx="4">
                  <c:v>1273838.3440278317</c:v>
                </c:pt>
                <c:pt idx="5">
                  <c:v>1489363.9961627759</c:v>
                </c:pt>
                <c:pt idx="6">
                  <c:v>2389344.1015075217</c:v>
                </c:pt>
                <c:pt idx="7">
                  <c:v>0</c:v>
                </c:pt>
              </c:numCache>
            </c:numRef>
          </c:val>
        </c:ser>
        <c:dLbls>
          <c:showLegendKey val="0"/>
          <c:showVal val="0"/>
          <c:showCatName val="0"/>
          <c:showSerName val="0"/>
          <c:showPercent val="0"/>
          <c:showBubbleSize val="0"/>
        </c:dLbls>
        <c:gapWidth val="150"/>
        <c:overlap val="100"/>
        <c:axId val="225456648"/>
        <c:axId val="225457040"/>
      </c:barChart>
      <c:catAx>
        <c:axId val="225456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457040"/>
        <c:crosses val="autoZero"/>
        <c:auto val="1"/>
        <c:lblAlgn val="ctr"/>
        <c:lblOffset val="100"/>
        <c:noMultiLvlLbl val="0"/>
      </c:catAx>
      <c:valAx>
        <c:axId val="225457040"/>
        <c:scaling>
          <c:orientation val="minMax"/>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sk-SK"/>
                  <a:t>mil.eur</a:t>
                </a:r>
              </a:p>
            </c:rich>
          </c:tx>
          <c:layout>
            <c:manualLayout>
              <c:xMode val="edge"/>
              <c:yMode val="edge"/>
              <c:x val="5.038209160524206E-3"/>
              <c:y val="7.14210963246207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456648"/>
        <c:crosses val="autoZero"/>
        <c:crossBetween val="between"/>
        <c:majorUnit val="3000000"/>
        <c:dispUnits>
          <c:builtInUnit val="millions"/>
        </c:dispUnits>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05974436418729E-2"/>
          <c:y val="3.4298481117998922E-2"/>
          <c:w val="0.93020771002234726"/>
          <c:h val="0.76420993488234035"/>
        </c:manualLayout>
      </c:layout>
      <c:barChart>
        <c:barDir val="col"/>
        <c:grouping val="clustered"/>
        <c:varyColors val="0"/>
        <c:ser>
          <c:idx val="0"/>
          <c:order val="0"/>
          <c:tx>
            <c:strRef>
              <c:f>Graf_50!$A$6</c:f>
              <c:strCache>
                <c:ptCount val="1"/>
                <c:pt idx="0">
                  <c:v>SK</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Graf_50!$B$5:$F$5</c:f>
              <c:strCache>
                <c:ptCount val="5"/>
                <c:pt idx="0">
                  <c:v>primárne</c:v>
                </c:pt>
                <c:pt idx="1">
                  <c:v>nižšie sekundárne</c:v>
                </c:pt>
                <c:pt idx="2">
                  <c:v>vyššie sekundárne všeobecné</c:v>
                </c:pt>
                <c:pt idx="3">
                  <c:v>vyššie sekundárne odborné</c:v>
                </c:pt>
                <c:pt idx="4">
                  <c:v>terciárne</c:v>
                </c:pt>
              </c:strCache>
            </c:strRef>
          </c:cat>
          <c:val>
            <c:numRef>
              <c:f>Graf_50!$B$6:$F$6</c:f>
              <c:numCache>
                <c:formatCode>0.0</c:formatCode>
                <c:ptCount val="5"/>
                <c:pt idx="0">
                  <c:v>17.399429999999999</c:v>
                </c:pt>
                <c:pt idx="1">
                  <c:v>12.41315</c:v>
                </c:pt>
                <c:pt idx="2">
                  <c:v>13.86759</c:v>
                </c:pt>
                <c:pt idx="3">
                  <c:v>13.41985</c:v>
                </c:pt>
                <c:pt idx="4">
                  <c:v>11.92502</c:v>
                </c:pt>
              </c:numCache>
            </c:numRef>
          </c:val>
        </c:ser>
        <c:ser>
          <c:idx val="1"/>
          <c:order val="1"/>
          <c:tx>
            <c:strRef>
              <c:f>Graf_50!$A$7</c:f>
              <c:strCache>
                <c:ptCount val="1"/>
                <c:pt idx="0">
                  <c:v>V3</c:v>
                </c:pt>
              </c:strCache>
            </c:strRef>
          </c:tx>
          <c:spPr>
            <a:solidFill>
              <a:schemeClr val="bg1">
                <a:lumMod val="65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Graf_50!$B$5:$F$5</c:f>
              <c:strCache>
                <c:ptCount val="5"/>
                <c:pt idx="0">
                  <c:v>primárne</c:v>
                </c:pt>
                <c:pt idx="1">
                  <c:v>nižšie sekundárne</c:v>
                </c:pt>
                <c:pt idx="2">
                  <c:v>vyššie sekundárne všeobecné</c:v>
                </c:pt>
                <c:pt idx="3">
                  <c:v>vyššie sekundárne odborné</c:v>
                </c:pt>
                <c:pt idx="4">
                  <c:v>terciárne</c:v>
                </c:pt>
              </c:strCache>
            </c:strRef>
          </c:cat>
          <c:val>
            <c:numRef>
              <c:f>Graf_50!$B$7:$F$7</c:f>
              <c:numCache>
                <c:formatCode>0.0</c:formatCode>
                <c:ptCount val="5"/>
                <c:pt idx="0">
                  <c:v>13.559896666666667</c:v>
                </c:pt>
                <c:pt idx="1">
                  <c:v>10.692902333333334</c:v>
                </c:pt>
                <c:pt idx="2">
                  <c:v>11.40784</c:v>
                </c:pt>
                <c:pt idx="3">
                  <c:v>10.554297333333333</c:v>
                </c:pt>
                <c:pt idx="4">
                  <c:v>14.908296666666667</c:v>
                </c:pt>
              </c:numCache>
            </c:numRef>
          </c:val>
        </c:ser>
        <c:ser>
          <c:idx val="2"/>
          <c:order val="2"/>
          <c:tx>
            <c:strRef>
              <c:f>Graf_50!$A$8</c:f>
              <c:strCache>
                <c:ptCount val="1"/>
                <c:pt idx="0">
                  <c:v>OECD</c:v>
                </c:pt>
              </c:strCache>
            </c:strRef>
          </c:tx>
          <c:spPr>
            <a:solidFill>
              <a:schemeClr val="tx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Graf_50!$B$5:$F$5</c:f>
              <c:strCache>
                <c:ptCount val="5"/>
                <c:pt idx="0">
                  <c:v>primárne</c:v>
                </c:pt>
                <c:pt idx="1">
                  <c:v>nižšie sekundárne</c:v>
                </c:pt>
                <c:pt idx="2">
                  <c:v>vyššie sekundárne všeobecné</c:v>
                </c:pt>
                <c:pt idx="3">
                  <c:v>vyššie sekundárne odborné</c:v>
                </c:pt>
                <c:pt idx="4">
                  <c:v>terciárne</c:v>
                </c:pt>
              </c:strCache>
            </c:strRef>
          </c:cat>
          <c:val>
            <c:numRef>
              <c:f>Graf_50!$B$8:$F$8</c:f>
              <c:numCache>
                <c:formatCode>0.0</c:formatCode>
                <c:ptCount val="5"/>
                <c:pt idx="0">
                  <c:v>15.180684825545013</c:v>
                </c:pt>
                <c:pt idx="1">
                  <c:v>13.290516736339837</c:v>
                </c:pt>
                <c:pt idx="2">
                  <c:v>12.682183873362124</c:v>
                </c:pt>
                <c:pt idx="3">
                  <c:v>13.674784743372344</c:v>
                </c:pt>
                <c:pt idx="4">
                  <c:v>16.134465567551548</c:v>
                </c:pt>
              </c:numCache>
            </c:numRef>
          </c:val>
        </c:ser>
        <c:dLbls>
          <c:showLegendKey val="0"/>
          <c:showVal val="0"/>
          <c:showCatName val="0"/>
          <c:showSerName val="0"/>
          <c:showPercent val="0"/>
          <c:showBubbleSize val="0"/>
        </c:dLbls>
        <c:gapWidth val="219"/>
        <c:overlap val="-27"/>
        <c:axId val="225458216"/>
        <c:axId val="225458608"/>
      </c:barChart>
      <c:catAx>
        <c:axId val="22545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458608"/>
        <c:crosses val="autoZero"/>
        <c:auto val="1"/>
        <c:lblAlgn val="ctr"/>
        <c:lblOffset val="100"/>
        <c:noMultiLvlLbl val="0"/>
      </c:catAx>
      <c:valAx>
        <c:axId val="225458608"/>
        <c:scaling>
          <c:orientation val="minMax"/>
        </c:scaling>
        <c:delete val="0"/>
        <c:axPos val="l"/>
        <c:majorGridlines>
          <c:spPr>
            <a:ln w="9525" cap="flat" cmpd="sng" algn="ctr">
              <a:solidFill>
                <a:schemeClr val="bg1">
                  <a:lumMod val="75000"/>
                </a:schemeClr>
              </a:solidFill>
              <a:prstDash val="dash"/>
              <a:round/>
            </a:ln>
            <a:effectLst/>
          </c:spPr>
        </c:majorGridlines>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458216"/>
        <c:crosses val="autoZero"/>
        <c:crossBetween val="between"/>
      </c:valAx>
      <c:spPr>
        <a:noFill/>
        <a:ln>
          <a:noFill/>
        </a:ln>
        <a:effectLst/>
      </c:spPr>
    </c:plotArea>
    <c:legend>
      <c:legendPos val="b"/>
      <c:layout>
        <c:manualLayout>
          <c:xMode val="edge"/>
          <c:yMode val="edge"/>
          <c:x val="0.4099400814046017"/>
          <c:y val="4.9691903624803545E-2"/>
          <c:w val="0.22564391951006124"/>
          <c:h val="7.44819918343540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188828780265546E-2"/>
          <c:y val="2.6236042070436356E-2"/>
          <c:w val="0.91064760650599397"/>
          <c:h val="0.87636781627837201"/>
        </c:manualLayout>
      </c:layout>
      <c:lineChart>
        <c:grouping val="standard"/>
        <c:varyColors val="0"/>
        <c:ser>
          <c:idx val="0"/>
          <c:order val="0"/>
          <c:tx>
            <c:strRef>
              <c:f>Hárok2!$A$33</c:f>
              <c:strCache>
                <c:ptCount val="1"/>
                <c:pt idx="0">
                  <c:v>Slovensko</c:v>
                </c:pt>
              </c:strCache>
            </c:strRef>
          </c:tx>
          <c:spPr>
            <a:ln w="28575" cap="rnd">
              <a:solidFill>
                <a:schemeClr val="accent1"/>
              </a:solidFill>
              <a:round/>
            </a:ln>
            <a:effectLst/>
          </c:spPr>
          <c:marker>
            <c:symbol val="none"/>
          </c:marker>
          <c:cat>
            <c:numRef>
              <c:f>Hárok2!$G$32:$L$32</c:f>
              <c:numCache>
                <c:formatCode>General</c:formatCode>
                <c:ptCount val="6"/>
                <c:pt idx="0">
                  <c:v>2012</c:v>
                </c:pt>
                <c:pt idx="1">
                  <c:v>2013</c:v>
                </c:pt>
                <c:pt idx="2">
                  <c:v>2014</c:v>
                </c:pt>
                <c:pt idx="3">
                  <c:v>2015</c:v>
                </c:pt>
                <c:pt idx="4">
                  <c:v>2016</c:v>
                </c:pt>
                <c:pt idx="5">
                  <c:v>2017</c:v>
                </c:pt>
              </c:numCache>
            </c:numRef>
          </c:cat>
          <c:val>
            <c:numRef>
              <c:f>Hárok2!$G$33:$L$33</c:f>
              <c:numCache>
                <c:formatCode>0%</c:formatCode>
                <c:ptCount val="6"/>
                <c:pt idx="0">
                  <c:v>1</c:v>
                </c:pt>
                <c:pt idx="1">
                  <c:v>1.1660099816128184</c:v>
                </c:pt>
                <c:pt idx="2">
                  <c:v>1.2245862884160756</c:v>
                </c:pt>
                <c:pt idx="3">
                  <c:v>1.2863146834778041</c:v>
                </c:pt>
                <c:pt idx="4">
                  <c:v>1.3420015760441293</c:v>
                </c:pt>
                <c:pt idx="5">
                  <c:v>1.4412923561859732</c:v>
                </c:pt>
              </c:numCache>
            </c:numRef>
          </c:val>
          <c:smooth val="0"/>
        </c:ser>
        <c:ser>
          <c:idx val="1"/>
          <c:order val="1"/>
          <c:tx>
            <c:strRef>
              <c:f>Hárok2!$A$34</c:f>
              <c:strCache>
                <c:ptCount val="1"/>
                <c:pt idx="0">
                  <c:v>Maďarsko</c:v>
                </c:pt>
              </c:strCache>
            </c:strRef>
          </c:tx>
          <c:spPr>
            <a:ln w="28575" cap="rnd">
              <a:solidFill>
                <a:sysClr val="windowText" lastClr="000000"/>
              </a:solidFill>
              <a:round/>
            </a:ln>
            <a:effectLst/>
          </c:spPr>
          <c:marker>
            <c:symbol val="none"/>
          </c:marker>
          <c:cat>
            <c:numRef>
              <c:f>Hárok2!$G$32:$L$32</c:f>
              <c:numCache>
                <c:formatCode>General</c:formatCode>
                <c:ptCount val="6"/>
                <c:pt idx="0">
                  <c:v>2012</c:v>
                </c:pt>
                <c:pt idx="1">
                  <c:v>2013</c:v>
                </c:pt>
                <c:pt idx="2">
                  <c:v>2014</c:v>
                </c:pt>
                <c:pt idx="3">
                  <c:v>2015</c:v>
                </c:pt>
                <c:pt idx="4">
                  <c:v>2016</c:v>
                </c:pt>
                <c:pt idx="5">
                  <c:v>2017</c:v>
                </c:pt>
              </c:numCache>
            </c:numRef>
          </c:cat>
          <c:val>
            <c:numRef>
              <c:f>Hárok2!$G$34:$L$34</c:f>
              <c:numCache>
                <c:formatCode>0%</c:formatCode>
                <c:ptCount val="6"/>
                <c:pt idx="0">
                  <c:v>1</c:v>
                </c:pt>
                <c:pt idx="1">
                  <c:v>0.99288362408267949</c:v>
                </c:pt>
                <c:pt idx="2">
                  <c:v>1.4743287795298918</c:v>
                </c:pt>
                <c:pt idx="3">
                  <c:v>1.5257151291231812</c:v>
                </c:pt>
                <c:pt idx="4">
                  <c:v>1.5780362569090001</c:v>
                </c:pt>
                <c:pt idx="5">
                  <c:v>1.6303571201848608</c:v>
                </c:pt>
              </c:numCache>
            </c:numRef>
          </c:val>
          <c:smooth val="0"/>
        </c:ser>
        <c:ser>
          <c:idx val="2"/>
          <c:order val="2"/>
          <c:tx>
            <c:strRef>
              <c:f>Hárok2!$A$35</c:f>
              <c:strCache>
                <c:ptCount val="1"/>
                <c:pt idx="0">
                  <c:v>Poľsko</c:v>
                </c:pt>
              </c:strCache>
            </c:strRef>
          </c:tx>
          <c:spPr>
            <a:ln w="28575" cap="rnd">
              <a:solidFill>
                <a:schemeClr val="bg1">
                  <a:lumMod val="75000"/>
                </a:schemeClr>
              </a:solidFill>
              <a:round/>
            </a:ln>
            <a:effectLst/>
          </c:spPr>
          <c:marker>
            <c:symbol val="none"/>
          </c:marker>
          <c:cat>
            <c:numRef>
              <c:f>Hárok2!$G$32:$L$32</c:f>
              <c:numCache>
                <c:formatCode>General</c:formatCode>
                <c:ptCount val="6"/>
                <c:pt idx="0">
                  <c:v>2012</c:v>
                </c:pt>
                <c:pt idx="1">
                  <c:v>2013</c:v>
                </c:pt>
                <c:pt idx="2">
                  <c:v>2014</c:v>
                </c:pt>
                <c:pt idx="3">
                  <c:v>2015</c:v>
                </c:pt>
                <c:pt idx="4">
                  <c:v>2016</c:v>
                </c:pt>
                <c:pt idx="5">
                  <c:v>2017</c:v>
                </c:pt>
              </c:numCache>
            </c:numRef>
          </c:cat>
          <c:val>
            <c:numRef>
              <c:f>Hárok2!$G$35:$L$35</c:f>
              <c:numCache>
                <c:formatCode>0%</c:formatCode>
                <c:ptCount val="6"/>
                <c:pt idx="0">
                  <c:v>1</c:v>
                </c:pt>
                <c:pt idx="1">
                  <c:v>1.0386807906519602</c:v>
                </c:pt>
                <c:pt idx="2">
                  <c:v>1.0406246587310255</c:v>
                </c:pt>
                <c:pt idx="3">
                  <c:v>1.0406246587310255</c:v>
                </c:pt>
                <c:pt idx="4">
                  <c:v>1.0406246587310255</c:v>
                </c:pt>
                <c:pt idx="5">
                  <c:v>1.0506716173419242</c:v>
                </c:pt>
              </c:numCache>
            </c:numRef>
          </c:val>
          <c:smooth val="0"/>
        </c:ser>
        <c:ser>
          <c:idx val="3"/>
          <c:order val="3"/>
          <c:tx>
            <c:strRef>
              <c:f>Hárok2!$A$36</c:f>
              <c:strCache>
                <c:ptCount val="1"/>
                <c:pt idx="0">
                  <c:v>Fínsko</c:v>
                </c:pt>
              </c:strCache>
            </c:strRef>
          </c:tx>
          <c:spPr>
            <a:ln w="28575" cap="rnd">
              <a:solidFill>
                <a:schemeClr val="bg1">
                  <a:lumMod val="50000"/>
                </a:schemeClr>
              </a:solidFill>
              <a:prstDash val="dash"/>
              <a:round/>
            </a:ln>
            <a:effectLst/>
          </c:spPr>
          <c:marker>
            <c:symbol val="none"/>
          </c:marker>
          <c:cat>
            <c:numRef>
              <c:f>Hárok2!$G$32:$L$32</c:f>
              <c:numCache>
                <c:formatCode>General</c:formatCode>
                <c:ptCount val="6"/>
                <c:pt idx="0">
                  <c:v>2012</c:v>
                </c:pt>
                <c:pt idx="1">
                  <c:v>2013</c:v>
                </c:pt>
                <c:pt idx="2">
                  <c:v>2014</c:v>
                </c:pt>
                <c:pt idx="3">
                  <c:v>2015</c:v>
                </c:pt>
                <c:pt idx="4">
                  <c:v>2016</c:v>
                </c:pt>
                <c:pt idx="5">
                  <c:v>2017</c:v>
                </c:pt>
              </c:numCache>
            </c:numRef>
          </c:cat>
          <c:val>
            <c:numRef>
              <c:f>Hárok2!$G$36:$L$36</c:f>
              <c:numCache>
                <c:formatCode>0%</c:formatCode>
                <c:ptCount val="6"/>
                <c:pt idx="0">
                  <c:v>1</c:v>
                </c:pt>
                <c:pt idx="1">
                  <c:v>1.0137041803708471</c:v>
                </c:pt>
                <c:pt idx="2">
                  <c:v>1.0195671862338529</c:v>
                </c:pt>
                <c:pt idx="3">
                  <c:v>1.0236665236665237</c:v>
                </c:pt>
                <c:pt idx="4">
                  <c:v>1.0277420277420277</c:v>
                </c:pt>
                <c:pt idx="5">
                  <c:v>1.0277509652509653</c:v>
                </c:pt>
              </c:numCache>
            </c:numRef>
          </c:val>
          <c:smooth val="0"/>
        </c:ser>
        <c:ser>
          <c:idx val="4"/>
          <c:order val="4"/>
          <c:tx>
            <c:strRef>
              <c:f>Hárok2!$A$38</c:f>
              <c:strCache>
                <c:ptCount val="1"/>
                <c:pt idx="0">
                  <c:v>priemer EÚ 15</c:v>
                </c:pt>
              </c:strCache>
            </c:strRef>
          </c:tx>
          <c:spPr>
            <a:ln w="28575" cap="rnd">
              <a:solidFill>
                <a:schemeClr val="accent5"/>
              </a:solidFill>
              <a:prstDash val="dash"/>
              <a:round/>
            </a:ln>
            <a:effectLst/>
          </c:spPr>
          <c:marker>
            <c:symbol val="none"/>
          </c:marker>
          <c:cat>
            <c:numRef>
              <c:f>Hárok2!$G$32:$L$32</c:f>
              <c:numCache>
                <c:formatCode>General</c:formatCode>
                <c:ptCount val="6"/>
                <c:pt idx="0">
                  <c:v>2012</c:v>
                </c:pt>
                <c:pt idx="1">
                  <c:v>2013</c:v>
                </c:pt>
                <c:pt idx="2">
                  <c:v>2014</c:v>
                </c:pt>
                <c:pt idx="3">
                  <c:v>2015</c:v>
                </c:pt>
                <c:pt idx="4">
                  <c:v>2016</c:v>
                </c:pt>
                <c:pt idx="5">
                  <c:v>2017</c:v>
                </c:pt>
              </c:numCache>
            </c:numRef>
          </c:cat>
          <c:val>
            <c:numRef>
              <c:f>Hárok2!$G$38:$L$38</c:f>
              <c:numCache>
                <c:formatCode>0%</c:formatCode>
                <c:ptCount val="6"/>
                <c:pt idx="0">
                  <c:v>1</c:v>
                </c:pt>
                <c:pt idx="1">
                  <c:v>1.0081198892223713</c:v>
                </c:pt>
                <c:pt idx="2">
                  <c:v>1.0133301195959392</c:v>
                </c:pt>
                <c:pt idx="3">
                  <c:v>1.0253680722655123</c:v>
                </c:pt>
                <c:pt idx="4">
                  <c:v>1.0343758227767803</c:v>
                </c:pt>
                <c:pt idx="5">
                  <c:v>1.0467666129711146</c:v>
                </c:pt>
              </c:numCache>
            </c:numRef>
          </c:val>
          <c:smooth val="0"/>
        </c:ser>
        <c:ser>
          <c:idx val="5"/>
          <c:order val="5"/>
          <c:tx>
            <c:strRef>
              <c:f>Hárok2!$A$37</c:f>
              <c:strCache>
                <c:ptCount val="1"/>
                <c:pt idx="0">
                  <c:v>Írsko</c:v>
                </c:pt>
              </c:strCache>
            </c:strRef>
          </c:tx>
          <c:spPr>
            <a:ln w="28575" cap="rnd">
              <a:solidFill>
                <a:sysClr val="windowText" lastClr="000000"/>
              </a:solidFill>
              <a:prstDash val="dash"/>
              <a:round/>
            </a:ln>
            <a:effectLst/>
          </c:spPr>
          <c:marker>
            <c:symbol val="none"/>
          </c:marker>
          <c:cat>
            <c:numRef>
              <c:f>Hárok2!$G$32:$L$32</c:f>
              <c:numCache>
                <c:formatCode>General</c:formatCode>
                <c:ptCount val="6"/>
                <c:pt idx="0">
                  <c:v>2012</c:v>
                </c:pt>
                <c:pt idx="1">
                  <c:v>2013</c:v>
                </c:pt>
                <c:pt idx="2">
                  <c:v>2014</c:v>
                </c:pt>
                <c:pt idx="3">
                  <c:v>2015</c:v>
                </c:pt>
                <c:pt idx="4">
                  <c:v>2016</c:v>
                </c:pt>
                <c:pt idx="5">
                  <c:v>2017</c:v>
                </c:pt>
              </c:numCache>
            </c:numRef>
          </c:cat>
          <c:val>
            <c:numRef>
              <c:f>Hárok2!$G$37:$L$37</c:f>
              <c:numCache>
                <c:formatCode>0%</c:formatCode>
                <c:ptCount val="6"/>
                <c:pt idx="0">
                  <c:v>1</c:v>
                </c:pt>
                <c:pt idx="1">
                  <c:v>1</c:v>
                </c:pt>
                <c:pt idx="2">
                  <c:v>1</c:v>
                </c:pt>
                <c:pt idx="3">
                  <c:v>1</c:v>
                </c:pt>
                <c:pt idx="4">
                  <c:v>1</c:v>
                </c:pt>
                <c:pt idx="5">
                  <c:v>1.0309756644418</c:v>
                </c:pt>
              </c:numCache>
            </c:numRef>
          </c:val>
          <c:smooth val="0"/>
        </c:ser>
        <c:ser>
          <c:idx val="6"/>
          <c:order val="6"/>
          <c:tx>
            <c:strRef>
              <c:f>Hárok2!$A$39</c:f>
              <c:strCache>
                <c:ptCount val="1"/>
                <c:pt idx="0">
                  <c:v>priemer krajín EÚ</c:v>
                </c:pt>
              </c:strCache>
            </c:strRef>
          </c:tx>
          <c:spPr>
            <a:ln w="28575" cap="rnd">
              <a:solidFill>
                <a:sysClr val="windowText" lastClr="000000"/>
              </a:solidFill>
              <a:prstDash val="sysDot"/>
              <a:round/>
            </a:ln>
            <a:effectLst/>
          </c:spPr>
          <c:marker>
            <c:symbol val="none"/>
          </c:marker>
          <c:cat>
            <c:numRef>
              <c:f>Hárok2!$G$32:$L$32</c:f>
              <c:numCache>
                <c:formatCode>General</c:formatCode>
                <c:ptCount val="6"/>
                <c:pt idx="0">
                  <c:v>2012</c:v>
                </c:pt>
                <c:pt idx="1">
                  <c:v>2013</c:v>
                </c:pt>
                <c:pt idx="2">
                  <c:v>2014</c:v>
                </c:pt>
                <c:pt idx="3">
                  <c:v>2015</c:v>
                </c:pt>
                <c:pt idx="4">
                  <c:v>2016</c:v>
                </c:pt>
                <c:pt idx="5">
                  <c:v>2017</c:v>
                </c:pt>
              </c:numCache>
            </c:numRef>
          </c:cat>
          <c:val>
            <c:numRef>
              <c:f>Hárok2!$G$39:$L$39</c:f>
              <c:numCache>
                <c:formatCode>0%</c:formatCode>
                <c:ptCount val="6"/>
                <c:pt idx="0">
                  <c:v>1</c:v>
                </c:pt>
                <c:pt idx="1">
                  <c:v>1.0175581068390882</c:v>
                </c:pt>
                <c:pt idx="2">
                  <c:v>1.0474821417230502</c:v>
                </c:pt>
                <c:pt idx="3">
                  <c:v>1.064524096375099</c:v>
                </c:pt>
                <c:pt idx="4">
                  <c:v>1.0934014638969682</c:v>
                </c:pt>
                <c:pt idx="5">
                  <c:v>1.1197321835521823</c:v>
                </c:pt>
              </c:numCache>
            </c:numRef>
          </c:val>
          <c:smooth val="0"/>
        </c:ser>
        <c:dLbls>
          <c:showLegendKey val="0"/>
          <c:showVal val="0"/>
          <c:showCatName val="0"/>
          <c:showSerName val="0"/>
          <c:showPercent val="0"/>
          <c:showBubbleSize val="0"/>
        </c:dLbls>
        <c:smooth val="0"/>
        <c:axId val="225459000"/>
        <c:axId val="225459392"/>
      </c:lineChart>
      <c:catAx>
        <c:axId val="22545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459392"/>
        <c:crosses val="autoZero"/>
        <c:auto val="1"/>
        <c:lblAlgn val="ctr"/>
        <c:lblOffset val="100"/>
        <c:noMultiLvlLbl val="0"/>
      </c:catAx>
      <c:valAx>
        <c:axId val="225459392"/>
        <c:scaling>
          <c:orientation val="minMax"/>
          <c:min val="0.9"/>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459000"/>
        <c:crosses val="autoZero"/>
        <c:crossBetween val="between"/>
        <c:majorUnit val="0.1"/>
      </c:valAx>
      <c:spPr>
        <a:noFill/>
        <a:ln>
          <a:noFill/>
        </a:ln>
        <a:effectLst/>
      </c:spPr>
    </c:plotArea>
    <c:legend>
      <c:legendPos val="b"/>
      <c:layout>
        <c:manualLayout>
          <c:xMode val="edge"/>
          <c:yMode val="edge"/>
          <c:x val="0.10901806567416109"/>
          <c:y val="6.2430737824438594E-2"/>
          <c:w val="0.22857876486220169"/>
          <c:h val="0.4177567804024496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79821230746434E-2"/>
          <c:y val="2.5539044461547571E-2"/>
          <c:w val="0.89847344936828966"/>
          <c:h val="0.83639018806859666"/>
        </c:manualLayout>
      </c:layout>
      <c:barChart>
        <c:barDir val="col"/>
        <c:grouping val="clustered"/>
        <c:varyColors val="0"/>
        <c:ser>
          <c:idx val="1"/>
          <c:order val="0"/>
          <c:tx>
            <c:strRef>
              <c:f>Graf_52!$A$5</c:f>
              <c:strCache>
                <c:ptCount val="1"/>
                <c:pt idx="0">
                  <c:v>SK</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Graf_52!$B$4:$F$4</c:f>
              <c:strCache>
                <c:ptCount val="5"/>
                <c:pt idx="0">
                  <c:v>predprimárne*</c:v>
                </c:pt>
                <c:pt idx="1">
                  <c:v>primárne*</c:v>
                </c:pt>
                <c:pt idx="2">
                  <c:v>nižšie sekundárne všeobecné*</c:v>
                </c:pt>
                <c:pt idx="3">
                  <c:v>vyššie sekundárne všeobecné*</c:v>
                </c:pt>
                <c:pt idx="4">
                  <c:v>terciárne**</c:v>
                </c:pt>
              </c:strCache>
            </c:strRef>
          </c:cat>
          <c:val>
            <c:numRef>
              <c:f>Graf_52!$B$5:$F$5</c:f>
              <c:numCache>
                <c:formatCode>0%</c:formatCode>
                <c:ptCount val="5"/>
                <c:pt idx="0">
                  <c:v>0.49581438511507558</c:v>
                </c:pt>
                <c:pt idx="1">
                  <c:v>0.65498904500979982</c:v>
                </c:pt>
                <c:pt idx="2">
                  <c:v>0.65498904500979982</c:v>
                </c:pt>
                <c:pt idx="3">
                  <c:v>0.66822552262426893</c:v>
                </c:pt>
                <c:pt idx="4">
                  <c:v>0.92</c:v>
                </c:pt>
              </c:numCache>
            </c:numRef>
          </c:val>
        </c:ser>
        <c:ser>
          <c:idx val="3"/>
          <c:order val="1"/>
          <c:tx>
            <c:strRef>
              <c:f>Graf_52!$A$6</c:f>
              <c:strCache>
                <c:ptCount val="1"/>
                <c:pt idx="0">
                  <c:v>V3</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Graf_52!$B$4:$F$4</c:f>
              <c:strCache>
                <c:ptCount val="5"/>
                <c:pt idx="0">
                  <c:v>predprimárne*</c:v>
                </c:pt>
                <c:pt idx="1">
                  <c:v>primárne*</c:v>
                </c:pt>
                <c:pt idx="2">
                  <c:v>nižšie sekundárne všeobecné*</c:v>
                </c:pt>
                <c:pt idx="3">
                  <c:v>vyššie sekundárne všeobecné*</c:v>
                </c:pt>
                <c:pt idx="4">
                  <c:v>terciárne**</c:v>
                </c:pt>
              </c:strCache>
            </c:strRef>
          </c:cat>
          <c:val>
            <c:numRef>
              <c:f>Graf_52!$B$6:$F$6</c:f>
              <c:numCache>
                <c:formatCode>0%</c:formatCode>
                <c:ptCount val="5"/>
                <c:pt idx="0">
                  <c:v>0.61740751406644956</c:v>
                </c:pt>
                <c:pt idx="1">
                  <c:v>0.70346969087060618</c:v>
                </c:pt>
                <c:pt idx="2">
                  <c:v>0.71221537968682502</c:v>
                </c:pt>
                <c:pt idx="3">
                  <c:v>0.73152023175647063</c:v>
                </c:pt>
              </c:numCache>
            </c:numRef>
          </c:val>
        </c:ser>
        <c:ser>
          <c:idx val="4"/>
          <c:order val="2"/>
          <c:tx>
            <c:strRef>
              <c:f>Graf_52!$A$7</c:f>
              <c:strCache>
                <c:ptCount val="1"/>
                <c:pt idx="0">
                  <c:v>OECD</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Graf_52!$B$4:$F$4</c:f>
              <c:strCache>
                <c:ptCount val="5"/>
                <c:pt idx="0">
                  <c:v>predprimárne*</c:v>
                </c:pt>
                <c:pt idx="1">
                  <c:v>primárne*</c:v>
                </c:pt>
                <c:pt idx="2">
                  <c:v>nižšie sekundárne všeobecné*</c:v>
                </c:pt>
                <c:pt idx="3">
                  <c:v>vyššie sekundárne všeobecné*</c:v>
                </c:pt>
                <c:pt idx="4">
                  <c:v>terciárne**</c:v>
                </c:pt>
              </c:strCache>
            </c:strRef>
          </c:cat>
          <c:val>
            <c:numRef>
              <c:f>Graf_52!$B$7:$F$7</c:f>
              <c:numCache>
                <c:formatCode>0%</c:formatCode>
                <c:ptCount val="5"/>
                <c:pt idx="0">
                  <c:v>0.78486327495217645</c:v>
                </c:pt>
                <c:pt idx="1">
                  <c:v>0.84315548439730403</c:v>
                </c:pt>
                <c:pt idx="2">
                  <c:v>0.87764416277541479</c:v>
                </c:pt>
                <c:pt idx="3">
                  <c:v>0.9315534640951173</c:v>
                </c:pt>
              </c:numCache>
            </c:numRef>
          </c:val>
        </c:ser>
        <c:ser>
          <c:idx val="0"/>
          <c:order val="3"/>
          <c:tx>
            <c:strRef>
              <c:f>Graf_52!$A$8</c:f>
              <c:strCache>
                <c:ptCount val="1"/>
                <c:pt idx="0">
                  <c:v>EU23</c:v>
                </c:pt>
              </c:strCache>
            </c:strRef>
          </c:tx>
          <c:spPr>
            <a:solidFill>
              <a:schemeClr val="bg1">
                <a:lumMod val="65000"/>
              </a:schemeClr>
            </a:solidFill>
            <a:ln>
              <a:noFill/>
            </a:ln>
            <a:effectLst/>
          </c:spPr>
          <c:invertIfNegative val="0"/>
          <c:dLbls>
            <c:dLbl>
              <c:idx val="0"/>
              <c:layout>
                <c:manualLayout>
                  <c:x val="-2.1038698126633912E-17"/>
                  <c:y val="-3.0075187969924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2077396253267824E-17"/>
                  <c:y val="-2.506265664160400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00751879699248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4154792506535648E-17"/>
                  <c:y val="-3.007518796992482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Graf_52!$B$4:$F$4</c:f>
              <c:strCache>
                <c:ptCount val="5"/>
                <c:pt idx="0">
                  <c:v>predprimárne*</c:v>
                </c:pt>
                <c:pt idx="1">
                  <c:v>primárne*</c:v>
                </c:pt>
                <c:pt idx="2">
                  <c:v>nižšie sekundárne všeobecné*</c:v>
                </c:pt>
                <c:pt idx="3">
                  <c:v>vyššie sekundárne všeobecné*</c:v>
                </c:pt>
                <c:pt idx="4">
                  <c:v>terciárne**</c:v>
                </c:pt>
              </c:strCache>
            </c:strRef>
          </c:cat>
          <c:val>
            <c:numRef>
              <c:f>Graf_52!$B$8:$F$8</c:f>
              <c:numCache>
                <c:formatCode>0%</c:formatCode>
                <c:ptCount val="5"/>
                <c:pt idx="0">
                  <c:v>0.77920828670722853</c:v>
                </c:pt>
                <c:pt idx="1">
                  <c:v>0.84819401687033213</c:v>
                </c:pt>
                <c:pt idx="2">
                  <c:v>0.88704163189703966</c:v>
                </c:pt>
                <c:pt idx="3">
                  <c:v>0.94854930985474373</c:v>
                </c:pt>
              </c:numCache>
            </c:numRef>
          </c:val>
        </c:ser>
        <c:ser>
          <c:idx val="2"/>
          <c:order val="4"/>
          <c:tx>
            <c:strRef>
              <c:f>Graf_52!$A$9</c:f>
              <c:strCache>
                <c:ptCount val="1"/>
                <c:pt idx="0">
                  <c:v>vybrané krajiny EÚ</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Graf_52!$B$4:$F$4</c:f>
              <c:strCache>
                <c:ptCount val="5"/>
                <c:pt idx="0">
                  <c:v>predprimárne*</c:v>
                </c:pt>
                <c:pt idx="1">
                  <c:v>primárne*</c:v>
                </c:pt>
                <c:pt idx="2">
                  <c:v>nižšie sekundárne všeobecné*</c:v>
                </c:pt>
                <c:pt idx="3">
                  <c:v>vyššie sekundárne všeobecné*</c:v>
                </c:pt>
                <c:pt idx="4">
                  <c:v>terciárne**</c:v>
                </c:pt>
              </c:strCache>
            </c:strRef>
          </c:cat>
          <c:val>
            <c:numRef>
              <c:f>Graf_52!$B$9:$F$9</c:f>
              <c:numCache>
                <c:formatCode>General</c:formatCode>
                <c:ptCount val="5"/>
                <c:pt idx="4" formatCode="0%">
                  <c:v>1.1599999999999999</c:v>
                </c:pt>
              </c:numCache>
            </c:numRef>
          </c:val>
        </c:ser>
        <c:dLbls>
          <c:dLblPos val="outEnd"/>
          <c:showLegendKey val="0"/>
          <c:showVal val="1"/>
          <c:showCatName val="0"/>
          <c:showSerName val="0"/>
          <c:showPercent val="0"/>
          <c:showBubbleSize val="0"/>
        </c:dLbls>
        <c:gapWidth val="219"/>
        <c:overlap val="-27"/>
        <c:axId val="225460568"/>
        <c:axId val="225460960"/>
      </c:barChart>
      <c:catAx>
        <c:axId val="225460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460960"/>
        <c:crosses val="autoZero"/>
        <c:auto val="1"/>
        <c:lblAlgn val="ctr"/>
        <c:lblOffset val="100"/>
        <c:noMultiLvlLbl val="0"/>
      </c:catAx>
      <c:valAx>
        <c:axId val="225460960"/>
        <c:scaling>
          <c:orientation val="minMax"/>
          <c:max val="1.2"/>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460568"/>
        <c:crosses val="autoZero"/>
        <c:crossBetween val="between"/>
      </c:valAx>
      <c:spPr>
        <a:noFill/>
        <a:ln>
          <a:noFill/>
        </a:ln>
        <a:effectLst/>
      </c:spPr>
    </c:plotArea>
    <c:legend>
      <c:legendPos val="t"/>
      <c:layout>
        <c:manualLayout>
          <c:xMode val="edge"/>
          <c:yMode val="edge"/>
          <c:x val="9.1807553778063725E-2"/>
          <c:y val="4.0100250626566414E-2"/>
          <c:w val="0.4555695166825488"/>
          <c:h val="8.0642156572533694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38691035180233"/>
          <c:y val="6.1009428729894621E-2"/>
          <c:w val="0.74766813551975719"/>
          <c:h val="0.68376721212677039"/>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0"/>
                  <c:y val="2.2185246810870772E-2"/>
                </c:manualLayout>
              </c:layout>
              <c:tx>
                <c:rich>
                  <a:bodyPr/>
                  <a:lstStyle/>
                  <a:p>
                    <a:fld id="{35910015-C676-4C45-968E-AF0F8E10D11C}"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2590532A-429A-4712-939D-13C2C43324E0}"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layout>
                <c:manualLayout>
                  <c:x val="0"/>
                  <c:y val="1.6638935108153077E-2"/>
                </c:manualLayout>
              </c:layout>
              <c:tx>
                <c:rich>
                  <a:bodyPr/>
                  <a:lstStyle/>
                  <a:p>
                    <a:fld id="{0C7B78E8-C996-4FBD-A139-70D9044710C2}"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3"/>
              <c:tx>
                <c:rich>
                  <a:bodyPr/>
                  <a:lstStyle/>
                  <a:p>
                    <a:fld id="{FD4E7489-6897-45FC-8AF1-550F062B1CCA}"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1280E602-475C-4970-925C-25C32319A86F}"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B6F5C4F0-D72D-4970-B446-F391CC4DCB5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D4875743-0060-4D6F-9F0F-7D2297F6368B}"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3157251A-43EB-4E2F-9ED7-82CC1DCC1B2F}"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layout>
                <c:manualLayout>
                  <c:x val="-9.1743119266055051E-3"/>
                  <c:y val="4.4370493621741544E-2"/>
                </c:manualLayout>
              </c:layout>
              <c:tx>
                <c:rich>
                  <a:bodyPr/>
                  <a:lstStyle/>
                  <a:p>
                    <a:fld id="{3C5DF80B-6DDC-4EE9-870A-A88C1060E2AD}"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9"/>
              <c:layout>
                <c:manualLayout>
                  <c:x val="9.1743119266055051E-3"/>
                  <c:y val="-4.9916805324459183E-2"/>
                </c:manualLayout>
              </c:layout>
              <c:tx>
                <c:rich>
                  <a:bodyPr/>
                  <a:lstStyle/>
                  <a:p>
                    <a:fld id="{2CBD3AC2-0E20-436D-8114-B9DBCDCA56DC}"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0"/>
              <c:tx>
                <c:rich>
                  <a:bodyPr/>
                  <a:lstStyle/>
                  <a:p>
                    <a:fld id="{1BA20B97-F20D-4342-A14C-A632F190EF93}"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layout>
                <c:manualLayout>
                  <c:x val="-0.10050251256281408"/>
                  <c:y val="-1.889763779527559E-2"/>
                </c:manualLayout>
              </c:layout>
              <c:tx>
                <c:rich>
                  <a:bodyPr/>
                  <a:lstStyle/>
                  <a:p>
                    <a:fld id="{56C80FA9-083C-44B6-9242-82CBFC75AAF6}"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2"/>
              <c:tx>
                <c:rich>
                  <a:bodyPr/>
                  <a:lstStyle/>
                  <a:p>
                    <a:fld id="{BAC996AB-CC51-4F3C-9C33-0502632CAC9B}"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3"/>
              <c:tx>
                <c:rich>
                  <a:bodyPr/>
                  <a:lstStyle/>
                  <a:p>
                    <a:fld id="{979A303F-A903-40AA-A20F-F7D61E81DDC6}"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4"/>
              <c:layout>
                <c:manualLayout>
                  <c:x val="-1.8348623853211052E-2"/>
                  <c:y val="2.7731558513588463E-2"/>
                </c:manualLayout>
              </c:layout>
              <c:tx>
                <c:rich>
                  <a:bodyPr/>
                  <a:lstStyle/>
                  <a:p>
                    <a:fld id="{271E906F-56A2-4FDD-A46D-77B57B9CFB42}"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5"/>
              <c:layout>
                <c:manualLayout>
                  <c:x val="2.8365599942209059E-2"/>
                  <c:y val="-3.074316209641853E-2"/>
                </c:manualLayout>
              </c:layout>
              <c:tx>
                <c:rich>
                  <a:bodyPr/>
                  <a:lstStyle/>
                  <a:p>
                    <a:fld id="{B8ABAACD-C85A-4E34-83A4-DA7EA7E26462}"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6"/>
              <c:tx>
                <c:rich>
                  <a:bodyPr/>
                  <a:lstStyle/>
                  <a:p>
                    <a:fld id="{0670A8DF-1F02-4D11-B0E3-14D85241454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19050" cap="rnd">
                <a:solidFill>
                  <a:schemeClr val="accent1"/>
                </a:solidFill>
                <a:prstDash val="sysDot"/>
              </a:ln>
              <a:effectLst/>
            </c:spPr>
            <c:trendlineType val="linear"/>
            <c:forward val="0.1"/>
            <c:backward val="0.1"/>
            <c:dispRSqr val="0"/>
            <c:dispEq val="0"/>
          </c:trendline>
          <c:xVal>
            <c:numRef>
              <c:f>Graf_52!$B$7:$B$23</c:f>
              <c:numCache>
                <c:formatCode>0%</c:formatCode>
                <c:ptCount val="17"/>
                <c:pt idx="0">
                  <c:v>0.80646446432152252</c:v>
                </c:pt>
                <c:pt idx="1">
                  <c:v>0.63896694291253009</c:v>
                </c:pt>
                <c:pt idx="2">
                  <c:v>0.81870197298038594</c:v>
                </c:pt>
                <c:pt idx="3">
                  <c:v>0.90811255563538362</c:v>
                </c:pt>
                <c:pt idx="4">
                  <c:v>0.93445927422625563</c:v>
                </c:pt>
                <c:pt idx="5">
                  <c:v>0.82526302850233813</c:v>
                </c:pt>
                <c:pt idx="6">
                  <c:v>0.95421512452947699</c:v>
                </c:pt>
                <c:pt idx="7">
                  <c:v>0.80217278390373803</c:v>
                </c:pt>
                <c:pt idx="8">
                  <c:v>0.67610710068010271</c:v>
                </c:pt>
                <c:pt idx="9">
                  <c:v>0.6569513620524734</c:v>
                </c:pt>
                <c:pt idx="10">
                  <c:v>1.3769184138937485</c:v>
                </c:pt>
                <c:pt idx="11">
                  <c:v>0.79964244352576086</c:v>
                </c:pt>
                <c:pt idx="12">
                  <c:v>0.80845356224351383</c:v>
                </c:pt>
                <c:pt idx="13">
                  <c:v>1.3853237479935869</c:v>
                </c:pt>
                <c:pt idx="14">
                  <c:v>0.65498904500979982</c:v>
                </c:pt>
                <c:pt idx="15">
                  <c:v>0.88414048074883722</c:v>
                </c:pt>
                <c:pt idx="16">
                  <c:v>0.85404796274403183</c:v>
                </c:pt>
              </c:numCache>
            </c:numRef>
          </c:xVal>
          <c:yVal>
            <c:numRef>
              <c:f>Graf_52!$C$7:$C$23</c:f>
              <c:numCache>
                <c:formatCode>0</c:formatCode>
                <c:ptCount val="17"/>
                <c:pt idx="0">
                  <c:v>491.03844061433284</c:v>
                </c:pt>
                <c:pt idx="1">
                  <c:v>495.4925921962834</c:v>
                </c:pt>
                <c:pt idx="2">
                  <c:v>501.0551138758421</c:v>
                </c:pt>
                <c:pt idx="3">
                  <c:v>525.51320106064293</c:v>
                </c:pt>
                <c:pt idx="4">
                  <c:v>516.42155775945764</c:v>
                </c:pt>
                <c:pt idx="5">
                  <c:v>493.66371294564664</c:v>
                </c:pt>
                <c:pt idx="6">
                  <c:v>500.43731313995232</c:v>
                </c:pt>
                <c:pt idx="7">
                  <c:v>453.47249337353475</c:v>
                </c:pt>
                <c:pt idx="8">
                  <c:v>479.32700082785442</c:v>
                </c:pt>
                <c:pt idx="9">
                  <c:v>476.96208853236323</c:v>
                </c:pt>
                <c:pt idx="10">
                  <c:v>487.35853106626445</c:v>
                </c:pt>
                <c:pt idx="11">
                  <c:v>502.46617593237721</c:v>
                </c:pt>
                <c:pt idx="12">
                  <c:v>512.84637726053109</c:v>
                </c:pt>
                <c:pt idx="13">
                  <c:v>491.98850658808033</c:v>
                </c:pt>
                <c:pt idx="14">
                  <c:v>469.39879989260061</c:v>
                </c:pt>
                <c:pt idx="15">
                  <c:v>503.749901727235</c:v>
                </c:pt>
                <c:pt idx="16">
                  <c:v>502.5392042381049</c:v>
                </c:pt>
              </c:numCache>
            </c:numRef>
          </c:yVal>
          <c:smooth val="0"/>
          <c:extLst>
            <c:ext xmlns:c15="http://schemas.microsoft.com/office/drawing/2012/chart" uri="{02D57815-91ED-43cb-92C2-25804820EDAC}">
              <c15:datalabelsRange>
                <c15:f>Graf_52!$A$7:$A$23</c15:f>
                <c15:dlblRangeCache>
                  <c:ptCount val="17"/>
                  <c:pt idx="0">
                    <c:v>Rakúsko</c:v>
                  </c:pt>
                  <c:pt idx="1">
                    <c:v>Česko</c:v>
                  </c:pt>
                  <c:pt idx="2">
                    <c:v>Dánsko</c:v>
                  </c:pt>
                  <c:pt idx="3">
                    <c:v>Estónsko</c:v>
                  </c:pt>
                  <c:pt idx="4">
                    <c:v>Fínsko</c:v>
                  </c:pt>
                  <c:pt idx="5">
                    <c:v>Francúzsko</c:v>
                  </c:pt>
                  <c:pt idx="6">
                    <c:v>Nemecko</c:v>
                  </c:pt>
                  <c:pt idx="7">
                    <c:v>Grécko</c:v>
                  </c:pt>
                  <c:pt idx="8">
                    <c:v>Maďarsko</c:v>
                  </c:pt>
                  <c:pt idx="9">
                    <c:v>Taliansko</c:v>
                  </c:pt>
                  <c:pt idx="10">
                    <c:v>Lotyšsko</c:v>
                  </c:pt>
                  <c:pt idx="11">
                    <c:v>Holandsko</c:v>
                  </c:pt>
                  <c:pt idx="12">
                    <c:v>Poľsko</c:v>
                  </c:pt>
                  <c:pt idx="13">
                    <c:v>Portugalsko</c:v>
                  </c:pt>
                  <c:pt idx="14">
                    <c:v>Slovensko</c:v>
                  </c:pt>
                  <c:pt idx="15">
                    <c:v>Slovinsko</c:v>
                  </c:pt>
                  <c:pt idx="16">
                    <c:v>Švédsko</c:v>
                  </c:pt>
                </c15:dlblRangeCache>
              </c15:datalabelsRange>
            </c:ext>
          </c:extLst>
        </c:ser>
        <c:dLbls>
          <c:showLegendKey val="0"/>
          <c:showVal val="0"/>
          <c:showCatName val="0"/>
          <c:showSerName val="0"/>
          <c:showPercent val="0"/>
          <c:showBubbleSize val="0"/>
        </c:dLbls>
        <c:axId val="226621944"/>
        <c:axId val="226622336"/>
      </c:scatterChart>
      <c:valAx>
        <c:axId val="226621944"/>
        <c:scaling>
          <c:orientation val="minMax"/>
          <c:max val="1.5"/>
          <c:min val="0.60000000000000009"/>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r>
                  <a:rPr lang="sk-SK"/>
                  <a:t>mzdy učiteľov (priemer primárneho a nižšieho sekundárneho vzdelávania) ako podiel mzdy VŠ vzdelaných zamestnancov</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6622336"/>
        <c:crosses val="autoZero"/>
        <c:crossBetween val="midCat"/>
      </c:valAx>
      <c:valAx>
        <c:axId val="226622336"/>
        <c:scaling>
          <c:orientation val="minMax"/>
          <c:max val="530"/>
          <c:min val="45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r>
                  <a:rPr lang="sk-SK"/>
                  <a:t>skóre v testovaní PISA </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6621944"/>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97480497864595"/>
          <c:y val="5.5583628094997471E-2"/>
          <c:w val="0.85156977329053385"/>
          <c:h val="0.83099473606728913"/>
        </c:manualLayout>
      </c:layout>
      <c:lineChart>
        <c:grouping val="standard"/>
        <c:varyColors val="0"/>
        <c:ser>
          <c:idx val="1"/>
          <c:order val="0"/>
          <c:tx>
            <c:strRef>
              <c:f>Graf_53!$A$5</c:f>
              <c:strCache>
                <c:ptCount val="1"/>
                <c:pt idx="0">
                  <c:v>Slovensko</c:v>
                </c:pt>
              </c:strCache>
            </c:strRef>
          </c:tx>
          <c:spPr>
            <a:ln>
              <a:solidFill>
                <a:srgbClr val="00B0F0"/>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Graf_53!$B$4:$E$4</c:f>
              <c:strCache>
                <c:ptCount val="4"/>
                <c:pt idx="0">
                  <c:v>25-34 rokov  </c:v>
                </c:pt>
                <c:pt idx="1">
                  <c:v>35-44  rokov</c:v>
                </c:pt>
                <c:pt idx="2">
                  <c:v>45-54 rokov</c:v>
                </c:pt>
                <c:pt idx="3">
                  <c:v>55-64 rokov</c:v>
                </c:pt>
              </c:strCache>
            </c:strRef>
          </c:cat>
          <c:val>
            <c:numRef>
              <c:f>Graf_53!$B$5:$E$5</c:f>
              <c:numCache>
                <c:formatCode>0%</c:formatCode>
                <c:ptCount val="4"/>
                <c:pt idx="0">
                  <c:v>0.64</c:v>
                </c:pt>
                <c:pt idx="1">
                  <c:v>0.57999999999999996</c:v>
                </c:pt>
                <c:pt idx="2">
                  <c:v>0.66</c:v>
                </c:pt>
                <c:pt idx="3">
                  <c:v>0.69</c:v>
                </c:pt>
              </c:numCache>
            </c:numRef>
          </c:val>
          <c:smooth val="0"/>
        </c:ser>
        <c:ser>
          <c:idx val="2"/>
          <c:order val="1"/>
          <c:tx>
            <c:strRef>
              <c:f>Graf_53!$A$6</c:f>
              <c:strCache>
                <c:ptCount val="1"/>
                <c:pt idx="0">
                  <c:v>OECD (23 krajín)</c:v>
                </c:pt>
              </c:strCache>
            </c:strRef>
          </c:tx>
          <c:spPr>
            <a:ln>
              <a:solidFill>
                <a:sysClr val="windowText" lastClr="000000"/>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Graf_53!$B$4:$E$4</c:f>
              <c:strCache>
                <c:ptCount val="4"/>
                <c:pt idx="0">
                  <c:v>25-34 rokov  </c:v>
                </c:pt>
                <c:pt idx="1">
                  <c:v>35-44  rokov</c:v>
                </c:pt>
                <c:pt idx="2">
                  <c:v>45-54 rokov</c:v>
                </c:pt>
                <c:pt idx="3">
                  <c:v>55-64 rokov</c:v>
                </c:pt>
              </c:strCache>
            </c:strRef>
          </c:cat>
          <c:val>
            <c:numRef>
              <c:f>Graf_53!$B$6:$E$6</c:f>
              <c:numCache>
                <c:formatCode>0%</c:formatCode>
                <c:ptCount val="4"/>
                <c:pt idx="0">
                  <c:v>0.94</c:v>
                </c:pt>
                <c:pt idx="1">
                  <c:v>0.83</c:v>
                </c:pt>
                <c:pt idx="2">
                  <c:v>0.82</c:v>
                </c:pt>
                <c:pt idx="3">
                  <c:v>0.84</c:v>
                </c:pt>
              </c:numCache>
            </c:numRef>
          </c:val>
          <c:smooth val="0"/>
        </c:ser>
        <c:dLbls>
          <c:showLegendKey val="0"/>
          <c:showVal val="0"/>
          <c:showCatName val="0"/>
          <c:showSerName val="0"/>
          <c:showPercent val="0"/>
          <c:showBubbleSize val="0"/>
        </c:dLbls>
        <c:smooth val="0"/>
        <c:axId val="226623120"/>
        <c:axId val="226623512"/>
      </c:lineChart>
      <c:catAx>
        <c:axId val="226623120"/>
        <c:scaling>
          <c:orientation val="minMax"/>
        </c:scaling>
        <c:delete val="0"/>
        <c:axPos val="b"/>
        <c:numFmt formatCode="General" sourceLinked="1"/>
        <c:majorTickMark val="out"/>
        <c:minorTickMark val="none"/>
        <c:tickLblPos val="nextTo"/>
        <c:spPr>
          <a:noFill/>
          <a:ln w="9525" cap="flat" cmpd="sng" algn="ctr">
            <a:solidFill>
              <a:sysClr val="windowText" lastClr="000000">
                <a:lumMod val="15000"/>
                <a:lumOff val="85000"/>
              </a:sysClr>
            </a:solidFill>
            <a:round/>
          </a:ln>
          <a:effectLst/>
        </c:spPr>
        <c:txPr>
          <a:bodyPr rot="-60000000" vert="horz"/>
          <a:lstStyle/>
          <a:p>
            <a:pPr>
              <a:defRPr/>
            </a:pPr>
            <a:endParaRPr lang="sk-SK"/>
          </a:p>
        </c:txPr>
        <c:crossAx val="226623512"/>
        <c:crosses val="autoZero"/>
        <c:auto val="1"/>
        <c:lblAlgn val="ctr"/>
        <c:lblOffset val="100"/>
        <c:noMultiLvlLbl val="0"/>
      </c:catAx>
      <c:valAx>
        <c:axId val="226623512"/>
        <c:scaling>
          <c:orientation val="minMax"/>
          <c:min val="0.5"/>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vert="horz"/>
          <a:lstStyle/>
          <a:p>
            <a:pPr>
              <a:defRPr/>
            </a:pPr>
            <a:endParaRPr lang="sk-SK"/>
          </a:p>
        </c:txPr>
        <c:crossAx val="226623120"/>
        <c:crosses val="autoZero"/>
        <c:crossBetween val="between"/>
      </c:valAx>
      <c:spPr>
        <a:noFill/>
        <a:ln>
          <a:noFill/>
        </a:ln>
        <a:effectLst/>
      </c:spPr>
    </c:plotArea>
    <c:legend>
      <c:legendPos val="b"/>
      <c:layout>
        <c:manualLayout>
          <c:xMode val="edge"/>
          <c:yMode val="edge"/>
          <c:x val="0.29627394217702196"/>
          <c:y val="1.1161226205947917E-4"/>
          <c:w val="0.6785912073490814"/>
          <c:h val="0.16177560329230692"/>
        </c:manualLayout>
      </c:layout>
      <c:overlay val="0"/>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sk-SK"/>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157489351012672E-2"/>
          <c:y val="4.993191103041307E-2"/>
          <c:w val="0.93189093846629278"/>
          <c:h val="0.87190195188379482"/>
        </c:manualLayout>
      </c:layout>
      <c:lineChart>
        <c:grouping val="standard"/>
        <c:varyColors val="0"/>
        <c:ser>
          <c:idx val="0"/>
          <c:order val="0"/>
          <c:tx>
            <c:strRef>
              <c:f>Graf_55!$A$5:$B$5</c:f>
              <c:strCache>
                <c:ptCount val="2"/>
                <c:pt idx="0">
                  <c:v>základné školy</c:v>
                </c:pt>
                <c:pt idx="1">
                  <c:v>žiaci</c:v>
                </c:pt>
              </c:strCache>
            </c:strRef>
          </c:tx>
          <c:spPr>
            <a:ln w="28575" cap="rnd">
              <a:solidFill>
                <a:srgbClr val="0070C0"/>
              </a:solidFill>
              <a:round/>
            </a:ln>
            <a:effectLst/>
          </c:spPr>
          <c:marker>
            <c:symbol val="none"/>
          </c:marker>
          <c:dLbls>
            <c:dLbl>
              <c:idx val="18"/>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Graf_55!$B$4:$U$4</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Graf_55!$B$5:$U$5</c:f>
              <c:numCache>
                <c:formatCode>#,##0</c:formatCode>
                <c:ptCount val="19"/>
                <c:pt idx="0">
                  <c:v>100</c:v>
                </c:pt>
                <c:pt idx="1">
                  <c:v>96.263860170884499</c:v>
                </c:pt>
                <c:pt idx="2">
                  <c:v>92.53325058451594</c:v>
                </c:pt>
                <c:pt idx="3">
                  <c:v>88.946427309567625</c:v>
                </c:pt>
                <c:pt idx="4">
                  <c:v>85.309370996334678</c:v>
                </c:pt>
                <c:pt idx="5">
                  <c:v>81.753578527910818</c:v>
                </c:pt>
                <c:pt idx="6">
                  <c:v>78.057840194418745</c:v>
                </c:pt>
                <c:pt idx="7">
                  <c:v>74.130753372679976</c:v>
                </c:pt>
                <c:pt idx="8">
                  <c:v>70.537170912152078</c:v>
                </c:pt>
                <c:pt idx="9">
                  <c:v>68.877790852364015</c:v>
                </c:pt>
                <c:pt idx="10">
                  <c:v>67.541776375417442</c:v>
                </c:pt>
                <c:pt idx="11">
                  <c:v>66.743424387756022</c:v>
                </c:pt>
                <c:pt idx="12">
                  <c:v>66.077030136750594</c:v>
                </c:pt>
                <c:pt idx="13">
                  <c:v>65.652737623777568</c:v>
                </c:pt>
                <c:pt idx="14">
                  <c:v>65.399882635959472</c:v>
                </c:pt>
                <c:pt idx="15">
                  <c:v>65.659035955794906</c:v>
                </c:pt>
                <c:pt idx="16">
                  <c:v>66.587963119425567</c:v>
                </c:pt>
                <c:pt idx="17">
                  <c:v>67.68126138692341</c:v>
                </c:pt>
                <c:pt idx="18">
                  <c:v>68.681313616993791</c:v>
                </c:pt>
              </c:numCache>
            </c:numRef>
          </c:val>
          <c:smooth val="0"/>
        </c:ser>
        <c:ser>
          <c:idx val="3"/>
          <c:order val="1"/>
          <c:tx>
            <c:strRef>
              <c:f>Graf_55!$A$6:$B$6</c:f>
              <c:strCache>
                <c:ptCount val="2"/>
                <c:pt idx="0">
                  <c:v>základné školy</c:v>
                </c:pt>
                <c:pt idx="1">
                  <c:v>učitelia</c:v>
                </c:pt>
              </c:strCache>
            </c:strRef>
          </c:tx>
          <c:spPr>
            <a:ln w="28575" cap="rnd">
              <a:solidFill>
                <a:srgbClr val="0070C0"/>
              </a:solidFill>
              <a:prstDash val="dash"/>
              <a:round/>
            </a:ln>
            <a:effectLst/>
          </c:spPr>
          <c:marker>
            <c:symbol val="none"/>
          </c:marker>
          <c:dLbls>
            <c:dLbl>
              <c:idx val="18"/>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Graf_55!$B$4:$U$4</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Graf_55!$B$6:$U$6</c:f>
              <c:numCache>
                <c:formatCode>#,##0</c:formatCode>
                <c:ptCount val="19"/>
                <c:pt idx="0">
                  <c:v>100</c:v>
                </c:pt>
                <c:pt idx="1">
                  <c:v>99.779440919904843</c:v>
                </c:pt>
                <c:pt idx="2">
                  <c:v>97.645717684377487</c:v>
                </c:pt>
                <c:pt idx="3">
                  <c:v>95.303826328310876</c:v>
                </c:pt>
                <c:pt idx="4">
                  <c:v>90.895122918318805</c:v>
                </c:pt>
                <c:pt idx="5">
                  <c:v>88.24097938144331</c:v>
                </c:pt>
                <c:pt idx="6">
                  <c:v>85.462926249008731</c:v>
                </c:pt>
                <c:pt idx="7">
                  <c:v>78.670202220459956</c:v>
                </c:pt>
                <c:pt idx="8">
                  <c:v>77.629361617763678</c:v>
                </c:pt>
                <c:pt idx="9">
                  <c:v>77.52527755749405</c:v>
                </c:pt>
                <c:pt idx="10">
                  <c:v>77.966395717684378</c:v>
                </c:pt>
                <c:pt idx="11">
                  <c:v>78.293517049960343</c:v>
                </c:pt>
                <c:pt idx="12">
                  <c:v>78.043219666930995</c:v>
                </c:pt>
                <c:pt idx="13">
                  <c:v>77.12381046788262</c:v>
                </c:pt>
                <c:pt idx="14">
                  <c:v>76.667823156225197</c:v>
                </c:pt>
                <c:pt idx="15">
                  <c:v>77.201873513084834</c:v>
                </c:pt>
                <c:pt idx="16">
                  <c:v>77.31958762886596</c:v>
                </c:pt>
                <c:pt idx="17">
                  <c:v>78.019057295796969</c:v>
                </c:pt>
                <c:pt idx="18">
                  <c:v>79.031398691514653</c:v>
                </c:pt>
              </c:numCache>
            </c:numRef>
          </c:val>
          <c:smooth val="0"/>
        </c:ser>
        <c:ser>
          <c:idx val="1"/>
          <c:order val="2"/>
          <c:tx>
            <c:strRef>
              <c:f>Graf_55!$A$7:$B$7</c:f>
              <c:strCache>
                <c:ptCount val="2"/>
                <c:pt idx="0">
                  <c:v>stredné školy</c:v>
                </c:pt>
                <c:pt idx="1">
                  <c:v>žiaci</c:v>
                </c:pt>
              </c:strCache>
            </c:strRef>
          </c:tx>
          <c:spPr>
            <a:ln w="28575" cap="rnd">
              <a:solidFill>
                <a:schemeClr val="tx1"/>
              </a:solidFill>
              <a:round/>
            </a:ln>
            <a:effectLst/>
          </c:spPr>
          <c:marker>
            <c:symbol val="none"/>
          </c:marker>
          <c:cat>
            <c:strRef>
              <c:f>Graf_55!$B$4:$U$4</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Graf_55!$B$7:$U$7</c:f>
              <c:numCache>
                <c:formatCode>#,##0</c:formatCode>
                <c:ptCount val="19"/>
                <c:pt idx="0">
                  <c:v>100</c:v>
                </c:pt>
                <c:pt idx="1">
                  <c:v>103.30470565929089</c:v>
                </c:pt>
                <c:pt idx="2">
                  <c:v>107.97736002752751</c:v>
                </c:pt>
                <c:pt idx="3">
                  <c:v>114.64505663504279</c:v>
                </c:pt>
                <c:pt idx="4">
                  <c:v>114.30026052821921</c:v>
                </c:pt>
                <c:pt idx="5">
                  <c:v>111.58823901181859</c:v>
                </c:pt>
                <c:pt idx="6">
                  <c:v>109.73258990330262</c:v>
                </c:pt>
                <c:pt idx="7">
                  <c:v>106.52584566336385</c:v>
                </c:pt>
                <c:pt idx="8">
                  <c:v>103.89563422118918</c:v>
                </c:pt>
                <c:pt idx="9">
                  <c:v>100.26439049739123</c:v>
                </c:pt>
                <c:pt idx="10">
                  <c:v>95.306278659859714</c:v>
                </c:pt>
                <c:pt idx="11">
                  <c:v>90.20315583239119</c:v>
                </c:pt>
                <c:pt idx="12">
                  <c:v>84.719774162061213</c:v>
                </c:pt>
                <c:pt idx="13">
                  <c:v>80.194588597150357</c:v>
                </c:pt>
                <c:pt idx="14">
                  <c:v>77.47238471099628</c:v>
                </c:pt>
                <c:pt idx="15">
                  <c:v>75.522987577508914</c:v>
                </c:pt>
                <c:pt idx="16">
                  <c:v>73.52934980302382</c:v>
                </c:pt>
                <c:pt idx="17">
                  <c:v>72.530073102392521</c:v>
                </c:pt>
                <c:pt idx="18">
                  <c:v>70.557151183612717</c:v>
                </c:pt>
              </c:numCache>
            </c:numRef>
          </c:val>
          <c:smooth val="0"/>
        </c:ser>
        <c:ser>
          <c:idx val="2"/>
          <c:order val="3"/>
          <c:tx>
            <c:strRef>
              <c:f>Graf_55!$A$8:$B$8</c:f>
              <c:strCache>
                <c:ptCount val="2"/>
                <c:pt idx="0">
                  <c:v>stredné školy</c:v>
                </c:pt>
                <c:pt idx="1">
                  <c:v>učitelia</c:v>
                </c:pt>
              </c:strCache>
            </c:strRef>
          </c:tx>
          <c:spPr>
            <a:ln w="28575" cap="rnd">
              <a:solidFill>
                <a:schemeClr val="tx1"/>
              </a:solidFill>
              <a:prstDash val="dash"/>
              <a:round/>
            </a:ln>
            <a:effectLst/>
          </c:spPr>
          <c:marker>
            <c:symbol val="none"/>
          </c:marker>
          <c:dLbls>
            <c:dLbl>
              <c:idx val="18"/>
              <c:layout>
                <c:manualLayout>
                  <c:x val="-1.6420361247947454E-3"/>
                  <c:y val="-1.29905233109571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Graf_55!$B$4:$U$4</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Graf_55!$B$8:$U$8</c:f>
              <c:numCache>
                <c:formatCode>#,##0</c:formatCode>
                <c:ptCount val="19"/>
                <c:pt idx="0">
                  <c:v>100</c:v>
                </c:pt>
                <c:pt idx="1">
                  <c:v>102.12127492021386</c:v>
                </c:pt>
                <c:pt idx="2">
                  <c:v>102.07361047788784</c:v>
                </c:pt>
                <c:pt idx="3">
                  <c:v>105.7404567496995</c:v>
                </c:pt>
                <c:pt idx="4">
                  <c:v>104.06722758735027</c:v>
                </c:pt>
                <c:pt idx="5">
                  <c:v>102.38322211630124</c:v>
                </c:pt>
                <c:pt idx="6">
                  <c:v>101.48091349939901</c:v>
                </c:pt>
                <c:pt idx="7">
                  <c:v>92.620300907696773</c:v>
                </c:pt>
                <c:pt idx="8">
                  <c:v>91.187466324035313</c:v>
                </c:pt>
                <c:pt idx="9">
                  <c:v>90.787499481908242</c:v>
                </c:pt>
                <c:pt idx="10">
                  <c:v>88.776060015750005</c:v>
                </c:pt>
                <c:pt idx="11">
                  <c:v>86.616653541675319</c:v>
                </c:pt>
                <c:pt idx="12">
                  <c:v>83.184813694201523</c:v>
                </c:pt>
                <c:pt idx="13">
                  <c:v>79.711526505574668</c:v>
                </c:pt>
                <c:pt idx="14">
                  <c:v>76.694160069631522</c:v>
                </c:pt>
                <c:pt idx="15">
                  <c:v>75.135740042276268</c:v>
                </c:pt>
                <c:pt idx="16">
                  <c:v>73.113109794006704</c:v>
                </c:pt>
                <c:pt idx="17">
                  <c:v>72.470676006134198</c:v>
                </c:pt>
                <c:pt idx="18">
                  <c:v>71.061466406929995</c:v>
                </c:pt>
              </c:numCache>
            </c:numRef>
          </c:val>
          <c:smooth val="0"/>
        </c:ser>
        <c:dLbls>
          <c:showLegendKey val="0"/>
          <c:showVal val="0"/>
          <c:showCatName val="0"/>
          <c:showSerName val="0"/>
          <c:showPercent val="0"/>
          <c:showBubbleSize val="0"/>
        </c:dLbls>
        <c:smooth val="0"/>
        <c:axId val="226624296"/>
        <c:axId val="226624688"/>
      </c:lineChart>
      <c:catAx>
        <c:axId val="226624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6624688"/>
        <c:crosses val="autoZero"/>
        <c:auto val="1"/>
        <c:lblAlgn val="ctr"/>
        <c:lblOffset val="100"/>
        <c:noMultiLvlLbl val="0"/>
      </c:catAx>
      <c:valAx>
        <c:axId val="226624688"/>
        <c:scaling>
          <c:orientation val="minMax"/>
          <c:max val="120"/>
          <c:min val="50"/>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6624296"/>
        <c:crosses val="autoZero"/>
        <c:crossBetween val="between"/>
      </c:valAx>
      <c:spPr>
        <a:noFill/>
        <a:ln>
          <a:noFill/>
        </a:ln>
        <a:effectLst/>
      </c:spPr>
    </c:plotArea>
    <c:legend>
      <c:legendPos val="b"/>
      <c:layout>
        <c:manualLayout>
          <c:xMode val="edge"/>
          <c:yMode val="edge"/>
          <c:x val="0.68677573783882939"/>
          <c:y val="7.0566979172995981E-2"/>
          <c:w val="0.27615946101756789"/>
          <c:h val="0.308205346324446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218136194514146E-2"/>
          <c:y val="4.5627296587926511E-2"/>
          <c:w val="0.87048143982002235"/>
          <c:h val="0.8264542016993639"/>
        </c:manualLayout>
      </c:layout>
      <c:scatterChart>
        <c:scatterStyle val="lineMarker"/>
        <c:varyColors val="0"/>
        <c:ser>
          <c:idx val="0"/>
          <c:order val="0"/>
          <c:spPr>
            <a:ln w="19050" cap="rnd">
              <a:noFill/>
              <a:round/>
            </a:ln>
            <a:effectLst/>
          </c:spPr>
          <c:marker>
            <c:symbol val="circle"/>
            <c:size val="5"/>
            <c:spPr>
              <a:solidFill>
                <a:srgbClr val="0070C0"/>
              </a:solidFill>
              <a:ln w="9525">
                <a:solidFill>
                  <a:srgbClr val="0070C0"/>
                </a:solidFill>
              </a:ln>
              <a:effectLst/>
            </c:spPr>
          </c:marker>
          <c:dPt>
            <c:idx val="17"/>
            <c:marker>
              <c:symbol val="circle"/>
              <c:size val="5"/>
              <c:spPr>
                <a:solidFill>
                  <a:srgbClr val="0070C0"/>
                </a:solidFill>
                <a:ln w="9525">
                  <a:solidFill>
                    <a:srgbClr val="0070C0"/>
                  </a:solidFill>
                </a:ln>
                <a:effectLst/>
              </c:spPr>
            </c:marker>
            <c:bubble3D val="0"/>
          </c:dPt>
          <c:dLbls>
            <c:dLbl>
              <c:idx val="0"/>
              <c:tx>
                <c:rich>
                  <a:bodyPr/>
                  <a:lstStyle/>
                  <a:p>
                    <a:fld id="{522B2E80-9AA3-497D-83B6-E11F28629416}"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35329449-1C49-40B9-9CDC-0CC9F89563A9}"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layout>
                <c:manualLayout>
                  <c:x val="-2.4337244676227728E-2"/>
                  <c:y val="3.9320811095167621E-2"/>
                </c:manualLayout>
              </c:layout>
              <c:tx>
                <c:rich>
                  <a:bodyPr/>
                  <a:lstStyle/>
                  <a:p>
                    <a:fld id="{2774E0AB-F771-4791-937C-A662277ABEE8}"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3"/>
              <c:tx>
                <c:rich>
                  <a:bodyPr/>
                  <a:lstStyle/>
                  <a:p>
                    <a:fld id="{EF666A53-0BB3-4551-B9B9-8FA2C3A65E94}"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F269D557-15D2-49FD-B00E-07EDDDE564C4}"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10B23B3D-67D6-4241-AC66-8F5EEBD7DC9D}"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080258F3-33F1-4761-8263-855E7F916DBD}"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92F7A7F2-CF11-404D-8D61-D8FB9A33169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A517072A-3CED-48C5-B310-734DA3053DA1}"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CFBF4AD1-4CE6-42FE-8F82-E10C74BAA2A3}"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E7A1CEB5-D757-459A-9697-1B4F962C7ADF}"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25A52DF8-38CF-4DF0-B0B1-C18CDA092E70}"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2"/>
              <c:tx>
                <c:rich>
                  <a:bodyPr/>
                  <a:lstStyle/>
                  <a:p>
                    <a:fld id="{2020B32F-A42C-4528-86B2-B7417F465B5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3"/>
              <c:tx>
                <c:rich>
                  <a:bodyPr/>
                  <a:lstStyle/>
                  <a:p>
                    <a:fld id="{9F714C8D-1197-4A9C-805B-329736BAE2F0}"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4"/>
              <c:tx>
                <c:rich>
                  <a:bodyPr/>
                  <a:lstStyle/>
                  <a:p>
                    <a:fld id="{B8F0CCCA-3DE1-4F26-B212-DD4820A7F14B}"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5"/>
              <c:tx>
                <c:rich>
                  <a:bodyPr/>
                  <a:lstStyle/>
                  <a:p>
                    <a:fld id="{CD15F5F3-0E33-42D4-9C19-B7C5563FD58D}"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6"/>
              <c:tx>
                <c:rich>
                  <a:bodyPr/>
                  <a:lstStyle/>
                  <a:p>
                    <a:fld id="{22119106-40AF-4A97-BBEC-EC21C7098E71}"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7"/>
              <c:tx>
                <c:rich>
                  <a:bodyPr/>
                  <a:lstStyle/>
                  <a:p>
                    <a:fld id="{0EE463D0-A7C2-4425-98AE-A5FA0B3B7084}"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8"/>
              <c:tx>
                <c:rich>
                  <a:bodyPr/>
                  <a:lstStyle/>
                  <a:p>
                    <a:fld id="{D9791557-1B96-48E9-9865-280B288D0D1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9"/>
              <c:tx>
                <c:rich>
                  <a:bodyPr/>
                  <a:lstStyle/>
                  <a:p>
                    <a:fld id="{472D0838-BD1F-4B1E-B43D-9AC2AEB6C5C6}"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0"/>
              <c:tx>
                <c:rich>
                  <a:bodyPr/>
                  <a:lstStyle/>
                  <a:p>
                    <a:fld id="{ECF086B3-C007-425F-8D20-CBD6A134DFBE}"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19050" cap="rnd">
                <a:solidFill>
                  <a:schemeClr val="accent1"/>
                </a:solidFill>
                <a:prstDash val="sysDot"/>
              </a:ln>
              <a:effectLst/>
            </c:spPr>
            <c:trendlineType val="linear"/>
            <c:forward val="1"/>
            <c:dispRSqr val="0"/>
            <c:dispEq val="0"/>
          </c:trendline>
          <c:xVal>
            <c:numRef>
              <c:f>Graf_55!$B$7:$B$27</c:f>
              <c:numCache>
                <c:formatCode>0.0</c:formatCode>
                <c:ptCount val="21"/>
                <c:pt idx="0">
                  <c:v>8.5647640000000003</c:v>
                </c:pt>
                <c:pt idx="1">
                  <c:v>8.9394299999999998</c:v>
                </c:pt>
                <c:pt idx="2">
                  <c:v>12.11421</c:v>
                </c:pt>
                <c:pt idx="3">
                  <c:v>10.04918</c:v>
                </c:pt>
                <c:pt idx="4">
                  <c:v>8.9260280000000005</c:v>
                </c:pt>
                <c:pt idx="5">
                  <c:v>13.97077</c:v>
                </c:pt>
                <c:pt idx="6">
                  <c:v>13.1517</c:v>
                </c:pt>
                <c:pt idx="7">
                  <c:v>10.446580000000001</c:v>
                </c:pt>
                <c:pt idx="8">
                  <c:v>10.10145</c:v>
                </c:pt>
                <c:pt idx="9">
                  <c:v>10.95373</c:v>
                </c:pt>
                <c:pt idx="10">
                  <c:v>8.3938889999999997</c:v>
                </c:pt>
                <c:pt idx="11">
                  <c:v>7.3329120000000003</c:v>
                </c:pt>
                <c:pt idx="12">
                  <c:v>16.11964</c:v>
                </c:pt>
                <c:pt idx="13">
                  <c:v>9.4186350000000001</c:v>
                </c:pt>
                <c:pt idx="14">
                  <c:v>9.5179170000000006</c:v>
                </c:pt>
                <c:pt idx="15">
                  <c:v>9.8103200000000008</c:v>
                </c:pt>
                <c:pt idx="16">
                  <c:v>12.41315</c:v>
                </c:pt>
                <c:pt idx="17">
                  <c:v>11.75095</c:v>
                </c:pt>
                <c:pt idx="18">
                  <c:v>11.737927090195118</c:v>
                </c:pt>
                <c:pt idx="19">
                  <c:v>12.18398</c:v>
                </c:pt>
                <c:pt idx="20">
                  <c:v>15.21983</c:v>
                </c:pt>
              </c:numCache>
            </c:numRef>
          </c:xVal>
          <c:yVal>
            <c:numRef>
              <c:f>Graf_55!$C$7:$C$27</c:f>
              <c:numCache>
                <c:formatCode>0.0</c:formatCode>
                <c:ptCount val="21"/>
                <c:pt idx="0">
                  <c:v>491.03844061433284</c:v>
                </c:pt>
                <c:pt idx="1">
                  <c:v>499.90262406651078</c:v>
                </c:pt>
                <c:pt idx="2">
                  <c:v>495.4925921962834</c:v>
                </c:pt>
                <c:pt idx="3">
                  <c:v>525.51320106064293</c:v>
                </c:pt>
                <c:pt idx="4">
                  <c:v>516.42155775945764</c:v>
                </c:pt>
                <c:pt idx="5">
                  <c:v>493.66371294564664</c:v>
                </c:pt>
                <c:pt idx="6">
                  <c:v>500.43731313995232</c:v>
                </c:pt>
                <c:pt idx="7">
                  <c:v>479.32700082785442</c:v>
                </c:pt>
                <c:pt idx="8">
                  <c:v>481.395266424993</c:v>
                </c:pt>
                <c:pt idx="9">
                  <c:v>476.96208853236323</c:v>
                </c:pt>
                <c:pt idx="10">
                  <c:v>487.35853106626445</c:v>
                </c:pt>
                <c:pt idx="11">
                  <c:v>479.71056015774548</c:v>
                </c:pt>
                <c:pt idx="12">
                  <c:v>502.46617593237721</c:v>
                </c:pt>
                <c:pt idx="13">
                  <c:v>496.94263130164836</c:v>
                </c:pt>
                <c:pt idx="14">
                  <c:v>512.84637726053109</c:v>
                </c:pt>
                <c:pt idx="15">
                  <c:v>491.98850658808033</c:v>
                </c:pt>
                <c:pt idx="16">
                  <c:v>469.39879989260061</c:v>
                </c:pt>
                <c:pt idx="17">
                  <c:v>482.32232770048233</c:v>
                </c:pt>
                <c:pt idx="18">
                  <c:v>498.17346874668675</c:v>
                </c:pt>
                <c:pt idx="19">
                  <c:v>502.5392042381049</c:v>
                </c:pt>
                <c:pt idx="20">
                  <c:v>503.4551606178502</c:v>
                </c:pt>
              </c:numCache>
            </c:numRef>
          </c:yVal>
          <c:smooth val="0"/>
          <c:extLst>
            <c:ext xmlns:c15="http://schemas.microsoft.com/office/drawing/2012/chart" uri="{02D57815-91ED-43cb-92C2-25804820EDAC}">
              <c15:datalabelsRange>
                <c15:f>Graf_55!$A$7:$A$27</c15:f>
                <c15:dlblRangeCache>
                  <c:ptCount val="21"/>
                  <c:pt idx="0">
                    <c:v>Rakúsko</c:v>
                  </c:pt>
                  <c:pt idx="1">
                    <c:v>Belgicko</c:v>
                  </c:pt>
                  <c:pt idx="2">
                    <c:v>Česká republika</c:v>
                  </c:pt>
                  <c:pt idx="3">
                    <c:v>Estónsko</c:v>
                  </c:pt>
                  <c:pt idx="4">
                    <c:v>Fínsko</c:v>
                  </c:pt>
                  <c:pt idx="5">
                    <c:v>Francúzsko</c:v>
                  </c:pt>
                  <c:pt idx="6">
                    <c:v>Nemecko</c:v>
                  </c:pt>
                  <c:pt idx="7">
                    <c:v>Maďarsko</c:v>
                  </c:pt>
                  <c:pt idx="8">
                    <c:v>Island</c:v>
                  </c:pt>
                  <c:pt idx="9">
                    <c:v>Taliansko</c:v>
                  </c:pt>
                  <c:pt idx="10">
                    <c:v>Lotyšsko</c:v>
                  </c:pt>
                  <c:pt idx="11">
                    <c:v>Litva</c:v>
                  </c:pt>
                  <c:pt idx="12">
                    <c:v>Holandsko</c:v>
                  </c:pt>
                  <c:pt idx="13">
                    <c:v>Nórsko</c:v>
                  </c:pt>
                  <c:pt idx="14">
                    <c:v>Poľsko</c:v>
                  </c:pt>
                  <c:pt idx="15">
                    <c:v>Portugalsko</c:v>
                  </c:pt>
                  <c:pt idx="16">
                    <c:v>Slovensko</c:v>
                  </c:pt>
                  <c:pt idx="17">
                    <c:v>Španielsko</c:v>
                  </c:pt>
                  <c:pt idx="18">
                    <c:v>Švajčiarsko</c:v>
                  </c:pt>
                  <c:pt idx="19">
                    <c:v>Švédsko</c:v>
                  </c:pt>
                  <c:pt idx="20">
                    <c:v>UK</c:v>
                  </c:pt>
                </c15:dlblRangeCache>
              </c15:datalabelsRange>
            </c:ext>
          </c:extLst>
        </c:ser>
        <c:dLbls>
          <c:showLegendKey val="0"/>
          <c:showVal val="0"/>
          <c:showCatName val="0"/>
          <c:showSerName val="0"/>
          <c:showPercent val="0"/>
          <c:showBubbleSize val="0"/>
        </c:dLbls>
        <c:axId val="227051672"/>
        <c:axId val="227052064"/>
      </c:scatterChart>
      <c:valAx>
        <c:axId val="227051672"/>
        <c:scaling>
          <c:orientation val="minMax"/>
          <c:max val="17"/>
          <c:min val="9"/>
        </c:scaling>
        <c:delete val="0"/>
        <c:axPos val="b"/>
        <c:majorGridlines>
          <c:spPr>
            <a:ln w="952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sk-SK"/>
                  <a:t>počet žiakov na učiteľa (nižšie sekundárne vzdelávanie)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052064"/>
        <c:crosses val="autoZero"/>
        <c:crossBetween val="midCat"/>
      </c:valAx>
      <c:valAx>
        <c:axId val="227052064"/>
        <c:scaling>
          <c:orientation val="minMax"/>
          <c:min val="450"/>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sk-SK"/>
                  <a:t>priemerné skóre v PISA 201</a:t>
                </a:r>
                <a:r>
                  <a:rPr lang="en-US"/>
                  <a:t>8</a:t>
                </a:r>
                <a:endParaRPr lang="sk-SK"/>
              </a:p>
            </c:rich>
          </c:tx>
          <c:layout>
            <c:manualLayout>
              <c:xMode val="edge"/>
              <c:yMode val="edge"/>
              <c:x val="1.2654495111188024E-2"/>
              <c:y val="0.245566795675964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051672"/>
        <c:crosses val="autoZero"/>
        <c:crossBetween val="midCat"/>
      </c:valAx>
      <c:spPr>
        <a:noFill/>
        <a:ln w="25400">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7635309513887"/>
          <c:y val="5.057471264367816E-2"/>
          <c:w val="0.8185547489015127"/>
          <c:h val="0.81213929780516569"/>
        </c:manualLayout>
      </c:layout>
      <c:lineChart>
        <c:grouping val="standard"/>
        <c:varyColors val="0"/>
        <c:ser>
          <c:idx val="1"/>
          <c:order val="0"/>
          <c:tx>
            <c:strRef>
              <c:f>'skill 2'!$F$2</c:f>
              <c:strCache>
                <c:ptCount val="1"/>
                <c:pt idx="0">
                  <c:v>súkromný sektor</c:v>
                </c:pt>
              </c:strCache>
            </c:strRef>
          </c:tx>
          <c:spPr>
            <a:ln w="28575" cap="rnd">
              <a:solidFill>
                <a:sysClr val="window" lastClr="FFFFFF">
                  <a:lumMod val="75000"/>
                </a:sysClr>
              </a:solidFill>
              <a:round/>
            </a:ln>
            <a:effectLst/>
          </c:spPr>
          <c:marker>
            <c:symbol val="none"/>
          </c:marker>
          <c:cat>
            <c:numRef>
              <c:f>'skill 2'!$C$3:$C$49</c:f>
              <c:numCache>
                <c:formatCode>General</c:formatCode>
                <c:ptCount val="47"/>
                <c:pt idx="6" formatCode="0">
                  <c:v>4.75</c:v>
                </c:pt>
                <c:pt idx="16" formatCode="0">
                  <c:v>9.75</c:v>
                </c:pt>
                <c:pt idx="26" formatCode="0">
                  <c:v>14.75</c:v>
                </c:pt>
                <c:pt idx="36" formatCode="0">
                  <c:v>19.75</c:v>
                </c:pt>
                <c:pt idx="46" formatCode="0">
                  <c:v>24.75</c:v>
                </c:pt>
              </c:numCache>
            </c:numRef>
          </c:cat>
          <c:val>
            <c:numRef>
              <c:f>'skill 2'!$F$3:$F$49</c:f>
              <c:numCache>
                <c:formatCode>0.00%</c:formatCode>
                <c:ptCount val="47"/>
                <c:pt idx="0">
                  <c:v>0</c:v>
                </c:pt>
                <c:pt idx="1">
                  <c:v>4.4506800707781898E-4</c:v>
                </c:pt>
                <c:pt idx="2">
                  <c:v>1.9695750342551287E-2</c:v>
                </c:pt>
                <c:pt idx="3">
                  <c:v>4.2037636513654303E-2</c:v>
                </c:pt>
                <c:pt idx="4">
                  <c:v>6.4432496000351377E-2</c:v>
                </c:pt>
                <c:pt idx="5">
                  <c:v>9.1622951068558459E-2</c:v>
                </c:pt>
                <c:pt idx="6">
                  <c:v>9.810274891954239E-2</c:v>
                </c:pt>
                <c:pt idx="7">
                  <c:v>9.0049783918274465E-2</c:v>
                </c:pt>
                <c:pt idx="8">
                  <c:v>9.1992611268948379E-2</c:v>
                </c:pt>
                <c:pt idx="9">
                  <c:v>8.6619035665875713E-2</c:v>
                </c:pt>
                <c:pt idx="10">
                  <c:v>7.3280441379944355E-2</c:v>
                </c:pt>
                <c:pt idx="11">
                  <c:v>5.9981389759642498E-2</c:v>
                </c:pt>
                <c:pt idx="12">
                  <c:v>4.8140261165510123E-2</c:v>
                </c:pt>
                <c:pt idx="13">
                  <c:v>4.0075654360679759E-2</c:v>
                </c:pt>
                <c:pt idx="14">
                  <c:v>3.121943549454952E-2</c:v>
                </c:pt>
                <c:pt idx="15">
                  <c:v>2.7386460839654053E-2</c:v>
                </c:pt>
                <c:pt idx="16">
                  <c:v>2.2323107418370135E-2</c:v>
                </c:pt>
                <c:pt idx="17">
                  <c:v>1.9128841240235114E-2</c:v>
                </c:pt>
                <c:pt idx="18">
                  <c:v>1.4821793145105813E-2</c:v>
                </c:pt>
                <c:pt idx="19">
                  <c:v>1.2460531304429413E-2</c:v>
                </c:pt>
                <c:pt idx="20">
                  <c:v>1.0621692080569978E-2</c:v>
                </c:pt>
                <c:pt idx="21">
                  <c:v>9.103519912935204E-3</c:v>
                </c:pt>
                <c:pt idx="22">
                  <c:v>8.2229675751657669E-3</c:v>
                </c:pt>
                <c:pt idx="23">
                  <c:v>7.2150784973281177E-3</c:v>
                </c:pt>
                <c:pt idx="24">
                  <c:v>6.2704059895595477E-3</c:v>
                </c:pt>
                <c:pt idx="25">
                  <c:v>4.9591100663250861E-3</c:v>
                </c:pt>
                <c:pt idx="26">
                  <c:v>4.1490443675933873E-3</c:v>
                </c:pt>
                <c:pt idx="27">
                  <c:v>3.4348772863288966E-3</c:v>
                </c:pt>
                <c:pt idx="28">
                  <c:v>2.174702446139474E-3</c:v>
                </c:pt>
                <c:pt idx="29">
                  <c:v>1.9024661954565088E-3</c:v>
                </c:pt>
                <c:pt idx="30">
                  <c:v>1.4281739772785437E-3</c:v>
                </c:pt>
                <c:pt idx="31">
                  <c:v>1.0975730075995303E-3</c:v>
                </c:pt>
                <c:pt idx="32">
                  <c:v>9.5449569330522115E-4</c:v>
                </c:pt>
                <c:pt idx="33">
                  <c:v>6.5013629955559143E-4</c:v>
                </c:pt>
                <c:pt idx="34">
                  <c:v>5.5166045018583592E-4</c:v>
                </c:pt>
                <c:pt idx="35">
                  <c:v>4.3644907281157073E-4</c:v>
                </c:pt>
                <c:pt idx="36">
                  <c:v>3.6669474160208853E-4</c:v>
                </c:pt>
                <c:pt idx="37">
                  <c:v>3.3075910634122984E-4</c:v>
                </c:pt>
                <c:pt idx="38">
                  <c:v>3.1363600137313447E-4</c:v>
                </c:pt>
                <c:pt idx="39">
                  <c:v>2.4465322421898485E-4</c:v>
                </c:pt>
                <c:pt idx="40">
                  <c:v>2.3622209845888725E-4</c:v>
                </c:pt>
                <c:pt idx="41">
                  <c:v>1.5796398724606913E-4</c:v>
                </c:pt>
                <c:pt idx="42">
                  <c:v>1.1817540138522448E-4</c:v>
                </c:pt>
                <c:pt idx="43">
                  <c:v>1.2155643220825177E-4</c:v>
                </c:pt>
                <c:pt idx="44">
                  <c:v>7.6684978148539148E-5</c:v>
                </c:pt>
                <c:pt idx="45">
                  <c:v>1.1371114157545413E-4</c:v>
                </c:pt>
                <c:pt idx="46">
                  <c:v>9.3159215634907114E-4</c:v>
                </c:pt>
              </c:numCache>
            </c:numRef>
          </c:val>
          <c:smooth val="0"/>
          <c:extLst xmlns:c16r2="http://schemas.microsoft.com/office/drawing/2015/06/chart">
            <c:ext xmlns:c16="http://schemas.microsoft.com/office/drawing/2014/chart" uri="{C3380CC4-5D6E-409C-BE32-E72D297353CC}">
              <c16:uniqueId val="{00000001-6462-6A44-89E7-3479CB716ADC}"/>
            </c:ext>
          </c:extLst>
        </c:ser>
        <c:ser>
          <c:idx val="2"/>
          <c:order val="1"/>
          <c:tx>
            <c:strRef>
              <c:f>'skill 2'!$G$2</c:f>
              <c:strCache>
                <c:ptCount val="1"/>
                <c:pt idx="0">
                  <c:v>verejný sektor</c:v>
                </c:pt>
              </c:strCache>
            </c:strRef>
          </c:tx>
          <c:spPr>
            <a:ln w="28575" cap="rnd">
              <a:solidFill>
                <a:srgbClr val="00B0F0"/>
              </a:solidFill>
              <a:round/>
            </a:ln>
            <a:effectLst/>
          </c:spPr>
          <c:marker>
            <c:symbol val="none"/>
          </c:marker>
          <c:cat>
            <c:numRef>
              <c:f>'skill 2'!$C$3:$C$49</c:f>
              <c:numCache>
                <c:formatCode>General</c:formatCode>
                <c:ptCount val="47"/>
                <c:pt idx="6" formatCode="0">
                  <c:v>4.75</c:v>
                </c:pt>
                <c:pt idx="16" formatCode="0">
                  <c:v>9.75</c:v>
                </c:pt>
                <c:pt idx="26" formatCode="0">
                  <c:v>14.75</c:v>
                </c:pt>
                <c:pt idx="36" formatCode="0">
                  <c:v>19.75</c:v>
                </c:pt>
                <c:pt idx="46" formatCode="0">
                  <c:v>24.75</c:v>
                </c:pt>
              </c:numCache>
            </c:numRef>
          </c:cat>
          <c:val>
            <c:numRef>
              <c:f>'skill 2'!$G$3:$G$49</c:f>
              <c:numCache>
                <c:formatCode>0.00%</c:formatCode>
                <c:ptCount val="47"/>
                <c:pt idx="0">
                  <c:v>0</c:v>
                </c:pt>
                <c:pt idx="1">
                  <c:v>0</c:v>
                </c:pt>
                <c:pt idx="2">
                  <c:v>4.1963095018923624E-3</c:v>
                </c:pt>
                <c:pt idx="3">
                  <c:v>1.3076849270302377E-2</c:v>
                </c:pt>
                <c:pt idx="4">
                  <c:v>3.6012467879321768E-2</c:v>
                </c:pt>
                <c:pt idx="5">
                  <c:v>7.8784243903774906E-2</c:v>
                </c:pt>
                <c:pt idx="6">
                  <c:v>9.8664057014408738E-2</c:v>
                </c:pt>
                <c:pt idx="7">
                  <c:v>0.13009947560619051</c:v>
                </c:pt>
                <c:pt idx="8">
                  <c:v>0.15184721731933998</c:v>
                </c:pt>
                <c:pt idx="9">
                  <c:v>0.13035670960782272</c:v>
                </c:pt>
                <c:pt idx="10">
                  <c:v>9.0219671968030227E-2</c:v>
                </c:pt>
                <c:pt idx="11">
                  <c:v>6.049774481758128E-2</c:v>
                </c:pt>
                <c:pt idx="12">
                  <c:v>4.7631097097014664E-2</c:v>
                </c:pt>
                <c:pt idx="13">
                  <c:v>4.5756460481449955E-2</c:v>
                </c:pt>
                <c:pt idx="14">
                  <c:v>4.2166603797781047E-2</c:v>
                </c:pt>
                <c:pt idx="15">
                  <c:v>2.5880657900090309E-2</c:v>
                </c:pt>
                <c:pt idx="16">
                  <c:v>1.4866997849915123E-2</c:v>
                </c:pt>
                <c:pt idx="17">
                  <c:v>9.2321383329949831E-3</c:v>
                </c:pt>
                <c:pt idx="18">
                  <c:v>5.5979948197289863E-3</c:v>
                </c:pt>
                <c:pt idx="19">
                  <c:v>3.0849210955216132E-3</c:v>
                </c:pt>
                <c:pt idx="20">
                  <c:v>2.8145890446433989E-3</c:v>
                </c:pt>
                <c:pt idx="21">
                  <c:v>1.856974472682E-3</c:v>
                </c:pt>
                <c:pt idx="22">
                  <c:v>1.6721888639304944E-3</c:v>
                </c:pt>
                <c:pt idx="23">
                  <c:v>9.7056116127691315E-4</c:v>
                </c:pt>
                <c:pt idx="24">
                  <c:v>7.2779131391463299E-4</c:v>
                </c:pt>
                <c:pt idx="25">
                  <c:v>5.8053094152201346E-4</c:v>
                </c:pt>
                <c:pt idx="26">
                  <c:v>6.1005966713026285E-4</c:v>
                </c:pt>
                <c:pt idx="27">
                  <c:v>4.5288834447060219E-4</c:v>
                </c:pt>
                <c:pt idx="28">
                  <c:v>3.5467514229006584E-4</c:v>
                </c:pt>
                <c:pt idx="29">
                  <c:v>2.646963115209356E-4</c:v>
                </c:pt>
                <c:pt idx="30">
                  <c:v>1.8999431072495911E-4</c:v>
                </c:pt>
                <c:pt idx="31">
                  <c:v>2.2311823889906279E-4</c:v>
                </c:pt>
                <c:pt idx="32">
                  <c:v>1.5496603009516703E-4</c:v>
                </c:pt>
                <c:pt idx="33">
                  <c:v>1.4045476022498375E-4</c:v>
                </c:pt>
                <c:pt idx="34">
                  <c:v>6.5838168855461137E-5</c:v>
                </c:pt>
                <c:pt idx="35">
                  <c:v>8.9127861239705897E-5</c:v>
                </c:pt>
                <c:pt idx="36">
                  <c:v>1.3167633771092227E-4</c:v>
                </c:pt>
                <c:pt idx="37">
                  <c:v>8.9127861239705897E-5</c:v>
                </c:pt>
                <c:pt idx="38">
                  <c:v>6.5838168855461137E-5</c:v>
                </c:pt>
                <c:pt idx="39">
                  <c:v>8.9127861239705897E-5</c:v>
                </c:pt>
                <c:pt idx="40">
                  <c:v>1.0973028142576855E-4</c:v>
                </c:pt>
                <c:pt idx="41">
                  <c:v>6.5838168855461137E-5</c:v>
                </c:pt>
                <c:pt idx="42">
                  <c:v>4.3892112570307418E-5</c:v>
                </c:pt>
                <c:pt idx="43">
                  <c:v>2.1946056285153709E-5</c:v>
                </c:pt>
                <c:pt idx="44">
                  <c:v>0</c:v>
                </c:pt>
                <c:pt idx="45">
                  <c:v>0</c:v>
                </c:pt>
                <c:pt idx="46">
                  <c:v>2.4275025523578191E-4</c:v>
                </c:pt>
              </c:numCache>
            </c:numRef>
          </c:val>
          <c:smooth val="0"/>
          <c:extLst xmlns:c16r2="http://schemas.microsoft.com/office/drawing/2015/06/chart">
            <c:ext xmlns:c16="http://schemas.microsoft.com/office/drawing/2014/chart" uri="{C3380CC4-5D6E-409C-BE32-E72D297353CC}">
              <c16:uniqueId val="{00000002-6462-6A44-89E7-3479CB716ADC}"/>
            </c:ext>
          </c:extLst>
        </c:ser>
        <c:dLbls>
          <c:showLegendKey val="0"/>
          <c:showVal val="0"/>
          <c:showCatName val="0"/>
          <c:showSerName val="0"/>
          <c:showPercent val="0"/>
          <c:showBubbleSize val="0"/>
        </c:dLbls>
        <c:smooth val="0"/>
        <c:axId val="227054808"/>
        <c:axId val="227055200"/>
      </c:lineChart>
      <c:catAx>
        <c:axId val="22705480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sk-SK" sz="900"/>
                  <a:t>Hodinová hrubá mzda</a:t>
                </a:r>
              </a:p>
            </c:rich>
          </c:tx>
          <c:layout>
            <c:manualLayout>
              <c:xMode val="edge"/>
              <c:yMode val="edge"/>
              <c:x val="0.35133097917077916"/>
              <c:y val="0.9439999999999999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055200"/>
        <c:crosses val="autoZero"/>
        <c:auto val="1"/>
        <c:lblAlgn val="ctr"/>
        <c:lblOffset val="100"/>
        <c:noMultiLvlLbl val="0"/>
      </c:catAx>
      <c:valAx>
        <c:axId val="227055200"/>
        <c:scaling>
          <c:orientation val="minMax"/>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054808"/>
        <c:crosses val="autoZero"/>
        <c:crossBetween val="between"/>
        <c:majorUnit val="4.0000000000000008E-2"/>
      </c:valAx>
      <c:spPr>
        <a:noFill/>
        <a:ln>
          <a:noFill/>
        </a:ln>
        <a:effectLst/>
      </c:spPr>
    </c:plotArea>
    <c:legend>
      <c:legendPos val="b"/>
      <c:layout>
        <c:manualLayout>
          <c:xMode val="edge"/>
          <c:yMode val="edge"/>
          <c:x val="0.3921187664041994"/>
          <c:y val="0.20811871278736072"/>
          <c:w val="0.53798468941382327"/>
          <c:h val="0.17151056507041681"/>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67899494983529E-2"/>
          <c:y val="5.1304481631930555E-2"/>
          <c:w val="0.85880791496807585"/>
          <c:h val="0.66940772852831598"/>
        </c:manualLayout>
      </c:layout>
      <c:barChart>
        <c:barDir val="col"/>
        <c:grouping val="percentStacked"/>
        <c:varyColors val="0"/>
        <c:ser>
          <c:idx val="0"/>
          <c:order val="0"/>
          <c:tx>
            <c:strRef>
              <c:f>Hárok2!$A$3</c:f>
              <c:strCache>
                <c:ptCount val="1"/>
                <c:pt idx="0">
                  <c:v>kompenzácia verejných zamestnancov</c:v>
                </c:pt>
              </c:strCache>
            </c:strRef>
          </c:tx>
          <c:spPr>
            <a:solidFill>
              <a:srgbClr val="00B0F0"/>
            </a:solidFill>
            <a:ln>
              <a:solidFill>
                <a:srgbClr val="00B0F0"/>
              </a:solidFill>
            </a:ln>
            <a:effectLst/>
          </c:spPr>
          <c:invertIfNegative val="0"/>
          <c:dLbls>
            <c:dLbl>
              <c:idx val="19"/>
              <c:numFmt formatCode="#,##0" sourceLinked="0"/>
              <c:spPr>
                <a:solidFill>
                  <a:schemeClr val="bg1"/>
                </a:solidFill>
                <a:ln>
                  <a:noFill/>
                </a:ln>
                <a:effectLst/>
              </c:spPr>
              <c:txPr>
                <a:bodyPr rot="-5400000" spcFirstLastPara="1" vertOverflow="ellipsis" vert="horz" wrap="square" lIns="0" tIns="0" rIns="0" bIns="0" anchor="ctr" anchorCtr="1">
                  <a:no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880-4D67-90F9-062C2E9E4A40}"/>
                </c:ext>
                <c:ext xmlns:c15="http://schemas.microsoft.com/office/drawing/2012/chart" uri="{CE6537A1-D6FC-4f65-9D91-7224C49458BB}">
                  <c15:spPr xmlns:c15="http://schemas.microsoft.com/office/drawing/2012/chart">
                    <a:prstGeom prst="rect">
                      <a:avLst/>
                    </a:prstGeom>
                  </c15:spPr>
                </c:ext>
              </c:extLst>
            </c:dLbl>
            <c:dLbl>
              <c:idx val="23"/>
              <c:numFmt formatCode="#,##0" sourceLinked="0"/>
              <c:spPr>
                <a:solidFill>
                  <a:schemeClr val="bg1"/>
                </a:solidFill>
                <a:ln>
                  <a:noFill/>
                </a:ln>
                <a:effectLst/>
              </c:spPr>
              <c:txPr>
                <a:bodyPr rot="-5400000" spcFirstLastPara="1" vertOverflow="ellipsis" vert="horz" wrap="square" lIns="0" tIns="0" rIns="0" bIns="0" anchor="ctr" anchorCtr="1">
                  <a:no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880-4D67-90F9-062C2E9E4A40}"/>
                </c:ext>
                <c:ext xmlns:c15="http://schemas.microsoft.com/office/drawing/2012/chart" uri="{CE6537A1-D6FC-4f65-9D91-7224C49458BB}">
                  <c15:spPr xmlns:c15="http://schemas.microsoft.com/office/drawing/2012/chart">
                    <a:prstGeom prst="rect">
                      <a:avLst/>
                    </a:prstGeom>
                  </c15:spPr>
                </c:ext>
              </c:extLst>
            </c:dLbl>
            <c:numFmt formatCode="#,##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Hárok2!$B$1:$Y$2</c:f>
              <c:strCache>
                <c:ptCount val="24"/>
                <c:pt idx="0">
                  <c:v>DNK</c:v>
                </c:pt>
                <c:pt idx="1">
                  <c:v>GRE</c:v>
                </c:pt>
                <c:pt idx="2">
                  <c:v>POR</c:v>
                </c:pt>
                <c:pt idx="3">
                  <c:v>IRL</c:v>
                </c:pt>
                <c:pt idx="4">
                  <c:v>ESP</c:v>
                </c:pt>
                <c:pt idx="5">
                  <c:v>POL</c:v>
                </c:pt>
                <c:pt idx="6">
                  <c:v>SVN</c:v>
                </c:pt>
                <c:pt idx="7">
                  <c:v>EST</c:v>
                </c:pt>
                <c:pt idx="8">
                  <c:v>BEL</c:v>
                </c:pt>
                <c:pt idx="9">
                  <c:v>FRA</c:v>
                </c:pt>
                <c:pt idx="10">
                  <c:v>LVA</c:v>
                </c:pt>
                <c:pt idx="11">
                  <c:v>ITA</c:v>
                </c:pt>
                <c:pt idx="12">
                  <c:v>LUX</c:v>
                </c:pt>
                <c:pt idx="13">
                  <c:v>HUN</c:v>
                </c:pt>
                <c:pt idx="14">
                  <c:v>FIN</c:v>
                </c:pt>
                <c:pt idx="15">
                  <c:v>AUT</c:v>
                </c:pt>
                <c:pt idx="16">
                  <c:v>UK</c:v>
                </c:pt>
                <c:pt idx="17">
                  <c:v>SWE</c:v>
                </c:pt>
                <c:pt idx="18">
                  <c:v>CZE</c:v>
                </c:pt>
                <c:pt idx="19">
                  <c:v>SVK</c:v>
                </c:pt>
                <c:pt idx="20">
                  <c:v>GER</c:v>
                </c:pt>
                <c:pt idx="21">
                  <c:v>NED</c:v>
                </c:pt>
                <c:pt idx="22">
                  <c:v>LTU</c:v>
                </c:pt>
                <c:pt idx="23">
                  <c:v>OECD</c:v>
                </c:pt>
              </c:strCache>
            </c:strRef>
          </c:cat>
          <c:val>
            <c:numRef>
              <c:f>Hárok2!$B$3:$Y$3</c:f>
              <c:numCache>
                <c:formatCode>0.0</c:formatCode>
                <c:ptCount val="24"/>
                <c:pt idx="0">
                  <c:v>54.440989972064997</c:v>
                </c:pt>
                <c:pt idx="1">
                  <c:v>53.554525856729001</c:v>
                </c:pt>
                <c:pt idx="2">
                  <c:v>52.563742328156998</c:v>
                </c:pt>
                <c:pt idx="3">
                  <c:v>50.763711931529002</c:v>
                </c:pt>
                <c:pt idx="4">
                  <c:v>51.826702290207002</c:v>
                </c:pt>
                <c:pt idx="5">
                  <c:v>50.726776320170003</c:v>
                </c:pt>
                <c:pt idx="6">
                  <c:v>50.321741143478</c:v>
                </c:pt>
                <c:pt idx="7">
                  <c:v>49.235535125412</c:v>
                </c:pt>
                <c:pt idx="8">
                  <c:v>46.760959529909002</c:v>
                </c:pt>
                <c:pt idx="9">
                  <c:v>46.497509697261997</c:v>
                </c:pt>
                <c:pt idx="10">
                  <c:v>48.428140006931002</c:v>
                </c:pt>
                <c:pt idx="11">
                  <c:v>46.405814726302999</c:v>
                </c:pt>
                <c:pt idx="12">
                  <c:v>45.516493348722001</c:v>
                </c:pt>
                <c:pt idx="13">
                  <c:v>46.600441836333999</c:v>
                </c:pt>
                <c:pt idx="14">
                  <c:v>43.805612594114002</c:v>
                </c:pt>
                <c:pt idx="15">
                  <c:v>44.078905275795002</c:v>
                </c:pt>
                <c:pt idx="16">
                  <c:v>42.955841444789002</c:v>
                </c:pt>
                <c:pt idx="17">
                  <c:v>41.802689997388001</c:v>
                </c:pt>
                <c:pt idx="18">
                  <c:v>39.319963820292003</c:v>
                </c:pt>
                <c:pt idx="19">
                  <c:v>38.341370233113999</c:v>
                </c:pt>
                <c:pt idx="20">
                  <c:v>32.561736493372997</c:v>
                </c:pt>
                <c:pt idx="21">
                  <c:v>31.209342982599001</c:v>
                </c:pt>
                <c:pt idx="22">
                  <c:v>50.291778891988002</c:v>
                </c:pt>
                <c:pt idx="23">
                  <c:v>45.25587498961994</c:v>
                </c:pt>
              </c:numCache>
            </c:numRef>
          </c:val>
          <c:extLst xmlns:c16r2="http://schemas.microsoft.com/office/drawing/2015/06/chart">
            <c:ext xmlns:c16="http://schemas.microsoft.com/office/drawing/2014/chart" uri="{C3380CC4-5D6E-409C-BE32-E72D297353CC}">
              <c16:uniqueId val="{00000002-4880-4D67-90F9-062C2E9E4A40}"/>
            </c:ext>
          </c:extLst>
        </c:ser>
        <c:ser>
          <c:idx val="1"/>
          <c:order val="1"/>
          <c:tx>
            <c:strRef>
              <c:f>Hárok2!$A$4</c:f>
              <c:strCache>
                <c:ptCount val="1"/>
                <c:pt idx="0">
                  <c:v>výdavky na tovary a služby spotrebované a financované verejným sektorom</c:v>
                </c:pt>
              </c:strCache>
            </c:strRef>
          </c:tx>
          <c:spPr>
            <a:solidFill>
              <a:schemeClr val="bg1">
                <a:lumMod val="75000"/>
              </a:schemeClr>
            </a:solidFill>
            <a:ln>
              <a:solidFill>
                <a:schemeClr val="bg1">
                  <a:lumMod val="75000"/>
                </a:schemeClr>
              </a:solidFill>
            </a:ln>
            <a:effectLst/>
          </c:spPr>
          <c:invertIfNegative val="0"/>
          <c:dLbls>
            <c:dLbl>
              <c:idx val="19"/>
              <c:numFmt formatCode="#,##0" sourceLinked="0"/>
              <c:spPr>
                <a:solidFill>
                  <a:schemeClr val="bg1"/>
                </a:solidFill>
                <a:ln>
                  <a:noFill/>
                </a:ln>
                <a:effectLst/>
              </c:spPr>
              <c:txPr>
                <a:bodyPr rot="-5400000" spcFirstLastPara="1" vertOverflow="ellipsis" vert="horz" wrap="square" lIns="0" tIns="0" rIns="0" bIns="0" anchor="ctr" anchorCtr="1">
                  <a:no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880-4D67-90F9-062C2E9E4A40}"/>
                </c:ext>
                <c:ext xmlns:c15="http://schemas.microsoft.com/office/drawing/2012/chart" uri="{CE6537A1-D6FC-4f65-9D91-7224C49458BB}">
                  <c15:spPr xmlns:c15="http://schemas.microsoft.com/office/drawing/2012/chart">
                    <a:prstGeom prst="rect">
                      <a:avLst/>
                    </a:prstGeom>
                  </c15:spPr>
                </c:ext>
              </c:extLst>
            </c:dLbl>
            <c:dLbl>
              <c:idx val="22"/>
              <c:numFmt formatCode="#,##0" sourceLinked="0"/>
              <c:spPr>
                <a:solidFill>
                  <a:schemeClr val="bg1"/>
                </a:solidFill>
                <a:ln>
                  <a:noFill/>
                </a:ln>
                <a:effectLst/>
              </c:spPr>
              <c:txPr>
                <a:bodyPr rot="-5400000" spcFirstLastPara="1" vertOverflow="ellipsis" vert="horz" wrap="square" lIns="0" tIns="0" rIns="0"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dLbl>
            <c:dLbl>
              <c:idx val="23"/>
              <c:numFmt formatCode="#,##0" sourceLinked="0"/>
              <c:spPr>
                <a:solidFill>
                  <a:schemeClr val="bg1"/>
                </a:solidFill>
                <a:ln>
                  <a:noFill/>
                </a:ln>
                <a:effectLst/>
              </c:spPr>
              <c:txPr>
                <a:bodyPr rot="-5400000" spcFirstLastPara="1" vertOverflow="ellipsis" vert="horz" wrap="square" lIns="0" tIns="0" rIns="0" bIns="0" anchor="ctr" anchorCtr="1">
                  <a:no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880-4D67-90F9-062C2E9E4A40}"/>
                </c:ext>
                <c:ext xmlns:c15="http://schemas.microsoft.com/office/drawing/2012/chart" uri="{CE6537A1-D6FC-4f65-9D91-7224C49458BB}">
                  <c15:spPr xmlns:c15="http://schemas.microsoft.com/office/drawing/2012/chart">
                    <a:prstGeom prst="rect">
                      <a:avLst/>
                    </a:prstGeom>
                  </c15:spPr>
                </c:ext>
              </c:extLst>
            </c:dLbl>
            <c:spPr>
              <a:solidFill>
                <a:schemeClr val="bg1"/>
              </a:solidFill>
              <a:ln>
                <a:noFill/>
              </a:ln>
              <a:effectLst/>
            </c:spPr>
            <c:txPr>
              <a:bodyPr rot="-5400000" spcFirstLastPara="1" vertOverflow="ellipsis" vert="horz" wrap="square" lIns="0" tIns="0" rIns="0"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Hárok2!$B$1:$Y$2</c:f>
              <c:strCache>
                <c:ptCount val="24"/>
                <c:pt idx="0">
                  <c:v>DNK</c:v>
                </c:pt>
                <c:pt idx="1">
                  <c:v>GRE</c:v>
                </c:pt>
                <c:pt idx="2">
                  <c:v>POR</c:v>
                </c:pt>
                <c:pt idx="3">
                  <c:v>IRL</c:v>
                </c:pt>
                <c:pt idx="4">
                  <c:v>ESP</c:v>
                </c:pt>
                <c:pt idx="5">
                  <c:v>POL</c:v>
                </c:pt>
                <c:pt idx="6">
                  <c:v>SVN</c:v>
                </c:pt>
                <c:pt idx="7">
                  <c:v>EST</c:v>
                </c:pt>
                <c:pt idx="8">
                  <c:v>BEL</c:v>
                </c:pt>
                <c:pt idx="9">
                  <c:v>FRA</c:v>
                </c:pt>
                <c:pt idx="10">
                  <c:v>LVA</c:v>
                </c:pt>
                <c:pt idx="11">
                  <c:v>ITA</c:v>
                </c:pt>
                <c:pt idx="12">
                  <c:v>LUX</c:v>
                </c:pt>
                <c:pt idx="13">
                  <c:v>HUN</c:v>
                </c:pt>
                <c:pt idx="14">
                  <c:v>FIN</c:v>
                </c:pt>
                <c:pt idx="15">
                  <c:v>AUT</c:v>
                </c:pt>
                <c:pt idx="16">
                  <c:v>UK</c:v>
                </c:pt>
                <c:pt idx="17">
                  <c:v>SWE</c:v>
                </c:pt>
                <c:pt idx="18">
                  <c:v>CZE</c:v>
                </c:pt>
                <c:pt idx="19">
                  <c:v>SVK</c:v>
                </c:pt>
                <c:pt idx="20">
                  <c:v>GER</c:v>
                </c:pt>
                <c:pt idx="21">
                  <c:v>NED</c:v>
                </c:pt>
                <c:pt idx="22">
                  <c:v>LTU</c:v>
                </c:pt>
                <c:pt idx="23">
                  <c:v>OECD</c:v>
                </c:pt>
              </c:strCache>
            </c:strRef>
          </c:cat>
          <c:val>
            <c:numRef>
              <c:f>Hárok2!$B$4:$Y$4</c:f>
              <c:numCache>
                <c:formatCode>0.0</c:formatCode>
                <c:ptCount val="24"/>
                <c:pt idx="0">
                  <c:v>36.046256713799998</c:v>
                </c:pt>
                <c:pt idx="1">
                  <c:v>30.968605198601999</c:v>
                </c:pt>
                <c:pt idx="2">
                  <c:v>34.955672398028</c:v>
                </c:pt>
                <c:pt idx="3">
                  <c:v>39.234782073068999</c:v>
                </c:pt>
                <c:pt idx="4">
                  <c:v>36.214372903346998</c:v>
                </c:pt>
                <c:pt idx="5">
                  <c:v>37.738562961976001</c:v>
                </c:pt>
                <c:pt idx="6">
                  <c:v>37.272820032322002</c:v>
                </c:pt>
                <c:pt idx="7">
                  <c:v>37.499750174878002</c:v>
                </c:pt>
                <c:pt idx="8">
                  <c:v>45.306526451567002</c:v>
                </c:pt>
                <c:pt idx="9">
                  <c:v>40.268310036952997</c:v>
                </c:pt>
                <c:pt idx="10">
                  <c:v>33.405119065299999</c:v>
                </c:pt>
                <c:pt idx="11">
                  <c:v>38.343538328831997</c:v>
                </c:pt>
                <c:pt idx="12">
                  <c:v>42.726079333706998</c:v>
                </c:pt>
                <c:pt idx="13">
                  <c:v>38.122300479899998</c:v>
                </c:pt>
                <c:pt idx="14">
                  <c:v>44.998098714731</c:v>
                </c:pt>
                <c:pt idx="15">
                  <c:v>43.441120887319002</c:v>
                </c:pt>
                <c:pt idx="16">
                  <c:v>49.844872905903998</c:v>
                </c:pt>
                <c:pt idx="17">
                  <c:v>39.392457803665003</c:v>
                </c:pt>
                <c:pt idx="18">
                  <c:v>41.048237737382998</c:v>
                </c:pt>
                <c:pt idx="19">
                  <c:v>45.034979610039997</c:v>
                </c:pt>
                <c:pt idx="20">
                  <c:v>57.971126571894999</c:v>
                </c:pt>
                <c:pt idx="21">
                  <c:v>57.108371279883002</c:v>
                </c:pt>
                <c:pt idx="22">
                  <c:v>34.622179126711004</c:v>
                </c:pt>
                <c:pt idx="23">
                  <c:v>41.650389377152102</c:v>
                </c:pt>
              </c:numCache>
            </c:numRef>
          </c:val>
          <c:extLst xmlns:c16r2="http://schemas.microsoft.com/office/drawing/2015/06/chart">
            <c:ext xmlns:c16="http://schemas.microsoft.com/office/drawing/2014/chart" uri="{C3380CC4-5D6E-409C-BE32-E72D297353CC}">
              <c16:uniqueId val="{00000006-4880-4D67-90F9-062C2E9E4A40}"/>
            </c:ext>
          </c:extLst>
        </c:ser>
        <c:ser>
          <c:idx val="2"/>
          <c:order val="2"/>
          <c:tx>
            <c:strRef>
              <c:f>Hárok2!$A$5</c:f>
              <c:strCache>
                <c:ptCount val="1"/>
                <c:pt idx="0">
                  <c:v>ostatné produkčné náklady</c:v>
                </c:pt>
              </c:strCache>
            </c:strRef>
          </c:tx>
          <c:spPr>
            <a:solidFill>
              <a:srgbClr val="002060"/>
            </a:solidFill>
            <a:ln>
              <a:solidFill>
                <a:srgbClr val="002060"/>
              </a:solidFill>
            </a:ln>
            <a:effectLst/>
          </c:spPr>
          <c:invertIfNegative val="0"/>
          <c:cat>
            <c:strRef>
              <c:f>Hárok2!$B$1:$Y$2</c:f>
              <c:strCache>
                <c:ptCount val="24"/>
                <c:pt idx="0">
                  <c:v>DNK</c:v>
                </c:pt>
                <c:pt idx="1">
                  <c:v>GRE</c:v>
                </c:pt>
                <c:pt idx="2">
                  <c:v>POR</c:v>
                </c:pt>
                <c:pt idx="3">
                  <c:v>IRL</c:v>
                </c:pt>
                <c:pt idx="4">
                  <c:v>ESP</c:v>
                </c:pt>
                <c:pt idx="5">
                  <c:v>POL</c:v>
                </c:pt>
                <c:pt idx="6">
                  <c:v>SVN</c:v>
                </c:pt>
                <c:pt idx="7">
                  <c:v>EST</c:v>
                </c:pt>
                <c:pt idx="8">
                  <c:v>BEL</c:v>
                </c:pt>
                <c:pt idx="9">
                  <c:v>FRA</c:v>
                </c:pt>
                <c:pt idx="10">
                  <c:v>LVA</c:v>
                </c:pt>
                <c:pt idx="11">
                  <c:v>ITA</c:v>
                </c:pt>
                <c:pt idx="12">
                  <c:v>LUX</c:v>
                </c:pt>
                <c:pt idx="13">
                  <c:v>HUN</c:v>
                </c:pt>
                <c:pt idx="14">
                  <c:v>FIN</c:v>
                </c:pt>
                <c:pt idx="15">
                  <c:v>AUT</c:v>
                </c:pt>
                <c:pt idx="16">
                  <c:v>UK</c:v>
                </c:pt>
                <c:pt idx="17">
                  <c:v>SWE</c:v>
                </c:pt>
                <c:pt idx="18">
                  <c:v>CZE</c:v>
                </c:pt>
                <c:pt idx="19">
                  <c:v>SVK</c:v>
                </c:pt>
                <c:pt idx="20">
                  <c:v>GER</c:v>
                </c:pt>
                <c:pt idx="21">
                  <c:v>NED</c:v>
                </c:pt>
                <c:pt idx="22">
                  <c:v>LTU</c:v>
                </c:pt>
                <c:pt idx="23">
                  <c:v>OECD</c:v>
                </c:pt>
              </c:strCache>
            </c:strRef>
          </c:cat>
          <c:val>
            <c:numRef>
              <c:f>Hárok2!$B$5:$Y$5</c:f>
              <c:numCache>
                <c:formatCode>0.0</c:formatCode>
                <c:ptCount val="24"/>
                <c:pt idx="0">
                  <c:v>9.5127533141344003</c:v>
                </c:pt>
                <c:pt idx="1">
                  <c:v>15.476868944669</c:v>
                </c:pt>
                <c:pt idx="2">
                  <c:v>12.480585273814</c:v>
                </c:pt>
                <c:pt idx="3">
                  <c:v>10.001505995402001</c:v>
                </c:pt>
                <c:pt idx="4">
                  <c:v>11.958924806445999</c:v>
                </c:pt>
                <c:pt idx="5">
                  <c:v>11.534660717853001</c:v>
                </c:pt>
                <c:pt idx="6">
                  <c:v>12.405438824199001</c:v>
                </c:pt>
                <c:pt idx="7">
                  <c:v>13.26471469971</c:v>
                </c:pt>
                <c:pt idx="8">
                  <c:v>7.9325140185242002</c:v>
                </c:pt>
                <c:pt idx="9">
                  <c:v>13.234180265785</c:v>
                </c:pt>
                <c:pt idx="10">
                  <c:v>18.166740927768998</c:v>
                </c:pt>
                <c:pt idx="11">
                  <c:v>15.250646944865</c:v>
                </c:pt>
                <c:pt idx="12">
                  <c:v>11.757427317571</c:v>
                </c:pt>
                <c:pt idx="13">
                  <c:v>15.277257683765001</c:v>
                </c:pt>
                <c:pt idx="14">
                  <c:v>11.196288691155001</c:v>
                </c:pt>
                <c:pt idx="15">
                  <c:v>12.479973836886</c:v>
                </c:pt>
                <c:pt idx="16">
                  <c:v>7.1992856493073996</c:v>
                </c:pt>
                <c:pt idx="17">
                  <c:v>18.804852198947</c:v>
                </c:pt>
                <c:pt idx="18">
                  <c:v>19.631798442325</c:v>
                </c:pt>
                <c:pt idx="19">
                  <c:v>16.623650156846001</c:v>
                </c:pt>
                <c:pt idx="20">
                  <c:v>9.4671369347323999</c:v>
                </c:pt>
                <c:pt idx="21">
                  <c:v>11.682285737518001</c:v>
                </c:pt>
                <c:pt idx="22">
                  <c:v>15.086041981300999</c:v>
                </c:pt>
                <c:pt idx="23">
                  <c:v>13.093735633227737</c:v>
                </c:pt>
              </c:numCache>
            </c:numRef>
          </c:val>
          <c:extLst xmlns:c16r2="http://schemas.microsoft.com/office/drawing/2015/06/chart">
            <c:ext xmlns:c16="http://schemas.microsoft.com/office/drawing/2014/chart" uri="{C3380CC4-5D6E-409C-BE32-E72D297353CC}">
              <c16:uniqueId val="{00000007-4880-4D67-90F9-062C2E9E4A40}"/>
            </c:ext>
          </c:extLst>
        </c:ser>
        <c:dLbls>
          <c:showLegendKey val="0"/>
          <c:showVal val="0"/>
          <c:showCatName val="0"/>
          <c:showSerName val="0"/>
          <c:showPercent val="0"/>
          <c:showBubbleSize val="0"/>
        </c:dLbls>
        <c:gapWidth val="219"/>
        <c:overlap val="100"/>
        <c:axId val="222226592"/>
        <c:axId val="222226984"/>
      </c:barChart>
      <c:lineChart>
        <c:grouping val="standard"/>
        <c:varyColors val="0"/>
        <c:ser>
          <c:idx val="3"/>
          <c:order val="3"/>
          <c:tx>
            <c:strRef>
              <c:f>Hárok2!$A$6</c:f>
              <c:strCache>
                <c:ptCount val="1"/>
                <c:pt idx="0">
                  <c:v>priemer OECD 2015</c:v>
                </c:pt>
              </c:strCache>
            </c:strRef>
          </c:tx>
          <c:spPr>
            <a:ln w="28575" cap="rnd">
              <a:solidFill>
                <a:srgbClr val="00B0F0"/>
              </a:solidFill>
              <a:round/>
            </a:ln>
            <a:effectLst/>
          </c:spPr>
          <c:marker>
            <c:symbol val="none"/>
          </c:marker>
          <c:cat>
            <c:strRef>
              <c:f>Hárok2!$B$1:$Y$2</c:f>
              <c:strCache>
                <c:ptCount val="24"/>
                <c:pt idx="0">
                  <c:v>DNK</c:v>
                </c:pt>
                <c:pt idx="1">
                  <c:v>GRE</c:v>
                </c:pt>
                <c:pt idx="2">
                  <c:v>POR</c:v>
                </c:pt>
                <c:pt idx="3">
                  <c:v>IRL</c:v>
                </c:pt>
                <c:pt idx="4">
                  <c:v>ESP</c:v>
                </c:pt>
                <c:pt idx="5">
                  <c:v>POL</c:v>
                </c:pt>
                <c:pt idx="6">
                  <c:v>SVN</c:v>
                </c:pt>
                <c:pt idx="7">
                  <c:v>EST</c:v>
                </c:pt>
                <c:pt idx="8">
                  <c:v>BEL</c:v>
                </c:pt>
                <c:pt idx="9">
                  <c:v>FRA</c:v>
                </c:pt>
                <c:pt idx="10">
                  <c:v>LVA</c:v>
                </c:pt>
                <c:pt idx="11">
                  <c:v>ITA</c:v>
                </c:pt>
                <c:pt idx="12">
                  <c:v>LUX</c:v>
                </c:pt>
                <c:pt idx="13">
                  <c:v>HUN</c:v>
                </c:pt>
                <c:pt idx="14">
                  <c:v>FIN</c:v>
                </c:pt>
                <c:pt idx="15">
                  <c:v>AUT</c:v>
                </c:pt>
                <c:pt idx="16">
                  <c:v>UK</c:v>
                </c:pt>
                <c:pt idx="17">
                  <c:v>SWE</c:v>
                </c:pt>
                <c:pt idx="18">
                  <c:v>CZE</c:v>
                </c:pt>
                <c:pt idx="19">
                  <c:v>SVK</c:v>
                </c:pt>
                <c:pt idx="20">
                  <c:v>GER</c:v>
                </c:pt>
                <c:pt idx="21">
                  <c:v>NED</c:v>
                </c:pt>
                <c:pt idx="22">
                  <c:v>LTU</c:v>
                </c:pt>
                <c:pt idx="23">
                  <c:v>OECD</c:v>
                </c:pt>
              </c:strCache>
            </c:strRef>
          </c:cat>
          <c:val>
            <c:numRef>
              <c:f>Hárok2!$B$6:$Y$6</c:f>
              <c:numCache>
                <c:formatCode>0.0</c:formatCode>
                <c:ptCount val="24"/>
                <c:pt idx="0">
                  <c:v>0.45255874989619899</c:v>
                </c:pt>
                <c:pt idx="1">
                  <c:v>0.45255874989619899</c:v>
                </c:pt>
                <c:pt idx="2">
                  <c:v>0.45255874989619899</c:v>
                </c:pt>
                <c:pt idx="3">
                  <c:v>0.45255874989619899</c:v>
                </c:pt>
                <c:pt idx="4">
                  <c:v>0.45255874989619899</c:v>
                </c:pt>
                <c:pt idx="5">
                  <c:v>0.45255874989619899</c:v>
                </c:pt>
                <c:pt idx="6">
                  <c:v>0.45255874989619899</c:v>
                </c:pt>
                <c:pt idx="7">
                  <c:v>0.45255874989619899</c:v>
                </c:pt>
                <c:pt idx="8">
                  <c:v>0.45255874989619899</c:v>
                </c:pt>
                <c:pt idx="9">
                  <c:v>0.45255874989619899</c:v>
                </c:pt>
                <c:pt idx="10">
                  <c:v>0.45255874989619899</c:v>
                </c:pt>
                <c:pt idx="11">
                  <c:v>0.45255874989619899</c:v>
                </c:pt>
                <c:pt idx="12">
                  <c:v>0.45255874989619899</c:v>
                </c:pt>
                <c:pt idx="13">
                  <c:v>0.45255874989619899</c:v>
                </c:pt>
                <c:pt idx="14">
                  <c:v>0.45255874989619899</c:v>
                </c:pt>
                <c:pt idx="15">
                  <c:v>0.45255874989619899</c:v>
                </c:pt>
                <c:pt idx="16">
                  <c:v>0.45255874989619899</c:v>
                </c:pt>
                <c:pt idx="17">
                  <c:v>0.45255874989619899</c:v>
                </c:pt>
                <c:pt idx="18">
                  <c:v>0.45255874989619899</c:v>
                </c:pt>
                <c:pt idx="19">
                  <c:v>0.45255874989619899</c:v>
                </c:pt>
                <c:pt idx="20">
                  <c:v>0.45255874989619899</c:v>
                </c:pt>
                <c:pt idx="21">
                  <c:v>0.45255874989619899</c:v>
                </c:pt>
                <c:pt idx="22">
                  <c:v>0.45255874989619899</c:v>
                </c:pt>
                <c:pt idx="23">
                  <c:v>0.45255874989619899</c:v>
                </c:pt>
              </c:numCache>
            </c:numRef>
          </c:val>
          <c:smooth val="0"/>
          <c:extLst xmlns:c16r2="http://schemas.microsoft.com/office/drawing/2015/06/chart">
            <c:ext xmlns:c16="http://schemas.microsoft.com/office/drawing/2014/chart" uri="{C3380CC4-5D6E-409C-BE32-E72D297353CC}">
              <c16:uniqueId val="{00000008-4880-4D67-90F9-062C2E9E4A40}"/>
            </c:ext>
          </c:extLst>
        </c:ser>
        <c:ser>
          <c:idx val="4"/>
          <c:order val="4"/>
          <c:tx>
            <c:strRef>
              <c:f>Hárok2!$A$7</c:f>
              <c:strCache>
                <c:ptCount val="1"/>
                <c:pt idx="0">
                  <c:v>priemer OECD 2015</c:v>
                </c:pt>
              </c:strCache>
            </c:strRef>
          </c:tx>
          <c:spPr>
            <a:ln w="28575" cap="rnd">
              <a:solidFill>
                <a:schemeClr val="bg1">
                  <a:lumMod val="75000"/>
                </a:schemeClr>
              </a:solidFill>
              <a:round/>
            </a:ln>
            <a:effectLst/>
          </c:spPr>
          <c:marker>
            <c:symbol val="none"/>
          </c:marker>
          <c:cat>
            <c:strRef>
              <c:f>Hárok2!$B$1:$Y$2</c:f>
              <c:strCache>
                <c:ptCount val="24"/>
                <c:pt idx="0">
                  <c:v>DNK</c:v>
                </c:pt>
                <c:pt idx="1">
                  <c:v>GRE</c:v>
                </c:pt>
                <c:pt idx="2">
                  <c:v>POR</c:v>
                </c:pt>
                <c:pt idx="3">
                  <c:v>IRL</c:v>
                </c:pt>
                <c:pt idx="4">
                  <c:v>ESP</c:v>
                </c:pt>
                <c:pt idx="5">
                  <c:v>POL</c:v>
                </c:pt>
                <c:pt idx="6">
                  <c:v>SVN</c:v>
                </c:pt>
                <c:pt idx="7">
                  <c:v>EST</c:v>
                </c:pt>
                <c:pt idx="8">
                  <c:v>BEL</c:v>
                </c:pt>
                <c:pt idx="9">
                  <c:v>FRA</c:v>
                </c:pt>
                <c:pt idx="10">
                  <c:v>LVA</c:v>
                </c:pt>
                <c:pt idx="11">
                  <c:v>ITA</c:v>
                </c:pt>
                <c:pt idx="12">
                  <c:v>LUX</c:v>
                </c:pt>
                <c:pt idx="13">
                  <c:v>HUN</c:v>
                </c:pt>
                <c:pt idx="14">
                  <c:v>FIN</c:v>
                </c:pt>
                <c:pt idx="15">
                  <c:v>AUT</c:v>
                </c:pt>
                <c:pt idx="16">
                  <c:v>UK</c:v>
                </c:pt>
                <c:pt idx="17">
                  <c:v>SWE</c:v>
                </c:pt>
                <c:pt idx="18">
                  <c:v>CZE</c:v>
                </c:pt>
                <c:pt idx="19">
                  <c:v>SVK</c:v>
                </c:pt>
                <c:pt idx="20">
                  <c:v>GER</c:v>
                </c:pt>
                <c:pt idx="21">
                  <c:v>NED</c:v>
                </c:pt>
                <c:pt idx="22">
                  <c:v>LTU</c:v>
                </c:pt>
                <c:pt idx="23">
                  <c:v>OECD</c:v>
                </c:pt>
              </c:strCache>
            </c:strRef>
          </c:cat>
          <c:val>
            <c:numRef>
              <c:f>Hárok2!$B$7:$Y$7</c:f>
              <c:numCache>
                <c:formatCode>0.0</c:formatCode>
                <c:ptCount val="24"/>
                <c:pt idx="0">
                  <c:v>0.86906264366772001</c:v>
                </c:pt>
                <c:pt idx="1">
                  <c:v>0.86906264366772001</c:v>
                </c:pt>
                <c:pt idx="2">
                  <c:v>0.86906264366772001</c:v>
                </c:pt>
                <c:pt idx="3">
                  <c:v>0.86906264366772001</c:v>
                </c:pt>
                <c:pt idx="4">
                  <c:v>0.86906264366772001</c:v>
                </c:pt>
                <c:pt idx="5">
                  <c:v>0.86906264366772001</c:v>
                </c:pt>
                <c:pt idx="6">
                  <c:v>0.86906264366772001</c:v>
                </c:pt>
                <c:pt idx="7">
                  <c:v>0.86906264366772001</c:v>
                </c:pt>
                <c:pt idx="8">
                  <c:v>0.86906264366772001</c:v>
                </c:pt>
                <c:pt idx="9">
                  <c:v>0.86906264366772001</c:v>
                </c:pt>
                <c:pt idx="10">
                  <c:v>0.86906264366772001</c:v>
                </c:pt>
                <c:pt idx="11">
                  <c:v>0.86906264366772001</c:v>
                </c:pt>
                <c:pt idx="12">
                  <c:v>0.86906264366772001</c:v>
                </c:pt>
                <c:pt idx="13">
                  <c:v>0.86906264366772001</c:v>
                </c:pt>
                <c:pt idx="14">
                  <c:v>0.86906264366772001</c:v>
                </c:pt>
                <c:pt idx="15">
                  <c:v>0.86906264366772001</c:v>
                </c:pt>
                <c:pt idx="16">
                  <c:v>0.86906264366772001</c:v>
                </c:pt>
                <c:pt idx="17">
                  <c:v>0.86906264366772001</c:v>
                </c:pt>
                <c:pt idx="18">
                  <c:v>0.86906264366772001</c:v>
                </c:pt>
                <c:pt idx="19">
                  <c:v>0.86906264366772001</c:v>
                </c:pt>
                <c:pt idx="20">
                  <c:v>0.86906264366772001</c:v>
                </c:pt>
                <c:pt idx="21">
                  <c:v>0.86906264366772001</c:v>
                </c:pt>
                <c:pt idx="22">
                  <c:v>0.86906264366772001</c:v>
                </c:pt>
                <c:pt idx="23">
                  <c:v>0.86906264366772001</c:v>
                </c:pt>
              </c:numCache>
            </c:numRef>
          </c:val>
          <c:smooth val="0"/>
          <c:extLst xmlns:c16r2="http://schemas.microsoft.com/office/drawing/2015/06/chart">
            <c:ext xmlns:c16="http://schemas.microsoft.com/office/drawing/2014/chart" uri="{C3380CC4-5D6E-409C-BE32-E72D297353CC}">
              <c16:uniqueId val="{00000009-4880-4D67-90F9-062C2E9E4A40}"/>
            </c:ext>
          </c:extLst>
        </c:ser>
        <c:dLbls>
          <c:showLegendKey val="0"/>
          <c:showVal val="0"/>
          <c:showCatName val="0"/>
          <c:showSerName val="0"/>
          <c:showPercent val="0"/>
          <c:showBubbleSize val="0"/>
        </c:dLbls>
        <c:marker val="1"/>
        <c:smooth val="0"/>
        <c:axId val="222226592"/>
        <c:axId val="222226984"/>
      </c:lineChart>
      <c:catAx>
        <c:axId val="22222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sk-SK"/>
          </a:p>
        </c:txPr>
        <c:crossAx val="222226984"/>
        <c:crosses val="autoZero"/>
        <c:auto val="1"/>
        <c:lblAlgn val="ctr"/>
        <c:lblOffset val="100"/>
        <c:noMultiLvlLbl val="0"/>
      </c:catAx>
      <c:valAx>
        <c:axId val="222226984"/>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2226592"/>
        <c:crosses val="autoZero"/>
        <c:crossBetween val="between"/>
        <c:majorUnit val="0.2"/>
      </c:valAx>
      <c:spPr>
        <a:noFill/>
        <a:ln>
          <a:noFill/>
        </a:ln>
        <a:effectLst/>
      </c:spPr>
    </c:plotArea>
    <c:legend>
      <c:legendPos val="b"/>
      <c:legendEntry>
        <c:idx val="3"/>
        <c:delete val="1"/>
      </c:legendEntry>
      <c:legendEntry>
        <c:idx val="4"/>
        <c:delete val="1"/>
      </c:legendEntry>
      <c:layout>
        <c:manualLayout>
          <c:xMode val="edge"/>
          <c:yMode val="edge"/>
          <c:x val="5.5082289088357233E-3"/>
          <c:y val="0.81499621536072031"/>
          <c:w val="0.99449191191526587"/>
          <c:h val="0.1850037846392796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sk-SK"/>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7635309513887"/>
          <c:y val="4.9052396878483832E-2"/>
          <c:w val="0.8185547489015127"/>
          <c:h val="0.81692836189593943"/>
        </c:manualLayout>
      </c:layout>
      <c:lineChart>
        <c:grouping val="standard"/>
        <c:varyColors val="0"/>
        <c:ser>
          <c:idx val="1"/>
          <c:order val="0"/>
          <c:tx>
            <c:strRef>
              <c:f>'skill 4'!$F$2</c:f>
              <c:strCache>
                <c:ptCount val="1"/>
                <c:pt idx="0">
                  <c:v>súkromný sektor</c:v>
                </c:pt>
              </c:strCache>
            </c:strRef>
          </c:tx>
          <c:spPr>
            <a:ln w="28575" cap="rnd">
              <a:solidFill>
                <a:sysClr val="window" lastClr="FFFFFF">
                  <a:lumMod val="75000"/>
                </a:sysClr>
              </a:solidFill>
              <a:round/>
            </a:ln>
            <a:effectLst/>
          </c:spPr>
          <c:marker>
            <c:symbol val="none"/>
          </c:marker>
          <c:cat>
            <c:numRef>
              <c:f>'skill 4'!$C$3:$C$49</c:f>
              <c:numCache>
                <c:formatCode>General</c:formatCode>
                <c:ptCount val="47"/>
                <c:pt idx="6" formatCode="0">
                  <c:v>4.75</c:v>
                </c:pt>
                <c:pt idx="16" formatCode="0">
                  <c:v>9.75</c:v>
                </c:pt>
                <c:pt idx="26" formatCode="0">
                  <c:v>14.75</c:v>
                </c:pt>
                <c:pt idx="36" formatCode="0">
                  <c:v>19.75</c:v>
                </c:pt>
                <c:pt idx="46" formatCode="0">
                  <c:v>24.75</c:v>
                </c:pt>
              </c:numCache>
            </c:numRef>
          </c:cat>
          <c:val>
            <c:numRef>
              <c:f>'skill 4'!$F$3:$F$49</c:f>
              <c:numCache>
                <c:formatCode>0.00%</c:formatCode>
                <c:ptCount val="47"/>
                <c:pt idx="0">
                  <c:v>0</c:v>
                </c:pt>
                <c:pt idx="1">
                  <c:v>0</c:v>
                </c:pt>
                <c:pt idx="2">
                  <c:v>4.4955857550546402E-3</c:v>
                </c:pt>
                <c:pt idx="3">
                  <c:v>1.0190394075294625E-2</c:v>
                </c:pt>
                <c:pt idx="4">
                  <c:v>1.4994342092789062E-2</c:v>
                </c:pt>
                <c:pt idx="5">
                  <c:v>1.7974633955451381E-2</c:v>
                </c:pt>
                <c:pt idx="6">
                  <c:v>2.0707970478058859E-2</c:v>
                </c:pt>
                <c:pt idx="7">
                  <c:v>2.6322748488487559E-2</c:v>
                </c:pt>
                <c:pt idx="8">
                  <c:v>3.3243203488067537E-2</c:v>
                </c:pt>
                <c:pt idx="9">
                  <c:v>4.0543267680796462E-2</c:v>
                </c:pt>
                <c:pt idx="10">
                  <c:v>4.2106893910303096E-2</c:v>
                </c:pt>
                <c:pt idx="11">
                  <c:v>3.8764948615058276E-2</c:v>
                </c:pt>
                <c:pt idx="12">
                  <c:v>4.1246548424677364E-2</c:v>
                </c:pt>
                <c:pt idx="13">
                  <c:v>4.1382018813207057E-2</c:v>
                </c:pt>
                <c:pt idx="14">
                  <c:v>4.005163188391548E-2</c:v>
                </c:pt>
                <c:pt idx="15">
                  <c:v>4.0249784308618773E-2</c:v>
                </c:pt>
                <c:pt idx="16">
                  <c:v>3.6601829798355752E-2</c:v>
                </c:pt>
                <c:pt idx="17">
                  <c:v>3.2977098778013705E-2</c:v>
                </c:pt>
                <c:pt idx="18">
                  <c:v>3.2733413392915148E-2</c:v>
                </c:pt>
                <c:pt idx="19">
                  <c:v>2.8219696162049352E-2</c:v>
                </c:pt>
                <c:pt idx="20">
                  <c:v>3.0405949393038662E-2</c:v>
                </c:pt>
                <c:pt idx="21">
                  <c:v>2.6224295394188649E-2</c:v>
                </c:pt>
                <c:pt idx="22">
                  <c:v>2.5463836415294171E-2</c:v>
                </c:pt>
                <c:pt idx="23">
                  <c:v>2.4590949964435602E-2</c:v>
                </c:pt>
                <c:pt idx="24">
                  <c:v>2.318460266270559E-2</c:v>
                </c:pt>
                <c:pt idx="25">
                  <c:v>2.257197912858247E-2</c:v>
                </c:pt>
                <c:pt idx="26">
                  <c:v>1.7617821137336339E-2</c:v>
                </c:pt>
                <c:pt idx="27">
                  <c:v>1.7052578251812615E-2</c:v>
                </c:pt>
                <c:pt idx="28">
                  <c:v>1.7666866560173362E-2</c:v>
                </c:pt>
                <c:pt idx="29">
                  <c:v>1.5153017061038748E-2</c:v>
                </c:pt>
                <c:pt idx="30">
                  <c:v>1.3687875739372579E-2</c:v>
                </c:pt>
                <c:pt idx="31">
                  <c:v>1.2696392453066039E-2</c:v>
                </c:pt>
                <c:pt idx="32">
                  <c:v>1.2942618158792253E-2</c:v>
                </c:pt>
                <c:pt idx="33">
                  <c:v>1.2032320173652146E-2</c:v>
                </c:pt>
                <c:pt idx="34">
                  <c:v>1.0947472337747243E-2</c:v>
                </c:pt>
                <c:pt idx="35">
                  <c:v>1.0435542705467864E-2</c:v>
                </c:pt>
                <c:pt idx="36">
                  <c:v>9.2707394568107941E-3</c:v>
                </c:pt>
                <c:pt idx="37">
                  <c:v>7.9365365403258059E-3</c:v>
                </c:pt>
                <c:pt idx="38">
                  <c:v>8.8387377243635979E-3</c:v>
                </c:pt>
                <c:pt idx="39">
                  <c:v>7.916316809385527E-3</c:v>
                </c:pt>
                <c:pt idx="40">
                  <c:v>7.4511320156814735E-3</c:v>
                </c:pt>
                <c:pt idx="41">
                  <c:v>7.6531295681207178E-3</c:v>
                </c:pt>
                <c:pt idx="42">
                  <c:v>6.535958951111677E-3</c:v>
                </c:pt>
                <c:pt idx="43">
                  <c:v>5.755160647360937E-3</c:v>
                </c:pt>
                <c:pt idx="44">
                  <c:v>4.8028737156947544E-3</c:v>
                </c:pt>
                <c:pt idx="45">
                  <c:v>5.2905292786864866E-3</c:v>
                </c:pt>
                <c:pt idx="46">
                  <c:v>9.3068757654639983E-2</c:v>
                </c:pt>
              </c:numCache>
            </c:numRef>
          </c:val>
          <c:smooth val="0"/>
          <c:extLst xmlns:c16r2="http://schemas.microsoft.com/office/drawing/2015/06/chart">
            <c:ext xmlns:c16="http://schemas.microsoft.com/office/drawing/2014/chart" uri="{C3380CC4-5D6E-409C-BE32-E72D297353CC}">
              <c16:uniqueId val="{00000000-914D-EE43-967C-6D233E289033}"/>
            </c:ext>
          </c:extLst>
        </c:ser>
        <c:ser>
          <c:idx val="2"/>
          <c:order val="1"/>
          <c:tx>
            <c:strRef>
              <c:f>'skill 4'!$G$2</c:f>
              <c:strCache>
                <c:ptCount val="1"/>
                <c:pt idx="0">
                  <c:v>verejný sektor</c:v>
                </c:pt>
              </c:strCache>
            </c:strRef>
          </c:tx>
          <c:spPr>
            <a:ln w="28575" cap="rnd">
              <a:solidFill>
                <a:srgbClr val="00B0F0"/>
              </a:solidFill>
              <a:round/>
            </a:ln>
            <a:effectLst/>
          </c:spPr>
          <c:marker>
            <c:symbol val="none"/>
          </c:marker>
          <c:cat>
            <c:numRef>
              <c:f>'skill 4'!$C$3:$C$49</c:f>
              <c:numCache>
                <c:formatCode>General</c:formatCode>
                <c:ptCount val="47"/>
                <c:pt idx="6" formatCode="0">
                  <c:v>4.75</c:v>
                </c:pt>
                <c:pt idx="16" formatCode="0">
                  <c:v>9.75</c:v>
                </c:pt>
                <c:pt idx="26" formatCode="0">
                  <c:v>14.75</c:v>
                </c:pt>
                <c:pt idx="36" formatCode="0">
                  <c:v>19.75</c:v>
                </c:pt>
                <c:pt idx="46" formatCode="0">
                  <c:v>24.75</c:v>
                </c:pt>
              </c:numCache>
            </c:numRef>
          </c:cat>
          <c:val>
            <c:numRef>
              <c:f>'skill 4'!$G$3:$G$49</c:f>
              <c:numCache>
                <c:formatCode>0.00%</c:formatCode>
                <c:ptCount val="47"/>
                <c:pt idx="0">
                  <c:v>0</c:v>
                </c:pt>
                <c:pt idx="1">
                  <c:v>0</c:v>
                </c:pt>
                <c:pt idx="2">
                  <c:v>2.6114160652815403E-5</c:v>
                </c:pt>
                <c:pt idx="3">
                  <c:v>1.8652971894868143E-4</c:v>
                </c:pt>
                <c:pt idx="4">
                  <c:v>2.6114160652815403E-4</c:v>
                </c:pt>
                <c:pt idx="5">
                  <c:v>6.8984907724520706E-4</c:v>
                </c:pt>
                <c:pt idx="6">
                  <c:v>5.9278945823352195E-3</c:v>
                </c:pt>
                <c:pt idx="7">
                  <c:v>1.8651634946602373E-2</c:v>
                </c:pt>
                <c:pt idx="8">
                  <c:v>3.2932687939244407E-2</c:v>
                </c:pt>
                <c:pt idx="9">
                  <c:v>4.2229004020957556E-2</c:v>
                </c:pt>
                <c:pt idx="10">
                  <c:v>6.1975247502848954E-2</c:v>
                </c:pt>
                <c:pt idx="11">
                  <c:v>6.5525784611638299E-2</c:v>
                </c:pt>
                <c:pt idx="12">
                  <c:v>6.8719244974911053E-2</c:v>
                </c:pt>
                <c:pt idx="13">
                  <c:v>7.4374885597966622E-2</c:v>
                </c:pt>
                <c:pt idx="14">
                  <c:v>7.1746494415386136E-2</c:v>
                </c:pt>
                <c:pt idx="15">
                  <c:v>6.0605740596773594E-2</c:v>
                </c:pt>
                <c:pt idx="16">
                  <c:v>4.8646189584924296E-2</c:v>
                </c:pt>
                <c:pt idx="17">
                  <c:v>3.9918783920344814E-2</c:v>
                </c:pt>
                <c:pt idx="18">
                  <c:v>3.5835356435093786E-2</c:v>
                </c:pt>
                <c:pt idx="19">
                  <c:v>2.8696104476879303E-2</c:v>
                </c:pt>
                <c:pt idx="20">
                  <c:v>2.379230059796248E-2</c:v>
                </c:pt>
                <c:pt idx="21">
                  <c:v>2.133595917402718E-2</c:v>
                </c:pt>
                <c:pt idx="22">
                  <c:v>1.795857488512087E-2</c:v>
                </c:pt>
                <c:pt idx="23">
                  <c:v>1.7700494807988566E-2</c:v>
                </c:pt>
                <c:pt idx="24">
                  <c:v>1.6485477199800026E-2</c:v>
                </c:pt>
                <c:pt idx="25">
                  <c:v>1.6055400958650146E-2</c:v>
                </c:pt>
                <c:pt idx="26">
                  <c:v>1.6776563062366343E-2</c:v>
                </c:pt>
                <c:pt idx="27">
                  <c:v>1.6014792415091506E-2</c:v>
                </c:pt>
                <c:pt idx="28">
                  <c:v>1.5581754647572849E-2</c:v>
                </c:pt>
                <c:pt idx="29">
                  <c:v>1.6350914876496331E-2</c:v>
                </c:pt>
                <c:pt idx="30">
                  <c:v>1.4978871856517126E-2</c:v>
                </c:pt>
                <c:pt idx="31">
                  <c:v>1.4048634540546152E-2</c:v>
                </c:pt>
                <c:pt idx="32">
                  <c:v>1.0565966101743016E-2</c:v>
                </c:pt>
                <c:pt idx="33">
                  <c:v>1.1244775518610492E-2</c:v>
                </c:pt>
                <c:pt idx="34">
                  <c:v>9.9810838020986462E-3</c:v>
                </c:pt>
                <c:pt idx="35">
                  <c:v>1.0347242652180582E-2</c:v>
                </c:pt>
                <c:pt idx="36">
                  <c:v>8.9496397831530534E-3</c:v>
                </c:pt>
                <c:pt idx="37">
                  <c:v>7.6735368280740762E-3</c:v>
                </c:pt>
                <c:pt idx="38">
                  <c:v>6.9882103155529734E-3</c:v>
                </c:pt>
                <c:pt idx="39">
                  <c:v>5.7228359193628384E-3</c:v>
                </c:pt>
                <c:pt idx="40">
                  <c:v>6.7972424921162239E-3</c:v>
                </c:pt>
                <c:pt idx="41">
                  <c:v>4.8726509360797086E-3</c:v>
                </c:pt>
                <c:pt idx="42">
                  <c:v>5.4770286929658697E-3</c:v>
                </c:pt>
                <c:pt idx="43">
                  <c:v>3.954375045206431E-3</c:v>
                </c:pt>
                <c:pt idx="44">
                  <c:v>4.0289362603824876E-3</c:v>
                </c:pt>
                <c:pt idx="45">
                  <c:v>2.888118898482886E-3</c:v>
                </c:pt>
                <c:pt idx="46">
                  <c:v>3.6479929562569652E-2</c:v>
                </c:pt>
              </c:numCache>
            </c:numRef>
          </c:val>
          <c:smooth val="0"/>
          <c:extLst xmlns:c16r2="http://schemas.microsoft.com/office/drawing/2015/06/chart">
            <c:ext xmlns:c16="http://schemas.microsoft.com/office/drawing/2014/chart" uri="{C3380CC4-5D6E-409C-BE32-E72D297353CC}">
              <c16:uniqueId val="{00000001-914D-EE43-967C-6D233E289033}"/>
            </c:ext>
          </c:extLst>
        </c:ser>
        <c:dLbls>
          <c:showLegendKey val="0"/>
          <c:showVal val="0"/>
          <c:showCatName val="0"/>
          <c:showSerName val="0"/>
          <c:showPercent val="0"/>
          <c:showBubbleSize val="0"/>
        </c:dLbls>
        <c:smooth val="0"/>
        <c:axId val="227057944"/>
        <c:axId val="227058336"/>
      </c:lineChart>
      <c:catAx>
        <c:axId val="22705794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sk-SK" sz="900"/>
                  <a:t>Hodinová hrubá mzda</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058336"/>
        <c:crosses val="autoZero"/>
        <c:auto val="1"/>
        <c:lblAlgn val="ctr"/>
        <c:lblOffset val="100"/>
        <c:noMultiLvlLbl val="0"/>
      </c:catAx>
      <c:valAx>
        <c:axId val="227058336"/>
        <c:scaling>
          <c:orientation val="minMax"/>
          <c:max val="0.1"/>
          <c:min val="0"/>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057944"/>
        <c:crosses val="autoZero"/>
        <c:crossBetween val="between"/>
        <c:majorUnit val="2.0000000000000004E-2"/>
      </c:valAx>
      <c:spPr>
        <a:noFill/>
        <a:ln>
          <a:noFill/>
        </a:ln>
        <a:effectLst/>
      </c:spPr>
    </c:plotArea>
    <c:legend>
      <c:legendPos val="b"/>
      <c:layout>
        <c:manualLayout>
          <c:xMode val="edge"/>
          <c:yMode val="edge"/>
          <c:x val="0.40140372425591647"/>
          <c:y val="0.19987588760707234"/>
          <c:w val="0.53798468941382327"/>
          <c:h val="0.16598099656147633"/>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627149329106139E-2"/>
          <c:y val="4.2583392476933997E-2"/>
          <c:w val="0.9351704304288696"/>
          <c:h val="0.57707426387173566"/>
        </c:manualLayout>
      </c:layout>
      <c:barChart>
        <c:barDir val="col"/>
        <c:grouping val="clustered"/>
        <c:varyColors val="0"/>
        <c:ser>
          <c:idx val="0"/>
          <c:order val="0"/>
          <c:spPr>
            <a:solidFill>
              <a:srgbClr val="00B0F0"/>
            </a:solidFill>
            <a:ln>
              <a:solidFill>
                <a:srgbClr val="00B0F0"/>
              </a:solidFill>
            </a:ln>
            <a:effectLst/>
          </c:spPr>
          <c:invertIfNegative val="0"/>
          <c:dPt>
            <c:idx val="2"/>
            <c:invertIfNegative val="0"/>
            <c:bubble3D val="0"/>
            <c:spPr>
              <a:solidFill>
                <a:schemeClr val="bg1">
                  <a:lumMod val="75000"/>
                </a:schemeClr>
              </a:solidFill>
              <a:ln>
                <a:solidFill>
                  <a:schemeClr val="bg1">
                    <a:lumMod val="75000"/>
                  </a:schemeClr>
                </a:solidFill>
              </a:ln>
              <a:effectLst/>
            </c:spPr>
          </c:dPt>
          <c:dPt>
            <c:idx val="3"/>
            <c:invertIfNegative val="0"/>
            <c:bubble3D val="0"/>
            <c:spPr>
              <a:solidFill>
                <a:schemeClr val="bg1">
                  <a:lumMod val="75000"/>
                </a:schemeClr>
              </a:solidFill>
              <a:ln>
                <a:solidFill>
                  <a:schemeClr val="bg1">
                    <a:lumMod val="75000"/>
                  </a:schemeClr>
                </a:solidFill>
              </a:ln>
              <a:effectLst/>
            </c:spPr>
          </c:dPt>
          <c:dPt>
            <c:idx val="4"/>
            <c:invertIfNegative val="0"/>
            <c:bubble3D val="0"/>
            <c:spPr>
              <a:solidFill>
                <a:srgbClr val="002060"/>
              </a:solidFill>
              <a:ln>
                <a:solidFill>
                  <a:srgbClr val="002060"/>
                </a:solidFill>
              </a:ln>
              <a:effectLst/>
            </c:spPr>
          </c:dPt>
          <c:dPt>
            <c:idx val="5"/>
            <c:invertIfNegative val="0"/>
            <c:bubble3D val="0"/>
            <c:spPr>
              <a:solidFill>
                <a:srgbClr val="002060"/>
              </a:solidFill>
              <a:ln>
                <a:solidFill>
                  <a:srgbClr val="002060"/>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Graf_59!$A$5:$B$10</c:f>
              <c:multiLvlStrCache>
                <c:ptCount val="6"/>
                <c:lvl>
                  <c:pt idx="0">
                    <c:v>Slovenská pošta</c:v>
                  </c:pt>
                  <c:pt idx="1">
                    <c:v>Česká pošta </c:v>
                  </c:pt>
                  <c:pt idx="2">
                    <c:v>Sociálna poisťovňa </c:v>
                  </c:pt>
                  <c:pt idx="3">
                    <c:v>Česká správa sociáního zabezpečení</c:v>
                  </c:pt>
                  <c:pt idx="4">
                    <c:v>Železnice Slovenskej republiky </c:v>
                  </c:pt>
                  <c:pt idx="5">
                    <c:v>Správa železniční dopravní cesty </c:v>
                  </c:pt>
                </c:lvl>
                <c:lvl>
                  <c:pt idx="0">
                    <c:v>počet zamestnancov na 1 000 obyvateľov</c:v>
                  </c:pt>
                  <c:pt idx="4">
                    <c:v>počet zamestnancov na km trate</c:v>
                  </c:pt>
                </c:lvl>
              </c:multiLvlStrCache>
            </c:multiLvlStrRef>
          </c:cat>
          <c:val>
            <c:numRef>
              <c:f>Graf_59!$C$5:$C$10</c:f>
              <c:numCache>
                <c:formatCode>0.00</c:formatCode>
                <c:ptCount val="6"/>
                <c:pt idx="0">
                  <c:v>2.3617644737415837</c:v>
                </c:pt>
                <c:pt idx="1">
                  <c:v>2.7407593663565502</c:v>
                </c:pt>
                <c:pt idx="2">
                  <c:v>0.95578144746338922</c:v>
                </c:pt>
                <c:pt idx="3">
                  <c:v>0.82438305973634107</c:v>
                </c:pt>
                <c:pt idx="4">
                  <c:v>3.8222597765363129</c:v>
                </c:pt>
                <c:pt idx="5">
                  <c:v>1.8396045918367347</c:v>
                </c:pt>
              </c:numCache>
            </c:numRef>
          </c:val>
        </c:ser>
        <c:dLbls>
          <c:showLegendKey val="0"/>
          <c:showVal val="0"/>
          <c:showCatName val="0"/>
          <c:showSerName val="0"/>
          <c:showPercent val="0"/>
          <c:showBubbleSize val="0"/>
        </c:dLbls>
        <c:gapWidth val="219"/>
        <c:overlap val="-27"/>
        <c:axId val="225581056"/>
        <c:axId val="225581448"/>
      </c:barChart>
      <c:catAx>
        <c:axId val="22558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581448"/>
        <c:crosses val="autoZero"/>
        <c:auto val="1"/>
        <c:lblAlgn val="ctr"/>
        <c:lblOffset val="100"/>
        <c:noMultiLvlLbl val="0"/>
      </c:catAx>
      <c:valAx>
        <c:axId val="225581448"/>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581056"/>
        <c:crosses val="autoZero"/>
        <c:crossBetween val="between"/>
        <c:majorUnit val="1"/>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283743378231564E-2"/>
          <c:y val="3.5525899770077737E-2"/>
          <c:w val="0.92703258246565334"/>
          <c:h val="0.8060619550728340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F0"/>
              </a:solidFill>
              <a:ln>
                <a:solidFill>
                  <a:srgbClr val="00B0F0"/>
                </a:solidFill>
              </a:ln>
              <a:effectLst/>
            </c:spPr>
          </c:dPt>
          <c:dPt>
            <c:idx val="1"/>
            <c:invertIfNegative val="0"/>
            <c:bubble3D val="0"/>
            <c:spPr>
              <a:solidFill>
                <a:srgbClr val="00B0F0"/>
              </a:solidFill>
              <a:ln>
                <a:solidFill>
                  <a:srgbClr val="00B0F0"/>
                </a:solidFill>
              </a:ln>
              <a:effectLst/>
            </c:spPr>
          </c:dPt>
          <c:cat>
            <c:strRef>
              <c:f>Graf_60!$A$5:$A$6</c:f>
              <c:strCache>
                <c:ptCount val="2"/>
                <c:pt idx="0">
                  <c:v>Železničná spoločnosť Cargo Slovakia</c:v>
                </c:pt>
                <c:pt idx="1">
                  <c:v>ČD Cargo</c:v>
                </c:pt>
              </c:strCache>
            </c:strRef>
          </c:cat>
          <c:val>
            <c:numRef>
              <c:f>Graf_60!$C$5:$C$6</c:f>
              <c:numCache>
                <c:formatCode>#,##0</c:formatCode>
                <c:ptCount val="2"/>
                <c:pt idx="0">
                  <c:v>1220569.562851442</c:v>
                </c:pt>
                <c:pt idx="1">
                  <c:v>1857954.4393010251</c:v>
                </c:pt>
              </c:numCache>
            </c:numRef>
          </c:val>
          <c:extLst/>
        </c:ser>
        <c:dLbls>
          <c:showLegendKey val="0"/>
          <c:showVal val="0"/>
          <c:showCatName val="0"/>
          <c:showSerName val="0"/>
          <c:showPercent val="0"/>
          <c:showBubbleSize val="0"/>
        </c:dLbls>
        <c:gapWidth val="219"/>
        <c:overlap val="-27"/>
        <c:axId val="225582232"/>
        <c:axId val="225582624"/>
      </c:barChart>
      <c:catAx>
        <c:axId val="225582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5582624"/>
        <c:crosses val="autoZero"/>
        <c:auto val="1"/>
        <c:lblAlgn val="ctr"/>
        <c:lblOffset val="100"/>
        <c:noMultiLvlLbl val="0"/>
      </c:catAx>
      <c:valAx>
        <c:axId val="225582624"/>
        <c:scaling>
          <c:orientation val="minMax"/>
        </c:scaling>
        <c:delete val="0"/>
        <c:axPos val="l"/>
        <c:majorGridlines>
          <c:spPr>
            <a:ln w="9525" cap="flat" cmpd="sng" algn="ctr">
              <a:solidFill>
                <a:schemeClr val="bg1">
                  <a:lumMod val="75000"/>
                </a:schemeClr>
              </a:solidFill>
              <a:prstDash val="dash"/>
              <a:round/>
            </a:ln>
            <a:effectLst/>
          </c:spPr>
        </c:majorGridlines>
        <c:numFmt formatCode="#,##0.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5582232"/>
        <c:crosses val="autoZero"/>
        <c:crossBetween val="between"/>
        <c:majorUnit val="500000"/>
        <c:dispUnits>
          <c:builtInUnit val="millions"/>
        </c:dispUnits>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8957155003512"/>
          <c:y val="4.1492979940590091E-2"/>
          <c:w val="0.74605522901186649"/>
          <c:h val="0.80393749724727548"/>
        </c:manualLayout>
      </c:layout>
      <c:barChart>
        <c:barDir val="col"/>
        <c:grouping val="clustered"/>
        <c:varyColors val="0"/>
        <c:ser>
          <c:idx val="0"/>
          <c:order val="0"/>
          <c:tx>
            <c:strRef>
              <c:f>Graf_61!$B$4</c:f>
              <c:strCache>
                <c:ptCount val="1"/>
                <c:pt idx="0">
                  <c:v>vlakokilometre / zamestnanec</c:v>
                </c:pt>
              </c:strCache>
            </c:strRef>
          </c:tx>
          <c:spPr>
            <a:solidFill>
              <a:srgbClr val="00B0F0"/>
            </a:solidFill>
            <a:ln>
              <a:solidFill>
                <a:srgbClr val="00B0F0"/>
              </a:solidFill>
            </a:ln>
            <a:effectLst/>
          </c:spPr>
          <c:invertIfNegative val="0"/>
          <c:cat>
            <c:strRef>
              <c:f>Graf_61!$A$5:$A$6</c:f>
              <c:strCache>
                <c:ptCount val="2"/>
                <c:pt idx="0">
                  <c:v>Železničná spoločnosť Slovensko</c:v>
                </c:pt>
                <c:pt idx="1">
                  <c:v>České dráhy</c:v>
                </c:pt>
              </c:strCache>
            </c:strRef>
          </c:cat>
          <c:val>
            <c:numRef>
              <c:f>Graf_61!$B$5:$B$6</c:f>
              <c:numCache>
                <c:formatCode>#,##0</c:formatCode>
                <c:ptCount val="2"/>
                <c:pt idx="0">
                  <c:v>5725.540241619874</c:v>
                </c:pt>
                <c:pt idx="1">
                  <c:v>8470.394736842105</c:v>
                </c:pt>
              </c:numCache>
            </c:numRef>
          </c:val>
        </c:ser>
        <c:dLbls>
          <c:showLegendKey val="0"/>
          <c:showVal val="0"/>
          <c:showCatName val="0"/>
          <c:showSerName val="0"/>
          <c:showPercent val="0"/>
          <c:showBubbleSize val="0"/>
        </c:dLbls>
        <c:gapWidth val="219"/>
        <c:axId val="225583408"/>
        <c:axId val="225583800"/>
      </c:barChart>
      <c:lineChart>
        <c:grouping val="standard"/>
        <c:varyColors val="0"/>
        <c:ser>
          <c:idx val="1"/>
          <c:order val="1"/>
          <c:tx>
            <c:strRef>
              <c:f>Graf_61!$C$4</c:f>
              <c:strCache>
                <c:ptCount val="1"/>
                <c:pt idx="0">
                  <c:v>osobové kilometre / zamestnanec</c:v>
                </c:pt>
              </c:strCache>
            </c:strRef>
          </c:tx>
          <c:spPr>
            <a:ln w="28575" cap="rnd">
              <a:noFill/>
              <a:round/>
            </a:ln>
            <a:effectLst/>
          </c:spPr>
          <c:marker>
            <c:symbol val="circle"/>
            <c:size val="5"/>
            <c:spPr>
              <a:solidFill>
                <a:srgbClr val="002060"/>
              </a:solidFill>
              <a:ln w="9525">
                <a:noFill/>
              </a:ln>
              <a:effectLst/>
            </c:spPr>
          </c:marker>
          <c:cat>
            <c:strRef>
              <c:f>Graf_61!$A$5:$A$6</c:f>
              <c:strCache>
                <c:ptCount val="2"/>
                <c:pt idx="0">
                  <c:v>Železničná spoločnosť Slovensko</c:v>
                </c:pt>
                <c:pt idx="1">
                  <c:v>České dráhy</c:v>
                </c:pt>
              </c:strCache>
            </c:strRef>
          </c:cat>
          <c:val>
            <c:numRef>
              <c:f>Graf_61!$C$5:$C$6</c:f>
              <c:numCache>
                <c:formatCode>#,##0</c:formatCode>
                <c:ptCount val="2"/>
                <c:pt idx="0">
                  <c:v>649165.56066020078</c:v>
                </c:pt>
                <c:pt idx="1">
                  <c:v>563665.02192982461</c:v>
                </c:pt>
              </c:numCache>
            </c:numRef>
          </c:val>
          <c:smooth val="0"/>
        </c:ser>
        <c:dLbls>
          <c:showLegendKey val="0"/>
          <c:showVal val="0"/>
          <c:showCatName val="0"/>
          <c:showSerName val="0"/>
          <c:showPercent val="0"/>
          <c:showBubbleSize val="0"/>
        </c:dLbls>
        <c:marker val="1"/>
        <c:smooth val="0"/>
        <c:axId val="225584584"/>
        <c:axId val="225584192"/>
      </c:lineChart>
      <c:catAx>
        <c:axId val="225583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5583800"/>
        <c:crosses val="autoZero"/>
        <c:auto val="1"/>
        <c:lblAlgn val="ctr"/>
        <c:lblOffset val="100"/>
        <c:noMultiLvlLbl val="0"/>
      </c:catAx>
      <c:valAx>
        <c:axId val="225583800"/>
        <c:scaling>
          <c:orientation val="minMax"/>
          <c:max val="900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r>
                  <a:rPr lang="sk-SK"/>
                  <a:t>vlakokilometre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5583408"/>
        <c:crosses val="autoZero"/>
        <c:crossBetween val="between"/>
        <c:majorUnit val="3000"/>
        <c:dispUnits>
          <c:builtInUnit val="thousands"/>
        </c:dispUnits>
      </c:valAx>
      <c:valAx>
        <c:axId val="225584192"/>
        <c:scaling>
          <c:orientation val="minMax"/>
          <c:max val="900000"/>
          <c:min val="0"/>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r>
                  <a:rPr lang="sk-SK"/>
                  <a:t>osobové kilometre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5584584"/>
        <c:crosses val="max"/>
        <c:crossBetween val="between"/>
        <c:majorUnit val="300000"/>
        <c:dispUnits>
          <c:builtInUnit val="thousands"/>
        </c:dispUnits>
      </c:valAx>
      <c:catAx>
        <c:axId val="225584584"/>
        <c:scaling>
          <c:orientation val="minMax"/>
        </c:scaling>
        <c:delete val="1"/>
        <c:axPos val="b"/>
        <c:numFmt formatCode="General" sourceLinked="1"/>
        <c:majorTickMark val="out"/>
        <c:minorTickMark val="none"/>
        <c:tickLblPos val="nextTo"/>
        <c:crossAx val="225584192"/>
        <c:crosses val="autoZero"/>
        <c:auto val="1"/>
        <c:lblAlgn val="ctr"/>
        <c:lblOffset val="100"/>
        <c:noMultiLvlLbl val="0"/>
      </c:catAx>
      <c:spPr>
        <a:noFill/>
        <a:ln>
          <a:noFill/>
        </a:ln>
        <a:effectLst/>
      </c:spPr>
    </c:plotArea>
    <c:legend>
      <c:legendPos val="t"/>
      <c:layout>
        <c:manualLayout>
          <c:xMode val="edge"/>
          <c:yMode val="edge"/>
          <c:x val="0.106159670817186"/>
          <c:y val="3.7290242386575516E-2"/>
          <c:w val="0.5189885811584648"/>
          <c:h val="0.13324263615587517"/>
        </c:manualLayout>
      </c:layout>
      <c:overlay val="1"/>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107248304813384E-2"/>
          <c:y val="4.8801736221949638E-2"/>
          <c:w val="0.84922754684871316"/>
          <c:h val="0.79403878979893505"/>
        </c:manualLayout>
      </c:layout>
      <c:barChart>
        <c:barDir val="col"/>
        <c:grouping val="clustered"/>
        <c:varyColors val="0"/>
        <c:ser>
          <c:idx val="0"/>
          <c:order val="0"/>
          <c:tx>
            <c:v>počet obcí</c:v>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graf_1!$A$25:$A$36</c:f>
              <c:strCache>
                <c:ptCount val="12"/>
                <c:pt idx="0">
                  <c:v>do 0,25</c:v>
                </c:pt>
                <c:pt idx="1">
                  <c:v>0,25-0,5</c:v>
                </c:pt>
                <c:pt idx="2">
                  <c:v>0,5-1</c:v>
                </c:pt>
                <c:pt idx="3">
                  <c:v>1-2</c:v>
                </c:pt>
                <c:pt idx="4">
                  <c:v>2-3</c:v>
                </c:pt>
                <c:pt idx="5">
                  <c:v>3-4</c:v>
                </c:pt>
                <c:pt idx="6">
                  <c:v>4-5</c:v>
                </c:pt>
                <c:pt idx="7">
                  <c:v>5-10</c:v>
                </c:pt>
                <c:pt idx="8">
                  <c:v>10-20</c:v>
                </c:pt>
                <c:pt idx="9">
                  <c:v>20-50</c:v>
                </c:pt>
                <c:pt idx="10">
                  <c:v>50-100</c:v>
                </c:pt>
                <c:pt idx="11">
                  <c:v>nad 100</c:v>
                </c:pt>
              </c:strCache>
            </c:strRef>
          </c:cat>
          <c:val>
            <c:numRef>
              <c:f>graf_1!$B$25:$B$36</c:f>
              <c:numCache>
                <c:formatCode>General</c:formatCode>
                <c:ptCount val="12"/>
                <c:pt idx="0">
                  <c:v>526</c:v>
                </c:pt>
                <c:pt idx="1">
                  <c:v>608</c:v>
                </c:pt>
                <c:pt idx="2">
                  <c:v>766</c:v>
                </c:pt>
                <c:pt idx="3">
                  <c:v>578</c:v>
                </c:pt>
                <c:pt idx="4">
                  <c:v>183</c:v>
                </c:pt>
                <c:pt idx="5">
                  <c:v>63</c:v>
                </c:pt>
                <c:pt idx="6">
                  <c:v>40</c:v>
                </c:pt>
                <c:pt idx="7">
                  <c:v>67</c:v>
                </c:pt>
                <c:pt idx="8">
                  <c:v>35</c:v>
                </c:pt>
                <c:pt idx="9">
                  <c:v>43</c:v>
                </c:pt>
                <c:pt idx="10">
                  <c:v>9</c:v>
                </c:pt>
                <c:pt idx="11">
                  <c:v>2</c:v>
                </c:pt>
              </c:numCache>
            </c:numRef>
          </c:val>
          <c:extLst xmlns:c16r2="http://schemas.microsoft.com/office/drawing/2015/06/chart">
            <c:ext xmlns:c16="http://schemas.microsoft.com/office/drawing/2014/chart" uri="{C3380CC4-5D6E-409C-BE32-E72D297353CC}">
              <c16:uniqueId val="{00000000-7FF8-472E-A6C6-17850820CBD8}"/>
            </c:ext>
          </c:extLst>
        </c:ser>
        <c:dLbls>
          <c:showLegendKey val="0"/>
          <c:showVal val="0"/>
          <c:showCatName val="0"/>
          <c:showSerName val="0"/>
          <c:showPercent val="0"/>
          <c:showBubbleSize val="0"/>
        </c:dLbls>
        <c:gapWidth val="105"/>
        <c:overlap val="-27"/>
        <c:axId val="225584976"/>
        <c:axId val="225585368"/>
      </c:barChart>
      <c:lineChart>
        <c:grouping val="standard"/>
        <c:varyColors val="0"/>
        <c:ser>
          <c:idx val="1"/>
          <c:order val="1"/>
          <c:tx>
            <c:v>podiel výdavkov na správu</c:v>
          </c:tx>
          <c:spPr>
            <a:ln w="28575" cap="rnd">
              <a:noFill/>
              <a:round/>
            </a:ln>
            <a:effectLst/>
          </c:spPr>
          <c:marker>
            <c:symbol val="diamond"/>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graf_1!$A$25:$A$36</c:f>
              <c:strCache>
                <c:ptCount val="12"/>
                <c:pt idx="0">
                  <c:v>do 0,25</c:v>
                </c:pt>
                <c:pt idx="1">
                  <c:v>0,25-0,5</c:v>
                </c:pt>
                <c:pt idx="2">
                  <c:v>0,5-1</c:v>
                </c:pt>
                <c:pt idx="3">
                  <c:v>1-2</c:v>
                </c:pt>
                <c:pt idx="4">
                  <c:v>2-3</c:v>
                </c:pt>
                <c:pt idx="5">
                  <c:v>3-4</c:v>
                </c:pt>
                <c:pt idx="6">
                  <c:v>4-5</c:v>
                </c:pt>
                <c:pt idx="7">
                  <c:v>5-10</c:v>
                </c:pt>
                <c:pt idx="8">
                  <c:v>10-20</c:v>
                </c:pt>
                <c:pt idx="9">
                  <c:v>20-50</c:v>
                </c:pt>
                <c:pt idx="10">
                  <c:v>50-100</c:v>
                </c:pt>
                <c:pt idx="11">
                  <c:v>nad 100</c:v>
                </c:pt>
              </c:strCache>
            </c:strRef>
          </c:cat>
          <c:val>
            <c:numRef>
              <c:f>graf_1!$C$25:$C$36</c:f>
              <c:numCache>
                <c:formatCode>0%</c:formatCode>
                <c:ptCount val="12"/>
                <c:pt idx="0">
                  <c:v>0.50299999999999989</c:v>
                </c:pt>
                <c:pt idx="1">
                  <c:v>0.371</c:v>
                </c:pt>
                <c:pt idx="2">
                  <c:v>0.28099999999999992</c:v>
                </c:pt>
                <c:pt idx="3">
                  <c:v>0.20299999999999996</c:v>
                </c:pt>
                <c:pt idx="4">
                  <c:v>0.17200000000000004</c:v>
                </c:pt>
                <c:pt idx="5">
                  <c:v>0.15700000000000003</c:v>
                </c:pt>
                <c:pt idx="6">
                  <c:v>0.17000000000000004</c:v>
                </c:pt>
                <c:pt idx="7">
                  <c:v>0.11900000000000011</c:v>
                </c:pt>
                <c:pt idx="8">
                  <c:v>0.11099999999999999</c:v>
                </c:pt>
                <c:pt idx="9">
                  <c:v>0.10699999999999998</c:v>
                </c:pt>
                <c:pt idx="10">
                  <c:v>0.11699999999999999</c:v>
                </c:pt>
                <c:pt idx="11">
                  <c:v>0.20900000000000007</c:v>
                </c:pt>
              </c:numCache>
            </c:numRef>
          </c:val>
          <c:smooth val="0"/>
          <c:extLst xmlns:c16r2="http://schemas.microsoft.com/office/drawing/2015/06/chart">
            <c:ext xmlns:c16="http://schemas.microsoft.com/office/drawing/2014/chart" uri="{C3380CC4-5D6E-409C-BE32-E72D297353CC}">
              <c16:uniqueId val="{00000001-7FF8-472E-A6C6-17850820CBD8}"/>
            </c:ext>
          </c:extLst>
        </c:ser>
        <c:dLbls>
          <c:showLegendKey val="0"/>
          <c:showVal val="0"/>
          <c:showCatName val="0"/>
          <c:showSerName val="0"/>
          <c:showPercent val="0"/>
          <c:showBubbleSize val="0"/>
        </c:dLbls>
        <c:marker val="1"/>
        <c:smooth val="0"/>
        <c:axId val="225586152"/>
        <c:axId val="225585760"/>
      </c:lineChart>
      <c:catAx>
        <c:axId val="22558497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sk-SK" sz="900"/>
                  <a:t>veľkosť obce (v tis. osôb)</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585368"/>
        <c:crosses val="autoZero"/>
        <c:auto val="1"/>
        <c:lblAlgn val="ctr"/>
        <c:lblOffset val="100"/>
        <c:noMultiLvlLbl val="0"/>
      </c:catAx>
      <c:valAx>
        <c:axId val="225585368"/>
        <c:scaling>
          <c:orientation val="minMax"/>
          <c:max val="800"/>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sk-SK" sz="900"/>
                  <a:t>počet obci</a:t>
                </a:r>
              </a:p>
            </c:rich>
          </c:tx>
          <c:layout>
            <c:manualLayout>
              <c:xMode val="edge"/>
              <c:yMode val="edge"/>
              <c:x val="9.662519437373179E-4"/>
              <c:y val="0.3257428216846751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584976"/>
        <c:crosses val="autoZero"/>
        <c:crossBetween val="between"/>
        <c:majorUnit val="200"/>
      </c:valAx>
      <c:valAx>
        <c:axId val="225585760"/>
        <c:scaling>
          <c:orientation val="minMax"/>
          <c:max val="0.8"/>
          <c:min val="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sk-SK" sz="900"/>
                  <a:t>podiel výdavkov (v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586152"/>
        <c:crosses val="max"/>
        <c:crossBetween val="between"/>
        <c:majorUnit val="0.2"/>
      </c:valAx>
      <c:catAx>
        <c:axId val="225586152"/>
        <c:scaling>
          <c:orientation val="minMax"/>
        </c:scaling>
        <c:delete val="1"/>
        <c:axPos val="b"/>
        <c:numFmt formatCode="General" sourceLinked="1"/>
        <c:majorTickMark val="none"/>
        <c:minorTickMark val="none"/>
        <c:tickLblPos val="nextTo"/>
        <c:crossAx val="225585760"/>
        <c:crosses val="autoZero"/>
        <c:auto val="1"/>
        <c:lblAlgn val="ctr"/>
        <c:lblOffset val="100"/>
        <c:noMultiLvlLbl val="0"/>
      </c:catAx>
      <c:spPr>
        <a:noFill/>
        <a:ln>
          <a:noFill/>
        </a:ln>
        <a:effectLst/>
      </c:spPr>
    </c:plotArea>
    <c:legend>
      <c:legendPos val="r"/>
      <c:layout>
        <c:manualLayout>
          <c:xMode val="edge"/>
          <c:yMode val="edge"/>
          <c:x val="0.49915386615765367"/>
          <c:y val="8.5324850800320221E-2"/>
          <c:w val="0.22949120519674426"/>
          <c:h val="0.1730834882863956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'GG compens na HDP'!$C$88</c:f>
              <c:strCache>
                <c:ptCount val="1"/>
                <c:pt idx="0">
                  <c:v>Slovensko</c:v>
                </c:pt>
              </c:strCache>
            </c:strRef>
          </c:tx>
          <c:spPr>
            <a:ln w="28575" cap="rnd">
              <a:solidFill>
                <a:srgbClr val="00206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'GG compens na HDP'!$D$87:$L$87</c:f>
              <c:strCache>
                <c:ptCount val="9"/>
                <c:pt idx="0">
                  <c:v>2010</c:v>
                </c:pt>
                <c:pt idx="1">
                  <c:v>2011</c:v>
                </c:pt>
                <c:pt idx="2">
                  <c:v>2012</c:v>
                </c:pt>
                <c:pt idx="3">
                  <c:v>2013</c:v>
                </c:pt>
                <c:pt idx="4">
                  <c:v>2014</c:v>
                </c:pt>
                <c:pt idx="5">
                  <c:v>2015</c:v>
                </c:pt>
                <c:pt idx="6">
                  <c:v>2016</c:v>
                </c:pt>
                <c:pt idx="7">
                  <c:v>2017</c:v>
                </c:pt>
                <c:pt idx="8">
                  <c:v>2018</c:v>
                </c:pt>
              </c:strCache>
            </c:strRef>
          </c:cat>
          <c:val>
            <c:numRef>
              <c:f>'GG compens na HDP'!$D$88:$L$88</c:f>
              <c:numCache>
                <c:formatCode>0.0</c:formatCode>
                <c:ptCount val="9"/>
                <c:pt idx="0">
                  <c:v>8.5</c:v>
                </c:pt>
                <c:pt idx="1">
                  <c:v>8.3000000000000007</c:v>
                </c:pt>
                <c:pt idx="2">
                  <c:v>8.1999999999999993</c:v>
                </c:pt>
                <c:pt idx="3">
                  <c:v>8.6</c:v>
                </c:pt>
                <c:pt idx="4">
                  <c:v>8.8000000000000007</c:v>
                </c:pt>
                <c:pt idx="5">
                  <c:v>8.9</c:v>
                </c:pt>
                <c:pt idx="6">
                  <c:v>9.1</c:v>
                </c:pt>
                <c:pt idx="7">
                  <c:v>9.1999999999999993</c:v>
                </c:pt>
                <c:pt idx="8">
                  <c:v>9.3000000000000007</c:v>
                </c:pt>
              </c:numCache>
            </c:numRef>
          </c:val>
          <c:smooth val="0"/>
          <c:extLst xmlns:c16r2="http://schemas.microsoft.com/office/drawing/2015/06/chart">
            <c:ext xmlns:c16="http://schemas.microsoft.com/office/drawing/2014/chart" uri="{C3380CC4-5D6E-409C-BE32-E72D297353CC}">
              <c16:uniqueId val="{00000000-6554-4976-A2D0-7F34C48C7FAA}"/>
            </c:ext>
          </c:extLst>
        </c:ser>
        <c:ser>
          <c:idx val="1"/>
          <c:order val="1"/>
          <c:tx>
            <c:strRef>
              <c:f>'GG compens na HDP'!$C$89</c:f>
              <c:strCache>
                <c:ptCount val="1"/>
                <c:pt idx="0">
                  <c:v>priemer V3</c:v>
                </c:pt>
              </c:strCache>
            </c:strRef>
          </c:tx>
          <c:spPr>
            <a:ln w="28575" cap="rnd">
              <a:solidFill>
                <a:srgbClr val="00B0F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'GG compens na HDP'!$D$87:$L$87</c:f>
              <c:strCache>
                <c:ptCount val="9"/>
                <c:pt idx="0">
                  <c:v>2010</c:v>
                </c:pt>
                <c:pt idx="1">
                  <c:v>2011</c:v>
                </c:pt>
                <c:pt idx="2">
                  <c:v>2012</c:v>
                </c:pt>
                <c:pt idx="3">
                  <c:v>2013</c:v>
                </c:pt>
                <c:pt idx="4">
                  <c:v>2014</c:v>
                </c:pt>
                <c:pt idx="5">
                  <c:v>2015</c:v>
                </c:pt>
                <c:pt idx="6">
                  <c:v>2016</c:v>
                </c:pt>
                <c:pt idx="7">
                  <c:v>2017</c:v>
                </c:pt>
                <c:pt idx="8">
                  <c:v>2018</c:v>
                </c:pt>
              </c:strCache>
            </c:strRef>
          </c:cat>
          <c:val>
            <c:numRef>
              <c:f>'GG compens na HDP'!$D$89:$L$89</c:f>
              <c:numCache>
                <c:formatCode>0.0</c:formatCode>
                <c:ptCount val="9"/>
                <c:pt idx="0">
                  <c:v>10.233333333333333</c:v>
                </c:pt>
                <c:pt idx="1">
                  <c:v>9.7666666666666657</c:v>
                </c:pt>
                <c:pt idx="2">
                  <c:v>9.7000000000000011</c:v>
                </c:pt>
                <c:pt idx="3">
                  <c:v>9.7666666666666675</c:v>
                </c:pt>
                <c:pt idx="4">
                  <c:v>9.8333333333333339</c:v>
                </c:pt>
                <c:pt idx="5">
                  <c:v>9.7999999999999989</c:v>
                </c:pt>
                <c:pt idx="6">
                  <c:v>9.9666666666666668</c:v>
                </c:pt>
                <c:pt idx="7">
                  <c:v>10</c:v>
                </c:pt>
                <c:pt idx="8">
                  <c:v>10.166666666666666</c:v>
                </c:pt>
              </c:numCache>
            </c:numRef>
          </c:val>
          <c:smooth val="0"/>
          <c:extLst xmlns:c16r2="http://schemas.microsoft.com/office/drawing/2015/06/chart">
            <c:ext xmlns:c16="http://schemas.microsoft.com/office/drawing/2014/chart" uri="{C3380CC4-5D6E-409C-BE32-E72D297353CC}">
              <c16:uniqueId val="{00000001-6554-4976-A2D0-7F34C48C7FAA}"/>
            </c:ext>
          </c:extLst>
        </c:ser>
        <c:ser>
          <c:idx val="2"/>
          <c:order val="2"/>
          <c:tx>
            <c:strRef>
              <c:f>'GG compens na HDP'!$C$90</c:f>
              <c:strCache>
                <c:ptCount val="1"/>
                <c:pt idx="0">
                  <c:v>priemer EÚ</c:v>
                </c:pt>
              </c:strCache>
            </c:strRef>
          </c:tx>
          <c:spPr>
            <a:ln w="28575" cap="rnd">
              <a:solidFill>
                <a:schemeClr val="accent3"/>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'GG compens na HDP'!$D$87:$L$87</c:f>
              <c:strCache>
                <c:ptCount val="9"/>
                <c:pt idx="0">
                  <c:v>2010</c:v>
                </c:pt>
                <c:pt idx="1">
                  <c:v>2011</c:v>
                </c:pt>
                <c:pt idx="2">
                  <c:v>2012</c:v>
                </c:pt>
                <c:pt idx="3">
                  <c:v>2013</c:v>
                </c:pt>
                <c:pt idx="4">
                  <c:v>2014</c:v>
                </c:pt>
                <c:pt idx="5">
                  <c:v>2015</c:v>
                </c:pt>
                <c:pt idx="6">
                  <c:v>2016</c:v>
                </c:pt>
                <c:pt idx="7">
                  <c:v>2017</c:v>
                </c:pt>
                <c:pt idx="8">
                  <c:v>2018</c:v>
                </c:pt>
              </c:strCache>
            </c:strRef>
          </c:cat>
          <c:val>
            <c:numRef>
              <c:f>'GG compens na HDP'!$D$90:$L$90</c:f>
              <c:numCache>
                <c:formatCode>0.0</c:formatCode>
                <c:ptCount val="9"/>
                <c:pt idx="0">
                  <c:v>11.425000000000002</c:v>
                </c:pt>
                <c:pt idx="1">
                  <c:v>11.082142857142857</c:v>
                </c:pt>
                <c:pt idx="2">
                  <c:v>10.985714285714289</c:v>
                </c:pt>
                <c:pt idx="3">
                  <c:v>10.97857142857143</c:v>
                </c:pt>
                <c:pt idx="4">
                  <c:v>10.807142857142859</c:v>
                </c:pt>
                <c:pt idx="5">
                  <c:v>10.617857142857144</c:v>
                </c:pt>
                <c:pt idx="6">
                  <c:v>10.642857142857142</c:v>
                </c:pt>
                <c:pt idx="7">
                  <c:v>10.585714285714287</c:v>
                </c:pt>
                <c:pt idx="8">
                  <c:v>10.585714285714287</c:v>
                </c:pt>
              </c:numCache>
            </c:numRef>
          </c:val>
          <c:smooth val="0"/>
          <c:extLst xmlns:c16r2="http://schemas.microsoft.com/office/drawing/2015/06/chart">
            <c:ext xmlns:c16="http://schemas.microsoft.com/office/drawing/2014/chart" uri="{C3380CC4-5D6E-409C-BE32-E72D297353CC}">
              <c16:uniqueId val="{00000002-6554-4976-A2D0-7F34C48C7FAA}"/>
            </c:ext>
          </c:extLst>
        </c:ser>
        <c:dLbls>
          <c:showLegendKey val="0"/>
          <c:showVal val="0"/>
          <c:showCatName val="0"/>
          <c:showSerName val="0"/>
          <c:showPercent val="0"/>
          <c:showBubbleSize val="0"/>
        </c:dLbls>
        <c:smooth val="0"/>
        <c:axId val="225586936"/>
        <c:axId val="225587328"/>
      </c:lineChart>
      <c:catAx>
        <c:axId val="225586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587328"/>
        <c:crosses val="autoZero"/>
        <c:auto val="1"/>
        <c:lblAlgn val="ctr"/>
        <c:lblOffset val="100"/>
        <c:noMultiLvlLbl val="0"/>
      </c:catAx>
      <c:valAx>
        <c:axId val="225587328"/>
        <c:scaling>
          <c:orientation val="minMax"/>
          <c:max val="13"/>
          <c:min val="7"/>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5586936"/>
        <c:crosses val="autoZero"/>
        <c:crossBetween val="between"/>
      </c:valAx>
      <c:spPr>
        <a:noFill/>
        <a:ln>
          <a:noFill/>
        </a:ln>
        <a:effectLst/>
      </c:spPr>
    </c:plotArea>
    <c:legend>
      <c:legendPos val="t"/>
      <c:layout>
        <c:manualLayout>
          <c:xMode val="edge"/>
          <c:yMode val="edge"/>
          <c:x val="9.9359634373078723E-2"/>
          <c:y val="7.1467013225288575E-2"/>
          <c:w val="0.8256706474601524"/>
          <c:h val="0.12233583059399131"/>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zero"/>
    <c:showDLblsOverMax val="0"/>
  </c:chart>
  <c:spPr>
    <a:no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sk-SK"/>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487982044255451E-2"/>
          <c:y val="4.9968513547632924E-2"/>
          <c:w val="0.93616132135261021"/>
          <c:h val="0.69007582385535138"/>
        </c:manualLayout>
      </c:layout>
      <c:barChart>
        <c:barDir val="col"/>
        <c:grouping val="clustered"/>
        <c:varyColors val="0"/>
        <c:ser>
          <c:idx val="0"/>
          <c:order val="0"/>
          <c:spPr>
            <a:solidFill>
              <a:srgbClr val="00B0F0"/>
            </a:solidFill>
            <a:ln>
              <a:noFill/>
            </a:ln>
          </c:spPr>
          <c:invertIfNegative val="0"/>
          <c:dPt>
            <c:idx val="6"/>
            <c:invertIfNegative val="0"/>
            <c:bubble3D val="0"/>
          </c:dPt>
          <c:dPt>
            <c:idx val="7"/>
            <c:invertIfNegative val="0"/>
            <c:bubble3D val="0"/>
            <c:spPr>
              <a:solidFill>
                <a:srgbClr val="002060"/>
              </a:solidFill>
              <a:ln>
                <a:noFill/>
              </a:ln>
            </c:spPr>
          </c:dPt>
          <c:dPt>
            <c:idx val="18"/>
            <c:invertIfNegative val="0"/>
            <c:bubble3D val="0"/>
          </c:dPt>
          <c:dPt>
            <c:idx val="20"/>
            <c:invertIfNegative val="0"/>
            <c:bubble3D val="0"/>
          </c:dPt>
          <c:dLbls>
            <c:dLbl>
              <c:idx val="7"/>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'GG podiel pers'!$R$58:$R$82</c:f>
              <c:strCache>
                <c:ptCount val="25"/>
                <c:pt idx="0">
                  <c:v>Švédsko</c:v>
                </c:pt>
                <c:pt idx="1">
                  <c:v>Dánsko</c:v>
                </c:pt>
                <c:pt idx="2">
                  <c:v>Fínsko</c:v>
                </c:pt>
                <c:pt idx="3">
                  <c:v>Litva</c:v>
                </c:pt>
                <c:pt idx="4">
                  <c:v>Francúzko</c:v>
                </c:pt>
                <c:pt idx="5">
                  <c:v>Maďarsko</c:v>
                </c:pt>
                <c:pt idx="6">
                  <c:v>Lotyšsko</c:v>
                </c:pt>
                <c:pt idx="7">
                  <c:v>Slovensko</c:v>
                </c:pt>
                <c:pt idx="8">
                  <c:v>Belgicko</c:v>
                </c:pt>
                <c:pt idx="9">
                  <c:v>Malta</c:v>
                </c:pt>
                <c:pt idx="10">
                  <c:v>Grécko</c:v>
                </c:pt>
                <c:pt idx="11">
                  <c:v>Slovinsko</c:v>
                </c:pt>
                <c:pt idx="12">
                  <c:v>Poľsko</c:v>
                </c:pt>
                <c:pt idx="13">
                  <c:v>Rakúsko</c:v>
                </c:pt>
                <c:pt idx="14">
                  <c:v>Česká republika</c:v>
                </c:pt>
                <c:pt idx="15">
                  <c:v>Cyprus</c:v>
                </c:pt>
                <c:pt idx="16">
                  <c:v>Spojené kráľovstvo</c:v>
                </c:pt>
                <c:pt idx="17">
                  <c:v>Rumunsko</c:v>
                </c:pt>
                <c:pt idx="18">
                  <c:v>Španielsko</c:v>
                </c:pt>
                <c:pt idx="19">
                  <c:v>Írsko</c:v>
                </c:pt>
                <c:pt idx="20">
                  <c:v>Portugalsko</c:v>
                </c:pt>
                <c:pt idx="21">
                  <c:v>Taliansko</c:v>
                </c:pt>
                <c:pt idx="22">
                  <c:v>Luxembursko</c:v>
                </c:pt>
                <c:pt idx="23">
                  <c:v>Holandsko</c:v>
                </c:pt>
                <c:pt idx="24">
                  <c:v>Nemecko</c:v>
                </c:pt>
              </c:strCache>
            </c:strRef>
          </c:cat>
          <c:val>
            <c:numRef>
              <c:f>'GG podiel pers'!$S$58:$S$82</c:f>
              <c:numCache>
                <c:formatCode>0.0%</c:formatCode>
                <c:ptCount val="25"/>
                <c:pt idx="0">
                  <c:v>0.29160853099461831</c:v>
                </c:pt>
                <c:pt idx="1">
                  <c:v>0.28199863107460643</c:v>
                </c:pt>
                <c:pt idx="2">
                  <c:v>0.24670153798110703</c:v>
                </c:pt>
                <c:pt idx="3">
                  <c:v>0.22468775011197673</c:v>
                </c:pt>
                <c:pt idx="4">
                  <c:v>0.21736944185044177</c:v>
                </c:pt>
                <c:pt idx="5">
                  <c:v>0.200481242720491</c:v>
                </c:pt>
                <c:pt idx="6">
                  <c:v>0.1997765211796973</c:v>
                </c:pt>
                <c:pt idx="7">
                  <c:v>0.18842791262340552</c:v>
                </c:pt>
                <c:pt idx="8">
                  <c:v>0.18625697148268969</c:v>
                </c:pt>
                <c:pt idx="9">
                  <c:v>0.18441056087797417</c:v>
                </c:pt>
                <c:pt idx="10">
                  <c:v>0.17993029510015557</c:v>
                </c:pt>
                <c:pt idx="11">
                  <c:v>0.1748605158890596</c:v>
                </c:pt>
                <c:pt idx="12">
                  <c:v>0.17382776585963838</c:v>
                </c:pt>
                <c:pt idx="13">
                  <c:v>0.17039905555417081</c:v>
                </c:pt>
                <c:pt idx="14">
                  <c:v>0.16591565050345206</c:v>
                </c:pt>
                <c:pt idx="15">
                  <c:v>0.16222593648608791</c:v>
                </c:pt>
                <c:pt idx="16">
                  <c:v>0.16147762160961718</c:v>
                </c:pt>
                <c:pt idx="17">
                  <c:v>0.16104365557512279</c:v>
                </c:pt>
                <c:pt idx="18">
                  <c:v>0.15999669897203925</c:v>
                </c:pt>
                <c:pt idx="19">
                  <c:v>0.15437424795022714</c:v>
                </c:pt>
                <c:pt idx="20">
                  <c:v>0.14575438304251861</c:v>
                </c:pt>
                <c:pt idx="21">
                  <c:v>0.13370143328254722</c:v>
                </c:pt>
                <c:pt idx="22">
                  <c:v>0.1271059138915209</c:v>
                </c:pt>
                <c:pt idx="23">
                  <c:v>0.12130824764821702</c:v>
                </c:pt>
                <c:pt idx="24" formatCode="0%">
                  <c:v>0.10703308624118604</c:v>
                </c:pt>
              </c:numCache>
            </c:numRef>
          </c:val>
        </c:ser>
        <c:dLbls>
          <c:showLegendKey val="0"/>
          <c:showVal val="0"/>
          <c:showCatName val="0"/>
          <c:showSerName val="0"/>
          <c:showPercent val="0"/>
          <c:showBubbleSize val="0"/>
        </c:dLbls>
        <c:gapWidth val="150"/>
        <c:axId val="225588112"/>
        <c:axId val="225588504"/>
      </c:barChart>
      <c:lineChart>
        <c:grouping val="standard"/>
        <c:varyColors val="0"/>
        <c:ser>
          <c:idx val="2"/>
          <c:order val="1"/>
          <c:spPr>
            <a:ln>
              <a:solidFill>
                <a:sysClr val="windowText" lastClr="000000"/>
              </a:solidFill>
            </a:ln>
          </c:spPr>
          <c:marker>
            <c:symbol val="none"/>
          </c:marker>
          <c:dLbls>
            <c:dLbl>
              <c:idx val="23"/>
              <c:layout>
                <c:manualLayout>
                  <c:x val="-1.1554015020219697E-2"/>
                  <c:y val="-3.24074074074074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'GG podiel pers'!$R$58:$R$82</c:f>
              <c:strCache>
                <c:ptCount val="25"/>
                <c:pt idx="0">
                  <c:v>Švédsko</c:v>
                </c:pt>
                <c:pt idx="1">
                  <c:v>Dánsko</c:v>
                </c:pt>
                <c:pt idx="2">
                  <c:v>Fínsko</c:v>
                </c:pt>
                <c:pt idx="3">
                  <c:v>Litva</c:v>
                </c:pt>
                <c:pt idx="4">
                  <c:v>Francúzko</c:v>
                </c:pt>
                <c:pt idx="5">
                  <c:v>Maďarsko</c:v>
                </c:pt>
                <c:pt idx="6">
                  <c:v>Lotyšsko</c:v>
                </c:pt>
                <c:pt idx="7">
                  <c:v>Slovensko</c:v>
                </c:pt>
                <c:pt idx="8">
                  <c:v>Belgicko</c:v>
                </c:pt>
                <c:pt idx="9">
                  <c:v>Malta</c:v>
                </c:pt>
                <c:pt idx="10">
                  <c:v>Grécko</c:v>
                </c:pt>
                <c:pt idx="11">
                  <c:v>Slovinsko</c:v>
                </c:pt>
                <c:pt idx="12">
                  <c:v>Poľsko</c:v>
                </c:pt>
                <c:pt idx="13">
                  <c:v>Rakúsko</c:v>
                </c:pt>
                <c:pt idx="14">
                  <c:v>Česká republika</c:v>
                </c:pt>
                <c:pt idx="15">
                  <c:v>Cyprus</c:v>
                </c:pt>
                <c:pt idx="16">
                  <c:v>Spojené kráľovstvo</c:v>
                </c:pt>
                <c:pt idx="17">
                  <c:v>Rumunsko</c:v>
                </c:pt>
                <c:pt idx="18">
                  <c:v>Španielsko</c:v>
                </c:pt>
                <c:pt idx="19">
                  <c:v>Írsko</c:v>
                </c:pt>
                <c:pt idx="20">
                  <c:v>Portugalsko</c:v>
                </c:pt>
                <c:pt idx="21">
                  <c:v>Taliansko</c:v>
                </c:pt>
                <c:pt idx="22">
                  <c:v>Luxembursko</c:v>
                </c:pt>
                <c:pt idx="23">
                  <c:v>Holandsko</c:v>
                </c:pt>
                <c:pt idx="24">
                  <c:v>Nemecko</c:v>
                </c:pt>
              </c:strCache>
            </c:strRef>
          </c:cat>
          <c:val>
            <c:numRef>
              <c:f>'GG podiel pers'!$T$58:$T$82</c:f>
              <c:numCache>
                <c:formatCode>0.0%</c:formatCode>
                <c:ptCount val="25"/>
                <c:pt idx="0">
                  <c:v>0.17387206186548337</c:v>
                </c:pt>
                <c:pt idx="1">
                  <c:v>0.17387206186548337</c:v>
                </c:pt>
                <c:pt idx="2">
                  <c:v>0.17387206186548337</c:v>
                </c:pt>
                <c:pt idx="3">
                  <c:v>0.17387206186548337</c:v>
                </c:pt>
                <c:pt idx="4">
                  <c:v>0.17387206186548337</c:v>
                </c:pt>
                <c:pt idx="5">
                  <c:v>0.17387206186548337</c:v>
                </c:pt>
                <c:pt idx="6">
                  <c:v>0.17387206186548337</c:v>
                </c:pt>
                <c:pt idx="7">
                  <c:v>0.17387206186548337</c:v>
                </c:pt>
                <c:pt idx="8">
                  <c:v>0.17387206186548337</c:v>
                </c:pt>
                <c:pt idx="9">
                  <c:v>0.17387206186548337</c:v>
                </c:pt>
                <c:pt idx="10">
                  <c:v>0.17387206186548337</c:v>
                </c:pt>
                <c:pt idx="11">
                  <c:v>0.17387206186548337</c:v>
                </c:pt>
                <c:pt idx="12">
                  <c:v>0.17387206186548337</c:v>
                </c:pt>
                <c:pt idx="13">
                  <c:v>0.17387206186548337</c:v>
                </c:pt>
                <c:pt idx="14">
                  <c:v>0.17387206186548337</c:v>
                </c:pt>
                <c:pt idx="15">
                  <c:v>0.17387206186548337</c:v>
                </c:pt>
                <c:pt idx="16">
                  <c:v>0.17387206186548337</c:v>
                </c:pt>
                <c:pt idx="17">
                  <c:v>0.17387206186548337</c:v>
                </c:pt>
                <c:pt idx="18">
                  <c:v>0.17387206186548337</c:v>
                </c:pt>
                <c:pt idx="19">
                  <c:v>0.17387206186548337</c:v>
                </c:pt>
                <c:pt idx="20">
                  <c:v>0.17387206186548337</c:v>
                </c:pt>
                <c:pt idx="21">
                  <c:v>0.17387206186548337</c:v>
                </c:pt>
                <c:pt idx="22">
                  <c:v>0.17387206186548337</c:v>
                </c:pt>
                <c:pt idx="23">
                  <c:v>0.17387206186548337</c:v>
                </c:pt>
                <c:pt idx="24" formatCode="0%">
                  <c:v>0.17387206186548337</c:v>
                </c:pt>
              </c:numCache>
            </c:numRef>
          </c:val>
          <c:smooth val="0"/>
        </c:ser>
        <c:dLbls>
          <c:showLegendKey val="0"/>
          <c:showVal val="0"/>
          <c:showCatName val="0"/>
          <c:showSerName val="0"/>
          <c:showPercent val="0"/>
          <c:showBubbleSize val="0"/>
        </c:dLbls>
        <c:marker val="1"/>
        <c:smooth val="0"/>
        <c:axId val="225588112"/>
        <c:axId val="225588504"/>
      </c:lineChart>
      <c:catAx>
        <c:axId val="225588112"/>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225588504"/>
        <c:crosses val="autoZero"/>
        <c:auto val="1"/>
        <c:lblAlgn val="ctr"/>
        <c:lblOffset val="100"/>
        <c:noMultiLvlLbl val="0"/>
      </c:catAx>
      <c:valAx>
        <c:axId val="225588504"/>
        <c:scaling>
          <c:orientation val="minMax"/>
          <c:max val="0.30000000000000004"/>
          <c:min val="0"/>
        </c:scaling>
        <c:delete val="0"/>
        <c:axPos val="l"/>
        <c:majorGridlines>
          <c:spPr>
            <a:ln>
              <a:solidFill>
                <a:sysClr val="window" lastClr="FFFFFF">
                  <a:lumMod val="75000"/>
                </a:sysClr>
              </a:solidFill>
              <a:prstDash val="dash"/>
            </a:ln>
          </c:spPr>
        </c:majorGridlines>
        <c:numFmt formatCode="0%" sourceLinked="0"/>
        <c:majorTickMark val="out"/>
        <c:minorTickMark val="none"/>
        <c:tickLblPos val="nextTo"/>
        <c:crossAx val="225588112"/>
        <c:crosses val="autoZero"/>
        <c:crossBetween val="between"/>
      </c:valAx>
    </c:plotArea>
    <c:plotVisOnly val="1"/>
    <c:dispBlanksAs val="gap"/>
    <c:showDLblsOverMax val="0"/>
  </c:chart>
  <c:spPr>
    <a:ln>
      <a:noFill/>
    </a:ln>
  </c:spPr>
  <c:txPr>
    <a:bodyPr/>
    <a:lstStyle/>
    <a:p>
      <a:pPr>
        <a:defRPr sz="900">
          <a:solidFill>
            <a:sysClr val="windowText" lastClr="000000"/>
          </a:solidFill>
          <a:latin typeface="Arial Narrow" pitchFamily="34" charset="0"/>
        </a:defRPr>
      </a:pPr>
      <a:endParaRPr lang="sk-SK"/>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609166909691847E-2"/>
          <c:y val="6.0232704332011978E-2"/>
          <c:w val="0.93462605368773344"/>
          <c:h val="0.84547573488642014"/>
        </c:manualLayout>
      </c:layout>
      <c:barChart>
        <c:barDir val="col"/>
        <c:grouping val="clustered"/>
        <c:varyColors val="0"/>
        <c:ser>
          <c:idx val="1"/>
          <c:order val="0"/>
          <c:tx>
            <c:strRef>
              <c:f>hodinove!$D$152</c:f>
              <c:strCache>
                <c:ptCount val="1"/>
                <c:pt idx="0">
                  <c:v>ženy</c:v>
                </c:pt>
              </c:strCache>
            </c:strRef>
          </c:tx>
          <c:spPr>
            <a:solidFill>
              <a:sysClr val="window" lastClr="FFFFFF">
                <a:lumMod val="75000"/>
              </a:sysClr>
            </a:solidFill>
            <a:ln>
              <a:noFill/>
            </a:ln>
            <a:effectLst/>
          </c:spPr>
          <c:invertIfNegative val="0"/>
          <c:dPt>
            <c:idx val="2"/>
            <c:invertIfNegative val="0"/>
            <c:bubble3D val="0"/>
            <c:spPr>
              <a:solidFill>
                <a:sysClr val="windowText" lastClr="000000"/>
              </a:solidFill>
              <a:ln>
                <a:noFill/>
              </a:ln>
              <a:effectLst/>
            </c:spPr>
          </c:dPt>
          <c:dPt>
            <c:idx val="3"/>
            <c:invertIfNegative val="0"/>
            <c:bubble3D val="0"/>
            <c:spPr>
              <a:solidFill>
                <a:sysClr val="window" lastClr="FFFFFF">
                  <a:lumMod val="75000"/>
                </a:sysClr>
              </a:solidFill>
              <a:ln>
                <a:noFill/>
              </a:ln>
              <a:effectLst/>
            </c:spPr>
          </c:dPt>
          <c:cat>
            <c:strRef>
              <c:f>hodinove!$A$153:$A$175</c:f>
              <c:strCache>
                <c:ptCount val="23"/>
                <c:pt idx="0">
                  <c:v>DK</c:v>
                </c:pt>
                <c:pt idx="1">
                  <c:v>HU</c:v>
                </c:pt>
                <c:pt idx="2">
                  <c:v>SK</c:v>
                </c:pt>
                <c:pt idx="3">
                  <c:v>FI</c:v>
                </c:pt>
                <c:pt idx="4">
                  <c:v>NO</c:v>
                </c:pt>
                <c:pt idx="5">
                  <c:v>LV</c:v>
                </c:pt>
                <c:pt idx="6">
                  <c:v>EE</c:v>
                </c:pt>
                <c:pt idx="7">
                  <c:v>CZ</c:v>
                </c:pt>
                <c:pt idx="8">
                  <c:v>RO</c:v>
                </c:pt>
                <c:pt idx="9">
                  <c:v>MT</c:v>
                </c:pt>
                <c:pt idx="10">
                  <c:v>BG</c:v>
                </c:pt>
                <c:pt idx="11">
                  <c:v>BE</c:v>
                </c:pt>
                <c:pt idx="12">
                  <c:v>PT</c:v>
                </c:pt>
                <c:pt idx="13">
                  <c:v>SI</c:v>
                </c:pt>
                <c:pt idx="14">
                  <c:v>NL</c:v>
                </c:pt>
                <c:pt idx="15">
                  <c:v>UK</c:v>
                </c:pt>
                <c:pt idx="16">
                  <c:v>LT</c:v>
                </c:pt>
                <c:pt idx="17">
                  <c:v>PL</c:v>
                </c:pt>
                <c:pt idx="18">
                  <c:v>IT</c:v>
                </c:pt>
                <c:pt idx="19">
                  <c:v>DE</c:v>
                </c:pt>
                <c:pt idx="20">
                  <c:v>ES</c:v>
                </c:pt>
                <c:pt idx="21">
                  <c:v>LU</c:v>
                </c:pt>
                <c:pt idx="22">
                  <c:v>CY</c:v>
                </c:pt>
              </c:strCache>
            </c:strRef>
          </c:cat>
          <c:val>
            <c:numRef>
              <c:f>hodinove!$D$153:$D$175</c:f>
              <c:numCache>
                <c:formatCode>0%</c:formatCode>
                <c:ptCount val="23"/>
                <c:pt idx="0">
                  <c:v>-8.4838999999999998E-2</c:v>
                </c:pt>
                <c:pt idx="1">
                  <c:v>-0.1123556</c:v>
                </c:pt>
                <c:pt idx="2" formatCode="0.0%">
                  <c:v>-5.0937700000000002E-2</c:v>
                </c:pt>
                <c:pt idx="3">
                  <c:v>-2.7018199999999999E-2</c:v>
                </c:pt>
                <c:pt idx="4">
                  <c:v>4.88344E-2</c:v>
                </c:pt>
                <c:pt idx="6">
                  <c:v>3.31452E-2</c:v>
                </c:pt>
                <c:pt idx="7">
                  <c:v>7.3215199999999994E-2</c:v>
                </c:pt>
                <c:pt idx="9">
                  <c:v>0.14618349999999999</c:v>
                </c:pt>
                <c:pt idx="10">
                  <c:v>5.82897E-2</c:v>
                </c:pt>
                <c:pt idx="11">
                  <c:v>0.12771940000000001</c:v>
                </c:pt>
                <c:pt idx="12">
                  <c:v>0.13069720000000001</c:v>
                </c:pt>
                <c:pt idx="13">
                  <c:v>9.2607499999999995E-2</c:v>
                </c:pt>
                <c:pt idx="14">
                  <c:v>0.201624</c:v>
                </c:pt>
                <c:pt idx="15">
                  <c:v>0.17345669999999999</c:v>
                </c:pt>
                <c:pt idx="16">
                  <c:v>0.14030770000000001</c:v>
                </c:pt>
                <c:pt idx="17">
                  <c:v>0.16866300000000001</c:v>
                </c:pt>
                <c:pt idx="18">
                  <c:v>0.2481923</c:v>
                </c:pt>
                <c:pt idx="19">
                  <c:v>0.244926</c:v>
                </c:pt>
                <c:pt idx="20">
                  <c:v>0.21944169999999999</c:v>
                </c:pt>
                <c:pt idx="21">
                  <c:v>0.36890450000000002</c:v>
                </c:pt>
                <c:pt idx="22">
                  <c:v>0.42126390000000002</c:v>
                </c:pt>
              </c:numCache>
            </c:numRef>
          </c:val>
        </c:ser>
        <c:ser>
          <c:idx val="0"/>
          <c:order val="1"/>
          <c:tx>
            <c:strRef>
              <c:f>hodinove!$C$152</c:f>
              <c:strCache>
                <c:ptCount val="1"/>
                <c:pt idx="0">
                  <c:v>muži</c:v>
                </c:pt>
              </c:strCache>
            </c:strRef>
          </c:tx>
          <c:spPr>
            <a:solidFill>
              <a:srgbClr val="00B0F0"/>
            </a:solidFill>
            <a:ln>
              <a:noFill/>
            </a:ln>
            <a:effectLst/>
          </c:spPr>
          <c:invertIfNegative val="0"/>
          <c:dPt>
            <c:idx val="2"/>
            <c:invertIfNegative val="0"/>
            <c:bubble3D val="0"/>
            <c:spPr>
              <a:solidFill>
                <a:srgbClr val="002060"/>
              </a:solidFill>
              <a:ln>
                <a:noFill/>
              </a:ln>
              <a:effectLst/>
            </c:spPr>
          </c:dPt>
          <c:dPt>
            <c:idx val="3"/>
            <c:invertIfNegative val="0"/>
            <c:bubble3D val="0"/>
            <c:spPr>
              <a:solidFill>
                <a:srgbClr val="00B0F0"/>
              </a:solidFill>
              <a:ln>
                <a:noFill/>
              </a:ln>
              <a:effectLst/>
            </c:spPr>
          </c:dPt>
          <c:cat>
            <c:strRef>
              <c:f>hodinove!$A$153:$A$175</c:f>
              <c:strCache>
                <c:ptCount val="23"/>
                <c:pt idx="0">
                  <c:v>DK</c:v>
                </c:pt>
                <c:pt idx="1">
                  <c:v>HU</c:v>
                </c:pt>
                <c:pt idx="2">
                  <c:v>SK</c:v>
                </c:pt>
                <c:pt idx="3">
                  <c:v>FI</c:v>
                </c:pt>
                <c:pt idx="4">
                  <c:v>NO</c:v>
                </c:pt>
                <c:pt idx="5">
                  <c:v>LV</c:v>
                </c:pt>
                <c:pt idx="6">
                  <c:v>EE</c:v>
                </c:pt>
                <c:pt idx="7">
                  <c:v>CZ</c:v>
                </c:pt>
                <c:pt idx="8">
                  <c:v>RO</c:v>
                </c:pt>
                <c:pt idx="9">
                  <c:v>MT</c:v>
                </c:pt>
                <c:pt idx="10">
                  <c:v>BG</c:v>
                </c:pt>
                <c:pt idx="11">
                  <c:v>BE</c:v>
                </c:pt>
                <c:pt idx="12">
                  <c:v>PT</c:v>
                </c:pt>
                <c:pt idx="13">
                  <c:v>SI</c:v>
                </c:pt>
                <c:pt idx="14">
                  <c:v>NL</c:v>
                </c:pt>
                <c:pt idx="15">
                  <c:v>UK</c:v>
                </c:pt>
                <c:pt idx="16">
                  <c:v>LT</c:v>
                </c:pt>
                <c:pt idx="17">
                  <c:v>PL</c:v>
                </c:pt>
                <c:pt idx="18">
                  <c:v>IT</c:v>
                </c:pt>
                <c:pt idx="19">
                  <c:v>DE</c:v>
                </c:pt>
                <c:pt idx="20">
                  <c:v>ES</c:v>
                </c:pt>
                <c:pt idx="21">
                  <c:v>LU</c:v>
                </c:pt>
                <c:pt idx="22">
                  <c:v>CY</c:v>
                </c:pt>
              </c:strCache>
            </c:strRef>
          </c:cat>
          <c:val>
            <c:numRef>
              <c:f>hodinove!$C$153:$C$175</c:f>
              <c:numCache>
                <c:formatCode>0%</c:formatCode>
                <c:ptCount val="23"/>
                <c:pt idx="0">
                  <c:v>-0.10825</c:v>
                </c:pt>
                <c:pt idx="1">
                  <c:v>-4.7483400000000002E-2</c:v>
                </c:pt>
                <c:pt idx="2" formatCode="0.0%">
                  <c:v>-4.4414200000000001E-2</c:v>
                </c:pt>
                <c:pt idx="3">
                  <c:v>-3.52419E-2</c:v>
                </c:pt>
                <c:pt idx="4">
                  <c:v>-1.93726E-2</c:v>
                </c:pt>
                <c:pt idx="5">
                  <c:v>9.7711000000000006E-2</c:v>
                </c:pt>
                <c:pt idx="6">
                  <c:v>8.8829900000000003E-2</c:v>
                </c:pt>
                <c:pt idx="7">
                  <c:v>4.1391799999999999E-2</c:v>
                </c:pt>
                <c:pt idx="8">
                  <c:v>0.12841340000000001</c:v>
                </c:pt>
                <c:pt idx="9">
                  <c:v>5.3124600000000001E-2</c:v>
                </c:pt>
                <c:pt idx="10">
                  <c:v>0.15495429999999999</c:v>
                </c:pt>
                <c:pt idx="11">
                  <c:v>6.6418000000000005E-2</c:v>
                </c:pt>
                <c:pt idx="12">
                  <c:v>8.7776000000000007E-2</c:v>
                </c:pt>
                <c:pt idx="13">
                  <c:v>0.16157830000000001</c:v>
                </c:pt>
                <c:pt idx="14">
                  <c:v>3.3645500000000002E-2</c:v>
                </c:pt>
                <c:pt idx="15">
                  <c:v>0.13425570000000001</c:v>
                </c:pt>
                <c:pt idx="16">
                  <c:v>0.18615139999999999</c:v>
                </c:pt>
                <c:pt idx="17">
                  <c:v>0.1420206</c:v>
                </c:pt>
                <c:pt idx="18">
                  <c:v>0.13295789999999999</c:v>
                </c:pt>
                <c:pt idx="19">
                  <c:v>0.1049223</c:v>
                </c:pt>
                <c:pt idx="20">
                  <c:v>0.1515032</c:v>
                </c:pt>
                <c:pt idx="21">
                  <c:v>0.26803139999999998</c:v>
                </c:pt>
                <c:pt idx="22">
                  <c:v>0.33669979999999999</c:v>
                </c:pt>
              </c:numCache>
            </c:numRef>
          </c:val>
        </c:ser>
        <c:dLbls>
          <c:showLegendKey val="0"/>
          <c:showVal val="0"/>
          <c:showCatName val="0"/>
          <c:showSerName val="0"/>
          <c:showPercent val="0"/>
          <c:showBubbleSize val="0"/>
        </c:dLbls>
        <c:gapWidth val="219"/>
        <c:overlap val="-27"/>
        <c:axId val="227590736"/>
        <c:axId val="227591128"/>
      </c:barChart>
      <c:catAx>
        <c:axId val="227590736"/>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591128"/>
        <c:crossesAt val="0"/>
        <c:auto val="1"/>
        <c:lblAlgn val="ctr"/>
        <c:lblOffset val="100"/>
        <c:noMultiLvlLbl val="0"/>
      </c:catAx>
      <c:valAx>
        <c:axId val="227591128"/>
        <c:scaling>
          <c:orientation val="minMax"/>
          <c:max val="0.4"/>
          <c:min val="-0.2"/>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590736"/>
        <c:crosses val="autoZero"/>
        <c:crossBetween val="between"/>
        <c:majorUnit val="0.1"/>
      </c:valAx>
      <c:spPr>
        <a:noFill/>
        <a:ln>
          <a:noFill/>
        </a:ln>
        <a:effectLst/>
      </c:spPr>
    </c:plotArea>
    <c:legend>
      <c:legendPos val="b"/>
      <c:layout>
        <c:manualLayout>
          <c:xMode val="edge"/>
          <c:yMode val="edge"/>
          <c:x val="5.439673164095906E-2"/>
          <c:y val="0.16741408764826587"/>
          <c:w val="0.2196561025439687"/>
          <c:h val="0.1505366584220199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609166909691847E-2"/>
          <c:y val="6.0232704332011978E-2"/>
          <c:w val="0.93462605368773344"/>
          <c:h val="0.84547573488642014"/>
        </c:manualLayout>
      </c:layout>
      <c:barChart>
        <c:barDir val="col"/>
        <c:grouping val="clustered"/>
        <c:varyColors val="0"/>
        <c:ser>
          <c:idx val="1"/>
          <c:order val="0"/>
          <c:tx>
            <c:strRef>
              <c:f>'hodinove cenzurovane 1%'!$C$54</c:f>
              <c:strCache>
                <c:ptCount val="1"/>
                <c:pt idx="0">
                  <c:v>mzdová medzera</c:v>
                </c:pt>
              </c:strCache>
            </c:strRef>
          </c:tx>
          <c:spPr>
            <a:solidFill>
              <a:srgbClr val="00B0F0"/>
            </a:solidFill>
            <a:ln>
              <a:noFill/>
            </a:ln>
            <a:effectLst/>
          </c:spPr>
          <c:invertIfNegative val="0"/>
          <c:dPt>
            <c:idx val="3"/>
            <c:invertIfNegative val="0"/>
            <c:bubble3D val="0"/>
            <c:spPr>
              <a:solidFill>
                <a:srgbClr val="002060"/>
              </a:solidFill>
              <a:ln>
                <a:noFill/>
              </a:ln>
              <a:effectLst/>
            </c:spPr>
          </c:dPt>
          <c:dLbls>
            <c:dLbl>
              <c:idx val="3"/>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'hodinove cenzurovane 1%'!$A$55:$A$75</c:f>
              <c:strCache>
                <c:ptCount val="21"/>
                <c:pt idx="0">
                  <c:v>DK</c:v>
                </c:pt>
                <c:pt idx="1">
                  <c:v>HU</c:v>
                </c:pt>
                <c:pt idx="2">
                  <c:v>FI</c:v>
                </c:pt>
                <c:pt idx="3">
                  <c:v>SK</c:v>
                </c:pt>
                <c:pt idx="4">
                  <c:v>NO</c:v>
                </c:pt>
                <c:pt idx="5">
                  <c:v>BG</c:v>
                </c:pt>
                <c:pt idx="6">
                  <c:v>PT</c:v>
                </c:pt>
                <c:pt idx="7">
                  <c:v>NL</c:v>
                </c:pt>
                <c:pt idx="8">
                  <c:v>BE</c:v>
                </c:pt>
                <c:pt idx="9">
                  <c:v>CZ</c:v>
                </c:pt>
                <c:pt idx="10">
                  <c:v>RO</c:v>
                </c:pt>
                <c:pt idx="11">
                  <c:v>MT</c:v>
                </c:pt>
                <c:pt idx="12">
                  <c:v>UK</c:v>
                </c:pt>
                <c:pt idx="13">
                  <c:v>IT</c:v>
                </c:pt>
                <c:pt idx="14">
                  <c:v>SI</c:v>
                </c:pt>
                <c:pt idx="15">
                  <c:v>PL</c:v>
                </c:pt>
                <c:pt idx="16">
                  <c:v>LT</c:v>
                </c:pt>
                <c:pt idx="17">
                  <c:v>DE</c:v>
                </c:pt>
                <c:pt idx="18">
                  <c:v>ES</c:v>
                </c:pt>
                <c:pt idx="19">
                  <c:v>LU</c:v>
                </c:pt>
                <c:pt idx="20">
                  <c:v>CY</c:v>
                </c:pt>
              </c:strCache>
            </c:strRef>
          </c:cat>
          <c:val>
            <c:numRef>
              <c:f>'hodinove cenzurovane 1%'!$C$55:$C$75</c:f>
              <c:numCache>
                <c:formatCode>0%</c:formatCode>
                <c:ptCount val="21"/>
                <c:pt idx="0">
                  <c:v>-0.13739889999999999</c:v>
                </c:pt>
                <c:pt idx="1">
                  <c:v>-0.1065671</c:v>
                </c:pt>
                <c:pt idx="2">
                  <c:v>-3.6230900000000003E-2</c:v>
                </c:pt>
                <c:pt idx="3">
                  <c:v>-2.7636600000000001E-2</c:v>
                </c:pt>
                <c:pt idx="4">
                  <c:v>2.8208E-3</c:v>
                </c:pt>
                <c:pt idx="5">
                  <c:v>3.5462199999999999E-2</c:v>
                </c:pt>
                <c:pt idx="6">
                  <c:v>3.6176300000000002E-2</c:v>
                </c:pt>
                <c:pt idx="7">
                  <c:v>3.98436E-2</c:v>
                </c:pt>
                <c:pt idx="8">
                  <c:v>5.3967899999999999E-2</c:v>
                </c:pt>
                <c:pt idx="9">
                  <c:v>5.6956100000000003E-2</c:v>
                </c:pt>
                <c:pt idx="10">
                  <c:v>6.01738E-2</c:v>
                </c:pt>
                <c:pt idx="11">
                  <c:v>8.0007300000000003E-2</c:v>
                </c:pt>
                <c:pt idx="12">
                  <c:v>8.1898399999999996E-2</c:v>
                </c:pt>
                <c:pt idx="13">
                  <c:v>0.1133456</c:v>
                </c:pt>
                <c:pt idx="14">
                  <c:v>0.1164157</c:v>
                </c:pt>
                <c:pt idx="15">
                  <c:v>0.1376531</c:v>
                </c:pt>
                <c:pt idx="16">
                  <c:v>0.13879</c:v>
                </c:pt>
                <c:pt idx="17">
                  <c:v>0.1420614</c:v>
                </c:pt>
                <c:pt idx="18">
                  <c:v>0.19146830000000001</c:v>
                </c:pt>
                <c:pt idx="19">
                  <c:v>0.25892330000000002</c:v>
                </c:pt>
                <c:pt idx="20">
                  <c:v>0.29809809999999998</c:v>
                </c:pt>
              </c:numCache>
            </c:numRef>
          </c:val>
        </c:ser>
        <c:dLbls>
          <c:showLegendKey val="0"/>
          <c:showVal val="0"/>
          <c:showCatName val="0"/>
          <c:showSerName val="0"/>
          <c:showPercent val="0"/>
          <c:showBubbleSize val="0"/>
        </c:dLbls>
        <c:gapWidth val="219"/>
        <c:overlap val="-27"/>
        <c:axId val="227592304"/>
        <c:axId val="227592696"/>
      </c:barChart>
      <c:catAx>
        <c:axId val="22759230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592696"/>
        <c:crosses val="autoZero"/>
        <c:auto val="1"/>
        <c:lblAlgn val="ctr"/>
        <c:lblOffset val="100"/>
        <c:noMultiLvlLbl val="0"/>
      </c:catAx>
      <c:valAx>
        <c:axId val="227592696"/>
        <c:scaling>
          <c:orientation val="minMax"/>
          <c:max val="0.2"/>
          <c:min val="-0.30000000000000004"/>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592304"/>
        <c:crosses val="autoZero"/>
        <c:crossBetween val="between"/>
        <c:majorUnit val="0.1"/>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609166909691847E-2"/>
          <c:y val="6.0232704332011978E-2"/>
          <c:w val="0.93462605368773344"/>
          <c:h val="0.84547573488642014"/>
        </c:manualLayout>
      </c:layout>
      <c:barChart>
        <c:barDir val="col"/>
        <c:grouping val="clustered"/>
        <c:varyColors val="0"/>
        <c:ser>
          <c:idx val="0"/>
          <c:order val="0"/>
          <c:tx>
            <c:strRef>
              <c:f>'hodinove cenzurovane 1%'!$C$88</c:f>
              <c:strCache>
                <c:ptCount val="1"/>
                <c:pt idx="0">
                  <c:v>ženy</c:v>
                </c:pt>
              </c:strCache>
            </c:strRef>
          </c:tx>
          <c:spPr>
            <a:solidFill>
              <a:sysClr val="window" lastClr="FFFFFF">
                <a:lumMod val="75000"/>
              </a:sysClr>
            </a:solidFill>
            <a:ln>
              <a:noFill/>
            </a:ln>
            <a:effectLst/>
          </c:spPr>
          <c:invertIfNegative val="0"/>
          <c:dPt>
            <c:idx val="3"/>
            <c:invertIfNegative val="0"/>
            <c:bubble3D val="0"/>
            <c:spPr>
              <a:solidFill>
                <a:sysClr val="windowText" lastClr="000000"/>
              </a:solidFill>
              <a:ln>
                <a:noFill/>
              </a:ln>
              <a:effectLst/>
            </c:spPr>
          </c:dPt>
          <c:cat>
            <c:strRef>
              <c:f>'hodinove cenzurovane 1%'!$A$89:$A$112</c:f>
              <c:strCache>
                <c:ptCount val="24"/>
                <c:pt idx="0">
                  <c:v>DK</c:v>
                </c:pt>
                <c:pt idx="1">
                  <c:v>HU</c:v>
                </c:pt>
                <c:pt idx="2">
                  <c:v>FI</c:v>
                </c:pt>
                <c:pt idx="3">
                  <c:v>SK</c:v>
                </c:pt>
                <c:pt idx="4">
                  <c:v>LV</c:v>
                </c:pt>
                <c:pt idx="5">
                  <c:v>FR</c:v>
                </c:pt>
                <c:pt idx="6">
                  <c:v>NO</c:v>
                </c:pt>
                <c:pt idx="7">
                  <c:v>EE</c:v>
                </c:pt>
                <c:pt idx="8">
                  <c:v>BG</c:v>
                </c:pt>
                <c:pt idx="9">
                  <c:v>NL</c:v>
                </c:pt>
                <c:pt idx="10">
                  <c:v>PT</c:v>
                </c:pt>
                <c:pt idx="11">
                  <c:v>RO</c:v>
                </c:pt>
                <c:pt idx="12">
                  <c:v>BE</c:v>
                </c:pt>
                <c:pt idx="13">
                  <c:v>CZ</c:v>
                </c:pt>
                <c:pt idx="14">
                  <c:v>MT</c:v>
                </c:pt>
                <c:pt idx="15">
                  <c:v>UK</c:v>
                </c:pt>
                <c:pt idx="16">
                  <c:v>IT</c:v>
                </c:pt>
                <c:pt idx="17">
                  <c:v>SI</c:v>
                </c:pt>
                <c:pt idx="18">
                  <c:v>PL</c:v>
                </c:pt>
                <c:pt idx="19">
                  <c:v>DE</c:v>
                </c:pt>
                <c:pt idx="20">
                  <c:v>LT</c:v>
                </c:pt>
                <c:pt idx="21">
                  <c:v>ES</c:v>
                </c:pt>
                <c:pt idx="22">
                  <c:v>LU</c:v>
                </c:pt>
                <c:pt idx="23">
                  <c:v>CY</c:v>
                </c:pt>
              </c:strCache>
            </c:strRef>
          </c:cat>
          <c:val>
            <c:numRef>
              <c:f>'hodinove cenzurovane 1%'!$C$89:$C$112</c:f>
              <c:numCache>
                <c:formatCode>0%</c:formatCode>
                <c:ptCount val="24"/>
                <c:pt idx="0">
                  <c:v>-0.13083710000000001</c:v>
                </c:pt>
                <c:pt idx="1">
                  <c:v>-0.16240160000000001</c:v>
                </c:pt>
                <c:pt idx="2">
                  <c:v>-3.8912099999999998E-2</c:v>
                </c:pt>
                <c:pt idx="3">
                  <c:v>-7.4671199999999993E-2</c:v>
                </c:pt>
                <c:pt idx="4">
                  <c:v>-7.9889600000000005E-2</c:v>
                </c:pt>
                <c:pt idx="5">
                  <c:v>-1.26865E-2</c:v>
                </c:pt>
                <c:pt idx="6">
                  <c:v>3.28016E-2</c:v>
                </c:pt>
                <c:pt idx="7">
                  <c:v>-7.3803499999999994E-2</c:v>
                </c:pt>
                <c:pt idx="8">
                  <c:v>-5.3110600000000001E-2</c:v>
                </c:pt>
                <c:pt idx="9">
                  <c:v>8.7965199999999993E-2</c:v>
                </c:pt>
                <c:pt idx="10">
                  <c:v>4.2025300000000002E-2</c:v>
                </c:pt>
                <c:pt idx="11">
                  <c:v>-5.1552599999999997E-2</c:v>
                </c:pt>
                <c:pt idx="12">
                  <c:v>6.4815700000000004E-2</c:v>
                </c:pt>
                <c:pt idx="13">
                  <c:v>1.6683199999999999E-2</c:v>
                </c:pt>
                <c:pt idx="14">
                  <c:v>9.4909800000000002E-2</c:v>
                </c:pt>
                <c:pt idx="15">
                  <c:v>7.1793200000000001E-2</c:v>
                </c:pt>
                <c:pt idx="16">
                  <c:v>0.1159475</c:v>
                </c:pt>
                <c:pt idx="17">
                  <c:v>4.7535000000000001E-2</c:v>
                </c:pt>
                <c:pt idx="18">
                  <c:v>9.37915E-2</c:v>
                </c:pt>
                <c:pt idx="19">
                  <c:v>0.16797680000000001</c:v>
                </c:pt>
                <c:pt idx="20">
                  <c:v>7.2088600000000003E-2</c:v>
                </c:pt>
                <c:pt idx="21">
                  <c:v>0.19826269999999999</c:v>
                </c:pt>
                <c:pt idx="22">
                  <c:v>0.27072210000000002</c:v>
                </c:pt>
                <c:pt idx="23">
                  <c:v>0.2764122</c:v>
                </c:pt>
              </c:numCache>
            </c:numRef>
          </c:val>
        </c:ser>
        <c:ser>
          <c:idx val="1"/>
          <c:order val="1"/>
          <c:tx>
            <c:strRef>
              <c:f>'hodinove cenzurovane 1%'!$B$88</c:f>
              <c:strCache>
                <c:ptCount val="1"/>
                <c:pt idx="0">
                  <c:v>muži</c:v>
                </c:pt>
              </c:strCache>
            </c:strRef>
          </c:tx>
          <c:spPr>
            <a:solidFill>
              <a:srgbClr val="00B0F0"/>
            </a:solidFill>
            <a:ln>
              <a:noFill/>
            </a:ln>
            <a:effectLst/>
          </c:spPr>
          <c:invertIfNegative val="0"/>
          <c:dPt>
            <c:idx val="3"/>
            <c:invertIfNegative val="0"/>
            <c:bubble3D val="0"/>
            <c:spPr>
              <a:solidFill>
                <a:srgbClr val="00B0F0"/>
              </a:solidFill>
              <a:ln>
                <a:noFill/>
              </a:ln>
              <a:effectLst/>
            </c:spPr>
          </c:dPt>
          <c:cat>
            <c:strRef>
              <c:f>'hodinove cenzurovane 1%'!$A$89:$A$112</c:f>
              <c:strCache>
                <c:ptCount val="24"/>
                <c:pt idx="0">
                  <c:v>DK</c:v>
                </c:pt>
                <c:pt idx="1">
                  <c:v>HU</c:v>
                </c:pt>
                <c:pt idx="2">
                  <c:v>FI</c:v>
                </c:pt>
                <c:pt idx="3">
                  <c:v>SK</c:v>
                </c:pt>
                <c:pt idx="4">
                  <c:v>LV</c:v>
                </c:pt>
                <c:pt idx="5">
                  <c:v>FR</c:v>
                </c:pt>
                <c:pt idx="6">
                  <c:v>NO</c:v>
                </c:pt>
                <c:pt idx="7">
                  <c:v>EE</c:v>
                </c:pt>
                <c:pt idx="8">
                  <c:v>BG</c:v>
                </c:pt>
                <c:pt idx="9">
                  <c:v>NL</c:v>
                </c:pt>
                <c:pt idx="10">
                  <c:v>PT</c:v>
                </c:pt>
                <c:pt idx="11">
                  <c:v>RO</c:v>
                </c:pt>
                <c:pt idx="12">
                  <c:v>BE</c:v>
                </c:pt>
                <c:pt idx="13">
                  <c:v>CZ</c:v>
                </c:pt>
                <c:pt idx="14">
                  <c:v>MT</c:v>
                </c:pt>
                <c:pt idx="15">
                  <c:v>UK</c:v>
                </c:pt>
                <c:pt idx="16">
                  <c:v>IT</c:v>
                </c:pt>
                <c:pt idx="17">
                  <c:v>SI</c:v>
                </c:pt>
                <c:pt idx="18">
                  <c:v>PL</c:v>
                </c:pt>
                <c:pt idx="19">
                  <c:v>DE</c:v>
                </c:pt>
                <c:pt idx="20">
                  <c:v>LT</c:v>
                </c:pt>
                <c:pt idx="21">
                  <c:v>ES</c:v>
                </c:pt>
                <c:pt idx="22">
                  <c:v>LU</c:v>
                </c:pt>
                <c:pt idx="23">
                  <c:v>CY</c:v>
                </c:pt>
              </c:strCache>
            </c:strRef>
          </c:cat>
          <c:val>
            <c:numRef>
              <c:f>'hodinove cenzurovane 1%'!$B$89:$B$112</c:f>
              <c:numCache>
                <c:formatCode>0%</c:formatCode>
                <c:ptCount val="24"/>
                <c:pt idx="0">
                  <c:v>-0.14358119999999999</c:v>
                </c:pt>
                <c:pt idx="1">
                  <c:v>-4.2468800000000001E-2</c:v>
                </c:pt>
                <c:pt idx="2">
                  <c:v>-2.2649499999999999E-2</c:v>
                </c:pt>
                <c:pt idx="3">
                  <c:v>1.9340300000000001E-2</c:v>
                </c:pt>
                <c:pt idx="4">
                  <c:v>7.2168800000000005E-2</c:v>
                </c:pt>
                <c:pt idx="5">
                  <c:v>1.528E-2</c:v>
                </c:pt>
                <c:pt idx="6">
                  <c:v>-2.62188E-2</c:v>
                </c:pt>
                <c:pt idx="7">
                  <c:v>9.6176999999999999E-2</c:v>
                </c:pt>
                <c:pt idx="8">
                  <c:v>0.11079029999999999</c:v>
                </c:pt>
                <c:pt idx="9">
                  <c:v>-2.0196499999999999E-2</c:v>
                </c:pt>
                <c:pt idx="10">
                  <c:v>0</c:v>
                </c:pt>
                <c:pt idx="11">
                  <c:v>0.13945659999999999</c:v>
                </c:pt>
                <c:pt idx="12">
                  <c:v>3.9208600000000003E-2</c:v>
                </c:pt>
                <c:pt idx="13">
                  <c:v>9.8944799999999999E-2</c:v>
                </c:pt>
                <c:pt idx="14">
                  <c:v>7.0399400000000001E-2</c:v>
                </c:pt>
                <c:pt idx="15">
                  <c:v>0.101726</c:v>
                </c:pt>
                <c:pt idx="16">
                  <c:v>9.9487900000000004E-2</c:v>
                </c:pt>
                <c:pt idx="17">
                  <c:v>0.17351040000000001</c:v>
                </c:pt>
                <c:pt idx="18">
                  <c:v>0.1634697</c:v>
                </c:pt>
                <c:pt idx="19">
                  <c:v>0.1077316</c:v>
                </c:pt>
                <c:pt idx="20">
                  <c:v>0.21438879999999999</c:v>
                </c:pt>
                <c:pt idx="21">
                  <c:v>0.17993429999999999</c:v>
                </c:pt>
                <c:pt idx="22">
                  <c:v>0.23660149999999999</c:v>
                </c:pt>
                <c:pt idx="23">
                  <c:v>0.30461640000000001</c:v>
                </c:pt>
              </c:numCache>
            </c:numRef>
          </c:val>
        </c:ser>
        <c:dLbls>
          <c:showLegendKey val="0"/>
          <c:showVal val="0"/>
          <c:showCatName val="0"/>
          <c:showSerName val="0"/>
          <c:showPercent val="0"/>
          <c:showBubbleSize val="0"/>
        </c:dLbls>
        <c:gapWidth val="219"/>
        <c:overlap val="-27"/>
        <c:axId val="227595048"/>
        <c:axId val="227595440"/>
      </c:barChart>
      <c:catAx>
        <c:axId val="22759504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595440"/>
        <c:crosses val="autoZero"/>
        <c:auto val="1"/>
        <c:lblAlgn val="ctr"/>
        <c:lblOffset val="100"/>
        <c:noMultiLvlLbl val="0"/>
      </c:catAx>
      <c:valAx>
        <c:axId val="227595440"/>
        <c:scaling>
          <c:orientation val="minMax"/>
          <c:max val="0.31000000000000005"/>
          <c:min val="-0.30000000000000004"/>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595048"/>
        <c:crosses val="autoZero"/>
        <c:crossBetween val="between"/>
        <c:majorUnit val="0.1"/>
      </c:valAx>
      <c:spPr>
        <a:noFill/>
        <a:ln>
          <a:noFill/>
        </a:ln>
        <a:effectLst/>
      </c:spPr>
    </c:plotArea>
    <c:legend>
      <c:legendPos val="b"/>
      <c:layout>
        <c:manualLayout>
          <c:xMode val="edge"/>
          <c:yMode val="edge"/>
          <c:x val="0.56001468636645135"/>
          <c:y val="0.61227226303824989"/>
          <c:w val="0.35385122314256173"/>
          <c:h val="8.809367155628028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389321033431"/>
          <c:y val="4.8645669055539284E-2"/>
          <c:w val="0.86123341054607983"/>
          <c:h val="0.7263450508857332"/>
        </c:manualLayout>
      </c:layout>
      <c:barChart>
        <c:barDir val="col"/>
        <c:grouping val="clustered"/>
        <c:varyColors val="0"/>
        <c:ser>
          <c:idx val="0"/>
          <c:order val="0"/>
          <c:spPr>
            <a:solidFill>
              <a:srgbClr val="00B0F0"/>
            </a:solidFill>
            <a:ln>
              <a:noFill/>
            </a:ln>
            <a:effectLst/>
          </c:spPr>
          <c:invertIfNegative val="0"/>
          <c:dPt>
            <c:idx val="12"/>
            <c:invertIfNegative val="0"/>
            <c:bubble3D val="0"/>
            <c:spPr>
              <a:solidFill>
                <a:srgbClr val="002060"/>
              </a:solidFill>
              <a:ln>
                <a:noFill/>
              </a:ln>
              <a:effectLst/>
            </c:spPr>
          </c:dPt>
          <c:dPt>
            <c:idx val="13"/>
            <c:invertIfNegative val="0"/>
            <c:bubble3D val="0"/>
            <c:spPr>
              <a:solidFill>
                <a:srgbClr val="00B0F0"/>
              </a:solidFill>
              <a:ln>
                <a:noFill/>
              </a:ln>
              <a:effectLst/>
            </c:spPr>
          </c:dPt>
          <c:dPt>
            <c:idx val="14"/>
            <c:invertIfNegative val="0"/>
            <c:bubble3D val="0"/>
            <c:spPr>
              <a:solidFill>
                <a:srgbClr val="002060"/>
              </a:solidFill>
              <a:ln>
                <a:noFill/>
              </a:ln>
              <a:effectLst/>
            </c:spPr>
          </c:dPt>
          <c:dLbls>
            <c:dLbl>
              <c:idx val="12"/>
              <c:layout>
                <c:manualLayout>
                  <c:x val="0"/>
                  <c:y val="1.6260162601626018E-2"/>
                </c:manualLayout>
              </c:layout>
              <c:showLegendKey val="0"/>
              <c:showVal val="1"/>
              <c:showCatName val="0"/>
              <c:showSerName val="0"/>
              <c:showPercent val="0"/>
              <c:showBubbleSize val="0"/>
              <c:extLst>
                <c:ext xmlns:c15="http://schemas.microsoft.com/office/drawing/2012/chart" uri="{CE6537A1-D6FC-4f65-9D91-7224C49458BB}"/>
              </c:extLst>
            </c:dLbl>
            <c:dLbl>
              <c:idx val="14"/>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Graf_5!$A$7:$A$29</c:f>
              <c:strCache>
                <c:ptCount val="23"/>
                <c:pt idx="0">
                  <c:v>Portugalsko</c:v>
                </c:pt>
                <c:pt idx="1">
                  <c:v>Grécko</c:v>
                </c:pt>
                <c:pt idx="2">
                  <c:v>Írsko</c:v>
                </c:pt>
                <c:pt idx="3">
                  <c:v>Taliansko</c:v>
                </c:pt>
                <c:pt idx="4">
                  <c:v>Poľsko</c:v>
                </c:pt>
                <c:pt idx="5">
                  <c:v>Luxembursko</c:v>
                </c:pt>
                <c:pt idx="6">
                  <c:v>Španielsko</c:v>
                </c:pt>
                <c:pt idx="7">
                  <c:v>Nemecko</c:v>
                </c:pt>
                <c:pt idx="8">
                  <c:v>Holandsko</c:v>
                </c:pt>
                <c:pt idx="9">
                  <c:v>Rakúsko</c:v>
                </c:pt>
                <c:pt idx="10">
                  <c:v>Česká republika</c:v>
                </c:pt>
                <c:pt idx="11">
                  <c:v>Belgicko</c:v>
                </c:pt>
                <c:pt idx="12">
                  <c:v>Slovensko 2020</c:v>
                </c:pt>
                <c:pt idx="13">
                  <c:v>Slovinsko</c:v>
                </c:pt>
                <c:pt idx="14">
                  <c:v>Slovensko 2017</c:v>
                </c:pt>
                <c:pt idx="15">
                  <c:v>Estónsko</c:v>
                </c:pt>
                <c:pt idx="16">
                  <c:v>Dánsko</c:v>
                </c:pt>
                <c:pt idx="17">
                  <c:v>Francúzko</c:v>
                </c:pt>
                <c:pt idx="18">
                  <c:v>UK</c:v>
                </c:pt>
                <c:pt idx="19">
                  <c:v>Fínsko</c:v>
                </c:pt>
                <c:pt idx="20">
                  <c:v>Lotyšsko</c:v>
                </c:pt>
                <c:pt idx="21">
                  <c:v>Švédsko</c:v>
                </c:pt>
                <c:pt idx="22">
                  <c:v>Litva</c:v>
                </c:pt>
              </c:strCache>
            </c:strRef>
          </c:cat>
          <c:val>
            <c:numRef>
              <c:f>Graf_5!$B$7:$B$29</c:f>
              <c:numCache>
                <c:formatCode>0%</c:formatCode>
                <c:ptCount val="23"/>
                <c:pt idx="0">
                  <c:v>0.62536097641028698</c:v>
                </c:pt>
                <c:pt idx="1">
                  <c:v>0.56934691727078546</c:v>
                </c:pt>
                <c:pt idx="2">
                  <c:v>0.47973153851945538</c:v>
                </c:pt>
                <c:pt idx="3">
                  <c:v>0.47303784698156903</c:v>
                </c:pt>
                <c:pt idx="4">
                  <c:v>0.45087755516303152</c:v>
                </c:pt>
                <c:pt idx="5">
                  <c:v>0.44761715110075917</c:v>
                </c:pt>
                <c:pt idx="6">
                  <c:v>0.35896504116929329</c:v>
                </c:pt>
                <c:pt idx="7">
                  <c:v>0.32117209570214822</c:v>
                </c:pt>
                <c:pt idx="8">
                  <c:v>0.2599364653014089</c:v>
                </c:pt>
                <c:pt idx="9">
                  <c:v>0.19799451770671328</c:v>
                </c:pt>
                <c:pt idx="10">
                  <c:v>0.19342350198088831</c:v>
                </c:pt>
                <c:pt idx="11">
                  <c:v>0.18292493093472584</c:v>
                </c:pt>
                <c:pt idx="12">
                  <c:v>0.122</c:v>
                </c:pt>
                <c:pt idx="13">
                  <c:v>9.5141748664929748E-2</c:v>
                </c:pt>
                <c:pt idx="14">
                  <c:v>6.5904363914411013E-2</c:v>
                </c:pt>
                <c:pt idx="15">
                  <c:v>-6.8245154976931399E-4</c:v>
                </c:pt>
                <c:pt idx="16">
                  <c:v>-9.0400389708290563E-3</c:v>
                </c:pt>
                <c:pt idx="17">
                  <c:v>-1.0003175601318248E-2</c:v>
                </c:pt>
                <c:pt idx="18">
                  <c:v>-3.5172302548488577E-2</c:v>
                </c:pt>
                <c:pt idx="19">
                  <c:v>-3.9202205871230023E-2</c:v>
                </c:pt>
                <c:pt idx="20">
                  <c:v>-5.5194905191127241E-2</c:v>
                </c:pt>
                <c:pt idx="21">
                  <c:v>-0.14387962599949355</c:v>
                </c:pt>
                <c:pt idx="22">
                  <c:v>-0.17563068731848974</c:v>
                </c:pt>
              </c:numCache>
            </c:numRef>
          </c:val>
          <c:extLst/>
        </c:ser>
        <c:dLbls>
          <c:showLegendKey val="0"/>
          <c:showVal val="0"/>
          <c:showCatName val="0"/>
          <c:showSerName val="0"/>
          <c:showPercent val="0"/>
          <c:showBubbleSize val="0"/>
        </c:dLbls>
        <c:gapWidth val="130"/>
        <c:axId val="222203728"/>
        <c:axId val="222203336"/>
      </c:barChart>
      <c:lineChart>
        <c:grouping val="standard"/>
        <c:varyColors val="0"/>
        <c:ser>
          <c:idx val="1"/>
          <c:order val="1"/>
          <c:tx>
            <c:strRef>
              <c:f>Graf_5!$C$6</c:f>
              <c:strCache>
                <c:ptCount val="1"/>
                <c:pt idx="0">
                  <c:v>priemer EÚ</c:v>
                </c:pt>
              </c:strCache>
            </c:strRef>
          </c:tx>
          <c:spPr>
            <a:ln w="28575" cap="rnd">
              <a:solidFill>
                <a:schemeClr val="tx1"/>
              </a:solidFill>
              <a:round/>
            </a:ln>
            <a:effectLst/>
          </c:spPr>
          <c:marker>
            <c:symbol val="none"/>
          </c:marker>
          <c:dLbls>
            <c:dLbl>
              <c:idx val="0"/>
              <c:tx>
                <c:rich>
                  <a:bodyPr/>
                  <a:lstStyle/>
                  <a:p>
                    <a:fld id="{CC08D615-D516-470F-AEDF-026B8B7697FC}"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B220BAE8-E74B-4F3D-814B-ABE9AF46B1D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FB47BB1D-A8B6-4BAD-B472-CEDE5348796E}"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3"/>
              <c:tx>
                <c:rich>
                  <a:bodyPr/>
                  <a:lstStyle/>
                  <a:p>
                    <a:fld id="{D3A48936-9011-4270-9B69-0BD3E4403715}"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tx>
                <c:rich>
                  <a:bodyPr/>
                  <a:lstStyle/>
                  <a:p>
                    <a:fld id="{9AFEEF24-F296-4EFD-95DF-C7E2E6BB7924}"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5"/>
              <c:tx>
                <c:rich>
                  <a:bodyPr/>
                  <a:lstStyle/>
                  <a:p>
                    <a:fld id="{B12A9F76-9AB5-4250-B6EB-EF505568B93D}"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6"/>
              <c:tx>
                <c:rich>
                  <a:bodyPr/>
                  <a:lstStyle/>
                  <a:p>
                    <a:fld id="{F79A68ED-B486-4AE1-AD59-37BFC3F32C7A}"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7"/>
              <c:tx>
                <c:rich>
                  <a:bodyPr/>
                  <a:lstStyle/>
                  <a:p>
                    <a:fld id="{195CA241-F296-441E-B7E8-2D8E6ECB339F}"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8"/>
              <c:tx>
                <c:rich>
                  <a:bodyPr/>
                  <a:lstStyle/>
                  <a:p>
                    <a:fld id="{AB5B0EF7-AD25-4362-B3A1-B91D502B5DAA}"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9"/>
              <c:tx>
                <c:rich>
                  <a:bodyPr/>
                  <a:lstStyle/>
                  <a:p>
                    <a:fld id="{405C7E4E-6CA4-4774-B39C-03C6EF3037DF}"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0"/>
              <c:tx>
                <c:rich>
                  <a:bodyPr/>
                  <a:lstStyle/>
                  <a:p>
                    <a:fld id="{8010BF14-10CA-48B9-BC4A-AD7A22D40A4E}"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1"/>
              <c:tx>
                <c:rich>
                  <a:bodyPr/>
                  <a:lstStyle/>
                  <a:p>
                    <a:fld id="{D24C0A40-63FB-42C2-BBB5-D72810BE85C4}"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2"/>
              <c:tx>
                <c:rich>
                  <a:bodyPr/>
                  <a:lstStyle/>
                  <a:p>
                    <a:fld id="{06FDF052-9A37-4996-B0C4-4922F53A0478}"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3"/>
              <c:tx>
                <c:rich>
                  <a:bodyPr/>
                  <a:lstStyle/>
                  <a:p>
                    <a:fld id="{193F2405-D9CC-475D-90F6-F03A5E2C9513}"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4"/>
              <c:tx>
                <c:rich>
                  <a:bodyPr/>
                  <a:lstStyle/>
                  <a:p>
                    <a:fld id="{DF1B8F65-AE9F-4B45-A113-C645472E9630}"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5"/>
              <c:tx>
                <c:rich>
                  <a:bodyPr/>
                  <a:lstStyle/>
                  <a:p>
                    <a:fld id="{2C226F76-159C-4292-AAA1-942024FC7B1C}"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6"/>
              <c:tx>
                <c:rich>
                  <a:bodyPr/>
                  <a:lstStyle/>
                  <a:p>
                    <a:fld id="{BC780955-7F42-4DA1-BF56-1359F02DF06A}"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7"/>
              <c:tx>
                <c:rich>
                  <a:bodyPr/>
                  <a:lstStyle/>
                  <a:p>
                    <a:fld id="{5D90151B-F711-4C82-8686-C30EE35BC258}"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8"/>
              <c:tx>
                <c:rich>
                  <a:bodyPr/>
                  <a:lstStyle/>
                  <a:p>
                    <a:fld id="{78062D27-4460-4EA1-85E1-C1AFBAE648E1}"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9"/>
              <c:tx>
                <c:rich>
                  <a:bodyPr/>
                  <a:lstStyle/>
                  <a:p>
                    <a:fld id="{31E8EE0A-E748-417F-8DE5-B3078EF49F67}" type="CELLRANGE">
                      <a:rPr lang="en-US"/>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0"/>
              <c:tx>
                <c:rich>
                  <a:bodyPr/>
                  <a:lstStyle/>
                  <a:p>
                    <a:fld id="{46F95BF2-3DD4-404F-B6EE-FCFA151BD50A}"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1"/>
              <c:layout>
                <c:manualLayout>
                  <c:x val="-2.4950921521127011E-2"/>
                  <c:y val="-3.16750511092918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2"/>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Lit>
              <c:ptCount val="22"/>
              <c:pt idx="0">
                <c:v>Portugalsko</c:v>
              </c:pt>
              <c:pt idx="1">
                <c:v>Grécko</c:v>
              </c:pt>
              <c:pt idx="2">
                <c:v>Luxembursko</c:v>
              </c:pt>
              <c:pt idx="3">
                <c:v>Taliansko</c:v>
              </c:pt>
              <c:pt idx="4">
                <c:v>Írsko</c:v>
              </c:pt>
              <c:pt idx="5">
                <c:v>Poľsko</c:v>
              </c:pt>
              <c:pt idx="6">
                <c:v>Španielsko</c:v>
              </c:pt>
              <c:pt idx="7">
                <c:v>Nemecko</c:v>
              </c:pt>
              <c:pt idx="8">
                <c:v>Holandsko</c:v>
              </c:pt>
              <c:pt idx="9">
                <c:v>Rakúsko</c:v>
              </c:pt>
              <c:pt idx="10">
                <c:v>Belgicko</c:v>
              </c:pt>
              <c:pt idx="11">
                <c:v>Česká Republika</c:v>
              </c:pt>
              <c:pt idx="12">
                <c:v>Slovinsko</c:v>
              </c:pt>
              <c:pt idx="13">
                <c:v>Slovensko</c:v>
              </c:pt>
              <c:pt idx="14">
                <c:v>Francúzsko</c:v>
              </c:pt>
              <c:pt idx="15">
                <c:v>Dánsko</c:v>
              </c:pt>
              <c:pt idx="16">
                <c:v>Fínsko</c:v>
              </c:pt>
              <c:pt idx="17">
                <c:v>UK</c:v>
              </c:pt>
              <c:pt idx="18">
                <c:v>Litva</c:v>
              </c:pt>
              <c:pt idx="19">
                <c:v>Estónsko</c:v>
              </c:pt>
              <c:pt idx="20">
                <c:v>Lotyšsko</c:v>
              </c:pt>
              <c:pt idx="21">
                <c:v>Švédsko</c:v>
              </c:pt>
            </c:strLit>
          </c:cat>
          <c:val>
            <c:numRef>
              <c:f>Graf_5!$C$7:$C$29</c:f>
              <c:numCache>
                <c:formatCode>0%</c:formatCode>
                <c:ptCount val="23"/>
                <c:pt idx="0">
                  <c:v>0.19020127207694176</c:v>
                </c:pt>
                <c:pt idx="1">
                  <c:v>0.19020127207694176</c:v>
                </c:pt>
                <c:pt idx="2">
                  <c:v>0.19020127207694176</c:v>
                </c:pt>
                <c:pt idx="3">
                  <c:v>0.19020127207694176</c:v>
                </c:pt>
                <c:pt idx="4">
                  <c:v>0.19020127207694176</c:v>
                </c:pt>
                <c:pt idx="5">
                  <c:v>0.19020127207694176</c:v>
                </c:pt>
                <c:pt idx="6">
                  <c:v>0.19020127207694176</c:v>
                </c:pt>
                <c:pt idx="7">
                  <c:v>0.19020127207694176</c:v>
                </c:pt>
                <c:pt idx="8">
                  <c:v>0.19020127207694176</c:v>
                </c:pt>
                <c:pt idx="9">
                  <c:v>0.19020127207694176</c:v>
                </c:pt>
                <c:pt idx="10">
                  <c:v>0.19020127207694176</c:v>
                </c:pt>
                <c:pt idx="11">
                  <c:v>0.19020127207694176</c:v>
                </c:pt>
                <c:pt idx="12">
                  <c:v>0.19020127207694176</c:v>
                </c:pt>
                <c:pt idx="13">
                  <c:v>0.19020127207694176</c:v>
                </c:pt>
                <c:pt idx="14">
                  <c:v>0.19020127207694176</c:v>
                </c:pt>
                <c:pt idx="15">
                  <c:v>0.19020127207694176</c:v>
                </c:pt>
                <c:pt idx="16">
                  <c:v>0.19020127207694176</c:v>
                </c:pt>
                <c:pt idx="17">
                  <c:v>0.19020127207694176</c:v>
                </c:pt>
                <c:pt idx="18">
                  <c:v>0.19020127207694176</c:v>
                </c:pt>
                <c:pt idx="19">
                  <c:v>0.19020127207694176</c:v>
                </c:pt>
                <c:pt idx="20">
                  <c:v>0.19020127207694176</c:v>
                </c:pt>
                <c:pt idx="21">
                  <c:v>0.19020127207694176</c:v>
                </c:pt>
                <c:pt idx="22">
                  <c:v>0.19020127207694176</c:v>
                </c:pt>
              </c:numCache>
            </c:numRef>
          </c:val>
          <c:smooth val="0"/>
          <c:extLst>
            <c:ext xmlns:c15="http://schemas.microsoft.com/office/drawing/2012/chart" uri="{02D57815-91ED-43cb-92C2-25804820EDAC}">
              <c15:datalabelsRange>
                <c15:f>{""\""\""\""\""\""\""\""\""\""\""\""\""\""\""\""\""\""\""\""\""\"0,187796817"}</c15:f>
                <c15:dlblRangeCache>
                  <c:ptCount val="22"/>
                  <c:pt idx="21">
                    <c:v>0,187796817</c:v>
                  </c:pt>
                </c15:dlblRangeCache>
              </c15:datalabelsRange>
            </c:ext>
          </c:extLst>
        </c:ser>
        <c:dLbls>
          <c:showLegendKey val="0"/>
          <c:showVal val="0"/>
          <c:showCatName val="0"/>
          <c:showSerName val="0"/>
          <c:showPercent val="0"/>
          <c:showBubbleSize val="0"/>
        </c:dLbls>
        <c:marker val="1"/>
        <c:smooth val="0"/>
        <c:axId val="222203728"/>
        <c:axId val="222203336"/>
      </c:lineChart>
      <c:catAx>
        <c:axId val="2222037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crossAx val="222203336"/>
        <c:crosses val="autoZero"/>
        <c:auto val="1"/>
        <c:lblAlgn val="ctr"/>
        <c:lblOffset val="100"/>
        <c:noMultiLvlLbl val="0"/>
      </c:catAx>
      <c:valAx>
        <c:axId val="222203336"/>
        <c:scaling>
          <c:orientation val="minMax"/>
          <c:min val="-0.2"/>
        </c:scaling>
        <c:delete val="0"/>
        <c:axPos val="l"/>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2203728"/>
        <c:crosses val="autoZero"/>
        <c:crossBetween val="between"/>
      </c:valAx>
      <c:spPr>
        <a:noFill/>
        <a:ln>
          <a:noFill/>
        </a:ln>
        <a:effectLst/>
      </c:spPr>
    </c:plotArea>
    <c:legend>
      <c:legendPos val="r"/>
      <c:legendEntry>
        <c:idx val="0"/>
        <c:delete val="1"/>
      </c:legendEntry>
      <c:layout>
        <c:manualLayout>
          <c:xMode val="edge"/>
          <c:yMode val="edge"/>
          <c:x val="0.40690849562860293"/>
          <c:y val="9.7177819942774288E-2"/>
          <c:w val="0.49364369082869691"/>
          <c:h val="7.114698966183773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577371010441875E-2"/>
          <c:y val="6.0232704332011978E-2"/>
          <c:w val="0.92227152161535364"/>
          <c:h val="0.84547573488642014"/>
        </c:manualLayout>
      </c:layout>
      <c:barChart>
        <c:barDir val="col"/>
        <c:grouping val="clustered"/>
        <c:varyColors val="0"/>
        <c:ser>
          <c:idx val="0"/>
          <c:order val="0"/>
          <c:tx>
            <c:strRef>
              <c:f>'hodinove cenzurovane 1%'!$B$143</c:f>
              <c:strCache>
                <c:ptCount val="1"/>
                <c:pt idx="0">
                  <c:v>mladí</c:v>
                </c:pt>
              </c:strCache>
            </c:strRef>
          </c:tx>
          <c:spPr>
            <a:solidFill>
              <a:schemeClr val="accent1">
                <a:lumMod val="40000"/>
                <a:lumOff val="60000"/>
              </a:schemeClr>
            </a:solidFill>
            <a:ln>
              <a:noFill/>
            </a:ln>
            <a:effectLst/>
          </c:spPr>
          <c:invertIfNegative val="0"/>
          <c:dPt>
            <c:idx val="4"/>
            <c:invertIfNegative val="0"/>
            <c:bubble3D val="0"/>
            <c:spPr>
              <a:solidFill>
                <a:sysClr val="window" lastClr="FFFFFF">
                  <a:lumMod val="65000"/>
                </a:sysClr>
              </a:solidFill>
              <a:ln>
                <a:noFill/>
              </a:ln>
              <a:effectLst/>
            </c:spPr>
          </c:dPt>
          <c:cat>
            <c:strRef>
              <c:f>'hodinove cenzurovane 1%'!$A$144:$A$167</c:f>
              <c:strCache>
                <c:ptCount val="24"/>
                <c:pt idx="0">
                  <c:v>HU</c:v>
                </c:pt>
                <c:pt idx="1">
                  <c:v>DK</c:v>
                </c:pt>
                <c:pt idx="2">
                  <c:v>LV</c:v>
                </c:pt>
                <c:pt idx="3">
                  <c:v>BG</c:v>
                </c:pt>
                <c:pt idx="4">
                  <c:v>SK</c:v>
                </c:pt>
                <c:pt idx="5">
                  <c:v>FI</c:v>
                </c:pt>
                <c:pt idx="6">
                  <c:v>EE</c:v>
                </c:pt>
                <c:pt idx="7">
                  <c:v>RO</c:v>
                </c:pt>
                <c:pt idx="8">
                  <c:v>FR</c:v>
                </c:pt>
                <c:pt idx="9">
                  <c:v>NO</c:v>
                </c:pt>
                <c:pt idx="10">
                  <c:v>CZ</c:v>
                </c:pt>
                <c:pt idx="11">
                  <c:v>BE</c:v>
                </c:pt>
                <c:pt idx="12">
                  <c:v>NL</c:v>
                </c:pt>
                <c:pt idx="13">
                  <c:v>PT</c:v>
                </c:pt>
                <c:pt idx="14">
                  <c:v>UK</c:v>
                </c:pt>
                <c:pt idx="15">
                  <c:v>MT</c:v>
                </c:pt>
                <c:pt idx="16">
                  <c:v>SI</c:v>
                </c:pt>
                <c:pt idx="17">
                  <c:v>IT</c:v>
                </c:pt>
                <c:pt idx="18">
                  <c:v>PL</c:v>
                </c:pt>
                <c:pt idx="19">
                  <c:v>LT</c:v>
                </c:pt>
                <c:pt idx="20">
                  <c:v>DE</c:v>
                </c:pt>
                <c:pt idx="21">
                  <c:v>ES</c:v>
                </c:pt>
                <c:pt idx="22">
                  <c:v>LU</c:v>
                </c:pt>
                <c:pt idx="23">
                  <c:v>CY</c:v>
                </c:pt>
              </c:strCache>
            </c:strRef>
          </c:cat>
          <c:val>
            <c:numRef>
              <c:f>'hodinove cenzurovane 1%'!$B$144:$B$167</c:f>
              <c:numCache>
                <c:formatCode>0%</c:formatCode>
                <c:ptCount val="24"/>
                <c:pt idx="0">
                  <c:v>-0.23144909999999999</c:v>
                </c:pt>
                <c:pt idx="1">
                  <c:v>-0.1243208</c:v>
                </c:pt>
                <c:pt idx="2">
                  <c:v>-0.1166918</c:v>
                </c:pt>
                <c:pt idx="3">
                  <c:v>-0.28031060000000002</c:v>
                </c:pt>
                <c:pt idx="4">
                  <c:v>-8.5777500000000007E-2</c:v>
                </c:pt>
                <c:pt idx="5">
                  <c:v>2.2602400000000002E-2</c:v>
                </c:pt>
                <c:pt idx="6">
                  <c:v>-5.0357199999999998E-2</c:v>
                </c:pt>
                <c:pt idx="7">
                  <c:v>-0.23064270000000001</c:v>
                </c:pt>
                <c:pt idx="8">
                  <c:v>0</c:v>
                </c:pt>
                <c:pt idx="9">
                  <c:v>9.0997400000000006E-2</c:v>
                </c:pt>
                <c:pt idx="10">
                  <c:v>-4.4325499999999997E-2</c:v>
                </c:pt>
                <c:pt idx="11">
                  <c:v>9.4997899999999996E-2</c:v>
                </c:pt>
                <c:pt idx="12">
                  <c:v>0.20983979999999999</c:v>
                </c:pt>
                <c:pt idx="13">
                  <c:v>7.7208399999999996E-2</c:v>
                </c:pt>
                <c:pt idx="14">
                  <c:v>0.1140153</c:v>
                </c:pt>
                <c:pt idx="15">
                  <c:v>0.1350788</c:v>
                </c:pt>
                <c:pt idx="16">
                  <c:v>6.1375100000000002E-2</c:v>
                </c:pt>
                <c:pt idx="17">
                  <c:v>0.1564045</c:v>
                </c:pt>
                <c:pt idx="18">
                  <c:v>8.7997500000000006E-2</c:v>
                </c:pt>
                <c:pt idx="19">
                  <c:v>6.5470600000000004E-2</c:v>
                </c:pt>
                <c:pt idx="20">
                  <c:v>0.1052794</c:v>
                </c:pt>
                <c:pt idx="21">
                  <c:v>0.1823311</c:v>
                </c:pt>
                <c:pt idx="22">
                  <c:v>0.24756339999999999</c:v>
                </c:pt>
                <c:pt idx="23">
                  <c:v>0.21364620000000001</c:v>
                </c:pt>
              </c:numCache>
            </c:numRef>
          </c:val>
        </c:ser>
        <c:ser>
          <c:idx val="1"/>
          <c:order val="1"/>
          <c:tx>
            <c:strRef>
              <c:f>'hodinove cenzurovane 1%'!$C$143</c:f>
              <c:strCache>
                <c:ptCount val="1"/>
                <c:pt idx="0">
                  <c:v>stredný vek</c:v>
                </c:pt>
              </c:strCache>
            </c:strRef>
          </c:tx>
          <c:spPr>
            <a:solidFill>
              <a:schemeClr val="accent5">
                <a:lumMod val="60000"/>
                <a:lumOff val="40000"/>
              </a:schemeClr>
            </a:solidFill>
            <a:ln>
              <a:noFill/>
            </a:ln>
            <a:effectLst/>
          </c:spPr>
          <c:invertIfNegative val="0"/>
          <c:dPt>
            <c:idx val="4"/>
            <c:invertIfNegative val="0"/>
            <c:bubble3D val="0"/>
            <c:spPr>
              <a:solidFill>
                <a:sysClr val="windowText" lastClr="000000">
                  <a:lumMod val="75000"/>
                  <a:lumOff val="25000"/>
                </a:sysClr>
              </a:solidFill>
              <a:ln>
                <a:noFill/>
              </a:ln>
              <a:effectLst/>
            </c:spPr>
          </c:dPt>
          <c:cat>
            <c:strRef>
              <c:f>'hodinove cenzurovane 1%'!$A$144:$A$167</c:f>
              <c:strCache>
                <c:ptCount val="24"/>
                <c:pt idx="0">
                  <c:v>HU</c:v>
                </c:pt>
                <c:pt idx="1">
                  <c:v>DK</c:v>
                </c:pt>
                <c:pt idx="2">
                  <c:v>LV</c:v>
                </c:pt>
                <c:pt idx="3">
                  <c:v>BG</c:v>
                </c:pt>
                <c:pt idx="4">
                  <c:v>SK</c:v>
                </c:pt>
                <c:pt idx="5">
                  <c:v>FI</c:v>
                </c:pt>
                <c:pt idx="6">
                  <c:v>EE</c:v>
                </c:pt>
                <c:pt idx="7">
                  <c:v>RO</c:v>
                </c:pt>
                <c:pt idx="8">
                  <c:v>FR</c:v>
                </c:pt>
                <c:pt idx="9">
                  <c:v>NO</c:v>
                </c:pt>
                <c:pt idx="10">
                  <c:v>CZ</c:v>
                </c:pt>
                <c:pt idx="11">
                  <c:v>BE</c:v>
                </c:pt>
                <c:pt idx="12">
                  <c:v>NL</c:v>
                </c:pt>
                <c:pt idx="13">
                  <c:v>PT</c:v>
                </c:pt>
                <c:pt idx="14">
                  <c:v>UK</c:v>
                </c:pt>
                <c:pt idx="15">
                  <c:v>MT</c:v>
                </c:pt>
                <c:pt idx="16">
                  <c:v>SI</c:v>
                </c:pt>
                <c:pt idx="17">
                  <c:v>IT</c:v>
                </c:pt>
                <c:pt idx="18">
                  <c:v>PL</c:v>
                </c:pt>
                <c:pt idx="19">
                  <c:v>LT</c:v>
                </c:pt>
                <c:pt idx="20">
                  <c:v>DE</c:v>
                </c:pt>
                <c:pt idx="21">
                  <c:v>ES</c:v>
                </c:pt>
                <c:pt idx="22">
                  <c:v>LU</c:v>
                </c:pt>
                <c:pt idx="23">
                  <c:v>CY</c:v>
                </c:pt>
              </c:strCache>
            </c:strRef>
          </c:cat>
          <c:val>
            <c:numRef>
              <c:f>'hodinove cenzurovane 1%'!$C$144:$C$167</c:f>
              <c:numCache>
                <c:formatCode>0%</c:formatCode>
                <c:ptCount val="24"/>
                <c:pt idx="0">
                  <c:v>-0.1220967</c:v>
                </c:pt>
                <c:pt idx="1">
                  <c:v>-0.15646860000000001</c:v>
                </c:pt>
                <c:pt idx="2">
                  <c:v>0</c:v>
                </c:pt>
                <c:pt idx="3">
                  <c:v>-2.25974E-2</c:v>
                </c:pt>
                <c:pt idx="4">
                  <c:v>-5.8876100000000001E-2</c:v>
                </c:pt>
                <c:pt idx="5">
                  <c:v>-4.3142399999999997E-2</c:v>
                </c:pt>
                <c:pt idx="6">
                  <c:v>-3.3436300000000002E-2</c:v>
                </c:pt>
                <c:pt idx="7">
                  <c:v>3.5260800000000002E-2</c:v>
                </c:pt>
                <c:pt idx="8">
                  <c:v>-1.40354E-2</c:v>
                </c:pt>
                <c:pt idx="9">
                  <c:v>-1.1653999999999999E-2</c:v>
                </c:pt>
                <c:pt idx="10">
                  <c:v>1.96648E-2</c:v>
                </c:pt>
                <c:pt idx="11">
                  <c:v>4.2264299999999998E-2</c:v>
                </c:pt>
                <c:pt idx="12">
                  <c:v>1.00713E-2</c:v>
                </c:pt>
                <c:pt idx="13">
                  <c:v>0</c:v>
                </c:pt>
                <c:pt idx="14">
                  <c:v>7.7644500000000005E-2</c:v>
                </c:pt>
                <c:pt idx="15">
                  <c:v>3.56017E-2</c:v>
                </c:pt>
                <c:pt idx="16">
                  <c:v>0.10338849999999999</c:v>
                </c:pt>
                <c:pt idx="17">
                  <c:v>0.1508572</c:v>
                </c:pt>
                <c:pt idx="18">
                  <c:v>0.11963600000000001</c:v>
                </c:pt>
                <c:pt idx="19">
                  <c:v>0.13267660000000001</c:v>
                </c:pt>
                <c:pt idx="20">
                  <c:v>0.1171</c:v>
                </c:pt>
                <c:pt idx="21">
                  <c:v>0.2020217</c:v>
                </c:pt>
                <c:pt idx="22">
                  <c:v>0.25153579999999998</c:v>
                </c:pt>
                <c:pt idx="23">
                  <c:v>0.2409007</c:v>
                </c:pt>
              </c:numCache>
            </c:numRef>
          </c:val>
        </c:ser>
        <c:ser>
          <c:idx val="2"/>
          <c:order val="2"/>
          <c:tx>
            <c:strRef>
              <c:f>'hodinove cenzurovane 1%'!$D$143</c:f>
              <c:strCache>
                <c:ptCount val="1"/>
                <c:pt idx="0">
                  <c:v>starší</c:v>
                </c:pt>
              </c:strCache>
            </c:strRef>
          </c:tx>
          <c:spPr>
            <a:solidFill>
              <a:schemeClr val="accent5">
                <a:lumMod val="75000"/>
              </a:schemeClr>
            </a:solidFill>
            <a:ln>
              <a:noFill/>
            </a:ln>
            <a:effectLst/>
          </c:spPr>
          <c:invertIfNegative val="0"/>
          <c:dPt>
            <c:idx val="4"/>
            <c:invertIfNegative val="0"/>
            <c:bubble3D val="0"/>
            <c:spPr>
              <a:solidFill>
                <a:sysClr val="windowText" lastClr="000000"/>
              </a:solidFill>
              <a:ln>
                <a:noFill/>
              </a:ln>
              <a:effectLst/>
            </c:spPr>
          </c:dPt>
          <c:cat>
            <c:strRef>
              <c:f>'hodinove cenzurovane 1%'!$A$144:$A$167</c:f>
              <c:strCache>
                <c:ptCount val="24"/>
                <c:pt idx="0">
                  <c:v>HU</c:v>
                </c:pt>
                <c:pt idx="1">
                  <c:v>DK</c:v>
                </c:pt>
                <c:pt idx="2">
                  <c:v>LV</c:v>
                </c:pt>
                <c:pt idx="3">
                  <c:v>BG</c:v>
                </c:pt>
                <c:pt idx="4">
                  <c:v>SK</c:v>
                </c:pt>
                <c:pt idx="5">
                  <c:v>FI</c:v>
                </c:pt>
                <c:pt idx="6">
                  <c:v>EE</c:v>
                </c:pt>
                <c:pt idx="7">
                  <c:v>RO</c:v>
                </c:pt>
                <c:pt idx="8">
                  <c:v>FR</c:v>
                </c:pt>
                <c:pt idx="9">
                  <c:v>NO</c:v>
                </c:pt>
                <c:pt idx="10">
                  <c:v>CZ</c:v>
                </c:pt>
                <c:pt idx="11">
                  <c:v>BE</c:v>
                </c:pt>
                <c:pt idx="12">
                  <c:v>NL</c:v>
                </c:pt>
                <c:pt idx="13">
                  <c:v>PT</c:v>
                </c:pt>
                <c:pt idx="14">
                  <c:v>UK</c:v>
                </c:pt>
                <c:pt idx="15">
                  <c:v>MT</c:v>
                </c:pt>
                <c:pt idx="16">
                  <c:v>SI</c:v>
                </c:pt>
                <c:pt idx="17">
                  <c:v>IT</c:v>
                </c:pt>
                <c:pt idx="18">
                  <c:v>PL</c:v>
                </c:pt>
                <c:pt idx="19">
                  <c:v>LT</c:v>
                </c:pt>
                <c:pt idx="20">
                  <c:v>DE</c:v>
                </c:pt>
                <c:pt idx="21">
                  <c:v>ES</c:v>
                </c:pt>
                <c:pt idx="22">
                  <c:v>LU</c:v>
                </c:pt>
                <c:pt idx="23">
                  <c:v>CY</c:v>
                </c:pt>
              </c:strCache>
            </c:strRef>
          </c:cat>
          <c:val>
            <c:numRef>
              <c:f>'hodinove cenzurovane 1%'!$D$144:$D$167</c:f>
              <c:numCache>
                <c:formatCode>0%</c:formatCode>
                <c:ptCount val="24"/>
                <c:pt idx="0">
                  <c:v>-3.2102400000000003E-2</c:v>
                </c:pt>
                <c:pt idx="1">
                  <c:v>-0.10172779999999999</c:v>
                </c:pt>
                <c:pt idx="2">
                  <c:v>0</c:v>
                </c:pt>
                <c:pt idx="3">
                  <c:v>0.19094059999999999</c:v>
                </c:pt>
                <c:pt idx="4">
                  <c:v>3.4836699999999998E-2</c:v>
                </c:pt>
                <c:pt idx="5">
                  <c:v>-4.0598599999999999E-2</c:v>
                </c:pt>
                <c:pt idx="6">
                  <c:v>5.7117899999999999E-2</c:v>
                </c:pt>
                <c:pt idx="7">
                  <c:v>0.17383589999999999</c:v>
                </c:pt>
                <c:pt idx="8">
                  <c:v>2.1614999999999999E-2</c:v>
                </c:pt>
                <c:pt idx="9">
                  <c:v>-1.7805499999999998E-2</c:v>
                </c:pt>
                <c:pt idx="10">
                  <c:v>0.1650218</c:v>
                </c:pt>
                <c:pt idx="11">
                  <c:v>3.2424300000000003E-2</c:v>
                </c:pt>
                <c:pt idx="12">
                  <c:v>-1.6832699999999999E-2</c:v>
                </c:pt>
                <c:pt idx="13">
                  <c:v>0</c:v>
                </c:pt>
                <c:pt idx="14">
                  <c:v>7.9031599999999994E-2</c:v>
                </c:pt>
                <c:pt idx="15">
                  <c:v>0.11322790000000001</c:v>
                </c:pt>
                <c:pt idx="16">
                  <c:v>0.15507750000000001</c:v>
                </c:pt>
                <c:pt idx="17">
                  <c:v>2.4490399999999999E-2</c:v>
                </c:pt>
                <c:pt idx="18">
                  <c:v>0.14503479999999999</c:v>
                </c:pt>
                <c:pt idx="19">
                  <c:v>0.1623348</c:v>
                </c:pt>
                <c:pt idx="20">
                  <c:v>0.18340210000000001</c:v>
                </c:pt>
                <c:pt idx="21">
                  <c:v>0.15178069999999999</c:v>
                </c:pt>
                <c:pt idx="22">
                  <c:v>0.26161980000000001</c:v>
                </c:pt>
                <c:pt idx="23">
                  <c:v>0.36969360000000001</c:v>
                </c:pt>
              </c:numCache>
            </c:numRef>
          </c:val>
        </c:ser>
        <c:dLbls>
          <c:showLegendKey val="0"/>
          <c:showVal val="0"/>
          <c:showCatName val="0"/>
          <c:showSerName val="0"/>
          <c:showPercent val="0"/>
          <c:showBubbleSize val="0"/>
        </c:dLbls>
        <c:gapWidth val="219"/>
        <c:overlap val="-27"/>
        <c:axId val="227597792"/>
        <c:axId val="227229888"/>
      </c:barChart>
      <c:catAx>
        <c:axId val="22759779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229888"/>
        <c:crosses val="autoZero"/>
        <c:auto val="1"/>
        <c:lblAlgn val="ctr"/>
        <c:lblOffset val="100"/>
        <c:noMultiLvlLbl val="0"/>
      </c:catAx>
      <c:valAx>
        <c:axId val="227229888"/>
        <c:scaling>
          <c:orientation val="minMax"/>
          <c:max val="0.4"/>
          <c:min val="-0.30000000000000004"/>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597792"/>
        <c:crosses val="autoZero"/>
        <c:crossBetween val="between"/>
        <c:majorUnit val="0.1"/>
      </c:valAx>
      <c:spPr>
        <a:noFill/>
        <a:ln>
          <a:noFill/>
        </a:ln>
        <a:effectLst/>
      </c:spPr>
    </c:plotArea>
    <c:legend>
      <c:legendPos val="b"/>
      <c:layout>
        <c:manualLayout>
          <c:xMode val="edge"/>
          <c:yMode val="edge"/>
          <c:x val="0.53354407939310755"/>
          <c:y val="0.63969761132799585"/>
          <c:w val="0.35385122314256173"/>
          <c:h val="8.809367155628028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577371010441875E-2"/>
          <c:y val="6.0232704332011978E-2"/>
          <c:w val="0.93854961311654228"/>
          <c:h val="0.84547573488642014"/>
        </c:manualLayout>
      </c:layout>
      <c:barChart>
        <c:barDir val="col"/>
        <c:grouping val="clustered"/>
        <c:varyColors val="0"/>
        <c:ser>
          <c:idx val="0"/>
          <c:order val="0"/>
          <c:tx>
            <c:strRef>
              <c:f>'hodinove cenzurovane 1%'!$B$115</c:f>
              <c:strCache>
                <c:ptCount val="1"/>
                <c:pt idx="0">
                  <c:v>základné vzdelanie</c:v>
                </c:pt>
              </c:strCache>
            </c:strRef>
          </c:tx>
          <c:spPr>
            <a:solidFill>
              <a:schemeClr val="accent1">
                <a:lumMod val="40000"/>
                <a:lumOff val="60000"/>
              </a:schemeClr>
            </a:solidFill>
            <a:ln>
              <a:noFill/>
            </a:ln>
            <a:effectLst/>
          </c:spPr>
          <c:invertIfNegative val="0"/>
          <c:dPt>
            <c:idx val="5"/>
            <c:invertIfNegative val="0"/>
            <c:bubble3D val="0"/>
            <c:spPr>
              <a:solidFill>
                <a:sysClr val="window" lastClr="FFFFFF">
                  <a:lumMod val="65000"/>
                </a:sysClr>
              </a:solidFill>
              <a:ln>
                <a:noFill/>
              </a:ln>
              <a:effectLst/>
            </c:spPr>
          </c:dPt>
          <c:cat>
            <c:strRef>
              <c:f>'hodinove cenzurovane 1%'!$A$116:$A$139</c:f>
              <c:strCache>
                <c:ptCount val="24"/>
                <c:pt idx="0">
                  <c:v>DK</c:v>
                </c:pt>
                <c:pt idx="1">
                  <c:v>HU</c:v>
                </c:pt>
                <c:pt idx="2">
                  <c:v>LV</c:v>
                </c:pt>
                <c:pt idx="3">
                  <c:v>EE</c:v>
                </c:pt>
                <c:pt idx="4">
                  <c:v>FI</c:v>
                </c:pt>
                <c:pt idx="5">
                  <c:v>SK</c:v>
                </c:pt>
                <c:pt idx="6">
                  <c:v>PT</c:v>
                </c:pt>
                <c:pt idx="7">
                  <c:v>FR</c:v>
                </c:pt>
                <c:pt idx="8">
                  <c:v>NO</c:v>
                </c:pt>
                <c:pt idx="9">
                  <c:v>CZ</c:v>
                </c:pt>
                <c:pt idx="10">
                  <c:v>BE</c:v>
                </c:pt>
                <c:pt idx="11">
                  <c:v>RO</c:v>
                </c:pt>
                <c:pt idx="12">
                  <c:v>NL</c:v>
                </c:pt>
                <c:pt idx="13">
                  <c:v>BG</c:v>
                </c:pt>
                <c:pt idx="14">
                  <c:v>MT</c:v>
                </c:pt>
                <c:pt idx="15">
                  <c:v>UK</c:v>
                </c:pt>
                <c:pt idx="16">
                  <c:v>SI</c:v>
                </c:pt>
                <c:pt idx="17">
                  <c:v>IT</c:v>
                </c:pt>
                <c:pt idx="18">
                  <c:v>LT</c:v>
                </c:pt>
                <c:pt idx="19">
                  <c:v>PL</c:v>
                </c:pt>
                <c:pt idx="20">
                  <c:v>DE</c:v>
                </c:pt>
                <c:pt idx="21">
                  <c:v>ES</c:v>
                </c:pt>
                <c:pt idx="22">
                  <c:v>LU</c:v>
                </c:pt>
                <c:pt idx="23">
                  <c:v>CY</c:v>
                </c:pt>
              </c:strCache>
            </c:strRef>
          </c:cat>
          <c:val>
            <c:numRef>
              <c:f>'hodinove cenzurovane 1%'!$B$116:$B$139</c:f>
              <c:numCache>
                <c:formatCode>0%</c:formatCode>
                <c:ptCount val="24"/>
                <c:pt idx="0">
                  <c:v>-0.12663969999999999</c:v>
                </c:pt>
                <c:pt idx="1">
                  <c:v>-0.24000260000000001</c:v>
                </c:pt>
                <c:pt idx="2">
                  <c:v>-9.4021300000000002E-2</c:v>
                </c:pt>
                <c:pt idx="3">
                  <c:v>-8.2083500000000004E-2</c:v>
                </c:pt>
                <c:pt idx="4">
                  <c:v>-4.6373900000000003E-2</c:v>
                </c:pt>
                <c:pt idx="5">
                  <c:v>6.1523099999999997E-2</c:v>
                </c:pt>
                <c:pt idx="6">
                  <c:v>6.2562400000000004E-2</c:v>
                </c:pt>
                <c:pt idx="7">
                  <c:v>2.9083299999999999E-2</c:v>
                </c:pt>
                <c:pt idx="8">
                  <c:v>7.6796400000000001E-2</c:v>
                </c:pt>
                <c:pt idx="9">
                  <c:v>8.3616499999999996E-2</c:v>
                </c:pt>
                <c:pt idx="10">
                  <c:v>1.8548800000000001E-2</c:v>
                </c:pt>
                <c:pt idx="11">
                  <c:v>6.9249699999999997E-2</c:v>
                </c:pt>
                <c:pt idx="12">
                  <c:v>0</c:v>
                </c:pt>
                <c:pt idx="13">
                  <c:v>0.1716115</c:v>
                </c:pt>
                <c:pt idx="14">
                  <c:v>0.1051062</c:v>
                </c:pt>
                <c:pt idx="15">
                  <c:v>7.4561199999999994E-2</c:v>
                </c:pt>
                <c:pt idx="16">
                  <c:v>8.5014999999999993E-2</c:v>
                </c:pt>
                <c:pt idx="17">
                  <c:v>0.19283810000000001</c:v>
                </c:pt>
                <c:pt idx="18">
                  <c:v>0</c:v>
                </c:pt>
                <c:pt idx="19">
                  <c:v>0.1844277</c:v>
                </c:pt>
                <c:pt idx="20">
                  <c:v>0.20744840000000001</c:v>
                </c:pt>
                <c:pt idx="21">
                  <c:v>0.2150569</c:v>
                </c:pt>
                <c:pt idx="22">
                  <c:v>0.1711056</c:v>
                </c:pt>
                <c:pt idx="23">
                  <c:v>0.35846729999999999</c:v>
                </c:pt>
              </c:numCache>
            </c:numRef>
          </c:val>
        </c:ser>
        <c:ser>
          <c:idx val="1"/>
          <c:order val="1"/>
          <c:tx>
            <c:strRef>
              <c:f>'hodinove cenzurovane 1%'!$C$115</c:f>
              <c:strCache>
                <c:ptCount val="1"/>
                <c:pt idx="0">
                  <c:v>stredné vzdelanie</c:v>
                </c:pt>
              </c:strCache>
            </c:strRef>
          </c:tx>
          <c:spPr>
            <a:solidFill>
              <a:schemeClr val="accent5">
                <a:lumMod val="60000"/>
                <a:lumOff val="40000"/>
              </a:schemeClr>
            </a:solidFill>
            <a:ln>
              <a:noFill/>
            </a:ln>
            <a:effectLst/>
          </c:spPr>
          <c:invertIfNegative val="0"/>
          <c:dPt>
            <c:idx val="5"/>
            <c:invertIfNegative val="0"/>
            <c:bubble3D val="0"/>
            <c:spPr>
              <a:solidFill>
                <a:sysClr val="windowText" lastClr="000000">
                  <a:lumMod val="65000"/>
                  <a:lumOff val="35000"/>
                </a:sysClr>
              </a:solidFill>
              <a:ln>
                <a:noFill/>
              </a:ln>
              <a:effectLst/>
            </c:spPr>
          </c:dPt>
          <c:cat>
            <c:strRef>
              <c:f>'hodinove cenzurovane 1%'!$A$116:$A$139</c:f>
              <c:strCache>
                <c:ptCount val="24"/>
                <c:pt idx="0">
                  <c:v>DK</c:v>
                </c:pt>
                <c:pt idx="1">
                  <c:v>HU</c:v>
                </c:pt>
                <c:pt idx="2">
                  <c:v>LV</c:v>
                </c:pt>
                <c:pt idx="3">
                  <c:v>EE</c:v>
                </c:pt>
                <c:pt idx="4">
                  <c:v>FI</c:v>
                </c:pt>
                <c:pt idx="5">
                  <c:v>SK</c:v>
                </c:pt>
                <c:pt idx="6">
                  <c:v>PT</c:v>
                </c:pt>
                <c:pt idx="7">
                  <c:v>FR</c:v>
                </c:pt>
                <c:pt idx="8">
                  <c:v>NO</c:v>
                </c:pt>
                <c:pt idx="9">
                  <c:v>CZ</c:v>
                </c:pt>
                <c:pt idx="10">
                  <c:v>BE</c:v>
                </c:pt>
                <c:pt idx="11">
                  <c:v>RO</c:v>
                </c:pt>
                <c:pt idx="12">
                  <c:v>NL</c:v>
                </c:pt>
                <c:pt idx="13">
                  <c:v>BG</c:v>
                </c:pt>
                <c:pt idx="14">
                  <c:v>MT</c:v>
                </c:pt>
                <c:pt idx="15">
                  <c:v>UK</c:v>
                </c:pt>
                <c:pt idx="16">
                  <c:v>SI</c:v>
                </c:pt>
                <c:pt idx="17">
                  <c:v>IT</c:v>
                </c:pt>
                <c:pt idx="18">
                  <c:v>LT</c:v>
                </c:pt>
                <c:pt idx="19">
                  <c:v>PL</c:v>
                </c:pt>
                <c:pt idx="20">
                  <c:v>DE</c:v>
                </c:pt>
                <c:pt idx="21">
                  <c:v>ES</c:v>
                </c:pt>
                <c:pt idx="22">
                  <c:v>LU</c:v>
                </c:pt>
                <c:pt idx="23">
                  <c:v>CY</c:v>
                </c:pt>
              </c:strCache>
            </c:strRef>
          </c:cat>
          <c:val>
            <c:numRef>
              <c:f>'hodinove cenzurovane 1%'!$C$116:$C$139</c:f>
              <c:numCache>
                <c:formatCode>0%</c:formatCode>
                <c:ptCount val="24"/>
                <c:pt idx="0">
                  <c:v>-0.13385369999999999</c:v>
                </c:pt>
                <c:pt idx="1">
                  <c:v>-0.10201399999999999</c:v>
                </c:pt>
                <c:pt idx="2">
                  <c:v>0</c:v>
                </c:pt>
                <c:pt idx="3">
                  <c:v>0</c:v>
                </c:pt>
                <c:pt idx="4">
                  <c:v>-1.8008699999999999E-2</c:v>
                </c:pt>
                <c:pt idx="5">
                  <c:v>1.51384E-2</c:v>
                </c:pt>
                <c:pt idx="6">
                  <c:v>-8.3692299999999997E-2</c:v>
                </c:pt>
                <c:pt idx="7">
                  <c:v>1.8322499999999999E-2</c:v>
                </c:pt>
                <c:pt idx="8">
                  <c:v>6.1218399999999999E-2</c:v>
                </c:pt>
                <c:pt idx="9">
                  <c:v>0.1175966</c:v>
                </c:pt>
                <c:pt idx="10">
                  <c:v>3.0783899999999999E-2</c:v>
                </c:pt>
                <c:pt idx="11">
                  <c:v>0.21394089999999999</c:v>
                </c:pt>
                <c:pt idx="12">
                  <c:v>7.6483999999999996E-2</c:v>
                </c:pt>
                <c:pt idx="13">
                  <c:v>0.22500110000000001</c:v>
                </c:pt>
                <c:pt idx="14">
                  <c:v>8.4186999999999998E-2</c:v>
                </c:pt>
                <c:pt idx="15">
                  <c:v>9.2112700000000006E-2</c:v>
                </c:pt>
                <c:pt idx="16">
                  <c:v>0.119878</c:v>
                </c:pt>
                <c:pt idx="17">
                  <c:v>6.9839499999999999E-2</c:v>
                </c:pt>
                <c:pt idx="18">
                  <c:v>0.1402224</c:v>
                </c:pt>
                <c:pt idx="19">
                  <c:v>0.18579229999999999</c:v>
                </c:pt>
                <c:pt idx="20">
                  <c:v>0.15239530000000001</c:v>
                </c:pt>
                <c:pt idx="21">
                  <c:v>0.26159389999999999</c:v>
                </c:pt>
                <c:pt idx="22">
                  <c:v>0.2085061</c:v>
                </c:pt>
                <c:pt idx="23">
                  <c:v>0.26800839999999998</c:v>
                </c:pt>
              </c:numCache>
            </c:numRef>
          </c:val>
        </c:ser>
        <c:ser>
          <c:idx val="2"/>
          <c:order val="2"/>
          <c:tx>
            <c:strRef>
              <c:f>'hodinove cenzurovane 1%'!$D$115</c:f>
              <c:strCache>
                <c:ptCount val="1"/>
                <c:pt idx="0">
                  <c:v>vysoké vzdelanie</c:v>
                </c:pt>
              </c:strCache>
            </c:strRef>
          </c:tx>
          <c:spPr>
            <a:solidFill>
              <a:schemeClr val="accent5">
                <a:lumMod val="75000"/>
              </a:schemeClr>
            </a:solidFill>
            <a:ln>
              <a:noFill/>
            </a:ln>
            <a:effectLst/>
          </c:spPr>
          <c:invertIfNegative val="0"/>
          <c:dPt>
            <c:idx val="5"/>
            <c:invertIfNegative val="0"/>
            <c:bubble3D val="0"/>
            <c:spPr>
              <a:solidFill>
                <a:sysClr val="windowText" lastClr="000000"/>
              </a:solidFill>
              <a:ln>
                <a:noFill/>
              </a:ln>
              <a:effectLst/>
            </c:spPr>
          </c:dPt>
          <c:cat>
            <c:strRef>
              <c:f>'hodinove cenzurovane 1%'!$A$116:$A$139</c:f>
              <c:strCache>
                <c:ptCount val="24"/>
                <c:pt idx="0">
                  <c:v>DK</c:v>
                </c:pt>
                <c:pt idx="1">
                  <c:v>HU</c:v>
                </c:pt>
                <c:pt idx="2">
                  <c:v>LV</c:v>
                </c:pt>
                <c:pt idx="3">
                  <c:v>EE</c:v>
                </c:pt>
                <c:pt idx="4">
                  <c:v>FI</c:v>
                </c:pt>
                <c:pt idx="5">
                  <c:v>SK</c:v>
                </c:pt>
                <c:pt idx="6">
                  <c:v>PT</c:v>
                </c:pt>
                <c:pt idx="7">
                  <c:v>FR</c:v>
                </c:pt>
                <c:pt idx="8">
                  <c:v>NO</c:v>
                </c:pt>
                <c:pt idx="9">
                  <c:v>CZ</c:v>
                </c:pt>
                <c:pt idx="10">
                  <c:v>BE</c:v>
                </c:pt>
                <c:pt idx="11">
                  <c:v>RO</c:v>
                </c:pt>
                <c:pt idx="12">
                  <c:v>NL</c:v>
                </c:pt>
                <c:pt idx="13">
                  <c:v>BG</c:v>
                </c:pt>
                <c:pt idx="14">
                  <c:v>MT</c:v>
                </c:pt>
                <c:pt idx="15">
                  <c:v>UK</c:v>
                </c:pt>
                <c:pt idx="16">
                  <c:v>SI</c:v>
                </c:pt>
                <c:pt idx="17">
                  <c:v>IT</c:v>
                </c:pt>
                <c:pt idx="18">
                  <c:v>LT</c:v>
                </c:pt>
                <c:pt idx="19">
                  <c:v>PL</c:v>
                </c:pt>
                <c:pt idx="20">
                  <c:v>DE</c:v>
                </c:pt>
                <c:pt idx="21">
                  <c:v>ES</c:v>
                </c:pt>
                <c:pt idx="22">
                  <c:v>LU</c:v>
                </c:pt>
                <c:pt idx="23">
                  <c:v>CY</c:v>
                </c:pt>
              </c:strCache>
            </c:strRef>
          </c:cat>
          <c:val>
            <c:numRef>
              <c:f>'hodinove cenzurovane 1%'!$D$116:$D$139</c:f>
              <c:numCache>
                <c:formatCode>0%</c:formatCode>
                <c:ptCount val="24"/>
                <c:pt idx="0">
                  <c:v>-0.15932830000000001</c:v>
                </c:pt>
                <c:pt idx="1">
                  <c:v>-7.6447600000000004E-2</c:v>
                </c:pt>
                <c:pt idx="2">
                  <c:v>0</c:v>
                </c:pt>
                <c:pt idx="3">
                  <c:v>0</c:v>
                </c:pt>
                <c:pt idx="4">
                  <c:v>-5.2973399999999997E-2</c:v>
                </c:pt>
                <c:pt idx="5">
                  <c:v>-0.1140835</c:v>
                </c:pt>
                <c:pt idx="6">
                  <c:v>0</c:v>
                </c:pt>
                <c:pt idx="7">
                  <c:v>-3.2761600000000002E-2</c:v>
                </c:pt>
                <c:pt idx="8">
                  <c:v>-6.8172899999999995E-2</c:v>
                </c:pt>
                <c:pt idx="9">
                  <c:v>-9.5953300000000005E-2</c:v>
                </c:pt>
                <c:pt idx="10">
                  <c:v>6.3235700000000006E-2</c:v>
                </c:pt>
                <c:pt idx="11">
                  <c:v>-0.16192019999999999</c:v>
                </c:pt>
                <c:pt idx="12">
                  <c:v>2.2014200000000001E-2</c:v>
                </c:pt>
                <c:pt idx="13">
                  <c:v>-0.1624341</c:v>
                </c:pt>
                <c:pt idx="14">
                  <c:v>4.74597E-2</c:v>
                </c:pt>
                <c:pt idx="15">
                  <c:v>7.5212000000000001E-2</c:v>
                </c:pt>
                <c:pt idx="16">
                  <c:v>0.1086878</c:v>
                </c:pt>
                <c:pt idx="17">
                  <c:v>0.106271</c:v>
                </c:pt>
                <c:pt idx="18">
                  <c:v>0.12898599999999999</c:v>
                </c:pt>
                <c:pt idx="19">
                  <c:v>4.9250500000000003E-2</c:v>
                </c:pt>
                <c:pt idx="20">
                  <c:v>8.3311700000000002E-2</c:v>
                </c:pt>
                <c:pt idx="21">
                  <c:v>0.13519909999999999</c:v>
                </c:pt>
                <c:pt idx="22">
                  <c:v>0.32606449999999998</c:v>
                </c:pt>
                <c:pt idx="23">
                  <c:v>0.28480149999999999</c:v>
                </c:pt>
              </c:numCache>
            </c:numRef>
          </c:val>
        </c:ser>
        <c:dLbls>
          <c:showLegendKey val="0"/>
          <c:showVal val="0"/>
          <c:showCatName val="0"/>
          <c:showSerName val="0"/>
          <c:showPercent val="0"/>
          <c:showBubbleSize val="0"/>
        </c:dLbls>
        <c:gapWidth val="219"/>
        <c:overlap val="-27"/>
        <c:axId val="227231848"/>
        <c:axId val="227232240"/>
      </c:barChart>
      <c:catAx>
        <c:axId val="22723184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232240"/>
        <c:crosses val="autoZero"/>
        <c:auto val="1"/>
        <c:lblAlgn val="ctr"/>
        <c:lblOffset val="100"/>
        <c:noMultiLvlLbl val="0"/>
      </c:catAx>
      <c:valAx>
        <c:axId val="227232240"/>
        <c:scaling>
          <c:orientation val="minMax"/>
          <c:max val="0.4"/>
          <c:min val="-0.30000000000000004"/>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7231848"/>
        <c:crosses val="autoZero"/>
        <c:crossBetween val="between"/>
        <c:majorUnit val="0.1"/>
      </c:valAx>
      <c:spPr>
        <a:noFill/>
        <a:ln>
          <a:noFill/>
        </a:ln>
        <a:effectLst/>
      </c:spPr>
    </c:plotArea>
    <c:legend>
      <c:legendPos val="b"/>
      <c:layout>
        <c:manualLayout>
          <c:xMode val="edge"/>
          <c:yMode val="edge"/>
          <c:x val="0.39706201338494512"/>
          <c:y val="0.73779527559055114"/>
          <c:w val="0.59125322940455505"/>
          <c:h val="0.1299344381115540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8675709200733"/>
          <c:y val="5.0925925925925923E-2"/>
          <c:w val="0.88424859777801745"/>
          <c:h val="0.75087825560266519"/>
        </c:manualLayout>
      </c:layout>
      <c:barChart>
        <c:barDir val="col"/>
        <c:grouping val="clustered"/>
        <c:varyColors val="0"/>
        <c:ser>
          <c:idx val="0"/>
          <c:order val="0"/>
          <c:tx>
            <c:strRef>
              <c:f>Graf_6!$B$5</c:f>
              <c:strCache>
                <c:ptCount val="1"/>
                <c:pt idx="0">
                  <c:v>podiel 2020</c:v>
                </c:pt>
              </c:strCache>
            </c:strRef>
          </c:tx>
          <c:spPr>
            <a:solidFill>
              <a:srgbClr val="00B0F0"/>
            </a:solidFill>
            <a:ln>
              <a:noFill/>
            </a:ln>
            <a:effectLst/>
          </c:spPr>
          <c:invertIfNegative val="0"/>
          <c:dPt>
            <c:idx val="16"/>
            <c:invertIfNegative val="0"/>
            <c:bubble3D val="0"/>
            <c:spPr>
              <a:solidFill>
                <a:srgbClr val="00B0F0"/>
              </a:solidFill>
              <a:ln>
                <a:noFill/>
              </a:ln>
              <a:effectLst/>
            </c:spPr>
          </c:dPt>
          <c:dPt>
            <c:idx val="17"/>
            <c:invertIfNegative val="0"/>
            <c:bubble3D val="0"/>
            <c:spPr>
              <a:solidFill>
                <a:srgbClr val="002060"/>
              </a:solidFill>
              <a:ln>
                <a:noFill/>
              </a:ln>
              <a:effectLst/>
            </c:spPr>
          </c:dPt>
          <c:dLbls>
            <c:dLbl>
              <c:idx val="17"/>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Graf_6!$A$6:$A$33</c:f>
              <c:strCache>
                <c:ptCount val="28"/>
                <c:pt idx="0">
                  <c:v>Cyprus</c:v>
                </c:pt>
                <c:pt idx="1">
                  <c:v>Rumunsko</c:v>
                </c:pt>
                <c:pt idx="2">
                  <c:v>Dánsko</c:v>
                </c:pt>
                <c:pt idx="3">
                  <c:v>Malta</c:v>
                </c:pt>
                <c:pt idx="4">
                  <c:v>Estónsko</c:v>
                </c:pt>
                <c:pt idx="5">
                  <c:v>Lotyšsko</c:v>
                </c:pt>
                <c:pt idx="6">
                  <c:v>Litva</c:v>
                </c:pt>
                <c:pt idx="7">
                  <c:v>Írsko</c:v>
                </c:pt>
                <c:pt idx="8">
                  <c:v>Slovinsko</c:v>
                </c:pt>
                <c:pt idx="9">
                  <c:v>Bulharsko</c:v>
                </c:pt>
                <c:pt idx="10">
                  <c:v>Španielsko</c:v>
                </c:pt>
                <c:pt idx="11">
                  <c:v>Chorvátsko</c:v>
                </c:pt>
                <c:pt idx="12">
                  <c:v>Grécko</c:v>
                </c:pt>
                <c:pt idx="13">
                  <c:v>Švédsko</c:v>
                </c:pt>
                <c:pt idx="14">
                  <c:v>Portugalsko</c:v>
                </c:pt>
                <c:pt idx="15">
                  <c:v>Poľsko</c:v>
                </c:pt>
                <c:pt idx="16">
                  <c:v>Česká republika</c:v>
                </c:pt>
                <c:pt idx="17">
                  <c:v>Slovensko</c:v>
                </c:pt>
                <c:pt idx="18">
                  <c:v>Fínsko</c:v>
                </c:pt>
                <c:pt idx="19">
                  <c:v>Belgicko</c:v>
                </c:pt>
                <c:pt idx="20">
                  <c:v>Maďarsko</c:v>
                </c:pt>
                <c:pt idx="21">
                  <c:v>Francúzko</c:v>
                </c:pt>
                <c:pt idx="22">
                  <c:v>UK</c:v>
                </c:pt>
                <c:pt idx="23">
                  <c:v>Rakúsko</c:v>
                </c:pt>
                <c:pt idx="24">
                  <c:v>Luxembursko</c:v>
                </c:pt>
                <c:pt idx="25">
                  <c:v>Taliansko</c:v>
                </c:pt>
                <c:pt idx="26">
                  <c:v>Holandsko</c:v>
                </c:pt>
                <c:pt idx="27">
                  <c:v>Nemecko</c:v>
                </c:pt>
              </c:strCache>
            </c:strRef>
          </c:cat>
          <c:val>
            <c:numRef>
              <c:f>Graf_6!$B$6:$B$33</c:f>
              <c:numCache>
                <c:formatCode>0.0%</c:formatCode>
                <c:ptCount val="28"/>
                <c:pt idx="0">
                  <c:v>0.31068336718004352</c:v>
                </c:pt>
                <c:pt idx="1">
                  <c:v>0.30946465526142131</c:v>
                </c:pt>
                <c:pt idx="2">
                  <c:v>0.30071922496358078</c:v>
                </c:pt>
                <c:pt idx="3">
                  <c:v>0.29515115279698068</c:v>
                </c:pt>
                <c:pt idx="4">
                  <c:v>0.28868808917563771</c:v>
                </c:pt>
                <c:pt idx="5">
                  <c:v>0.28379719588108676</c:v>
                </c:pt>
                <c:pt idx="6">
                  <c:v>0.27835394405288255</c:v>
                </c:pt>
                <c:pt idx="7">
                  <c:v>0.27391004694773252</c:v>
                </c:pt>
                <c:pt idx="8">
                  <c:v>0.26310104838753934</c:v>
                </c:pt>
                <c:pt idx="9">
                  <c:v>0.26086002148321191</c:v>
                </c:pt>
                <c:pt idx="10">
                  <c:v>0.25832994341233251</c:v>
                </c:pt>
                <c:pt idx="11">
                  <c:v>0.2568092886589623</c:v>
                </c:pt>
                <c:pt idx="12">
                  <c:v>0.25299616842666162</c:v>
                </c:pt>
                <c:pt idx="13">
                  <c:v>0.25229434557342256</c:v>
                </c:pt>
                <c:pt idx="14">
                  <c:v>0.24935290229910009</c:v>
                </c:pt>
                <c:pt idx="15">
                  <c:v>0.24833754443264142</c:v>
                </c:pt>
                <c:pt idx="16">
                  <c:v>0.24688711216260981</c:v>
                </c:pt>
                <c:pt idx="17">
                  <c:v>0.23974543417064134</c:v>
                </c:pt>
                <c:pt idx="18">
                  <c:v>0.23302943948132232</c:v>
                </c:pt>
                <c:pt idx="19">
                  <c:v>0.23232357110262827</c:v>
                </c:pt>
                <c:pt idx="20">
                  <c:v>0.22544533332606187</c:v>
                </c:pt>
                <c:pt idx="21">
                  <c:v>0.22376992479863672</c:v>
                </c:pt>
                <c:pt idx="22">
                  <c:v>0.21622988539817925</c:v>
                </c:pt>
                <c:pt idx="23">
                  <c:v>0.21575182438484308</c:v>
                </c:pt>
                <c:pt idx="24">
                  <c:v>0.21391974371663555</c:v>
                </c:pt>
                <c:pt idx="25">
                  <c:v>0.19864230158032381</c:v>
                </c:pt>
                <c:pt idx="26">
                  <c:v>0.19743831284574476</c:v>
                </c:pt>
                <c:pt idx="27">
                  <c:v>0.17248453228160077</c:v>
                </c:pt>
              </c:numCache>
            </c:numRef>
          </c:val>
        </c:ser>
        <c:dLbls>
          <c:showLegendKey val="0"/>
          <c:showVal val="0"/>
          <c:showCatName val="0"/>
          <c:showSerName val="0"/>
          <c:showPercent val="0"/>
          <c:showBubbleSize val="0"/>
        </c:dLbls>
        <c:gapWidth val="87"/>
        <c:overlap val="-27"/>
        <c:axId val="222227376"/>
        <c:axId val="222227768"/>
      </c:barChart>
      <c:lineChart>
        <c:grouping val="standard"/>
        <c:varyColors val="0"/>
        <c:ser>
          <c:idx val="1"/>
          <c:order val="1"/>
          <c:tx>
            <c:strRef>
              <c:f>Graf_6!$C$5</c:f>
              <c:strCache>
                <c:ptCount val="1"/>
                <c:pt idx="0">
                  <c:v>priemer EÚ</c:v>
                </c:pt>
              </c:strCache>
            </c:strRef>
          </c:tx>
          <c:spPr>
            <a:ln w="28575" cap="rnd">
              <a:solidFill>
                <a:sysClr val="windowText" lastClr="000000"/>
              </a:solidFill>
              <a:round/>
            </a:ln>
            <a:effectLst/>
          </c:spPr>
          <c:marker>
            <c:symbol val="none"/>
          </c:marker>
          <c:dLbls>
            <c:dLbl>
              <c:idx val="27"/>
              <c:layout>
                <c:manualLayout>
                  <c:x val="-1.6666666666666666E-2"/>
                  <c:y val="-3.03030303030303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Graf_6!$A$6:$A$33</c:f>
              <c:strCache>
                <c:ptCount val="28"/>
                <c:pt idx="0">
                  <c:v>Cyprus</c:v>
                </c:pt>
                <c:pt idx="1">
                  <c:v>Rumunsko</c:v>
                </c:pt>
                <c:pt idx="2">
                  <c:v>Dánsko</c:v>
                </c:pt>
                <c:pt idx="3">
                  <c:v>Malta</c:v>
                </c:pt>
                <c:pt idx="4">
                  <c:v>Estónsko</c:v>
                </c:pt>
                <c:pt idx="5">
                  <c:v>Lotyšsko</c:v>
                </c:pt>
                <c:pt idx="6">
                  <c:v>Litva</c:v>
                </c:pt>
                <c:pt idx="7">
                  <c:v>Írsko</c:v>
                </c:pt>
                <c:pt idx="8">
                  <c:v>Slovinsko</c:v>
                </c:pt>
                <c:pt idx="9">
                  <c:v>Bulharsko</c:v>
                </c:pt>
                <c:pt idx="10">
                  <c:v>Španielsko</c:v>
                </c:pt>
                <c:pt idx="11">
                  <c:v>Chorvátsko</c:v>
                </c:pt>
                <c:pt idx="12">
                  <c:v>Grécko</c:v>
                </c:pt>
                <c:pt idx="13">
                  <c:v>Švédsko</c:v>
                </c:pt>
                <c:pt idx="14">
                  <c:v>Portugalsko</c:v>
                </c:pt>
                <c:pt idx="15">
                  <c:v>Poľsko</c:v>
                </c:pt>
                <c:pt idx="16">
                  <c:v>Česká republika</c:v>
                </c:pt>
                <c:pt idx="17">
                  <c:v>Slovensko</c:v>
                </c:pt>
                <c:pt idx="18">
                  <c:v>Fínsko</c:v>
                </c:pt>
                <c:pt idx="19">
                  <c:v>Belgicko</c:v>
                </c:pt>
                <c:pt idx="20">
                  <c:v>Maďarsko</c:v>
                </c:pt>
                <c:pt idx="21">
                  <c:v>Francúzko</c:v>
                </c:pt>
                <c:pt idx="22">
                  <c:v>UK</c:v>
                </c:pt>
                <c:pt idx="23">
                  <c:v>Rakúsko</c:v>
                </c:pt>
                <c:pt idx="24">
                  <c:v>Luxembursko</c:v>
                </c:pt>
                <c:pt idx="25">
                  <c:v>Taliansko</c:v>
                </c:pt>
                <c:pt idx="26">
                  <c:v>Holandsko</c:v>
                </c:pt>
                <c:pt idx="27">
                  <c:v>Nemecko</c:v>
                </c:pt>
              </c:strCache>
            </c:strRef>
          </c:cat>
          <c:val>
            <c:numRef>
              <c:f>Graf_6!$C$6:$C$33</c:f>
              <c:numCache>
                <c:formatCode>0.0%</c:formatCode>
                <c:ptCount val="28"/>
                <c:pt idx="0">
                  <c:v>0.24994701264937377</c:v>
                </c:pt>
                <c:pt idx="1">
                  <c:v>0.24994701264937377</c:v>
                </c:pt>
                <c:pt idx="2">
                  <c:v>0.24994701264937377</c:v>
                </c:pt>
                <c:pt idx="3">
                  <c:v>0.24994701264937377</c:v>
                </c:pt>
                <c:pt idx="4">
                  <c:v>0.24994701264937377</c:v>
                </c:pt>
                <c:pt idx="5">
                  <c:v>0.24994701264937377</c:v>
                </c:pt>
                <c:pt idx="6">
                  <c:v>0.24994701264937377</c:v>
                </c:pt>
                <c:pt idx="7">
                  <c:v>0.24994701264937377</c:v>
                </c:pt>
                <c:pt idx="8">
                  <c:v>0.24994701264937377</c:v>
                </c:pt>
                <c:pt idx="9">
                  <c:v>0.24994701264937377</c:v>
                </c:pt>
                <c:pt idx="10">
                  <c:v>0.24994701264937377</c:v>
                </c:pt>
                <c:pt idx="11">
                  <c:v>0.24994701264937377</c:v>
                </c:pt>
                <c:pt idx="12">
                  <c:v>0.24994701264937377</c:v>
                </c:pt>
                <c:pt idx="13">
                  <c:v>0.24994701264937377</c:v>
                </c:pt>
                <c:pt idx="14">
                  <c:v>0.24994701264937377</c:v>
                </c:pt>
                <c:pt idx="15">
                  <c:v>0.24994701264937377</c:v>
                </c:pt>
                <c:pt idx="16">
                  <c:v>0.24994701264937377</c:v>
                </c:pt>
                <c:pt idx="17">
                  <c:v>0.24994701264937377</c:v>
                </c:pt>
                <c:pt idx="18">
                  <c:v>0.24994701264937377</c:v>
                </c:pt>
                <c:pt idx="19">
                  <c:v>0.24994701264937377</c:v>
                </c:pt>
                <c:pt idx="20">
                  <c:v>0.24994701264937377</c:v>
                </c:pt>
                <c:pt idx="21">
                  <c:v>0.24994701264937377</c:v>
                </c:pt>
                <c:pt idx="22">
                  <c:v>0.24994701264937377</c:v>
                </c:pt>
                <c:pt idx="23">
                  <c:v>0.24994701264937377</c:v>
                </c:pt>
                <c:pt idx="24">
                  <c:v>0.24994701264937377</c:v>
                </c:pt>
                <c:pt idx="25">
                  <c:v>0.24994701264937377</c:v>
                </c:pt>
                <c:pt idx="26">
                  <c:v>0.24994701264937377</c:v>
                </c:pt>
                <c:pt idx="27">
                  <c:v>0.24994701264937377</c:v>
                </c:pt>
              </c:numCache>
            </c:numRef>
          </c:val>
          <c:smooth val="0"/>
        </c:ser>
        <c:dLbls>
          <c:showLegendKey val="0"/>
          <c:showVal val="0"/>
          <c:showCatName val="0"/>
          <c:showSerName val="0"/>
          <c:showPercent val="0"/>
          <c:showBubbleSize val="0"/>
        </c:dLbls>
        <c:marker val="1"/>
        <c:smooth val="0"/>
        <c:axId val="222227376"/>
        <c:axId val="222227768"/>
      </c:lineChart>
      <c:catAx>
        <c:axId val="22222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Arial Narrow" panose="020B0606020202030204" pitchFamily="34" charset="0"/>
                <a:ea typeface="+mn-ea"/>
                <a:cs typeface="+mn-cs"/>
              </a:defRPr>
            </a:pPr>
            <a:endParaRPr lang="sk-SK"/>
          </a:p>
        </c:txPr>
        <c:crossAx val="222227768"/>
        <c:crosses val="autoZero"/>
        <c:auto val="1"/>
        <c:lblAlgn val="ctr"/>
        <c:lblOffset val="100"/>
        <c:noMultiLvlLbl val="0"/>
      </c:catAx>
      <c:valAx>
        <c:axId val="222227768"/>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crossAx val="222227376"/>
        <c:crosses val="autoZero"/>
        <c:crossBetween val="between"/>
      </c:valAx>
      <c:spPr>
        <a:noFill/>
        <a:ln>
          <a:noFill/>
        </a:ln>
        <a:effectLst/>
      </c:spPr>
    </c:plotArea>
    <c:legend>
      <c:legendPos val="b"/>
      <c:legendEntry>
        <c:idx val="0"/>
        <c:delete val="1"/>
      </c:legendEntry>
      <c:layout>
        <c:manualLayout>
          <c:xMode val="edge"/>
          <c:yMode val="edge"/>
          <c:x val="0.42752062884262754"/>
          <c:y val="5.8418379520741713E-2"/>
          <c:w val="0.31566881943695396"/>
          <c:h val="6.964549885809728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sz="800">
          <a:solidFill>
            <a:schemeClr val="tx1"/>
          </a:solidFill>
          <a:latin typeface="Arial Narrow" panose="020B0606020202030204" pitchFamily="34" charset="0"/>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25539274478106"/>
          <c:y val="4.3392504930966469E-2"/>
          <c:w val="0.68467226364916312"/>
          <c:h val="0.61336843249623385"/>
        </c:manualLayout>
      </c:layout>
      <c:barChart>
        <c:barDir val="col"/>
        <c:grouping val="stacked"/>
        <c:varyColors val="0"/>
        <c:ser>
          <c:idx val="0"/>
          <c:order val="0"/>
          <c:tx>
            <c:strRef>
              <c:f>Graf_7!$A$6</c:f>
              <c:strCache>
                <c:ptCount val="1"/>
                <c:pt idx="0">
                  <c:v>sektor bez novozaradených subjektov</c:v>
                </c:pt>
              </c:strCache>
            </c:strRef>
          </c:tx>
          <c:spPr>
            <a:solidFill>
              <a:srgbClr val="00B0F0"/>
            </a:solidFill>
            <a:ln>
              <a:solidFill>
                <a:srgbClr val="00B0F0"/>
              </a:solidFill>
            </a:ln>
            <a:effectLst/>
          </c:spPr>
          <c:invertIfNegative val="0"/>
          <c:cat>
            <c:multiLvlStrRef>
              <c:f>Graf_7!$B$4:$G$5</c:f>
              <c:multiLvlStrCache>
                <c:ptCount val="6"/>
                <c:lvl>
                  <c:pt idx="0">
                    <c:v>2010</c:v>
                  </c:pt>
                  <c:pt idx="1">
                    <c:v>2018</c:v>
                  </c:pt>
                  <c:pt idx="2">
                    <c:v>2010</c:v>
                  </c:pt>
                  <c:pt idx="3">
                    <c:v>2018</c:v>
                  </c:pt>
                  <c:pt idx="4">
                    <c:v>2010</c:v>
                  </c:pt>
                  <c:pt idx="5">
                    <c:v>2018</c:v>
                  </c:pt>
                </c:lvl>
                <c:lvl>
                  <c:pt idx="0">
                    <c:v>ústredná správa</c:v>
                  </c:pt>
                  <c:pt idx="2">
                    <c:v>územná samospráva</c:v>
                  </c:pt>
                  <c:pt idx="4">
                    <c:v>fondy</c:v>
                  </c:pt>
                </c:lvl>
              </c:multiLvlStrCache>
            </c:multiLvlStrRef>
          </c:cat>
          <c:val>
            <c:numRef>
              <c:f>Graf_7!$B$6:$G$6</c:f>
              <c:numCache>
                <c:formatCode>#,##0</c:formatCode>
                <c:ptCount val="6"/>
                <c:pt idx="0">
                  <c:v>162366.6</c:v>
                </c:pt>
                <c:pt idx="1">
                  <c:v>157658.70000000001</c:v>
                </c:pt>
                <c:pt idx="2">
                  <c:v>179502</c:v>
                </c:pt>
                <c:pt idx="3">
                  <c:v>180882.4</c:v>
                </c:pt>
                <c:pt idx="4">
                  <c:v>8186.5</c:v>
                </c:pt>
                <c:pt idx="5">
                  <c:v>7251.5</c:v>
                </c:pt>
              </c:numCache>
            </c:numRef>
          </c:val>
        </c:ser>
        <c:ser>
          <c:idx val="1"/>
          <c:order val="1"/>
          <c:tx>
            <c:strRef>
              <c:f>Graf_7!$A$7</c:f>
              <c:strCache>
                <c:ptCount val="1"/>
                <c:pt idx="0">
                  <c:v>novozaradené subjekty</c:v>
                </c:pt>
              </c:strCache>
            </c:strRef>
          </c:tx>
          <c:spPr>
            <a:solidFill>
              <a:schemeClr val="bg1">
                <a:lumMod val="75000"/>
              </a:schemeClr>
            </a:solidFill>
            <a:ln>
              <a:solidFill>
                <a:schemeClr val="bg1">
                  <a:lumMod val="75000"/>
                </a:schemeClr>
              </a:solidFill>
            </a:ln>
            <a:effectLst/>
          </c:spPr>
          <c:invertIfNegative val="0"/>
          <c:cat>
            <c:multiLvlStrRef>
              <c:f>Graf_7!$B$4:$G$5</c:f>
              <c:multiLvlStrCache>
                <c:ptCount val="6"/>
                <c:lvl>
                  <c:pt idx="0">
                    <c:v>2010</c:v>
                  </c:pt>
                  <c:pt idx="1">
                    <c:v>2018</c:v>
                  </c:pt>
                  <c:pt idx="2">
                    <c:v>2010</c:v>
                  </c:pt>
                  <c:pt idx="3">
                    <c:v>2018</c:v>
                  </c:pt>
                  <c:pt idx="4">
                    <c:v>2010</c:v>
                  </c:pt>
                  <c:pt idx="5">
                    <c:v>2018</c:v>
                  </c:pt>
                </c:lvl>
                <c:lvl>
                  <c:pt idx="0">
                    <c:v>ústredná správa</c:v>
                  </c:pt>
                  <c:pt idx="2">
                    <c:v>územná samospráva</c:v>
                  </c:pt>
                  <c:pt idx="4">
                    <c:v>fondy</c:v>
                  </c:pt>
                </c:lvl>
              </c:multiLvlStrCache>
            </c:multiLvlStrRef>
          </c:cat>
          <c:val>
            <c:numRef>
              <c:f>Graf_7!$B$7:$G$7</c:f>
              <c:numCache>
                <c:formatCode>#,##0</c:formatCode>
                <c:ptCount val="6"/>
                <c:pt idx="0">
                  <c:v>0</c:v>
                </c:pt>
                <c:pt idx="1">
                  <c:v>60276.099999999977</c:v>
                </c:pt>
                <c:pt idx="2">
                  <c:v>0</c:v>
                </c:pt>
                <c:pt idx="3">
                  <c:v>10176.600000000006</c:v>
                </c:pt>
              </c:numCache>
            </c:numRef>
          </c:val>
        </c:ser>
        <c:dLbls>
          <c:showLegendKey val="0"/>
          <c:showVal val="0"/>
          <c:showCatName val="0"/>
          <c:showSerName val="0"/>
          <c:showPercent val="0"/>
          <c:showBubbleSize val="0"/>
        </c:dLbls>
        <c:gapWidth val="150"/>
        <c:overlap val="100"/>
        <c:axId val="222228160"/>
        <c:axId val="222228552"/>
      </c:barChart>
      <c:lineChart>
        <c:grouping val="standard"/>
        <c:varyColors val="0"/>
        <c:ser>
          <c:idx val="2"/>
          <c:order val="2"/>
          <c:tx>
            <c:v>zmena absolútna</c:v>
          </c:tx>
          <c:spPr>
            <a:ln w="28575" cap="rnd">
              <a:solidFill>
                <a:srgbClr val="002060"/>
              </a:solidFill>
              <a:round/>
            </a:ln>
            <a:effectLst/>
          </c:spPr>
          <c:marker>
            <c:symbol val="circle"/>
            <c:size val="5"/>
            <c:spPr>
              <a:solidFill>
                <a:srgbClr val="002060"/>
              </a:solidFill>
              <a:ln w="9525">
                <a:solidFill>
                  <a:srgbClr val="002060"/>
                </a:solidFill>
              </a:ln>
              <a:effectLst/>
            </c:spPr>
          </c:marker>
          <c:dPt>
            <c:idx val="2"/>
            <c:marker>
              <c:symbol val="circle"/>
              <c:size val="5"/>
              <c:spPr>
                <a:solidFill>
                  <a:srgbClr val="002060"/>
                </a:solidFill>
                <a:ln w="9525">
                  <a:noFill/>
                </a:ln>
                <a:effectLst/>
              </c:spPr>
            </c:marker>
            <c:bubble3D val="0"/>
            <c:spPr>
              <a:ln w="28575" cap="rnd">
                <a:noFill/>
                <a:round/>
              </a:ln>
              <a:effectLst/>
            </c:spPr>
          </c:dPt>
          <c:dPt>
            <c:idx val="4"/>
            <c:marker>
              <c:symbol val="circle"/>
              <c:size val="5"/>
              <c:spPr>
                <a:solidFill>
                  <a:srgbClr val="002060"/>
                </a:solidFill>
                <a:ln w="9525">
                  <a:noFill/>
                </a:ln>
                <a:effectLst/>
              </c:spPr>
            </c:marker>
            <c:bubble3D val="0"/>
            <c:spPr>
              <a:ln w="28575" cap="rnd">
                <a:noFill/>
                <a:round/>
              </a:ln>
              <a:effectLst/>
            </c:spPr>
          </c:dPt>
          <c:dLbls>
            <c:dLbl>
              <c:idx val="0"/>
              <c:tx>
                <c:rich>
                  <a:bodyPr/>
                  <a:lstStyle/>
                  <a:p>
                    <a:fld id="{C79A04AA-C782-4A15-B290-632225AED0BD}" type="CELLRANGE">
                      <a:rPr lang="en-US"/>
                      <a:pPr/>
                      <a:t>[CELLRANGE]</a:t>
                    </a:fld>
                    <a:endParaRPr lang="sk-SK"/>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7D9BF61E-1B4F-43BB-8CCC-CA6D81EE6202}" type="CELLRANGE">
                      <a:rPr lang="sk-SK"/>
                      <a:pPr/>
                      <a:t>[CELLRANGE]</a:t>
                    </a:fld>
                    <a:endParaRPr lang="sk-SK"/>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6AD39233-A700-41E1-9675-5BBACD2951F4}" type="CELLRANGE">
                      <a:rPr lang="en-US"/>
                      <a:pPr/>
                      <a:t>[CELLRANGE]</a:t>
                    </a:fld>
                    <a:endParaRPr lang="sk-SK"/>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3"/>
              <c:tx>
                <c:rich>
                  <a:bodyPr/>
                  <a:lstStyle/>
                  <a:p>
                    <a:fld id="{3A61F60F-26DD-4F36-B5EE-86A5F3734D4C}" type="CELLRANGE">
                      <a:rPr lang="sk-SK"/>
                      <a:pPr/>
                      <a:t>[CELLRANGE]</a:t>
                    </a:fld>
                    <a:endParaRPr lang="sk-SK"/>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5DB0B7FE-8454-4661-8448-42CB78F4C837}" type="CELLRANGE">
                      <a:rPr lang="en-US"/>
                      <a:pPr/>
                      <a:t>[CELLRANGE]</a:t>
                    </a:fld>
                    <a:endParaRPr lang="sk-SK"/>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5"/>
              <c:layout>
                <c:manualLayout>
                  <c:x val="-6.3413330818677602E-2"/>
                  <c:y val="-2.6972308934756009E-2"/>
                </c:manualLayout>
              </c:layout>
              <c:tx>
                <c:rich>
                  <a:bodyPr/>
                  <a:lstStyle/>
                  <a:p>
                    <a:fld id="{552C3224-380D-4C49-8E6A-9CFA786B8492}" type="CELLRANGE">
                      <a:rPr lang="en-US"/>
                      <a:pPr/>
                      <a:t>[CELLRANGE]</a:t>
                    </a:fld>
                    <a:endParaRPr lang="sk-SK"/>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Graf_7!$B$6:$G$6</c:f>
              <c:numCache>
                <c:formatCode>#,##0</c:formatCode>
                <c:ptCount val="6"/>
                <c:pt idx="0">
                  <c:v>162366.6</c:v>
                </c:pt>
                <c:pt idx="1">
                  <c:v>157658.70000000001</c:v>
                </c:pt>
                <c:pt idx="2">
                  <c:v>179502</c:v>
                </c:pt>
                <c:pt idx="3">
                  <c:v>180882.4</c:v>
                </c:pt>
                <c:pt idx="4">
                  <c:v>8186.5</c:v>
                </c:pt>
                <c:pt idx="5">
                  <c:v>7251.5</c:v>
                </c:pt>
              </c:numCache>
            </c:numRef>
          </c:val>
          <c:smooth val="0"/>
          <c:extLst>
            <c:ext xmlns:c15="http://schemas.microsoft.com/office/drawing/2012/chart" uri="{02D57815-91ED-43cb-92C2-25804820EDAC}">
              <c15:datalabelsRange>
                <c15:f>Graf_7!$B$8:$G$8</c15:f>
                <c15:dlblRangeCache>
                  <c:ptCount val="6"/>
                  <c:pt idx="1">
                    <c:v>-4 708</c:v>
                  </c:pt>
                  <c:pt idx="3">
                    <c:v>1 380</c:v>
                  </c:pt>
                  <c:pt idx="5">
                    <c:v>-935</c:v>
                  </c:pt>
                </c15:dlblRangeCache>
              </c15:datalabelsRange>
            </c:ext>
          </c:extLst>
        </c:ser>
        <c:dLbls>
          <c:showLegendKey val="0"/>
          <c:showVal val="0"/>
          <c:showCatName val="0"/>
          <c:showSerName val="0"/>
          <c:showPercent val="0"/>
          <c:showBubbleSize val="0"/>
        </c:dLbls>
        <c:marker val="1"/>
        <c:smooth val="0"/>
        <c:axId val="222228160"/>
        <c:axId val="222228552"/>
      </c:lineChart>
      <c:lineChart>
        <c:grouping val="standard"/>
        <c:varyColors val="0"/>
        <c:ser>
          <c:idx val="3"/>
          <c:order val="3"/>
          <c:tx>
            <c:strRef>
              <c:f>Graf_7!$A$9</c:f>
              <c:strCache>
                <c:ptCount val="1"/>
                <c:pt idx="0">
                  <c:v>zmena relatívna</c:v>
                </c:pt>
              </c:strCache>
            </c:strRef>
          </c:tx>
          <c:spPr>
            <a:ln w="38100" cap="rnd">
              <a:solidFill>
                <a:srgbClr val="00B0F0"/>
              </a:solidFill>
              <a:round/>
            </a:ln>
            <a:effectLst/>
          </c:spPr>
          <c:marker>
            <c:symbol val="circle"/>
            <c:size val="4"/>
            <c:spPr>
              <a:solidFill>
                <a:srgbClr val="00B0F0"/>
              </a:solidFill>
              <a:ln w="38100">
                <a:solidFill>
                  <a:srgbClr val="00B0F0"/>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Graf_7!$B$9:$G$9</c:f>
              <c:numCache>
                <c:formatCode>0%</c:formatCode>
                <c:ptCount val="6"/>
                <c:pt idx="1">
                  <c:v>-2.8995495378975687E-2</c:v>
                </c:pt>
                <c:pt idx="3">
                  <c:v>7.6901650120889693E-3</c:v>
                </c:pt>
                <c:pt idx="5">
                  <c:v>-0.11421242289134551</c:v>
                </c:pt>
              </c:numCache>
            </c:numRef>
          </c:val>
          <c:smooth val="0"/>
        </c:ser>
        <c:dLbls>
          <c:showLegendKey val="0"/>
          <c:showVal val="0"/>
          <c:showCatName val="0"/>
          <c:showSerName val="0"/>
          <c:showPercent val="0"/>
          <c:showBubbleSize val="0"/>
        </c:dLbls>
        <c:marker val="1"/>
        <c:smooth val="0"/>
        <c:axId val="222229336"/>
        <c:axId val="222228944"/>
      </c:lineChart>
      <c:catAx>
        <c:axId val="222228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2228552"/>
        <c:crosses val="autoZero"/>
        <c:auto val="1"/>
        <c:lblAlgn val="ctr"/>
        <c:lblOffset val="100"/>
        <c:noMultiLvlLbl val="0"/>
      </c:catAx>
      <c:valAx>
        <c:axId val="222228552"/>
        <c:scaling>
          <c:orientation val="minMax"/>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r>
                  <a:rPr lang="sk-SK"/>
                  <a:t>počet zamestnancov v tis.</a:t>
                </a:r>
              </a:p>
            </c:rich>
          </c:tx>
          <c:layout>
            <c:manualLayout>
              <c:xMode val="edge"/>
              <c:yMode val="edge"/>
              <c:x val="1.3245033112582781E-2"/>
              <c:y val="0.1758558138812530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2228160"/>
        <c:crosses val="autoZero"/>
        <c:crossBetween val="between"/>
        <c:dispUnits>
          <c:builtInUnit val="thousands"/>
        </c:dispUnits>
      </c:valAx>
      <c:valAx>
        <c:axId val="222228944"/>
        <c:scaling>
          <c:orientation val="minMax"/>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r>
                  <a:rPr lang="en-US"/>
                  <a:t>relat</a:t>
                </a:r>
                <a:r>
                  <a:rPr lang="sk-SK"/>
                  <a:t>í</a:t>
                </a:r>
                <a:r>
                  <a:rPr lang="en-US"/>
                  <a:t>vna</a:t>
                </a:r>
                <a:r>
                  <a:rPr lang="en-US" baseline="0"/>
                  <a:t> zmena v %</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2229336"/>
        <c:crosses val="max"/>
        <c:crossBetween val="between"/>
      </c:valAx>
      <c:catAx>
        <c:axId val="222229336"/>
        <c:scaling>
          <c:orientation val="minMax"/>
        </c:scaling>
        <c:delete val="1"/>
        <c:axPos val="b"/>
        <c:majorTickMark val="out"/>
        <c:minorTickMark val="none"/>
        <c:tickLblPos val="nextTo"/>
        <c:crossAx val="222228944"/>
        <c:crosses val="autoZero"/>
        <c:auto val="1"/>
        <c:lblAlgn val="ctr"/>
        <c:lblOffset val="100"/>
        <c:noMultiLvlLbl val="0"/>
      </c:catAx>
      <c:spPr>
        <a:noFill/>
        <a:ln>
          <a:noFill/>
        </a:ln>
        <a:effectLst/>
      </c:spPr>
    </c:plotArea>
    <c:legend>
      <c:legendPos val="b"/>
      <c:layout>
        <c:manualLayout>
          <c:xMode val="edge"/>
          <c:yMode val="edge"/>
          <c:x val="0"/>
          <c:y val="0.82099613287983975"/>
          <c:w val="0.97483582764075016"/>
          <c:h val="0.1553352280669058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0.29869</cdr:x>
      <cdr:y>0.19348</cdr:y>
    </cdr:from>
    <cdr:to>
      <cdr:x>0.62925</cdr:x>
      <cdr:y>0.43955</cdr:y>
    </cdr:to>
    <cdr:sp macro="" textlink="">
      <cdr:nvSpPr>
        <cdr:cNvPr id="2" name="Obdĺžnik 1"/>
        <cdr:cNvSpPr/>
      </cdr:nvSpPr>
      <cdr:spPr>
        <a:xfrm xmlns:a="http://schemas.openxmlformats.org/drawingml/2006/main">
          <a:off x="805149" y="604462"/>
          <a:ext cx="891049" cy="768771"/>
        </a:xfrm>
        <a:prstGeom xmlns:a="http://schemas.openxmlformats.org/drawingml/2006/main" prst="rect">
          <a:avLst/>
        </a:prstGeom>
        <a:solidFill xmlns:a="http://schemas.openxmlformats.org/drawingml/2006/main">
          <a:schemeClr val="accent1">
            <a:lumMod val="40000"/>
            <a:lumOff val="60000"/>
            <a:alpha val="23000"/>
          </a:schemeClr>
        </a:solidFill>
        <a:ln xmlns:a="http://schemas.openxmlformats.org/drawingml/2006/main">
          <a:solidFill>
            <a:schemeClr val="accent1">
              <a:lumMod val="20000"/>
              <a:lumOff val="8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userShapes>
</file>

<file path=word/drawings/drawing2.xml><?xml version="1.0" encoding="utf-8"?>
<c:userShapes xmlns:c="http://schemas.openxmlformats.org/drawingml/2006/chart">
  <cdr:relSizeAnchor xmlns:cdr="http://schemas.openxmlformats.org/drawingml/2006/chartDrawing">
    <cdr:from>
      <cdr:x>0.25834</cdr:x>
      <cdr:y>0.45854</cdr:y>
    </cdr:from>
    <cdr:to>
      <cdr:x>0.31691</cdr:x>
      <cdr:y>0.50746</cdr:y>
    </cdr:to>
    <cdr:sp macro="" textlink="">
      <cdr:nvSpPr>
        <cdr:cNvPr id="4" name="BlokTextu 1"/>
        <cdr:cNvSpPr txBox="1"/>
      </cdr:nvSpPr>
      <cdr:spPr>
        <a:xfrm xmlns:a="http://schemas.openxmlformats.org/drawingml/2006/main">
          <a:off x="1498583" y="1755774"/>
          <a:ext cx="339743" cy="187325"/>
        </a:xfrm>
        <a:prstGeom xmlns:a="http://schemas.openxmlformats.org/drawingml/2006/main" prst="rect">
          <a:avLst/>
        </a:prstGeom>
        <a:gradFill xmlns:a="http://schemas.openxmlformats.org/drawingml/2006/main">
          <a:gsLst>
            <a:gs pos="10000">
              <a:schemeClr val="bg1"/>
            </a:gs>
            <a:gs pos="36000">
              <a:schemeClr val="bg1">
                <a:lumMod val="75000"/>
              </a:schemeClr>
            </a:gs>
            <a:gs pos="56000">
              <a:schemeClr val="bg1">
                <a:lumMod val="85000"/>
              </a:schemeClr>
            </a:gs>
          </a:gsLst>
          <a:lin ang="5400000" scaled="1"/>
        </a:gradFill>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1100">
              <a:latin typeface="Arial Narrow" panose="020B0606020202030204" pitchFamily="34" charset="0"/>
            </a:rPr>
            <a:t>muži</a:t>
          </a:r>
        </a:p>
      </cdr:txBody>
    </cdr:sp>
  </cdr:relSizeAnchor>
  <cdr:relSizeAnchor xmlns:cdr="http://schemas.openxmlformats.org/drawingml/2006/chartDrawing">
    <cdr:from>
      <cdr:x>0.42419</cdr:x>
      <cdr:y>0.45605</cdr:y>
    </cdr:from>
    <cdr:to>
      <cdr:x>0.48276</cdr:x>
      <cdr:y>0.50498</cdr:y>
    </cdr:to>
    <cdr:sp macro="" textlink="">
      <cdr:nvSpPr>
        <cdr:cNvPr id="6" name="BlokTextu 1"/>
        <cdr:cNvSpPr txBox="1"/>
      </cdr:nvSpPr>
      <cdr:spPr>
        <a:xfrm xmlns:a="http://schemas.openxmlformats.org/drawingml/2006/main">
          <a:off x="2460625" y="1746250"/>
          <a:ext cx="339743" cy="187325"/>
        </a:xfrm>
        <a:prstGeom xmlns:a="http://schemas.openxmlformats.org/drawingml/2006/main" prst="rect">
          <a:avLst/>
        </a:prstGeom>
        <a:gradFill xmlns:a="http://schemas.openxmlformats.org/drawingml/2006/main">
          <a:gsLst>
            <a:gs pos="10000">
              <a:schemeClr val="bg1"/>
            </a:gs>
            <a:gs pos="36000">
              <a:schemeClr val="bg1">
                <a:lumMod val="75000"/>
              </a:schemeClr>
            </a:gs>
            <a:gs pos="56000">
              <a:schemeClr val="bg1">
                <a:lumMod val="85000"/>
              </a:schemeClr>
            </a:gs>
          </a:gsLst>
          <a:lin ang="5400000" scaled="1"/>
        </a:gradFill>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1100">
              <a:latin typeface="Arial Narrow" panose="020B0606020202030204" pitchFamily="34" charset="0"/>
            </a:rPr>
            <a:t>ž</a:t>
          </a:r>
          <a:r>
            <a:rPr lang="en-US" sz="1100">
              <a:latin typeface="Arial Narrow" panose="020B0606020202030204" pitchFamily="34" charset="0"/>
            </a:rPr>
            <a:t>eny</a:t>
          </a:r>
          <a:endParaRPr lang="sk-SK" sz="1100">
            <a:latin typeface="Arial Narrow" panose="020B0606020202030204" pitchFamily="34" charset="0"/>
          </a:endParaRPr>
        </a:p>
      </cdr:txBody>
    </cdr:sp>
  </cdr:relSizeAnchor>
  <cdr:relSizeAnchor xmlns:cdr="http://schemas.openxmlformats.org/drawingml/2006/chartDrawing">
    <cdr:from>
      <cdr:x>0.58019</cdr:x>
      <cdr:y>0.45605</cdr:y>
    </cdr:from>
    <cdr:to>
      <cdr:x>0.63876</cdr:x>
      <cdr:y>0.50498</cdr:y>
    </cdr:to>
    <cdr:sp macro="" textlink="">
      <cdr:nvSpPr>
        <cdr:cNvPr id="7" name="BlokTextu 1"/>
        <cdr:cNvSpPr txBox="1"/>
      </cdr:nvSpPr>
      <cdr:spPr>
        <a:xfrm xmlns:a="http://schemas.openxmlformats.org/drawingml/2006/main">
          <a:off x="3365500" y="1746250"/>
          <a:ext cx="339743" cy="187325"/>
        </a:xfrm>
        <a:prstGeom xmlns:a="http://schemas.openxmlformats.org/drawingml/2006/main" prst="rect">
          <a:avLst/>
        </a:prstGeom>
        <a:gradFill xmlns:a="http://schemas.openxmlformats.org/drawingml/2006/main">
          <a:gsLst>
            <a:gs pos="10000">
              <a:schemeClr val="bg1"/>
            </a:gs>
            <a:gs pos="36000">
              <a:schemeClr val="accent5">
                <a:lumMod val="40000"/>
                <a:lumOff val="60000"/>
              </a:schemeClr>
            </a:gs>
            <a:gs pos="56000">
              <a:schemeClr val="accent5">
                <a:lumMod val="40000"/>
                <a:lumOff val="60000"/>
              </a:schemeClr>
            </a:gs>
          </a:gsLst>
          <a:lin ang="5400000" scaled="1"/>
        </a:gradFill>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1100">
              <a:latin typeface="Arial Narrow" panose="020B0606020202030204" pitchFamily="34" charset="0"/>
            </a:rPr>
            <a:t>ž</a:t>
          </a:r>
          <a:r>
            <a:rPr lang="en-US" sz="1100">
              <a:latin typeface="Arial Narrow" panose="020B0606020202030204" pitchFamily="34" charset="0"/>
            </a:rPr>
            <a:t>eny</a:t>
          </a:r>
          <a:endParaRPr lang="sk-SK" sz="1100">
            <a:latin typeface="Arial Narrow" panose="020B0606020202030204" pitchFamily="34" charset="0"/>
          </a:endParaRPr>
        </a:p>
      </cdr:txBody>
    </cdr:sp>
  </cdr:relSizeAnchor>
  <cdr:relSizeAnchor xmlns:cdr="http://schemas.openxmlformats.org/drawingml/2006/chartDrawing">
    <cdr:from>
      <cdr:x>0.74603</cdr:x>
      <cdr:y>0.45357</cdr:y>
    </cdr:from>
    <cdr:to>
      <cdr:x>0.8046</cdr:x>
      <cdr:y>0.50249</cdr:y>
    </cdr:to>
    <cdr:sp macro="" textlink="">
      <cdr:nvSpPr>
        <cdr:cNvPr id="8" name="BlokTextu 1"/>
        <cdr:cNvSpPr txBox="1"/>
      </cdr:nvSpPr>
      <cdr:spPr>
        <a:xfrm xmlns:a="http://schemas.openxmlformats.org/drawingml/2006/main">
          <a:off x="4327525" y="1736725"/>
          <a:ext cx="339743" cy="187325"/>
        </a:xfrm>
        <a:prstGeom xmlns:a="http://schemas.openxmlformats.org/drawingml/2006/main" prst="rect">
          <a:avLst/>
        </a:prstGeom>
        <a:gradFill xmlns:a="http://schemas.openxmlformats.org/drawingml/2006/main">
          <a:gsLst>
            <a:gs pos="10000">
              <a:schemeClr val="bg1"/>
            </a:gs>
            <a:gs pos="36000">
              <a:schemeClr val="accent5">
                <a:lumMod val="40000"/>
                <a:lumOff val="60000"/>
              </a:schemeClr>
            </a:gs>
            <a:gs pos="56000">
              <a:schemeClr val="accent5">
                <a:lumMod val="40000"/>
                <a:lumOff val="60000"/>
              </a:schemeClr>
            </a:gs>
          </a:gsLst>
          <a:lin ang="5400000" scaled="1"/>
        </a:gradFill>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1100">
              <a:latin typeface="Arial Narrow" panose="020B0606020202030204" pitchFamily="34" charset="0"/>
            </a:rPr>
            <a:t>muži</a:t>
          </a:r>
        </a:p>
      </cdr:txBody>
    </cdr:sp>
  </cdr:relSizeAnchor>
</c:userShapes>
</file>

<file path=word/drawings/drawing3.xml><?xml version="1.0" encoding="utf-8"?>
<c:userShapes xmlns:c="http://schemas.openxmlformats.org/drawingml/2006/chart">
  <cdr:relSizeAnchor xmlns:cdr="http://schemas.openxmlformats.org/drawingml/2006/chartDrawing">
    <cdr:from>
      <cdr:x>0.23003</cdr:x>
      <cdr:y>0.03404</cdr:y>
    </cdr:from>
    <cdr:to>
      <cdr:x>0.23465</cdr:x>
      <cdr:y>0.89069</cdr:y>
    </cdr:to>
    <cdr:cxnSp macro="">
      <cdr:nvCxnSpPr>
        <cdr:cNvPr id="3" name="Rovná spojnica 2"/>
        <cdr:cNvCxnSpPr/>
      </cdr:nvCxnSpPr>
      <cdr:spPr>
        <a:xfrm xmlns:a="http://schemas.openxmlformats.org/drawingml/2006/main" flipH="1" flipV="1">
          <a:off x="638175" y="76200"/>
          <a:ext cx="12817" cy="1917492"/>
        </a:xfrm>
        <a:prstGeom xmlns:a="http://schemas.openxmlformats.org/drawingml/2006/main" prst="line">
          <a:avLst/>
        </a:prstGeom>
        <a:ln xmlns:a="http://schemas.openxmlformats.org/drawingml/2006/main">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0.55164</cdr:x>
      <cdr:y>0.13239</cdr:y>
    </cdr:from>
    <cdr:to>
      <cdr:x>0.63967</cdr:x>
      <cdr:y>0.22459</cdr:y>
    </cdr:to>
    <cdr:sp macro="" textlink="">
      <cdr:nvSpPr>
        <cdr:cNvPr id="2" name="BlokTextu 1"/>
        <cdr:cNvSpPr txBox="1"/>
      </cdr:nvSpPr>
      <cdr:spPr>
        <a:xfrm xmlns:a="http://schemas.openxmlformats.org/drawingml/2006/main">
          <a:off x="4476751" y="533399"/>
          <a:ext cx="71437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k-SK" sz="1100"/>
        </a:p>
      </cdr:txBody>
    </cdr:sp>
  </cdr:relSizeAnchor>
  <cdr:relSizeAnchor xmlns:cdr="http://schemas.openxmlformats.org/drawingml/2006/chartDrawing">
    <cdr:from>
      <cdr:x>0.51703</cdr:x>
      <cdr:y>0.23401</cdr:y>
    </cdr:from>
    <cdr:to>
      <cdr:x>0.62565</cdr:x>
      <cdr:y>0.34611</cdr:y>
    </cdr:to>
    <cdr:sp macro="" textlink="">
      <cdr:nvSpPr>
        <cdr:cNvPr id="3" name="BlokTextu 2"/>
        <cdr:cNvSpPr txBox="1"/>
      </cdr:nvSpPr>
      <cdr:spPr>
        <a:xfrm xmlns:a="http://schemas.openxmlformats.org/drawingml/2006/main">
          <a:off x="2978471" y="541345"/>
          <a:ext cx="625729" cy="259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800" b="1">
              <a:solidFill>
                <a:schemeClr val="accent1"/>
              </a:solidFill>
              <a:latin typeface="Arial Narrow" panose="020B0606020202030204" pitchFamily="34" charset="0"/>
            </a:rPr>
            <a:t>55%</a:t>
          </a:r>
          <a:endParaRPr lang="sk-SK" sz="1800" b="1">
            <a:solidFill>
              <a:schemeClr val="accent1"/>
            </a:solidFill>
            <a:latin typeface="Arial Narrow" panose="020B0606020202030204" pitchFamily="34" charset="0"/>
          </a:endParaRPr>
        </a:p>
      </cdr:txBody>
    </cdr:sp>
  </cdr:relSizeAnchor>
  <cdr:relSizeAnchor xmlns:cdr="http://schemas.openxmlformats.org/drawingml/2006/chartDrawing">
    <cdr:from>
      <cdr:x>0.2084</cdr:x>
      <cdr:y>0.23324</cdr:y>
    </cdr:from>
    <cdr:to>
      <cdr:x>0.31642</cdr:x>
      <cdr:y>0.31835</cdr:y>
    </cdr:to>
    <cdr:sp macro="" textlink="">
      <cdr:nvSpPr>
        <cdr:cNvPr id="4" name="BlokTextu 1"/>
        <cdr:cNvSpPr txBox="1"/>
      </cdr:nvSpPr>
      <cdr:spPr>
        <a:xfrm xmlns:a="http://schemas.openxmlformats.org/drawingml/2006/main">
          <a:off x="1200522" y="539544"/>
          <a:ext cx="622273" cy="1968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b="1">
              <a:solidFill>
                <a:schemeClr val="bg1">
                  <a:lumMod val="50000"/>
                </a:schemeClr>
              </a:solidFill>
              <a:latin typeface="Arial Narrow" panose="020B0606020202030204" pitchFamily="34" charset="0"/>
            </a:rPr>
            <a:t>45%</a:t>
          </a:r>
          <a:endParaRPr lang="sk-SK" sz="1800" b="1">
            <a:solidFill>
              <a:schemeClr val="bg1">
                <a:lumMod val="50000"/>
              </a:schemeClr>
            </a:solidFill>
            <a:latin typeface="Arial Narrow" panose="020B0606020202030204" pitchFamily="34" charset="0"/>
          </a:endParaRPr>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EK15</b:Tag>
    <b:SourceType>Report</b:SourceType>
    <b:Guid>{0F90706A-CEB0-41F5-A286-010FBC190B3B}</b:Guid>
    <b:Author>
      <b:Author>
        <b:NameList>
          <b:Person>
            <b:Last>EK</b:Last>
          </b:Person>
        </b:NameList>
      </b:Author>
    </b:Author>
    <b:Title>The 2015 Ageing Report</b:Title>
    <b:Year>2015</b:Year>
    <b:Publisher>European Commission</b:Publisher>
    <b:City>Brusel</b:City>
    <b:RefOrder>2</b:RefOrder>
  </b:Source>
  <b:Source>
    <b:Tag>Lub16</b:Tag>
    <b:SourceType>Book</b:SourceType>
    <b:Guid>{B20DE912-2CAF-4F54-91A7-4B6B3DFE3614}</b:Guid>
    <b:Author>
      <b:Author>
        <b:NameList>
          <b:Person>
            <b:Last>Lubyová</b:Last>
            <b:First>M.</b:First>
          </b:Person>
          <b:Person>
            <b:Last>Štefánik</b:Last>
            <b:First>M.</b:First>
          </b:Person>
        </b:NameList>
      </b:Author>
    </b:Author>
    <b:Title>Labour Market in Slovakia 2017+</b:Title>
    <b:Year>2016</b:Year>
    <b:City>Košice</b:City>
    <b:Publisher>Slovenská akademia vied</b:Publisher>
    <b:RefOrder>1</b:RefOrder>
  </b:Source>
</b:Sources>
</file>

<file path=customXml/itemProps1.xml><?xml version="1.0" encoding="utf-8"?>
<ds:datastoreItem xmlns:ds="http://schemas.openxmlformats.org/officeDocument/2006/customXml" ds:itemID="{C216A046-4A8B-4265-9D3E-740AD3347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42635</Words>
  <Characters>243023</Characters>
  <Application>Microsoft Office Word</Application>
  <DocSecurity>0</DocSecurity>
  <Lines>2025</Lines>
  <Paragraphs>570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2020-03-05T09:35:00Z</dcterms:created>
  <dcterms:modified xsi:type="dcterms:W3CDTF">2020-05-15T09:04:00Z</dcterms:modified>
</cp:coreProperties>
</file>