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Narrow" w:eastAsiaTheme="minorHAnsi" w:hAnsi="Arial Narrow" w:cstheme="minorBidi"/>
          <w:color w:val="auto"/>
          <w:sz w:val="22"/>
          <w:szCs w:val="22"/>
          <w:lang w:eastAsia="en-US"/>
        </w:rPr>
        <w:id w:val="-1200706045"/>
        <w:docPartObj>
          <w:docPartGallery w:val="Table of Contents"/>
          <w:docPartUnique/>
        </w:docPartObj>
      </w:sdtPr>
      <w:sdtEndPr>
        <w:rPr>
          <w:b/>
          <w:bCs/>
        </w:rPr>
      </w:sdtEndPr>
      <w:sdtContent>
        <w:p w14:paraId="67281332" w14:textId="09D7038B" w:rsidR="00B16CE5" w:rsidRDefault="00B16CE5" w:rsidP="00913404">
          <w:pPr>
            <w:pStyle w:val="Hlavikaobsahu"/>
            <w:spacing w:before="0"/>
            <w:rPr>
              <w:rFonts w:ascii="Arial Narrow" w:eastAsiaTheme="minorHAnsi" w:hAnsi="Arial Narrow" w:cstheme="minorBidi"/>
              <w:color w:val="auto"/>
              <w:sz w:val="22"/>
              <w:szCs w:val="22"/>
              <w:lang w:eastAsia="en-US"/>
            </w:rPr>
          </w:pPr>
        </w:p>
        <w:p w14:paraId="19582AA4" w14:textId="118285DD" w:rsidR="00B16CE5" w:rsidRPr="00802BAC" w:rsidRDefault="0021173C" w:rsidP="00B16CE5">
          <w:pPr>
            <w:rPr>
              <w:noProof/>
              <w:lang w:eastAsia="sk-SK"/>
            </w:rPr>
          </w:pPr>
          <w:r w:rsidRPr="00802BAC">
            <w:rPr>
              <w:noProof/>
              <w:lang w:eastAsia="sk-SK"/>
            </w:rPr>
            <w:drawing>
              <wp:anchor distT="0" distB="0" distL="114300" distR="114300" simplePos="0" relativeHeight="251665408" behindDoc="0" locked="0" layoutInCell="1" allowOverlap="1" wp14:anchorId="6D84A8EA" wp14:editId="27A0824F">
                <wp:simplePos x="0" y="0"/>
                <wp:positionH relativeFrom="margin">
                  <wp:align>right</wp:align>
                </wp:positionH>
                <wp:positionV relativeFrom="margin">
                  <wp:posOffset>252730</wp:posOffset>
                </wp:positionV>
                <wp:extent cx="2562860" cy="412750"/>
                <wp:effectExtent l="0" t="0" r="8890" b="6350"/>
                <wp:wrapSquare wrapText="bothSides"/>
                <wp:docPr id="28010" name="Obrázok 28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Ã½sledok vyhÄ¾adÃ¡vania obrÃ¡zkov pre dopyt ministerstvo zdravotnictva"/>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562860" cy="412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CE5" w:rsidRPr="00802BAC">
            <w:rPr>
              <w:noProof/>
              <w:lang w:eastAsia="sk-SK"/>
            </w:rPr>
            <w:drawing>
              <wp:anchor distT="0" distB="0" distL="114300" distR="114300" simplePos="0" relativeHeight="251663360" behindDoc="0" locked="0" layoutInCell="1" allowOverlap="1" wp14:anchorId="11FC04F2" wp14:editId="42C20919">
                <wp:simplePos x="0" y="0"/>
                <wp:positionH relativeFrom="page">
                  <wp:posOffset>899795</wp:posOffset>
                </wp:positionH>
                <wp:positionV relativeFrom="paragraph">
                  <wp:posOffset>106993</wp:posOffset>
                </wp:positionV>
                <wp:extent cx="1924216" cy="465964"/>
                <wp:effectExtent l="0" t="0" r="0" b="0"/>
                <wp:wrapNone/>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fsrlogo.jpg"/>
                        <pic:cNvPicPr/>
                      </pic:nvPicPr>
                      <pic:blipFill>
                        <a:blip r:embed="rId9">
                          <a:extLst>
                            <a:ext uri="{28A0092B-C50C-407E-A947-70E740481C1C}">
                              <a14:useLocalDpi xmlns:a14="http://schemas.microsoft.com/office/drawing/2010/main" val="0"/>
                            </a:ext>
                          </a:extLst>
                        </a:blip>
                        <a:stretch>
                          <a:fillRect/>
                        </a:stretch>
                      </pic:blipFill>
                      <pic:spPr>
                        <a:xfrm>
                          <a:off x="0" y="0"/>
                          <a:ext cx="1924216" cy="465964"/>
                        </a:xfrm>
                        <a:prstGeom prst="rect">
                          <a:avLst/>
                        </a:prstGeom>
                      </pic:spPr>
                    </pic:pic>
                  </a:graphicData>
                </a:graphic>
                <wp14:sizeRelH relativeFrom="margin">
                  <wp14:pctWidth>0</wp14:pctWidth>
                </wp14:sizeRelH>
                <wp14:sizeRelV relativeFrom="margin">
                  <wp14:pctHeight>0</wp14:pctHeight>
                </wp14:sizeRelV>
              </wp:anchor>
            </w:drawing>
          </w:r>
        </w:p>
        <w:p w14:paraId="6668872E" w14:textId="1BD33AC6" w:rsidR="00B16CE5" w:rsidRPr="00802BAC" w:rsidRDefault="00B16CE5" w:rsidP="00B16CE5"/>
        <w:p w14:paraId="5316D2FD" w14:textId="77777777" w:rsidR="00B16CE5" w:rsidRPr="00802BAC" w:rsidRDefault="00B16CE5" w:rsidP="00B16CE5"/>
        <w:p w14:paraId="2DA9279A" w14:textId="77777777" w:rsidR="00B16CE5" w:rsidRPr="00802BAC" w:rsidRDefault="00B16CE5" w:rsidP="00B16CE5">
          <w:pPr>
            <w:spacing w:after="200"/>
          </w:pPr>
        </w:p>
        <w:p w14:paraId="4D6103CE" w14:textId="77777777" w:rsidR="00B16CE5" w:rsidRPr="00802BAC" w:rsidRDefault="00B16CE5" w:rsidP="00B16CE5">
          <w:pPr>
            <w:spacing w:after="200"/>
          </w:pPr>
        </w:p>
        <w:p w14:paraId="1DDBCCE8" w14:textId="77777777" w:rsidR="00B16CE5" w:rsidRPr="00802BAC" w:rsidRDefault="00B16CE5" w:rsidP="00B16CE5">
          <w:pPr>
            <w:spacing w:after="200"/>
          </w:pPr>
        </w:p>
        <w:p w14:paraId="5DD38766" w14:textId="2280EC02" w:rsidR="00FC525F" w:rsidRPr="00B37B6C" w:rsidRDefault="00FC525F" w:rsidP="00FC525F">
          <w:pPr>
            <w:spacing w:after="0"/>
            <w:jc w:val="center"/>
            <w:rPr>
              <w:noProof/>
              <w:color w:val="0070C0"/>
              <w:sz w:val="40"/>
              <w:szCs w:val="56"/>
              <w:lang w:eastAsia="sk-SK"/>
            </w:rPr>
          </w:pPr>
          <w:r w:rsidRPr="00B37B6C">
            <w:rPr>
              <w:noProof/>
              <w:color w:val="0070C0"/>
              <w:sz w:val="40"/>
              <w:szCs w:val="56"/>
              <w:lang w:eastAsia="sk-SK"/>
            </w:rPr>
            <w:t xml:space="preserve">Externá príloha č. </w:t>
          </w:r>
          <w:r w:rsidR="00A329B7">
            <w:rPr>
              <w:noProof/>
              <w:color w:val="0070C0"/>
              <w:sz w:val="40"/>
              <w:szCs w:val="56"/>
              <w:lang w:eastAsia="sk-SK"/>
            </w:rPr>
            <w:t>1</w:t>
          </w:r>
          <w:bookmarkStart w:id="0" w:name="_GoBack"/>
          <w:bookmarkEnd w:id="0"/>
        </w:p>
        <w:p w14:paraId="1450964F" w14:textId="77777777" w:rsidR="00B16CE5" w:rsidRDefault="00B16CE5" w:rsidP="00B16CE5">
          <w:pPr>
            <w:spacing w:after="200"/>
          </w:pPr>
        </w:p>
        <w:p w14:paraId="16FE3085" w14:textId="77777777" w:rsidR="00FC525F" w:rsidRDefault="00FC525F" w:rsidP="00B16CE5">
          <w:pPr>
            <w:spacing w:after="200"/>
          </w:pPr>
        </w:p>
        <w:p w14:paraId="30981757" w14:textId="77777777" w:rsidR="00FC525F" w:rsidRPr="00802BAC" w:rsidRDefault="00FC525F" w:rsidP="00B16CE5">
          <w:pPr>
            <w:spacing w:after="200"/>
          </w:pPr>
        </w:p>
        <w:p w14:paraId="72A306C0" w14:textId="1796D35F" w:rsidR="00B16CE5" w:rsidRPr="00802BAC" w:rsidRDefault="00FA3735" w:rsidP="00B16CE5">
          <w:pPr>
            <w:spacing w:after="0"/>
            <w:jc w:val="center"/>
            <w:rPr>
              <w:color w:val="2E74B5" w:themeColor="accent1" w:themeShade="BF"/>
              <w:sz w:val="52"/>
              <w:szCs w:val="56"/>
            </w:rPr>
          </w:pPr>
          <w:r>
            <w:rPr>
              <w:color w:val="2E74B5" w:themeColor="accent1" w:themeShade="BF"/>
              <w:sz w:val="52"/>
              <w:szCs w:val="56"/>
            </w:rPr>
            <w:t>I</w:t>
          </w:r>
          <w:r w:rsidR="00B16CE5">
            <w:rPr>
              <w:color w:val="2E74B5" w:themeColor="accent1" w:themeShade="BF"/>
              <w:sz w:val="52"/>
              <w:szCs w:val="56"/>
            </w:rPr>
            <w:t>nformatizáci</w:t>
          </w:r>
          <w:r>
            <w:rPr>
              <w:color w:val="2E74B5" w:themeColor="accent1" w:themeShade="BF"/>
              <w:sz w:val="52"/>
              <w:szCs w:val="56"/>
            </w:rPr>
            <w:t>a 2.0</w:t>
          </w:r>
        </w:p>
        <w:p w14:paraId="0038555D" w14:textId="0CBD2672" w:rsidR="00B16CE5" w:rsidRPr="00802BAC" w:rsidRDefault="00FA3735" w:rsidP="00B16CE5">
          <w:pPr>
            <w:spacing w:after="0"/>
            <w:jc w:val="center"/>
            <w:rPr>
              <w:color w:val="2E74B5" w:themeColor="accent1" w:themeShade="BF"/>
              <w:sz w:val="44"/>
              <w:szCs w:val="56"/>
            </w:rPr>
          </w:pPr>
          <w:r>
            <w:rPr>
              <w:noProof/>
              <w:color w:val="2E74B5" w:themeColor="accent1" w:themeShade="BF"/>
              <w:sz w:val="44"/>
              <w:szCs w:val="56"/>
              <w:lang w:eastAsia="sk-SK"/>
            </w:rPr>
            <w:t>r</w:t>
          </w:r>
          <w:r w:rsidRPr="00FA3735">
            <w:rPr>
              <w:noProof/>
              <w:color w:val="2E74B5" w:themeColor="accent1" w:themeShade="BF"/>
              <w:sz w:val="44"/>
              <w:szCs w:val="56"/>
              <w:lang w:eastAsia="sk-SK"/>
            </w:rPr>
            <w:t>evízia výdavkov</w:t>
          </w:r>
        </w:p>
        <w:p w14:paraId="0C2F7893" w14:textId="77777777" w:rsidR="00B16CE5" w:rsidRPr="00802BAC" w:rsidRDefault="00B16CE5" w:rsidP="00B16CE5">
          <w:pPr>
            <w:spacing w:after="0"/>
            <w:jc w:val="center"/>
            <w:rPr>
              <w:color w:val="2E74B5" w:themeColor="accent1" w:themeShade="BF"/>
              <w:sz w:val="44"/>
              <w:szCs w:val="56"/>
            </w:rPr>
          </w:pPr>
        </w:p>
        <w:p w14:paraId="14316431" w14:textId="77777777" w:rsidR="00B16CE5" w:rsidRPr="00802BAC" w:rsidRDefault="00B16CE5" w:rsidP="00B16CE5">
          <w:pPr>
            <w:spacing w:after="0"/>
            <w:rPr>
              <w:color w:val="2E74B5" w:themeColor="accent1" w:themeShade="BF"/>
              <w:sz w:val="44"/>
              <w:szCs w:val="56"/>
            </w:rPr>
          </w:pPr>
        </w:p>
        <w:p w14:paraId="45DD63EA" w14:textId="77777777" w:rsidR="00B16CE5" w:rsidRPr="00802BAC" w:rsidRDefault="00B16CE5" w:rsidP="00B16CE5">
          <w:pPr>
            <w:jc w:val="center"/>
            <w:rPr>
              <w:color w:val="FF0000"/>
              <w:sz w:val="40"/>
              <w:szCs w:val="40"/>
            </w:rPr>
          </w:pPr>
        </w:p>
        <w:p w14:paraId="594ED479" w14:textId="77777777" w:rsidR="00B16CE5" w:rsidRPr="00802BAC" w:rsidRDefault="00B16CE5" w:rsidP="00B16CE5">
          <w:pPr>
            <w:jc w:val="center"/>
            <w:rPr>
              <w:color w:val="FF0000"/>
              <w:sz w:val="40"/>
              <w:szCs w:val="40"/>
            </w:rPr>
          </w:pPr>
        </w:p>
        <w:p w14:paraId="4039FAA0" w14:textId="254C2928" w:rsidR="00B16CE5" w:rsidRPr="00802BAC" w:rsidRDefault="00FC525F" w:rsidP="00B16CE5">
          <w:pPr>
            <w:jc w:val="center"/>
          </w:pPr>
          <w:r w:rsidRPr="00802BAC">
            <w:rPr>
              <w:noProof/>
              <w:lang w:eastAsia="sk-SK"/>
            </w:rPr>
            <mc:AlternateContent>
              <mc:Choice Requires="wps">
                <w:drawing>
                  <wp:anchor distT="0" distB="0" distL="114300" distR="114300" simplePos="0" relativeHeight="251661312" behindDoc="0" locked="0" layoutInCell="1" allowOverlap="1" wp14:anchorId="0C404E29" wp14:editId="1A67361E">
                    <wp:simplePos x="0" y="0"/>
                    <wp:positionH relativeFrom="margin">
                      <wp:align>center</wp:align>
                    </wp:positionH>
                    <wp:positionV relativeFrom="paragraph">
                      <wp:posOffset>1772691</wp:posOffset>
                    </wp:positionV>
                    <wp:extent cx="3233318" cy="380560"/>
                    <wp:effectExtent l="0" t="0" r="5715" b="635"/>
                    <wp:wrapNone/>
                    <wp:docPr id="14" name="Textové pole 14"/>
                    <wp:cNvGraphicFramePr/>
                    <a:graphic xmlns:a="http://schemas.openxmlformats.org/drawingml/2006/main">
                      <a:graphicData uri="http://schemas.microsoft.com/office/word/2010/wordprocessingShape">
                        <wps:wsp>
                          <wps:cNvSpPr txBox="1"/>
                          <wps:spPr>
                            <a:xfrm>
                              <a:off x="0" y="0"/>
                              <a:ext cx="3233318" cy="380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C3E5C" w14:textId="77777777" w:rsidR="00B16CE5" w:rsidRPr="00E1413A" w:rsidRDefault="00B16CE5" w:rsidP="00B16CE5">
                                <w:pPr>
                                  <w:jc w:val="center"/>
                                  <w:rPr>
                                    <w:color w:val="0070C0"/>
                                  </w:rPr>
                                </w:pPr>
                                <w:r w:rsidRPr="00E1413A">
                                  <w:rPr>
                                    <w:color w:val="0070C0"/>
                                  </w:rPr>
                                  <w:t>Tento projekt je podporený z Európskeho sociálneho fondu</w:t>
                                </w:r>
                              </w:p>
                              <w:p w14:paraId="3C012B36" w14:textId="77777777" w:rsidR="00B16CE5" w:rsidRDefault="00B16CE5" w:rsidP="00B16C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04E29" id="_x0000_t202" coordsize="21600,21600" o:spt="202" path="m,l,21600r21600,l21600,xe">
                    <v:stroke joinstyle="miter"/>
                    <v:path gradientshapeok="t" o:connecttype="rect"/>
                  </v:shapetype>
                  <v:shape id="Textové pole 14" o:spid="_x0000_s1026" type="#_x0000_t202" style="position:absolute;left:0;text-align:left;margin-left:0;margin-top:139.6pt;width:254.6pt;height:29.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" fillcolor="white [3201]" stroked="f" strokeweight=".5pt">
                    <v:textbox>
                      <w:txbxContent>
                        <w:p w14:paraId="444C3E5C" w14:textId="77777777" w:rsidR="00B16CE5" w:rsidRPr="00E1413A" w:rsidRDefault="00B16CE5" w:rsidP="00B16CE5">
                          <w:pPr>
                            <w:jc w:val="center"/>
                            <w:rPr>
                              <w:color w:val="0070C0"/>
                            </w:rPr>
                          </w:pPr>
                          <w:r w:rsidRPr="00E1413A">
                            <w:rPr>
                              <w:color w:val="0070C0"/>
                            </w:rPr>
                            <w:t>Tento projekt je podporený z Európskeho sociálneho fondu</w:t>
                          </w:r>
                        </w:p>
                        <w:p w14:paraId="3C012B36" w14:textId="77777777" w:rsidR="00B16CE5" w:rsidRDefault="00B16CE5" w:rsidP="00B16CE5"/>
                      </w:txbxContent>
                    </v:textbox>
                    <w10:wrap anchorx="margin"/>
                  </v:shape>
                </w:pict>
              </mc:Fallback>
            </mc:AlternateContent>
          </w:r>
          <w:r w:rsidR="00B16CE5" w:rsidRPr="00802BAC">
            <w:rPr>
              <w:b/>
              <w:noProof/>
              <w:sz w:val="20"/>
              <w:szCs w:val="20"/>
              <w:lang w:eastAsia="sk-SK"/>
            </w:rPr>
            <mc:AlternateContent>
              <mc:Choice Requires="wps">
                <w:drawing>
                  <wp:anchor distT="0" distB="0" distL="114300" distR="114300" simplePos="0" relativeHeight="251664384" behindDoc="0" locked="1" layoutInCell="1" allowOverlap="1" wp14:anchorId="09A5BB7C" wp14:editId="7EA8F936">
                    <wp:simplePos x="0" y="0"/>
                    <wp:positionH relativeFrom="margin">
                      <wp:align>center</wp:align>
                    </wp:positionH>
                    <wp:positionV relativeFrom="page">
                      <wp:posOffset>6692900</wp:posOffset>
                    </wp:positionV>
                    <wp:extent cx="3079115" cy="410845"/>
                    <wp:effectExtent l="0" t="0" r="6985" b="825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115" cy="410845"/>
                            </a:xfrm>
                            <a:prstGeom prst="rect">
                              <a:avLst/>
                            </a:prstGeom>
                            <a:solidFill>
                              <a:srgbClr val="FFFFFF"/>
                            </a:solidFill>
                            <a:ln w="9525">
                              <a:noFill/>
                              <a:miter lim="800000"/>
                              <a:headEnd/>
                              <a:tailEnd/>
                            </a:ln>
                          </wps:spPr>
                          <wps:txbx>
                            <w:txbxContent>
                              <w:p w14:paraId="372C3835" w14:textId="53908615" w:rsidR="00B16CE5" w:rsidRPr="000730AE" w:rsidRDefault="00FC525F" w:rsidP="00B16CE5">
                                <w:pPr>
                                  <w:jc w:val="center"/>
                                  <w:rPr>
                                    <w:color w:val="0070C0"/>
                                    <w:sz w:val="40"/>
                                    <w:szCs w:val="40"/>
                                  </w:rPr>
                                </w:pPr>
                                <w:r>
                                  <w:rPr>
                                    <w:color w:val="0070C0"/>
                                    <w:sz w:val="40"/>
                                    <w:szCs w:val="40"/>
                                  </w:rPr>
                                  <w:t>Zverejnené v marci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5BB7C" id="Text Box 2" o:spid="_x0000_s1027" type="#_x0000_t202" style="position:absolute;left:0;text-align:left;margin-left:0;margin-top:527pt;width:242.45pt;height:32.3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" stroked="f">
                    <v:textbox>
                      <w:txbxContent>
                        <w:p w14:paraId="372C3835" w14:textId="53908615" w:rsidR="00B16CE5" w:rsidRPr="000730AE" w:rsidRDefault="00FC525F" w:rsidP="00B16CE5">
                          <w:pPr>
                            <w:jc w:val="center"/>
                            <w:rPr>
                              <w:color w:val="0070C0"/>
                              <w:sz w:val="40"/>
                              <w:szCs w:val="40"/>
                            </w:rPr>
                          </w:pPr>
                          <w:r>
                            <w:rPr>
                              <w:color w:val="0070C0"/>
                              <w:sz w:val="40"/>
                              <w:szCs w:val="40"/>
                            </w:rPr>
                            <w:t>Zverejnené v marci 2020</w:t>
                          </w:r>
                        </w:p>
                      </w:txbxContent>
                    </v:textbox>
                    <w10:wrap anchorx="margin" anchory="page"/>
                    <w10:anchorlock/>
                  </v:shape>
                </w:pict>
              </mc:Fallback>
            </mc:AlternateContent>
          </w:r>
          <w:r w:rsidR="00B16CE5" w:rsidRPr="00802BAC">
            <w:rPr>
              <w:noProof/>
              <w:lang w:eastAsia="sk-SK"/>
            </w:rPr>
            <w:t xml:space="preserve"> </w:t>
          </w:r>
          <w:r w:rsidR="00B16CE5" w:rsidRPr="00802BAC">
            <w:rPr>
              <w:noProof/>
              <w:lang w:eastAsia="sk-SK"/>
            </w:rPr>
            <w:drawing>
              <wp:anchor distT="0" distB="0" distL="114300" distR="114300" simplePos="0" relativeHeight="251660288" behindDoc="0" locked="1" layoutInCell="1" allowOverlap="1" wp14:anchorId="04EBFD26" wp14:editId="6C5B4390">
                <wp:simplePos x="0" y="0"/>
                <wp:positionH relativeFrom="margin">
                  <wp:posOffset>3054350</wp:posOffset>
                </wp:positionH>
                <wp:positionV relativeFrom="margin">
                  <wp:posOffset>7867015</wp:posOffset>
                </wp:positionV>
                <wp:extent cx="3610610" cy="899795"/>
                <wp:effectExtent l="0" t="0" r="0" b="0"/>
                <wp:wrapSquare wrapText="bothSides"/>
                <wp:docPr id="28021" name="Obrázok 28021" descr="U:\IFP_NEW\4_STRUKTURAL\4_4_Agenda\18_Spending reviews\Informatizacia\01_Final_report\logos\logo-EU-ESF-farba-sv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IFP_NEW\4_STRUKTURAL\4_4_Agenda\18_Spending reviews\Informatizacia\01_Final_report\logos\logo-EU-ESF-farba-sv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061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CE5" w:rsidRPr="00802BAC">
            <w:rPr>
              <w:noProof/>
              <w:lang w:eastAsia="sk-SK"/>
            </w:rPr>
            <w:drawing>
              <wp:anchor distT="0" distB="0" distL="114300" distR="114300" simplePos="0" relativeHeight="251659264" behindDoc="0" locked="1" layoutInCell="1" allowOverlap="1" wp14:anchorId="043BE453" wp14:editId="08B3051E">
                <wp:simplePos x="0" y="0"/>
                <wp:positionH relativeFrom="page">
                  <wp:posOffset>346075</wp:posOffset>
                </wp:positionH>
                <wp:positionV relativeFrom="margin">
                  <wp:posOffset>7866380</wp:posOffset>
                </wp:positionV>
                <wp:extent cx="3606800" cy="899795"/>
                <wp:effectExtent l="0" t="0" r="0" b="0"/>
                <wp:wrapSquare wrapText="bothSides"/>
                <wp:docPr id="34" name="Obrázok 34" descr="U:\IFP_NEW\4_STRUKTURAL\4_4_Agenda\18_Spending reviews\Informatizacia\01_Final_report\logos\logo-OP-EVS-farba-sv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IFP_NEW\4_STRUKTURAL\4_4_Agenda\18_Spending reviews\Informatizacia\01_Final_report\logos\logo-OP-EVS-farba-sv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680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CE5" w:rsidRPr="00802BAC">
            <w:br w:type="page"/>
          </w:r>
        </w:p>
        <w:p w14:paraId="0B50AFB5" w14:textId="730A8FF7" w:rsidR="00B16CE5" w:rsidRPr="00802BAC" w:rsidRDefault="00B16CE5" w:rsidP="00B16CE5">
          <w:pPr>
            <w:spacing w:before="1200" w:after="6000"/>
            <w:rPr>
              <w:b/>
            </w:rPr>
          </w:pPr>
          <w:r w:rsidRPr="00802BAC">
            <w:rPr>
              <w:noProof/>
              <w:lang w:eastAsia="sk-SK"/>
            </w:rPr>
            <w:lastRenderedPageBreak/>
            <w:drawing>
              <wp:anchor distT="0" distB="0" distL="114300" distR="114300" simplePos="0" relativeHeight="251666432" behindDoc="0" locked="0" layoutInCell="1" allowOverlap="1" wp14:anchorId="4A7D3E3E" wp14:editId="509E218F">
                <wp:simplePos x="0" y="0"/>
                <wp:positionH relativeFrom="margin">
                  <wp:align>center</wp:align>
                </wp:positionH>
                <wp:positionV relativeFrom="paragraph">
                  <wp:posOffset>0</wp:posOffset>
                </wp:positionV>
                <wp:extent cx="597600" cy="856800"/>
                <wp:effectExtent l="0" t="0" r="0" b="0"/>
                <wp:wrapSquare wrapText="bothSides"/>
                <wp:docPr id="28020" name="Obrázok 4" descr="U:\IFP_NEW\4_STRUKTURAL\4_4_Agenda\18_Spending reviews\Informatizacia\01_Final_report\logos\uhpv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FP_NEW\4_STRUKTURAL\4_4_Agenda\18_Spending reviews\Informatizacia\01_Final_report\logos\uhpv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600" cy="85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717597" w14:textId="5375EB5E" w:rsidR="00B16CE5" w:rsidRDefault="00B16CE5" w:rsidP="00B16CE5">
          <w:pPr>
            <w:spacing w:after="200"/>
          </w:pPr>
          <w:r w:rsidRPr="00802BAC">
            <w:t>Jedným zo zadaní projektu Hodnota za peniaze je revízia výdavkov verejnej správy. Tento materiál Ministerstva financií SR a</w:t>
          </w:r>
          <w:r>
            <w:t> Úradu podpredsedu vlády</w:t>
          </w:r>
          <w:r w:rsidRPr="00802BAC">
            <w:t xml:space="preserve"> SR </w:t>
          </w:r>
          <w:r>
            <w:t xml:space="preserve">pre investície a informatizáciu </w:t>
          </w:r>
          <w:r w:rsidRPr="00802BAC">
            <w:t xml:space="preserve">je hodnotením výdavkov na </w:t>
          </w:r>
          <w:r>
            <w:t>informatizáciu.</w:t>
          </w:r>
          <w:r w:rsidRPr="00802BAC">
            <w:t xml:space="preserve"> </w:t>
          </w:r>
          <w:r>
            <w:t>Predstavuje aktualizáciu záverečnej správy revízie výdavkov na informatizáciu zverejnenej v októbri 2016</w:t>
          </w:r>
          <w:r w:rsidRPr="00802BAC">
            <w:t xml:space="preserve">. Hodnotenie pripravili za Útvar hodnoty za peniaze MF SR Štefan Kišš, </w:t>
          </w:r>
          <w:r>
            <w:t>Juraj Mach</w:t>
          </w:r>
          <w:r w:rsidRPr="00802BAC">
            <w:t xml:space="preserve">, </w:t>
          </w:r>
          <w:r>
            <w:t>Martin Kmeťko a Martin Krok</w:t>
          </w:r>
          <w:r w:rsidRPr="00802BAC">
            <w:t xml:space="preserve"> a za </w:t>
          </w:r>
          <w:r>
            <w:t>ÚPVII</w:t>
          </w:r>
          <w:r w:rsidRPr="00802BAC">
            <w:t xml:space="preserve"> SR </w:t>
          </w:r>
          <w:r w:rsidR="0021173C">
            <w:t>Jaroslav Kmeť, Vladimír Sedláček a Martin Bezek</w:t>
          </w:r>
          <w:r>
            <w:t xml:space="preserve">. </w:t>
          </w:r>
        </w:p>
        <w:p w14:paraId="68B8FC97" w14:textId="77777777" w:rsidR="00B16CE5" w:rsidRDefault="00B16CE5" w:rsidP="00B16CE5">
          <w:pPr>
            <w:spacing w:after="200"/>
          </w:pPr>
        </w:p>
        <w:p w14:paraId="1BBF2BC9" w14:textId="77777777" w:rsidR="00B16CE5" w:rsidRPr="00802BAC" w:rsidRDefault="00B16CE5" w:rsidP="00B16CE5">
          <w:pPr>
            <w:spacing w:after="200"/>
            <w:rPr>
              <w:rFonts w:ascii="Calibri" w:hAnsi="Calibri"/>
            </w:rPr>
          </w:pPr>
        </w:p>
        <w:p w14:paraId="0FFF8C53" w14:textId="77777777" w:rsidR="00B16CE5" w:rsidRPr="00802BAC" w:rsidRDefault="00B16CE5" w:rsidP="00B16CE5">
          <w:pPr>
            <w:spacing w:after="200"/>
            <w:rPr>
              <w:b/>
            </w:rPr>
          </w:pPr>
          <w:r w:rsidRPr="00802BAC">
            <w:rPr>
              <w:b/>
            </w:rPr>
            <w:t>Poďakovanie</w:t>
          </w:r>
        </w:p>
        <w:p w14:paraId="59B6F882" w14:textId="15317EFA" w:rsidR="00B16CE5" w:rsidRDefault="00B16CE5" w:rsidP="00B16CE5">
          <w:pPr>
            <w:spacing w:after="200"/>
          </w:pPr>
          <w:r w:rsidRPr="0008790D">
            <w:t xml:space="preserve">Za hodnotné návrhy a pripomienky počas prípravy správy ďakujeme </w:t>
          </w:r>
          <w:r w:rsidR="0021173C">
            <w:t xml:space="preserve">Patrikovi Krauspemu (ÚPVII SR), Richardovi Hrabčákovi </w:t>
          </w:r>
          <w:r w:rsidR="00D96C90">
            <w:t xml:space="preserve">a Petrovi Vilimovi </w:t>
          </w:r>
          <w:r w:rsidR="0021173C">
            <w:t xml:space="preserve">(Inštitút digitálnych a rozvojových politík UPVII), </w:t>
          </w:r>
          <w:r w:rsidR="00D96C90" w:rsidRPr="00D96C90">
            <w:t>Jánovi Hargašovi, Ľuborovi Illekovi, Jánovi Suchalovi a Petrovi Kulichovi</w:t>
          </w:r>
          <w:r w:rsidR="00D96C90">
            <w:t xml:space="preserve"> (</w:t>
          </w:r>
          <w:r w:rsidR="0021173C">
            <w:t>Slovensko.Digital</w:t>
          </w:r>
          <w:r w:rsidR="00D96C90">
            <w:t>)</w:t>
          </w:r>
          <w:r w:rsidR="0021173C">
            <w:t xml:space="preserve"> a Vladimírovi Bednárovi</w:t>
          </w:r>
          <w:r w:rsidRPr="0008790D">
            <w:t xml:space="preserve">. </w:t>
          </w:r>
        </w:p>
        <w:p w14:paraId="5B688172" w14:textId="77777777" w:rsidR="00B16CE5" w:rsidRPr="00802BAC" w:rsidRDefault="00B16CE5" w:rsidP="00B16CE5">
          <w:pPr>
            <w:spacing w:after="200"/>
          </w:pPr>
          <w:r w:rsidRPr="00802BAC">
            <w:t xml:space="preserve">Chyby a opomenutia zostávajú zodpovednosťou autorov. </w:t>
          </w:r>
        </w:p>
        <w:p w14:paraId="533AD3AC" w14:textId="77777777" w:rsidR="00B16CE5" w:rsidRDefault="00B16CE5" w:rsidP="00B16CE5"/>
        <w:p w14:paraId="12D73E7C" w14:textId="77777777" w:rsidR="00B16CE5" w:rsidRPr="00802BAC" w:rsidRDefault="00B16CE5" w:rsidP="00B16CE5"/>
        <w:p w14:paraId="6684DC15" w14:textId="77777777" w:rsidR="00B16CE5" w:rsidRPr="00802BAC" w:rsidRDefault="00B16CE5" w:rsidP="00B16CE5">
          <w:r w:rsidRPr="00802BAC">
            <w:br w:type="page"/>
          </w:r>
        </w:p>
        <w:p w14:paraId="369AF600" w14:textId="07755449" w:rsidR="009D4E45" w:rsidRDefault="009D4E45" w:rsidP="00913404">
          <w:pPr>
            <w:pStyle w:val="Hlavikaobsahu"/>
            <w:spacing w:before="0"/>
          </w:pPr>
          <w:r>
            <w:lastRenderedPageBreak/>
            <w:t>Obsah</w:t>
          </w:r>
        </w:p>
        <w:p w14:paraId="6EBA1354" w14:textId="77777777" w:rsidR="00F74E72" w:rsidRDefault="009D4E45">
          <w:pPr>
            <w:pStyle w:val="Obsah2"/>
            <w:tabs>
              <w:tab w:val="left" w:pos="660"/>
              <w:tab w:val="right" w:leader="dot" w:pos="9062"/>
            </w:tabs>
            <w:rPr>
              <w:rFonts w:asciiTheme="minorHAnsi" w:eastAsiaTheme="minorEastAsia" w:hAnsiTheme="minorHAnsi"/>
              <w:noProof/>
              <w:lang w:val="en-GB" w:eastAsia="en-GB"/>
            </w:rPr>
          </w:pPr>
          <w:r>
            <w:rPr>
              <w:b/>
              <w:bCs/>
            </w:rPr>
            <w:fldChar w:fldCharType="begin"/>
          </w:r>
          <w:r>
            <w:rPr>
              <w:b/>
              <w:bCs/>
            </w:rPr>
            <w:instrText xml:space="preserve"> TOC \o "1-3" \h \z \u </w:instrText>
          </w:r>
          <w:r>
            <w:rPr>
              <w:b/>
              <w:bCs/>
            </w:rPr>
            <w:fldChar w:fldCharType="separate"/>
          </w:r>
          <w:hyperlink w:anchor="_Toc35602753" w:history="1">
            <w:r w:rsidR="00F74E72" w:rsidRPr="00AE6978">
              <w:rPr>
                <w:rStyle w:val="Hypertextovprepojenie"/>
                <w:noProof/>
              </w:rPr>
              <w:t>1.</w:t>
            </w:r>
            <w:r w:rsidR="00F74E72">
              <w:rPr>
                <w:rFonts w:asciiTheme="minorHAnsi" w:eastAsiaTheme="minorEastAsia" w:hAnsiTheme="minorHAnsi"/>
                <w:noProof/>
                <w:lang w:val="en-GB" w:eastAsia="en-GB"/>
              </w:rPr>
              <w:tab/>
            </w:r>
            <w:r w:rsidR="00F74E72" w:rsidRPr="00AE6978">
              <w:rPr>
                <w:rStyle w:val="Hypertextovprepojenie"/>
                <w:noProof/>
              </w:rPr>
              <w:t>Úvod a zhrnutie</w:t>
            </w:r>
            <w:r w:rsidR="00F74E72">
              <w:rPr>
                <w:noProof/>
                <w:webHidden/>
              </w:rPr>
              <w:tab/>
            </w:r>
            <w:r w:rsidR="00F74E72">
              <w:rPr>
                <w:noProof/>
                <w:webHidden/>
              </w:rPr>
              <w:fldChar w:fldCharType="begin"/>
            </w:r>
            <w:r w:rsidR="00F74E72">
              <w:rPr>
                <w:noProof/>
                <w:webHidden/>
              </w:rPr>
              <w:instrText xml:space="preserve"> PAGEREF _Toc35602753 \h </w:instrText>
            </w:r>
            <w:r w:rsidR="00F74E72">
              <w:rPr>
                <w:noProof/>
                <w:webHidden/>
              </w:rPr>
            </w:r>
            <w:r w:rsidR="00F74E72">
              <w:rPr>
                <w:noProof/>
                <w:webHidden/>
              </w:rPr>
              <w:fldChar w:fldCharType="separate"/>
            </w:r>
            <w:r w:rsidR="00F74E72">
              <w:rPr>
                <w:noProof/>
                <w:webHidden/>
              </w:rPr>
              <w:t>2</w:t>
            </w:r>
            <w:r w:rsidR="00F74E72">
              <w:rPr>
                <w:noProof/>
                <w:webHidden/>
              </w:rPr>
              <w:fldChar w:fldCharType="end"/>
            </w:r>
          </w:hyperlink>
        </w:p>
        <w:p w14:paraId="73847A0B" w14:textId="77777777" w:rsidR="00F74E72" w:rsidRDefault="00A329B7">
          <w:pPr>
            <w:pStyle w:val="Obsah2"/>
            <w:tabs>
              <w:tab w:val="left" w:pos="660"/>
              <w:tab w:val="right" w:leader="dot" w:pos="9062"/>
            </w:tabs>
            <w:rPr>
              <w:rFonts w:asciiTheme="minorHAnsi" w:eastAsiaTheme="minorEastAsia" w:hAnsiTheme="minorHAnsi"/>
              <w:noProof/>
              <w:lang w:val="en-GB" w:eastAsia="en-GB"/>
            </w:rPr>
          </w:pPr>
          <w:hyperlink w:anchor="_Toc35602754" w:history="1">
            <w:r w:rsidR="00F74E72" w:rsidRPr="00AE6978">
              <w:rPr>
                <w:rStyle w:val="Hypertextovprepojenie"/>
                <w:noProof/>
              </w:rPr>
              <w:t>2.</w:t>
            </w:r>
            <w:r w:rsidR="00F74E72">
              <w:rPr>
                <w:rFonts w:asciiTheme="minorHAnsi" w:eastAsiaTheme="minorEastAsia" w:hAnsiTheme="minorHAnsi"/>
                <w:noProof/>
                <w:lang w:val="en-GB" w:eastAsia="en-GB"/>
              </w:rPr>
              <w:tab/>
            </w:r>
            <w:r w:rsidR="00F74E72" w:rsidRPr="00AE6978">
              <w:rPr>
                <w:rStyle w:val="Hypertextovprepojenie"/>
                <w:noProof/>
              </w:rPr>
              <w:t>Výsledky informatizácie</w:t>
            </w:r>
            <w:r w:rsidR="00F74E72">
              <w:rPr>
                <w:noProof/>
                <w:webHidden/>
              </w:rPr>
              <w:tab/>
            </w:r>
            <w:r w:rsidR="00F74E72">
              <w:rPr>
                <w:noProof/>
                <w:webHidden/>
              </w:rPr>
              <w:fldChar w:fldCharType="begin"/>
            </w:r>
            <w:r w:rsidR="00F74E72">
              <w:rPr>
                <w:noProof/>
                <w:webHidden/>
              </w:rPr>
              <w:instrText xml:space="preserve"> PAGEREF _Toc35602754 \h </w:instrText>
            </w:r>
            <w:r w:rsidR="00F74E72">
              <w:rPr>
                <w:noProof/>
                <w:webHidden/>
              </w:rPr>
            </w:r>
            <w:r w:rsidR="00F74E72">
              <w:rPr>
                <w:noProof/>
                <w:webHidden/>
              </w:rPr>
              <w:fldChar w:fldCharType="separate"/>
            </w:r>
            <w:r w:rsidR="00F74E72">
              <w:rPr>
                <w:noProof/>
                <w:webHidden/>
              </w:rPr>
              <w:t>4</w:t>
            </w:r>
            <w:r w:rsidR="00F74E72">
              <w:rPr>
                <w:noProof/>
                <w:webHidden/>
              </w:rPr>
              <w:fldChar w:fldCharType="end"/>
            </w:r>
          </w:hyperlink>
        </w:p>
        <w:p w14:paraId="3C4AF401" w14:textId="77777777" w:rsidR="00F74E72" w:rsidRDefault="00A329B7">
          <w:pPr>
            <w:pStyle w:val="Obsah2"/>
            <w:tabs>
              <w:tab w:val="left" w:pos="660"/>
              <w:tab w:val="right" w:leader="dot" w:pos="9062"/>
            </w:tabs>
            <w:rPr>
              <w:rFonts w:asciiTheme="minorHAnsi" w:eastAsiaTheme="minorEastAsia" w:hAnsiTheme="minorHAnsi"/>
              <w:noProof/>
              <w:lang w:val="en-GB" w:eastAsia="en-GB"/>
            </w:rPr>
          </w:pPr>
          <w:hyperlink w:anchor="_Toc35602755" w:history="1">
            <w:r w:rsidR="00F74E72" w:rsidRPr="00AE6978">
              <w:rPr>
                <w:rStyle w:val="Hypertextovprepojenie"/>
                <w:noProof/>
              </w:rPr>
              <w:t>3.</w:t>
            </w:r>
            <w:r w:rsidR="00F74E72">
              <w:rPr>
                <w:rFonts w:asciiTheme="minorHAnsi" w:eastAsiaTheme="minorEastAsia" w:hAnsiTheme="minorHAnsi"/>
                <w:noProof/>
                <w:lang w:val="en-GB" w:eastAsia="en-GB"/>
              </w:rPr>
              <w:tab/>
            </w:r>
            <w:r w:rsidR="00F74E72" w:rsidRPr="00AE6978">
              <w:rPr>
                <w:rStyle w:val="Hypertextovprepojenie"/>
                <w:noProof/>
              </w:rPr>
              <w:t>Výdavky a rozpočet</w:t>
            </w:r>
            <w:r w:rsidR="00F74E72">
              <w:rPr>
                <w:noProof/>
                <w:webHidden/>
              </w:rPr>
              <w:tab/>
            </w:r>
            <w:r w:rsidR="00F74E72">
              <w:rPr>
                <w:noProof/>
                <w:webHidden/>
              </w:rPr>
              <w:fldChar w:fldCharType="begin"/>
            </w:r>
            <w:r w:rsidR="00F74E72">
              <w:rPr>
                <w:noProof/>
                <w:webHidden/>
              </w:rPr>
              <w:instrText xml:space="preserve"> PAGEREF _Toc35602755 \h </w:instrText>
            </w:r>
            <w:r w:rsidR="00F74E72">
              <w:rPr>
                <w:noProof/>
                <w:webHidden/>
              </w:rPr>
            </w:r>
            <w:r w:rsidR="00F74E72">
              <w:rPr>
                <w:noProof/>
                <w:webHidden/>
              </w:rPr>
              <w:fldChar w:fldCharType="separate"/>
            </w:r>
            <w:r w:rsidR="00F74E72">
              <w:rPr>
                <w:noProof/>
                <w:webHidden/>
              </w:rPr>
              <w:t>6</w:t>
            </w:r>
            <w:r w:rsidR="00F74E72">
              <w:rPr>
                <w:noProof/>
                <w:webHidden/>
              </w:rPr>
              <w:fldChar w:fldCharType="end"/>
            </w:r>
          </w:hyperlink>
        </w:p>
        <w:p w14:paraId="227F9585" w14:textId="77777777" w:rsidR="00F74E72" w:rsidRDefault="00A329B7">
          <w:pPr>
            <w:pStyle w:val="Obsah2"/>
            <w:tabs>
              <w:tab w:val="left" w:pos="660"/>
              <w:tab w:val="right" w:leader="dot" w:pos="9062"/>
            </w:tabs>
            <w:rPr>
              <w:rFonts w:asciiTheme="minorHAnsi" w:eastAsiaTheme="minorEastAsia" w:hAnsiTheme="minorHAnsi"/>
              <w:noProof/>
              <w:lang w:val="en-GB" w:eastAsia="en-GB"/>
            </w:rPr>
          </w:pPr>
          <w:hyperlink w:anchor="_Toc35602756" w:history="1">
            <w:r w:rsidR="00F74E72" w:rsidRPr="00AE6978">
              <w:rPr>
                <w:rStyle w:val="Hypertextovprepojenie"/>
                <w:noProof/>
              </w:rPr>
              <w:t>4.</w:t>
            </w:r>
            <w:r w:rsidR="00F74E72">
              <w:rPr>
                <w:rFonts w:asciiTheme="minorHAnsi" w:eastAsiaTheme="minorEastAsia" w:hAnsiTheme="minorHAnsi"/>
                <w:noProof/>
                <w:lang w:val="en-GB" w:eastAsia="en-GB"/>
              </w:rPr>
              <w:tab/>
            </w:r>
            <w:r w:rsidR="00F74E72" w:rsidRPr="00AE6978">
              <w:rPr>
                <w:rStyle w:val="Hypertextovprepojenie"/>
                <w:noProof/>
              </w:rPr>
              <w:t>Stratégia riadenia informatizácie</w:t>
            </w:r>
            <w:r w:rsidR="00F74E72">
              <w:rPr>
                <w:noProof/>
                <w:webHidden/>
              </w:rPr>
              <w:tab/>
            </w:r>
            <w:r w:rsidR="00F74E72">
              <w:rPr>
                <w:noProof/>
                <w:webHidden/>
              </w:rPr>
              <w:fldChar w:fldCharType="begin"/>
            </w:r>
            <w:r w:rsidR="00F74E72">
              <w:rPr>
                <w:noProof/>
                <w:webHidden/>
              </w:rPr>
              <w:instrText xml:space="preserve"> PAGEREF _Toc35602756 \h </w:instrText>
            </w:r>
            <w:r w:rsidR="00F74E72">
              <w:rPr>
                <w:noProof/>
                <w:webHidden/>
              </w:rPr>
            </w:r>
            <w:r w:rsidR="00F74E72">
              <w:rPr>
                <w:noProof/>
                <w:webHidden/>
              </w:rPr>
              <w:fldChar w:fldCharType="separate"/>
            </w:r>
            <w:r w:rsidR="00F74E72">
              <w:rPr>
                <w:noProof/>
                <w:webHidden/>
              </w:rPr>
              <w:t>8</w:t>
            </w:r>
            <w:r w:rsidR="00F74E72">
              <w:rPr>
                <w:noProof/>
                <w:webHidden/>
              </w:rPr>
              <w:fldChar w:fldCharType="end"/>
            </w:r>
          </w:hyperlink>
        </w:p>
        <w:p w14:paraId="1397C9EA" w14:textId="77777777" w:rsidR="00F74E72" w:rsidRDefault="00A329B7">
          <w:pPr>
            <w:pStyle w:val="Obsah2"/>
            <w:tabs>
              <w:tab w:val="left" w:pos="660"/>
              <w:tab w:val="right" w:leader="dot" w:pos="9062"/>
            </w:tabs>
            <w:rPr>
              <w:rFonts w:asciiTheme="minorHAnsi" w:eastAsiaTheme="minorEastAsia" w:hAnsiTheme="minorHAnsi"/>
              <w:noProof/>
              <w:lang w:val="en-GB" w:eastAsia="en-GB"/>
            </w:rPr>
          </w:pPr>
          <w:hyperlink w:anchor="_Toc35602757" w:history="1">
            <w:r w:rsidR="00F74E72" w:rsidRPr="00AE6978">
              <w:rPr>
                <w:rStyle w:val="Hypertextovprepojenie"/>
                <w:noProof/>
              </w:rPr>
              <w:t>5.</w:t>
            </w:r>
            <w:r w:rsidR="00F74E72">
              <w:rPr>
                <w:rFonts w:asciiTheme="minorHAnsi" w:eastAsiaTheme="minorEastAsia" w:hAnsiTheme="minorHAnsi"/>
                <w:noProof/>
                <w:lang w:val="en-GB" w:eastAsia="en-GB"/>
              </w:rPr>
              <w:tab/>
            </w:r>
            <w:r w:rsidR="00F74E72" w:rsidRPr="00AE6978">
              <w:rPr>
                <w:rStyle w:val="Hypertextovprepojenie"/>
                <w:noProof/>
              </w:rPr>
              <w:t>Stanovenie priorít pre ďalší rozvoj informatizácie</w:t>
            </w:r>
            <w:r w:rsidR="00F74E72">
              <w:rPr>
                <w:noProof/>
                <w:webHidden/>
              </w:rPr>
              <w:tab/>
            </w:r>
            <w:r w:rsidR="00F74E72">
              <w:rPr>
                <w:noProof/>
                <w:webHidden/>
              </w:rPr>
              <w:fldChar w:fldCharType="begin"/>
            </w:r>
            <w:r w:rsidR="00F74E72">
              <w:rPr>
                <w:noProof/>
                <w:webHidden/>
              </w:rPr>
              <w:instrText xml:space="preserve"> PAGEREF _Toc35602757 \h </w:instrText>
            </w:r>
            <w:r w:rsidR="00F74E72">
              <w:rPr>
                <w:noProof/>
                <w:webHidden/>
              </w:rPr>
            </w:r>
            <w:r w:rsidR="00F74E72">
              <w:rPr>
                <w:noProof/>
                <w:webHidden/>
              </w:rPr>
              <w:fldChar w:fldCharType="separate"/>
            </w:r>
            <w:r w:rsidR="00F74E72">
              <w:rPr>
                <w:noProof/>
                <w:webHidden/>
              </w:rPr>
              <w:t>9</w:t>
            </w:r>
            <w:r w:rsidR="00F74E72">
              <w:rPr>
                <w:noProof/>
                <w:webHidden/>
              </w:rPr>
              <w:fldChar w:fldCharType="end"/>
            </w:r>
          </w:hyperlink>
        </w:p>
        <w:p w14:paraId="4129CB22"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58" w:history="1">
            <w:r w:rsidR="00F74E72" w:rsidRPr="00AE6978">
              <w:rPr>
                <w:rStyle w:val="Hypertextovprepojenie"/>
                <w:noProof/>
              </w:rPr>
              <w:t>Stanovenie záväzného architektonického rámca a štandardov dokumentácie pre všetky IS</w:t>
            </w:r>
            <w:r w:rsidR="00F74E72">
              <w:rPr>
                <w:noProof/>
                <w:webHidden/>
              </w:rPr>
              <w:tab/>
            </w:r>
            <w:r w:rsidR="00F74E72">
              <w:rPr>
                <w:noProof/>
                <w:webHidden/>
              </w:rPr>
              <w:fldChar w:fldCharType="begin"/>
            </w:r>
            <w:r w:rsidR="00F74E72">
              <w:rPr>
                <w:noProof/>
                <w:webHidden/>
              </w:rPr>
              <w:instrText xml:space="preserve"> PAGEREF _Toc35602758 \h </w:instrText>
            </w:r>
            <w:r w:rsidR="00F74E72">
              <w:rPr>
                <w:noProof/>
                <w:webHidden/>
              </w:rPr>
            </w:r>
            <w:r w:rsidR="00F74E72">
              <w:rPr>
                <w:noProof/>
                <w:webHidden/>
              </w:rPr>
              <w:fldChar w:fldCharType="separate"/>
            </w:r>
            <w:r w:rsidR="00F74E72">
              <w:rPr>
                <w:noProof/>
                <w:webHidden/>
              </w:rPr>
              <w:t>9</w:t>
            </w:r>
            <w:r w:rsidR="00F74E72">
              <w:rPr>
                <w:noProof/>
                <w:webHidden/>
              </w:rPr>
              <w:fldChar w:fldCharType="end"/>
            </w:r>
          </w:hyperlink>
        </w:p>
        <w:p w14:paraId="7B62A8DF"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59" w:history="1">
            <w:r w:rsidR="00F74E72" w:rsidRPr="00AE6978">
              <w:rPr>
                <w:rStyle w:val="Hypertextovprepojenie"/>
                <w:noProof/>
              </w:rPr>
              <w:t>Koncepcia ľudských zdrojov a budovanie interných kapacít</w:t>
            </w:r>
            <w:r w:rsidR="00F74E72">
              <w:rPr>
                <w:noProof/>
                <w:webHidden/>
              </w:rPr>
              <w:tab/>
            </w:r>
            <w:r w:rsidR="00F74E72">
              <w:rPr>
                <w:noProof/>
                <w:webHidden/>
              </w:rPr>
              <w:fldChar w:fldCharType="begin"/>
            </w:r>
            <w:r w:rsidR="00F74E72">
              <w:rPr>
                <w:noProof/>
                <w:webHidden/>
              </w:rPr>
              <w:instrText xml:space="preserve"> PAGEREF _Toc35602759 \h </w:instrText>
            </w:r>
            <w:r w:rsidR="00F74E72">
              <w:rPr>
                <w:noProof/>
                <w:webHidden/>
              </w:rPr>
            </w:r>
            <w:r w:rsidR="00F74E72">
              <w:rPr>
                <w:noProof/>
                <w:webHidden/>
              </w:rPr>
              <w:fldChar w:fldCharType="separate"/>
            </w:r>
            <w:r w:rsidR="00F74E72">
              <w:rPr>
                <w:noProof/>
                <w:webHidden/>
              </w:rPr>
              <w:t>10</w:t>
            </w:r>
            <w:r w:rsidR="00F74E72">
              <w:rPr>
                <w:noProof/>
                <w:webHidden/>
              </w:rPr>
              <w:fldChar w:fldCharType="end"/>
            </w:r>
          </w:hyperlink>
        </w:p>
        <w:p w14:paraId="12F564D5"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60" w:history="1">
            <w:r w:rsidR="00F74E72" w:rsidRPr="00AE6978">
              <w:rPr>
                <w:rStyle w:val="Hypertextovprepojenie"/>
                <w:noProof/>
              </w:rPr>
              <w:t>Revízia procesu výberu a schvaľovania projektov</w:t>
            </w:r>
            <w:r w:rsidR="00F74E72">
              <w:rPr>
                <w:noProof/>
                <w:webHidden/>
              </w:rPr>
              <w:tab/>
            </w:r>
            <w:r w:rsidR="00F74E72">
              <w:rPr>
                <w:noProof/>
                <w:webHidden/>
              </w:rPr>
              <w:fldChar w:fldCharType="begin"/>
            </w:r>
            <w:r w:rsidR="00F74E72">
              <w:rPr>
                <w:noProof/>
                <w:webHidden/>
              </w:rPr>
              <w:instrText xml:space="preserve"> PAGEREF _Toc35602760 \h </w:instrText>
            </w:r>
            <w:r w:rsidR="00F74E72">
              <w:rPr>
                <w:noProof/>
                <w:webHidden/>
              </w:rPr>
            </w:r>
            <w:r w:rsidR="00F74E72">
              <w:rPr>
                <w:noProof/>
                <w:webHidden/>
              </w:rPr>
              <w:fldChar w:fldCharType="separate"/>
            </w:r>
            <w:r w:rsidR="00F74E72">
              <w:rPr>
                <w:noProof/>
                <w:webHidden/>
              </w:rPr>
              <w:t>12</w:t>
            </w:r>
            <w:r w:rsidR="00F74E72">
              <w:rPr>
                <w:noProof/>
                <w:webHidden/>
              </w:rPr>
              <w:fldChar w:fldCharType="end"/>
            </w:r>
          </w:hyperlink>
        </w:p>
        <w:p w14:paraId="6B29EF8E"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61" w:history="1">
            <w:r w:rsidR="00F74E72" w:rsidRPr="00AE6978">
              <w:rPr>
                <w:rStyle w:val="Hypertextovprepojenie"/>
                <w:noProof/>
              </w:rPr>
              <w:t>Realizáciu projektov prioritizovať podľa pomeru prínosov a nákladov</w:t>
            </w:r>
            <w:r w:rsidR="00F74E72">
              <w:rPr>
                <w:noProof/>
                <w:webHidden/>
              </w:rPr>
              <w:tab/>
            </w:r>
            <w:r w:rsidR="00F74E72">
              <w:rPr>
                <w:noProof/>
                <w:webHidden/>
              </w:rPr>
              <w:fldChar w:fldCharType="begin"/>
            </w:r>
            <w:r w:rsidR="00F74E72">
              <w:rPr>
                <w:noProof/>
                <w:webHidden/>
              </w:rPr>
              <w:instrText xml:space="preserve"> PAGEREF _Toc35602761 \h </w:instrText>
            </w:r>
            <w:r w:rsidR="00F74E72">
              <w:rPr>
                <w:noProof/>
                <w:webHidden/>
              </w:rPr>
            </w:r>
            <w:r w:rsidR="00F74E72">
              <w:rPr>
                <w:noProof/>
                <w:webHidden/>
              </w:rPr>
              <w:fldChar w:fldCharType="separate"/>
            </w:r>
            <w:r w:rsidR="00F74E72">
              <w:rPr>
                <w:noProof/>
                <w:webHidden/>
              </w:rPr>
              <w:t>12</w:t>
            </w:r>
            <w:r w:rsidR="00F74E72">
              <w:rPr>
                <w:noProof/>
                <w:webHidden/>
              </w:rPr>
              <w:fldChar w:fldCharType="end"/>
            </w:r>
          </w:hyperlink>
        </w:p>
        <w:p w14:paraId="42D812EC"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62" w:history="1">
            <w:r w:rsidR="00F74E72" w:rsidRPr="00AE6978">
              <w:rPr>
                <w:rStyle w:val="Hypertextovprepojenie"/>
                <w:noProof/>
              </w:rPr>
              <w:t>Zavedenie iteratívneho riadenia IT projektov.</w:t>
            </w:r>
            <w:r w:rsidR="00F74E72">
              <w:rPr>
                <w:noProof/>
                <w:webHidden/>
              </w:rPr>
              <w:tab/>
            </w:r>
            <w:r w:rsidR="00F74E72">
              <w:rPr>
                <w:noProof/>
                <w:webHidden/>
              </w:rPr>
              <w:fldChar w:fldCharType="begin"/>
            </w:r>
            <w:r w:rsidR="00F74E72">
              <w:rPr>
                <w:noProof/>
                <w:webHidden/>
              </w:rPr>
              <w:instrText xml:space="preserve"> PAGEREF _Toc35602762 \h </w:instrText>
            </w:r>
            <w:r w:rsidR="00F74E72">
              <w:rPr>
                <w:noProof/>
                <w:webHidden/>
              </w:rPr>
            </w:r>
            <w:r w:rsidR="00F74E72">
              <w:rPr>
                <w:noProof/>
                <w:webHidden/>
              </w:rPr>
              <w:fldChar w:fldCharType="separate"/>
            </w:r>
            <w:r w:rsidR="00F74E72">
              <w:rPr>
                <w:noProof/>
                <w:webHidden/>
              </w:rPr>
              <w:t>13</w:t>
            </w:r>
            <w:r w:rsidR="00F74E72">
              <w:rPr>
                <w:noProof/>
                <w:webHidden/>
              </w:rPr>
              <w:fldChar w:fldCharType="end"/>
            </w:r>
          </w:hyperlink>
        </w:p>
        <w:p w14:paraId="765AB6C8"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63" w:history="1">
            <w:r w:rsidR="00F74E72" w:rsidRPr="00AE6978">
              <w:rPr>
                <w:rStyle w:val="Hypertextovprepojenie"/>
                <w:noProof/>
              </w:rPr>
              <w:t>Implementovať a verejne odpočtovať dosiahnuté výsledky</w:t>
            </w:r>
            <w:r w:rsidR="00F74E72">
              <w:rPr>
                <w:noProof/>
                <w:webHidden/>
              </w:rPr>
              <w:tab/>
            </w:r>
            <w:r w:rsidR="00F74E72">
              <w:rPr>
                <w:noProof/>
                <w:webHidden/>
              </w:rPr>
              <w:fldChar w:fldCharType="begin"/>
            </w:r>
            <w:r w:rsidR="00F74E72">
              <w:rPr>
                <w:noProof/>
                <w:webHidden/>
              </w:rPr>
              <w:instrText xml:space="preserve"> PAGEREF _Toc35602763 \h </w:instrText>
            </w:r>
            <w:r w:rsidR="00F74E72">
              <w:rPr>
                <w:noProof/>
                <w:webHidden/>
              </w:rPr>
            </w:r>
            <w:r w:rsidR="00F74E72">
              <w:rPr>
                <w:noProof/>
                <w:webHidden/>
              </w:rPr>
              <w:fldChar w:fldCharType="separate"/>
            </w:r>
            <w:r w:rsidR="00F74E72">
              <w:rPr>
                <w:noProof/>
                <w:webHidden/>
              </w:rPr>
              <w:t>14</w:t>
            </w:r>
            <w:r w:rsidR="00F74E72">
              <w:rPr>
                <w:noProof/>
                <w:webHidden/>
              </w:rPr>
              <w:fldChar w:fldCharType="end"/>
            </w:r>
          </w:hyperlink>
        </w:p>
        <w:p w14:paraId="112308B3"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64" w:history="1">
            <w:r w:rsidR="00F74E72" w:rsidRPr="00AE6978">
              <w:rPr>
                <w:rStyle w:val="Hypertextovprepojenie"/>
                <w:noProof/>
              </w:rPr>
              <w:t>Zavedenie zodpovednosti za implementáciu zmien do praxe</w:t>
            </w:r>
            <w:r w:rsidR="00F74E72">
              <w:rPr>
                <w:noProof/>
                <w:webHidden/>
              </w:rPr>
              <w:tab/>
            </w:r>
            <w:r w:rsidR="00F74E72">
              <w:rPr>
                <w:noProof/>
                <w:webHidden/>
              </w:rPr>
              <w:fldChar w:fldCharType="begin"/>
            </w:r>
            <w:r w:rsidR="00F74E72">
              <w:rPr>
                <w:noProof/>
                <w:webHidden/>
              </w:rPr>
              <w:instrText xml:space="preserve"> PAGEREF _Toc35602764 \h </w:instrText>
            </w:r>
            <w:r w:rsidR="00F74E72">
              <w:rPr>
                <w:noProof/>
                <w:webHidden/>
              </w:rPr>
            </w:r>
            <w:r w:rsidR="00F74E72">
              <w:rPr>
                <w:noProof/>
                <w:webHidden/>
              </w:rPr>
              <w:fldChar w:fldCharType="separate"/>
            </w:r>
            <w:r w:rsidR="00F74E72">
              <w:rPr>
                <w:noProof/>
                <w:webHidden/>
              </w:rPr>
              <w:t>15</w:t>
            </w:r>
            <w:r w:rsidR="00F74E72">
              <w:rPr>
                <w:noProof/>
                <w:webHidden/>
              </w:rPr>
              <w:fldChar w:fldCharType="end"/>
            </w:r>
          </w:hyperlink>
        </w:p>
        <w:p w14:paraId="08118031" w14:textId="77777777" w:rsidR="00F74E72" w:rsidRDefault="00A329B7">
          <w:pPr>
            <w:pStyle w:val="Obsah2"/>
            <w:tabs>
              <w:tab w:val="left" w:pos="660"/>
              <w:tab w:val="right" w:leader="dot" w:pos="9062"/>
            </w:tabs>
            <w:rPr>
              <w:rFonts w:asciiTheme="minorHAnsi" w:eastAsiaTheme="minorEastAsia" w:hAnsiTheme="minorHAnsi"/>
              <w:noProof/>
              <w:lang w:val="en-GB" w:eastAsia="en-GB"/>
            </w:rPr>
          </w:pPr>
          <w:hyperlink w:anchor="_Toc35602765" w:history="1">
            <w:r w:rsidR="00F74E72" w:rsidRPr="00AE6978">
              <w:rPr>
                <w:rStyle w:val="Hypertextovprepojenie"/>
                <w:noProof/>
              </w:rPr>
              <w:t>6.</w:t>
            </w:r>
            <w:r w:rsidR="00F74E72">
              <w:rPr>
                <w:rFonts w:asciiTheme="minorHAnsi" w:eastAsiaTheme="minorEastAsia" w:hAnsiTheme="minorHAnsi"/>
                <w:noProof/>
                <w:lang w:val="en-GB" w:eastAsia="en-GB"/>
              </w:rPr>
              <w:tab/>
            </w:r>
            <w:r w:rsidR="00F74E72" w:rsidRPr="00AE6978">
              <w:rPr>
                <w:rStyle w:val="Hypertextovprepojenie"/>
                <w:noProof/>
              </w:rPr>
              <w:t>Príprava projektov informatizácie</w:t>
            </w:r>
            <w:r w:rsidR="00F74E72">
              <w:rPr>
                <w:noProof/>
                <w:webHidden/>
              </w:rPr>
              <w:tab/>
            </w:r>
            <w:r w:rsidR="00F74E72">
              <w:rPr>
                <w:noProof/>
                <w:webHidden/>
              </w:rPr>
              <w:fldChar w:fldCharType="begin"/>
            </w:r>
            <w:r w:rsidR="00F74E72">
              <w:rPr>
                <w:noProof/>
                <w:webHidden/>
              </w:rPr>
              <w:instrText xml:space="preserve"> PAGEREF _Toc35602765 \h </w:instrText>
            </w:r>
            <w:r w:rsidR="00F74E72">
              <w:rPr>
                <w:noProof/>
                <w:webHidden/>
              </w:rPr>
            </w:r>
            <w:r w:rsidR="00F74E72">
              <w:rPr>
                <w:noProof/>
                <w:webHidden/>
              </w:rPr>
              <w:fldChar w:fldCharType="separate"/>
            </w:r>
            <w:r w:rsidR="00F74E72">
              <w:rPr>
                <w:noProof/>
                <w:webHidden/>
              </w:rPr>
              <w:t>16</w:t>
            </w:r>
            <w:r w:rsidR="00F74E72">
              <w:rPr>
                <w:noProof/>
                <w:webHidden/>
              </w:rPr>
              <w:fldChar w:fldCharType="end"/>
            </w:r>
          </w:hyperlink>
        </w:p>
        <w:p w14:paraId="226F7E04" w14:textId="77777777" w:rsidR="00F74E72" w:rsidRDefault="00A329B7">
          <w:pPr>
            <w:pStyle w:val="Obsah3"/>
            <w:tabs>
              <w:tab w:val="left" w:pos="1100"/>
              <w:tab w:val="right" w:leader="dot" w:pos="9062"/>
            </w:tabs>
            <w:rPr>
              <w:rFonts w:asciiTheme="minorHAnsi" w:eastAsiaTheme="minorEastAsia" w:hAnsiTheme="minorHAnsi"/>
              <w:noProof/>
              <w:lang w:val="en-GB" w:eastAsia="en-GB"/>
            </w:rPr>
          </w:pPr>
          <w:hyperlink w:anchor="_Toc35602766" w:history="1">
            <w:r w:rsidR="00F74E72" w:rsidRPr="00AE6978">
              <w:rPr>
                <w:rStyle w:val="Hypertextovprepojenie"/>
                <w:noProof/>
              </w:rPr>
              <w:t>6.1.</w:t>
            </w:r>
            <w:r w:rsidR="00F74E72">
              <w:rPr>
                <w:rFonts w:asciiTheme="minorHAnsi" w:eastAsiaTheme="minorEastAsia" w:hAnsiTheme="minorHAnsi"/>
                <w:noProof/>
                <w:lang w:val="en-GB" w:eastAsia="en-GB"/>
              </w:rPr>
              <w:tab/>
            </w:r>
            <w:r w:rsidR="00F74E72" w:rsidRPr="00AE6978">
              <w:rPr>
                <w:rStyle w:val="Hypertextovprepojenie"/>
                <w:noProof/>
              </w:rPr>
              <w:t>Riadenie prípravy nových projektov</w:t>
            </w:r>
            <w:r w:rsidR="00F74E72">
              <w:rPr>
                <w:noProof/>
                <w:webHidden/>
              </w:rPr>
              <w:tab/>
            </w:r>
            <w:r w:rsidR="00F74E72">
              <w:rPr>
                <w:noProof/>
                <w:webHidden/>
              </w:rPr>
              <w:fldChar w:fldCharType="begin"/>
            </w:r>
            <w:r w:rsidR="00F74E72">
              <w:rPr>
                <w:noProof/>
                <w:webHidden/>
              </w:rPr>
              <w:instrText xml:space="preserve"> PAGEREF _Toc35602766 \h </w:instrText>
            </w:r>
            <w:r w:rsidR="00F74E72">
              <w:rPr>
                <w:noProof/>
                <w:webHidden/>
              </w:rPr>
            </w:r>
            <w:r w:rsidR="00F74E72">
              <w:rPr>
                <w:noProof/>
                <w:webHidden/>
              </w:rPr>
              <w:fldChar w:fldCharType="separate"/>
            </w:r>
            <w:r w:rsidR="00F74E72">
              <w:rPr>
                <w:noProof/>
                <w:webHidden/>
              </w:rPr>
              <w:t>16</w:t>
            </w:r>
            <w:r w:rsidR="00F74E72">
              <w:rPr>
                <w:noProof/>
                <w:webHidden/>
              </w:rPr>
              <w:fldChar w:fldCharType="end"/>
            </w:r>
          </w:hyperlink>
        </w:p>
        <w:p w14:paraId="2A422B5B"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67" w:history="1">
            <w:r w:rsidR="00F74E72" w:rsidRPr="00AE6978">
              <w:rPr>
                <w:rStyle w:val="Hypertextovprepojenie"/>
                <w:noProof/>
              </w:rPr>
              <w:t>Príprava a schválenie projektového zámeru</w:t>
            </w:r>
            <w:r w:rsidR="00F74E72">
              <w:rPr>
                <w:noProof/>
                <w:webHidden/>
              </w:rPr>
              <w:tab/>
            </w:r>
            <w:r w:rsidR="00F74E72">
              <w:rPr>
                <w:noProof/>
                <w:webHidden/>
              </w:rPr>
              <w:fldChar w:fldCharType="begin"/>
            </w:r>
            <w:r w:rsidR="00F74E72">
              <w:rPr>
                <w:noProof/>
                <w:webHidden/>
              </w:rPr>
              <w:instrText xml:space="preserve"> PAGEREF _Toc35602767 \h </w:instrText>
            </w:r>
            <w:r w:rsidR="00F74E72">
              <w:rPr>
                <w:noProof/>
                <w:webHidden/>
              </w:rPr>
            </w:r>
            <w:r w:rsidR="00F74E72">
              <w:rPr>
                <w:noProof/>
                <w:webHidden/>
              </w:rPr>
              <w:fldChar w:fldCharType="separate"/>
            </w:r>
            <w:r w:rsidR="00F74E72">
              <w:rPr>
                <w:noProof/>
                <w:webHidden/>
              </w:rPr>
              <w:t>17</w:t>
            </w:r>
            <w:r w:rsidR="00F74E72">
              <w:rPr>
                <w:noProof/>
                <w:webHidden/>
              </w:rPr>
              <w:fldChar w:fldCharType="end"/>
            </w:r>
          </w:hyperlink>
        </w:p>
        <w:p w14:paraId="47861BF9"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68" w:history="1">
            <w:r w:rsidR="00F74E72" w:rsidRPr="00AE6978">
              <w:rPr>
                <w:rStyle w:val="Hypertextovprepojenie"/>
                <w:noProof/>
              </w:rPr>
              <w:t>Detailná špecifikácia oblastí, v ktorých má rozvoj IT služieb priniesť zlepšenie.</w:t>
            </w:r>
            <w:r w:rsidR="00F74E72">
              <w:rPr>
                <w:noProof/>
                <w:webHidden/>
              </w:rPr>
              <w:tab/>
            </w:r>
            <w:r w:rsidR="00F74E72">
              <w:rPr>
                <w:noProof/>
                <w:webHidden/>
              </w:rPr>
              <w:fldChar w:fldCharType="begin"/>
            </w:r>
            <w:r w:rsidR="00F74E72">
              <w:rPr>
                <w:noProof/>
                <w:webHidden/>
              </w:rPr>
              <w:instrText xml:space="preserve"> PAGEREF _Toc35602768 \h </w:instrText>
            </w:r>
            <w:r w:rsidR="00F74E72">
              <w:rPr>
                <w:noProof/>
                <w:webHidden/>
              </w:rPr>
            </w:r>
            <w:r w:rsidR="00F74E72">
              <w:rPr>
                <w:noProof/>
                <w:webHidden/>
              </w:rPr>
              <w:fldChar w:fldCharType="separate"/>
            </w:r>
            <w:r w:rsidR="00F74E72">
              <w:rPr>
                <w:noProof/>
                <w:webHidden/>
              </w:rPr>
              <w:t>17</w:t>
            </w:r>
            <w:r w:rsidR="00F74E72">
              <w:rPr>
                <w:noProof/>
                <w:webHidden/>
              </w:rPr>
              <w:fldChar w:fldCharType="end"/>
            </w:r>
          </w:hyperlink>
        </w:p>
        <w:p w14:paraId="7EEBF818"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69" w:history="1">
            <w:r w:rsidR="00F74E72" w:rsidRPr="00AE6978">
              <w:rPr>
                <w:rStyle w:val="Hypertextovprepojenie"/>
                <w:noProof/>
              </w:rPr>
              <w:t>Pilotné riešenie.</w:t>
            </w:r>
            <w:r w:rsidR="00F74E72">
              <w:rPr>
                <w:noProof/>
                <w:webHidden/>
              </w:rPr>
              <w:tab/>
            </w:r>
            <w:r w:rsidR="00F74E72">
              <w:rPr>
                <w:noProof/>
                <w:webHidden/>
              </w:rPr>
              <w:fldChar w:fldCharType="begin"/>
            </w:r>
            <w:r w:rsidR="00F74E72">
              <w:rPr>
                <w:noProof/>
                <w:webHidden/>
              </w:rPr>
              <w:instrText xml:space="preserve"> PAGEREF _Toc35602769 \h </w:instrText>
            </w:r>
            <w:r w:rsidR="00F74E72">
              <w:rPr>
                <w:noProof/>
                <w:webHidden/>
              </w:rPr>
            </w:r>
            <w:r w:rsidR="00F74E72">
              <w:rPr>
                <w:noProof/>
                <w:webHidden/>
              </w:rPr>
              <w:fldChar w:fldCharType="separate"/>
            </w:r>
            <w:r w:rsidR="00F74E72">
              <w:rPr>
                <w:noProof/>
                <w:webHidden/>
              </w:rPr>
              <w:t>17</w:t>
            </w:r>
            <w:r w:rsidR="00F74E72">
              <w:rPr>
                <w:noProof/>
                <w:webHidden/>
              </w:rPr>
              <w:fldChar w:fldCharType="end"/>
            </w:r>
          </w:hyperlink>
        </w:p>
        <w:p w14:paraId="3D99AC5A"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70" w:history="1">
            <w:r w:rsidR="00F74E72" w:rsidRPr="00AE6978">
              <w:rPr>
                <w:rStyle w:val="Hypertextovprepojenie"/>
                <w:noProof/>
              </w:rPr>
              <w:t>Príprava štúdie uskutočniteľnosti pre relevantné alternatívy</w:t>
            </w:r>
            <w:r w:rsidR="00F74E72">
              <w:rPr>
                <w:noProof/>
                <w:webHidden/>
              </w:rPr>
              <w:tab/>
            </w:r>
            <w:r w:rsidR="00F74E72">
              <w:rPr>
                <w:noProof/>
                <w:webHidden/>
              </w:rPr>
              <w:fldChar w:fldCharType="begin"/>
            </w:r>
            <w:r w:rsidR="00F74E72">
              <w:rPr>
                <w:noProof/>
                <w:webHidden/>
              </w:rPr>
              <w:instrText xml:space="preserve"> PAGEREF _Toc35602770 \h </w:instrText>
            </w:r>
            <w:r w:rsidR="00F74E72">
              <w:rPr>
                <w:noProof/>
                <w:webHidden/>
              </w:rPr>
            </w:r>
            <w:r w:rsidR="00F74E72">
              <w:rPr>
                <w:noProof/>
                <w:webHidden/>
              </w:rPr>
              <w:fldChar w:fldCharType="separate"/>
            </w:r>
            <w:r w:rsidR="00F74E72">
              <w:rPr>
                <w:noProof/>
                <w:webHidden/>
              </w:rPr>
              <w:t>18</w:t>
            </w:r>
            <w:r w:rsidR="00F74E72">
              <w:rPr>
                <w:noProof/>
                <w:webHidden/>
              </w:rPr>
              <w:fldChar w:fldCharType="end"/>
            </w:r>
          </w:hyperlink>
        </w:p>
        <w:p w14:paraId="4B75C772"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71" w:history="1">
            <w:r w:rsidR="00F74E72" w:rsidRPr="00AE6978">
              <w:rPr>
                <w:rStyle w:val="Hypertextovprepojenie"/>
                <w:noProof/>
              </w:rPr>
              <w:t>Zadefinovať mechanizmus na sledovanie a vynucovanie očakávaných prínosov</w:t>
            </w:r>
            <w:r w:rsidR="00F74E72">
              <w:rPr>
                <w:noProof/>
                <w:webHidden/>
              </w:rPr>
              <w:tab/>
            </w:r>
            <w:r w:rsidR="00F74E72">
              <w:rPr>
                <w:noProof/>
                <w:webHidden/>
              </w:rPr>
              <w:fldChar w:fldCharType="begin"/>
            </w:r>
            <w:r w:rsidR="00F74E72">
              <w:rPr>
                <w:noProof/>
                <w:webHidden/>
              </w:rPr>
              <w:instrText xml:space="preserve"> PAGEREF _Toc35602771 \h </w:instrText>
            </w:r>
            <w:r w:rsidR="00F74E72">
              <w:rPr>
                <w:noProof/>
                <w:webHidden/>
              </w:rPr>
            </w:r>
            <w:r w:rsidR="00F74E72">
              <w:rPr>
                <w:noProof/>
                <w:webHidden/>
              </w:rPr>
              <w:fldChar w:fldCharType="separate"/>
            </w:r>
            <w:r w:rsidR="00F74E72">
              <w:rPr>
                <w:noProof/>
                <w:webHidden/>
              </w:rPr>
              <w:t>18</w:t>
            </w:r>
            <w:r w:rsidR="00F74E72">
              <w:rPr>
                <w:noProof/>
                <w:webHidden/>
              </w:rPr>
              <w:fldChar w:fldCharType="end"/>
            </w:r>
          </w:hyperlink>
        </w:p>
        <w:p w14:paraId="00713696"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72" w:history="1">
            <w:r w:rsidR="00F74E72" w:rsidRPr="00AE6978">
              <w:rPr>
                <w:rStyle w:val="Hypertextovprepojenie"/>
                <w:noProof/>
              </w:rPr>
              <w:t>Príprava verejného obstarávania a porovnanie jeho výsledkov s očakávaniami</w:t>
            </w:r>
            <w:r w:rsidR="00F74E72">
              <w:rPr>
                <w:noProof/>
                <w:webHidden/>
              </w:rPr>
              <w:tab/>
            </w:r>
            <w:r w:rsidR="00F74E72">
              <w:rPr>
                <w:noProof/>
                <w:webHidden/>
              </w:rPr>
              <w:fldChar w:fldCharType="begin"/>
            </w:r>
            <w:r w:rsidR="00F74E72">
              <w:rPr>
                <w:noProof/>
                <w:webHidden/>
              </w:rPr>
              <w:instrText xml:space="preserve"> PAGEREF _Toc35602772 \h </w:instrText>
            </w:r>
            <w:r w:rsidR="00F74E72">
              <w:rPr>
                <w:noProof/>
                <w:webHidden/>
              </w:rPr>
            </w:r>
            <w:r w:rsidR="00F74E72">
              <w:rPr>
                <w:noProof/>
                <w:webHidden/>
              </w:rPr>
              <w:fldChar w:fldCharType="separate"/>
            </w:r>
            <w:r w:rsidR="00F74E72">
              <w:rPr>
                <w:noProof/>
                <w:webHidden/>
              </w:rPr>
              <w:t>18</w:t>
            </w:r>
            <w:r w:rsidR="00F74E72">
              <w:rPr>
                <w:noProof/>
                <w:webHidden/>
              </w:rPr>
              <w:fldChar w:fldCharType="end"/>
            </w:r>
          </w:hyperlink>
        </w:p>
        <w:p w14:paraId="1247C7A0" w14:textId="77777777" w:rsidR="00F74E72" w:rsidRDefault="00A329B7">
          <w:pPr>
            <w:pStyle w:val="Obsah3"/>
            <w:tabs>
              <w:tab w:val="left" w:pos="1100"/>
              <w:tab w:val="right" w:leader="dot" w:pos="9062"/>
            </w:tabs>
            <w:rPr>
              <w:rFonts w:asciiTheme="minorHAnsi" w:eastAsiaTheme="minorEastAsia" w:hAnsiTheme="minorHAnsi"/>
              <w:noProof/>
              <w:lang w:val="en-GB" w:eastAsia="en-GB"/>
            </w:rPr>
          </w:pPr>
          <w:hyperlink w:anchor="_Toc35602773" w:history="1">
            <w:r w:rsidR="00F74E72" w:rsidRPr="00AE6978">
              <w:rPr>
                <w:rStyle w:val="Hypertextovprepojenie"/>
                <w:noProof/>
              </w:rPr>
              <w:t>6.2.</w:t>
            </w:r>
            <w:r w:rsidR="00F74E72">
              <w:rPr>
                <w:rFonts w:asciiTheme="minorHAnsi" w:eastAsiaTheme="minorEastAsia" w:hAnsiTheme="minorHAnsi"/>
                <w:noProof/>
                <w:lang w:val="en-GB" w:eastAsia="en-GB"/>
              </w:rPr>
              <w:tab/>
            </w:r>
            <w:r w:rsidR="00F74E72" w:rsidRPr="00AE6978">
              <w:rPr>
                <w:rStyle w:val="Hypertextovprepojenie"/>
                <w:noProof/>
              </w:rPr>
              <w:t>Princípy pre vývoj nových a rozvoj existujúcich informačných systémov</w:t>
            </w:r>
            <w:r w:rsidR="00F74E72">
              <w:rPr>
                <w:noProof/>
                <w:webHidden/>
              </w:rPr>
              <w:tab/>
            </w:r>
            <w:r w:rsidR="00F74E72">
              <w:rPr>
                <w:noProof/>
                <w:webHidden/>
              </w:rPr>
              <w:fldChar w:fldCharType="begin"/>
            </w:r>
            <w:r w:rsidR="00F74E72">
              <w:rPr>
                <w:noProof/>
                <w:webHidden/>
              </w:rPr>
              <w:instrText xml:space="preserve"> PAGEREF _Toc35602773 \h </w:instrText>
            </w:r>
            <w:r w:rsidR="00F74E72">
              <w:rPr>
                <w:noProof/>
                <w:webHidden/>
              </w:rPr>
            </w:r>
            <w:r w:rsidR="00F74E72">
              <w:rPr>
                <w:noProof/>
                <w:webHidden/>
              </w:rPr>
              <w:fldChar w:fldCharType="separate"/>
            </w:r>
            <w:r w:rsidR="00F74E72">
              <w:rPr>
                <w:noProof/>
                <w:webHidden/>
              </w:rPr>
              <w:t>18</w:t>
            </w:r>
            <w:r w:rsidR="00F74E72">
              <w:rPr>
                <w:noProof/>
                <w:webHidden/>
              </w:rPr>
              <w:fldChar w:fldCharType="end"/>
            </w:r>
          </w:hyperlink>
        </w:p>
        <w:p w14:paraId="66C20244"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74" w:history="1">
            <w:r w:rsidR="00F74E72" w:rsidRPr="00AE6978">
              <w:rPr>
                <w:rStyle w:val="Hypertextovprepojenie"/>
                <w:noProof/>
              </w:rPr>
              <w:t>Projekty deliť na menšie časti</w:t>
            </w:r>
            <w:r w:rsidR="00F74E72">
              <w:rPr>
                <w:noProof/>
                <w:webHidden/>
              </w:rPr>
              <w:tab/>
            </w:r>
            <w:r w:rsidR="00F74E72">
              <w:rPr>
                <w:noProof/>
                <w:webHidden/>
              </w:rPr>
              <w:fldChar w:fldCharType="begin"/>
            </w:r>
            <w:r w:rsidR="00F74E72">
              <w:rPr>
                <w:noProof/>
                <w:webHidden/>
              </w:rPr>
              <w:instrText xml:space="preserve"> PAGEREF _Toc35602774 \h </w:instrText>
            </w:r>
            <w:r w:rsidR="00F74E72">
              <w:rPr>
                <w:noProof/>
                <w:webHidden/>
              </w:rPr>
            </w:r>
            <w:r w:rsidR="00F74E72">
              <w:rPr>
                <w:noProof/>
                <w:webHidden/>
              </w:rPr>
              <w:fldChar w:fldCharType="separate"/>
            </w:r>
            <w:r w:rsidR="00F74E72">
              <w:rPr>
                <w:noProof/>
                <w:webHidden/>
              </w:rPr>
              <w:t>18</w:t>
            </w:r>
            <w:r w:rsidR="00F74E72">
              <w:rPr>
                <w:noProof/>
                <w:webHidden/>
              </w:rPr>
              <w:fldChar w:fldCharType="end"/>
            </w:r>
          </w:hyperlink>
        </w:p>
        <w:p w14:paraId="3BDDD870"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75" w:history="1">
            <w:r w:rsidR="00F74E72" w:rsidRPr="00AE6978">
              <w:rPr>
                <w:rStyle w:val="Hypertextovprepojenie"/>
                <w:noProof/>
              </w:rPr>
              <w:t>Do návrhu zahrnúť v čo najväčšej miere softvér, ktorý už štát vlastní, alebo ho netreba vyvíjať (napr. OSS, SaaS)</w:t>
            </w:r>
            <w:r w:rsidR="00F74E72">
              <w:rPr>
                <w:noProof/>
                <w:webHidden/>
              </w:rPr>
              <w:tab/>
            </w:r>
            <w:r w:rsidR="00F74E72">
              <w:rPr>
                <w:noProof/>
                <w:webHidden/>
              </w:rPr>
              <w:fldChar w:fldCharType="begin"/>
            </w:r>
            <w:r w:rsidR="00F74E72">
              <w:rPr>
                <w:noProof/>
                <w:webHidden/>
              </w:rPr>
              <w:instrText xml:space="preserve"> PAGEREF _Toc35602775 \h </w:instrText>
            </w:r>
            <w:r w:rsidR="00F74E72">
              <w:rPr>
                <w:noProof/>
                <w:webHidden/>
              </w:rPr>
            </w:r>
            <w:r w:rsidR="00F74E72">
              <w:rPr>
                <w:noProof/>
                <w:webHidden/>
              </w:rPr>
              <w:fldChar w:fldCharType="separate"/>
            </w:r>
            <w:r w:rsidR="00F74E72">
              <w:rPr>
                <w:noProof/>
                <w:webHidden/>
              </w:rPr>
              <w:t>19</w:t>
            </w:r>
            <w:r w:rsidR="00F74E72">
              <w:rPr>
                <w:noProof/>
                <w:webHidden/>
              </w:rPr>
              <w:fldChar w:fldCharType="end"/>
            </w:r>
          </w:hyperlink>
        </w:p>
        <w:p w14:paraId="48C507DF"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76" w:history="1">
            <w:r w:rsidR="00F74E72" w:rsidRPr="00AE6978">
              <w:rPr>
                <w:rStyle w:val="Hypertextovprepojenie"/>
                <w:noProof/>
              </w:rPr>
              <w:t>Zadefinovať správny rozsah navrhovaného riešenia s nediskriminačnými požiadavkami.</w:t>
            </w:r>
            <w:r w:rsidR="00F74E72">
              <w:rPr>
                <w:noProof/>
                <w:webHidden/>
              </w:rPr>
              <w:tab/>
            </w:r>
            <w:r w:rsidR="00F74E72">
              <w:rPr>
                <w:noProof/>
                <w:webHidden/>
              </w:rPr>
              <w:fldChar w:fldCharType="begin"/>
            </w:r>
            <w:r w:rsidR="00F74E72">
              <w:rPr>
                <w:noProof/>
                <w:webHidden/>
              </w:rPr>
              <w:instrText xml:space="preserve"> PAGEREF _Toc35602776 \h </w:instrText>
            </w:r>
            <w:r w:rsidR="00F74E72">
              <w:rPr>
                <w:noProof/>
                <w:webHidden/>
              </w:rPr>
            </w:r>
            <w:r w:rsidR="00F74E72">
              <w:rPr>
                <w:noProof/>
                <w:webHidden/>
              </w:rPr>
              <w:fldChar w:fldCharType="separate"/>
            </w:r>
            <w:r w:rsidR="00F74E72">
              <w:rPr>
                <w:noProof/>
                <w:webHidden/>
              </w:rPr>
              <w:t>19</w:t>
            </w:r>
            <w:r w:rsidR="00F74E72">
              <w:rPr>
                <w:noProof/>
                <w:webHidden/>
              </w:rPr>
              <w:fldChar w:fldCharType="end"/>
            </w:r>
          </w:hyperlink>
        </w:p>
        <w:p w14:paraId="49CBBEEB"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77" w:history="1">
            <w:r w:rsidR="00F74E72" w:rsidRPr="00AE6978">
              <w:rPr>
                <w:rStyle w:val="Hypertextovprepojenie"/>
                <w:noProof/>
              </w:rPr>
              <w:t>Už počas prípravy projektu vyslať jasný signál, aké ceny obstarávateľ očakáva.</w:t>
            </w:r>
            <w:r w:rsidR="00F74E72">
              <w:rPr>
                <w:noProof/>
                <w:webHidden/>
              </w:rPr>
              <w:tab/>
            </w:r>
            <w:r w:rsidR="00F74E72">
              <w:rPr>
                <w:noProof/>
                <w:webHidden/>
              </w:rPr>
              <w:fldChar w:fldCharType="begin"/>
            </w:r>
            <w:r w:rsidR="00F74E72">
              <w:rPr>
                <w:noProof/>
                <w:webHidden/>
              </w:rPr>
              <w:instrText xml:space="preserve"> PAGEREF _Toc35602777 \h </w:instrText>
            </w:r>
            <w:r w:rsidR="00F74E72">
              <w:rPr>
                <w:noProof/>
                <w:webHidden/>
              </w:rPr>
            </w:r>
            <w:r w:rsidR="00F74E72">
              <w:rPr>
                <w:noProof/>
                <w:webHidden/>
              </w:rPr>
              <w:fldChar w:fldCharType="separate"/>
            </w:r>
            <w:r w:rsidR="00F74E72">
              <w:rPr>
                <w:noProof/>
                <w:webHidden/>
              </w:rPr>
              <w:t>19</w:t>
            </w:r>
            <w:r w:rsidR="00F74E72">
              <w:rPr>
                <w:noProof/>
                <w:webHidden/>
              </w:rPr>
              <w:fldChar w:fldCharType="end"/>
            </w:r>
          </w:hyperlink>
        </w:p>
        <w:p w14:paraId="28680D19"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78" w:history="1">
            <w:r w:rsidR="00F74E72" w:rsidRPr="00AE6978">
              <w:rPr>
                <w:rStyle w:val="Hypertextovprepojenie"/>
                <w:noProof/>
              </w:rPr>
              <w:t>Budovanie otvorených IT služieb cez štandardizované rozhrania.</w:t>
            </w:r>
            <w:r w:rsidR="00F74E72">
              <w:rPr>
                <w:noProof/>
                <w:webHidden/>
              </w:rPr>
              <w:tab/>
            </w:r>
            <w:r w:rsidR="00F74E72">
              <w:rPr>
                <w:noProof/>
                <w:webHidden/>
              </w:rPr>
              <w:fldChar w:fldCharType="begin"/>
            </w:r>
            <w:r w:rsidR="00F74E72">
              <w:rPr>
                <w:noProof/>
                <w:webHidden/>
              </w:rPr>
              <w:instrText xml:space="preserve"> PAGEREF _Toc35602778 \h </w:instrText>
            </w:r>
            <w:r w:rsidR="00F74E72">
              <w:rPr>
                <w:noProof/>
                <w:webHidden/>
              </w:rPr>
            </w:r>
            <w:r w:rsidR="00F74E72">
              <w:rPr>
                <w:noProof/>
                <w:webHidden/>
              </w:rPr>
              <w:fldChar w:fldCharType="separate"/>
            </w:r>
            <w:r w:rsidR="00F74E72">
              <w:rPr>
                <w:noProof/>
                <w:webHidden/>
              </w:rPr>
              <w:t>20</w:t>
            </w:r>
            <w:r w:rsidR="00F74E72">
              <w:rPr>
                <w:noProof/>
                <w:webHidden/>
              </w:rPr>
              <w:fldChar w:fldCharType="end"/>
            </w:r>
          </w:hyperlink>
        </w:p>
        <w:p w14:paraId="3ACB35C0" w14:textId="77777777" w:rsidR="00F74E72" w:rsidRDefault="00A329B7">
          <w:pPr>
            <w:pStyle w:val="Obsah2"/>
            <w:tabs>
              <w:tab w:val="left" w:pos="660"/>
              <w:tab w:val="right" w:leader="dot" w:pos="9062"/>
            </w:tabs>
            <w:rPr>
              <w:rFonts w:asciiTheme="minorHAnsi" w:eastAsiaTheme="minorEastAsia" w:hAnsiTheme="minorHAnsi"/>
              <w:noProof/>
              <w:lang w:val="en-GB" w:eastAsia="en-GB"/>
            </w:rPr>
          </w:pPr>
          <w:hyperlink w:anchor="_Toc35602779" w:history="1">
            <w:r w:rsidR="00F74E72" w:rsidRPr="00AE6978">
              <w:rPr>
                <w:rStyle w:val="Hypertextovprepojenie"/>
                <w:noProof/>
              </w:rPr>
              <w:t>7.</w:t>
            </w:r>
            <w:r w:rsidR="00F74E72">
              <w:rPr>
                <w:rFonts w:asciiTheme="minorHAnsi" w:eastAsiaTheme="minorEastAsia" w:hAnsiTheme="minorHAnsi"/>
                <w:noProof/>
                <w:lang w:val="en-GB" w:eastAsia="en-GB"/>
              </w:rPr>
              <w:tab/>
            </w:r>
            <w:r w:rsidR="00F74E72" w:rsidRPr="00AE6978">
              <w:rPr>
                <w:rStyle w:val="Hypertextovprepojenie"/>
                <w:noProof/>
              </w:rPr>
              <w:t>Prevádzkové úspory</w:t>
            </w:r>
            <w:r w:rsidR="00F74E72">
              <w:rPr>
                <w:noProof/>
                <w:webHidden/>
              </w:rPr>
              <w:tab/>
            </w:r>
            <w:r w:rsidR="00F74E72">
              <w:rPr>
                <w:noProof/>
                <w:webHidden/>
              </w:rPr>
              <w:fldChar w:fldCharType="begin"/>
            </w:r>
            <w:r w:rsidR="00F74E72">
              <w:rPr>
                <w:noProof/>
                <w:webHidden/>
              </w:rPr>
              <w:instrText xml:space="preserve"> PAGEREF _Toc35602779 \h </w:instrText>
            </w:r>
            <w:r w:rsidR="00F74E72">
              <w:rPr>
                <w:noProof/>
                <w:webHidden/>
              </w:rPr>
            </w:r>
            <w:r w:rsidR="00F74E72">
              <w:rPr>
                <w:noProof/>
                <w:webHidden/>
              </w:rPr>
              <w:fldChar w:fldCharType="separate"/>
            </w:r>
            <w:r w:rsidR="00F74E72">
              <w:rPr>
                <w:noProof/>
                <w:webHidden/>
              </w:rPr>
              <w:t>20</w:t>
            </w:r>
            <w:r w:rsidR="00F74E72">
              <w:rPr>
                <w:noProof/>
                <w:webHidden/>
              </w:rPr>
              <w:fldChar w:fldCharType="end"/>
            </w:r>
          </w:hyperlink>
        </w:p>
        <w:p w14:paraId="20D9CD09" w14:textId="77777777" w:rsidR="00F74E72" w:rsidRDefault="00A329B7">
          <w:pPr>
            <w:pStyle w:val="Obsah3"/>
            <w:tabs>
              <w:tab w:val="left" w:pos="1100"/>
              <w:tab w:val="right" w:leader="dot" w:pos="9062"/>
            </w:tabs>
            <w:rPr>
              <w:rFonts w:asciiTheme="minorHAnsi" w:eastAsiaTheme="minorEastAsia" w:hAnsiTheme="minorHAnsi"/>
              <w:noProof/>
              <w:lang w:val="en-GB" w:eastAsia="en-GB"/>
            </w:rPr>
          </w:pPr>
          <w:hyperlink w:anchor="_Toc35602780" w:history="1">
            <w:r w:rsidR="00F74E72" w:rsidRPr="00AE6978">
              <w:rPr>
                <w:rStyle w:val="Hypertextovprepojenie"/>
                <w:noProof/>
              </w:rPr>
              <w:t>7.1.</w:t>
            </w:r>
            <w:r w:rsidR="00F74E72">
              <w:rPr>
                <w:rFonts w:asciiTheme="minorHAnsi" w:eastAsiaTheme="minorEastAsia" w:hAnsiTheme="minorHAnsi"/>
                <w:noProof/>
                <w:lang w:val="en-GB" w:eastAsia="en-GB"/>
              </w:rPr>
              <w:tab/>
            </w:r>
            <w:r w:rsidR="00F74E72" w:rsidRPr="00AE6978">
              <w:rPr>
                <w:rStyle w:val="Hypertextovprepojenie"/>
                <w:noProof/>
              </w:rPr>
              <w:t>Zavedenie IT finančného riadenia</w:t>
            </w:r>
            <w:r w:rsidR="00F74E72">
              <w:rPr>
                <w:noProof/>
                <w:webHidden/>
              </w:rPr>
              <w:tab/>
            </w:r>
            <w:r w:rsidR="00F74E72">
              <w:rPr>
                <w:noProof/>
                <w:webHidden/>
              </w:rPr>
              <w:fldChar w:fldCharType="begin"/>
            </w:r>
            <w:r w:rsidR="00F74E72">
              <w:rPr>
                <w:noProof/>
                <w:webHidden/>
              </w:rPr>
              <w:instrText xml:space="preserve"> PAGEREF _Toc35602780 \h </w:instrText>
            </w:r>
            <w:r w:rsidR="00F74E72">
              <w:rPr>
                <w:noProof/>
                <w:webHidden/>
              </w:rPr>
            </w:r>
            <w:r w:rsidR="00F74E72">
              <w:rPr>
                <w:noProof/>
                <w:webHidden/>
              </w:rPr>
              <w:fldChar w:fldCharType="separate"/>
            </w:r>
            <w:r w:rsidR="00F74E72">
              <w:rPr>
                <w:noProof/>
                <w:webHidden/>
              </w:rPr>
              <w:t>21</w:t>
            </w:r>
            <w:r w:rsidR="00F74E72">
              <w:rPr>
                <w:noProof/>
                <w:webHidden/>
              </w:rPr>
              <w:fldChar w:fldCharType="end"/>
            </w:r>
          </w:hyperlink>
        </w:p>
        <w:p w14:paraId="5E9B9448" w14:textId="77777777" w:rsidR="00F74E72" w:rsidRDefault="00A329B7">
          <w:pPr>
            <w:pStyle w:val="Obsah3"/>
            <w:tabs>
              <w:tab w:val="left" w:pos="1100"/>
              <w:tab w:val="right" w:leader="dot" w:pos="9062"/>
            </w:tabs>
            <w:rPr>
              <w:rFonts w:asciiTheme="minorHAnsi" w:eastAsiaTheme="minorEastAsia" w:hAnsiTheme="minorHAnsi"/>
              <w:noProof/>
              <w:lang w:val="en-GB" w:eastAsia="en-GB"/>
            </w:rPr>
          </w:pPr>
          <w:hyperlink w:anchor="_Toc35602781" w:history="1">
            <w:r w:rsidR="00F74E72" w:rsidRPr="00AE6978">
              <w:rPr>
                <w:rStyle w:val="Hypertextovprepojenie"/>
                <w:noProof/>
              </w:rPr>
              <w:t>7.2.</w:t>
            </w:r>
            <w:r w:rsidR="00F74E72">
              <w:rPr>
                <w:rFonts w:asciiTheme="minorHAnsi" w:eastAsiaTheme="minorEastAsia" w:hAnsiTheme="minorHAnsi"/>
                <w:noProof/>
                <w:lang w:val="en-GB" w:eastAsia="en-GB"/>
              </w:rPr>
              <w:tab/>
            </w:r>
            <w:r w:rsidR="00F74E72" w:rsidRPr="00AE6978">
              <w:rPr>
                <w:rStyle w:val="Hypertextovprepojenie"/>
                <w:noProof/>
              </w:rPr>
              <w:t>Benchmarking – cenové limity pre tovary a služby</w:t>
            </w:r>
            <w:r w:rsidR="00F74E72">
              <w:rPr>
                <w:noProof/>
                <w:webHidden/>
              </w:rPr>
              <w:tab/>
            </w:r>
            <w:r w:rsidR="00F74E72">
              <w:rPr>
                <w:noProof/>
                <w:webHidden/>
              </w:rPr>
              <w:fldChar w:fldCharType="begin"/>
            </w:r>
            <w:r w:rsidR="00F74E72">
              <w:rPr>
                <w:noProof/>
                <w:webHidden/>
              </w:rPr>
              <w:instrText xml:space="preserve"> PAGEREF _Toc35602781 \h </w:instrText>
            </w:r>
            <w:r w:rsidR="00F74E72">
              <w:rPr>
                <w:noProof/>
                <w:webHidden/>
              </w:rPr>
            </w:r>
            <w:r w:rsidR="00F74E72">
              <w:rPr>
                <w:noProof/>
                <w:webHidden/>
              </w:rPr>
              <w:fldChar w:fldCharType="separate"/>
            </w:r>
            <w:r w:rsidR="00F74E72">
              <w:rPr>
                <w:noProof/>
                <w:webHidden/>
              </w:rPr>
              <w:t>22</w:t>
            </w:r>
            <w:r w:rsidR="00F74E72">
              <w:rPr>
                <w:noProof/>
                <w:webHidden/>
              </w:rPr>
              <w:fldChar w:fldCharType="end"/>
            </w:r>
          </w:hyperlink>
        </w:p>
        <w:p w14:paraId="119468F9" w14:textId="77777777" w:rsidR="00F74E72" w:rsidRDefault="00A329B7">
          <w:pPr>
            <w:pStyle w:val="Obsah3"/>
            <w:tabs>
              <w:tab w:val="left" w:pos="1100"/>
              <w:tab w:val="right" w:leader="dot" w:pos="9062"/>
            </w:tabs>
            <w:rPr>
              <w:rFonts w:asciiTheme="minorHAnsi" w:eastAsiaTheme="minorEastAsia" w:hAnsiTheme="minorHAnsi"/>
              <w:noProof/>
              <w:lang w:val="en-GB" w:eastAsia="en-GB"/>
            </w:rPr>
          </w:pPr>
          <w:hyperlink w:anchor="_Toc35602782" w:history="1">
            <w:r w:rsidR="00F74E72" w:rsidRPr="00AE6978">
              <w:rPr>
                <w:rStyle w:val="Hypertextovprepojenie"/>
                <w:noProof/>
              </w:rPr>
              <w:t>7.3.</w:t>
            </w:r>
            <w:r w:rsidR="00F74E72">
              <w:rPr>
                <w:rFonts w:asciiTheme="minorHAnsi" w:eastAsiaTheme="minorEastAsia" w:hAnsiTheme="minorHAnsi"/>
                <w:noProof/>
                <w:lang w:val="en-GB" w:eastAsia="en-GB"/>
              </w:rPr>
              <w:tab/>
            </w:r>
            <w:r w:rsidR="00F74E72" w:rsidRPr="00AE6978">
              <w:rPr>
                <w:rStyle w:val="Hypertextovprepojenie"/>
                <w:noProof/>
              </w:rPr>
              <w:t>Nastavenie správnej úrovne SLA</w:t>
            </w:r>
            <w:r w:rsidR="00F74E72">
              <w:rPr>
                <w:noProof/>
                <w:webHidden/>
              </w:rPr>
              <w:tab/>
            </w:r>
            <w:r w:rsidR="00F74E72">
              <w:rPr>
                <w:noProof/>
                <w:webHidden/>
              </w:rPr>
              <w:fldChar w:fldCharType="begin"/>
            </w:r>
            <w:r w:rsidR="00F74E72">
              <w:rPr>
                <w:noProof/>
                <w:webHidden/>
              </w:rPr>
              <w:instrText xml:space="preserve"> PAGEREF _Toc35602782 \h </w:instrText>
            </w:r>
            <w:r w:rsidR="00F74E72">
              <w:rPr>
                <w:noProof/>
                <w:webHidden/>
              </w:rPr>
            </w:r>
            <w:r w:rsidR="00F74E72">
              <w:rPr>
                <w:noProof/>
                <w:webHidden/>
              </w:rPr>
              <w:fldChar w:fldCharType="separate"/>
            </w:r>
            <w:r w:rsidR="00F74E72">
              <w:rPr>
                <w:noProof/>
                <w:webHidden/>
              </w:rPr>
              <w:t>24</w:t>
            </w:r>
            <w:r w:rsidR="00F74E72">
              <w:rPr>
                <w:noProof/>
                <w:webHidden/>
              </w:rPr>
              <w:fldChar w:fldCharType="end"/>
            </w:r>
          </w:hyperlink>
        </w:p>
        <w:p w14:paraId="058BD1A2" w14:textId="77777777" w:rsidR="00F74E72" w:rsidRDefault="00A329B7">
          <w:pPr>
            <w:pStyle w:val="Obsah3"/>
            <w:tabs>
              <w:tab w:val="left" w:pos="1100"/>
              <w:tab w:val="right" w:leader="dot" w:pos="9062"/>
            </w:tabs>
            <w:rPr>
              <w:rFonts w:asciiTheme="minorHAnsi" w:eastAsiaTheme="minorEastAsia" w:hAnsiTheme="minorHAnsi"/>
              <w:noProof/>
              <w:lang w:val="en-GB" w:eastAsia="en-GB"/>
            </w:rPr>
          </w:pPr>
          <w:hyperlink w:anchor="_Toc35602783" w:history="1">
            <w:r w:rsidR="00F74E72" w:rsidRPr="00AE6978">
              <w:rPr>
                <w:rStyle w:val="Hypertextovprepojenie"/>
                <w:noProof/>
              </w:rPr>
              <w:t>7.4.</w:t>
            </w:r>
            <w:r w:rsidR="00F74E72">
              <w:rPr>
                <w:rFonts w:asciiTheme="minorHAnsi" w:eastAsiaTheme="minorEastAsia" w:hAnsiTheme="minorHAnsi"/>
                <w:noProof/>
                <w:lang w:val="en-GB" w:eastAsia="en-GB"/>
              </w:rPr>
              <w:tab/>
            </w:r>
            <w:r w:rsidR="00F74E72" w:rsidRPr="00AE6978">
              <w:rPr>
                <w:rStyle w:val="Hypertextovprepojenie"/>
                <w:noProof/>
              </w:rPr>
              <w:t>Riadiť a vyhodnocovať ekonomickú efektívnosť zmenových požiadaviek</w:t>
            </w:r>
            <w:r w:rsidR="00F74E72">
              <w:rPr>
                <w:noProof/>
                <w:webHidden/>
              </w:rPr>
              <w:tab/>
            </w:r>
            <w:r w:rsidR="00F74E72">
              <w:rPr>
                <w:noProof/>
                <w:webHidden/>
              </w:rPr>
              <w:fldChar w:fldCharType="begin"/>
            </w:r>
            <w:r w:rsidR="00F74E72">
              <w:rPr>
                <w:noProof/>
                <w:webHidden/>
              </w:rPr>
              <w:instrText xml:space="preserve"> PAGEREF _Toc35602783 \h </w:instrText>
            </w:r>
            <w:r w:rsidR="00F74E72">
              <w:rPr>
                <w:noProof/>
                <w:webHidden/>
              </w:rPr>
            </w:r>
            <w:r w:rsidR="00F74E72">
              <w:rPr>
                <w:noProof/>
                <w:webHidden/>
              </w:rPr>
              <w:fldChar w:fldCharType="separate"/>
            </w:r>
            <w:r w:rsidR="00F74E72">
              <w:rPr>
                <w:noProof/>
                <w:webHidden/>
              </w:rPr>
              <w:t>25</w:t>
            </w:r>
            <w:r w:rsidR="00F74E72">
              <w:rPr>
                <w:noProof/>
                <w:webHidden/>
              </w:rPr>
              <w:fldChar w:fldCharType="end"/>
            </w:r>
          </w:hyperlink>
        </w:p>
        <w:p w14:paraId="5FF5D7AA" w14:textId="77777777" w:rsidR="00F74E72" w:rsidRDefault="00A329B7">
          <w:pPr>
            <w:pStyle w:val="Obsah3"/>
            <w:tabs>
              <w:tab w:val="left" w:pos="1100"/>
              <w:tab w:val="right" w:leader="dot" w:pos="9062"/>
            </w:tabs>
            <w:rPr>
              <w:rFonts w:asciiTheme="minorHAnsi" w:eastAsiaTheme="minorEastAsia" w:hAnsiTheme="minorHAnsi"/>
              <w:noProof/>
              <w:lang w:val="en-GB" w:eastAsia="en-GB"/>
            </w:rPr>
          </w:pPr>
          <w:hyperlink w:anchor="_Toc35602784" w:history="1">
            <w:r w:rsidR="00F74E72" w:rsidRPr="00AE6978">
              <w:rPr>
                <w:rStyle w:val="Hypertextovprepojenie"/>
                <w:noProof/>
              </w:rPr>
              <w:t>7.5.</w:t>
            </w:r>
            <w:r w:rsidR="00F74E72">
              <w:rPr>
                <w:rFonts w:asciiTheme="minorHAnsi" w:eastAsiaTheme="minorEastAsia" w:hAnsiTheme="minorHAnsi"/>
                <w:noProof/>
                <w:lang w:val="en-GB" w:eastAsia="en-GB"/>
              </w:rPr>
              <w:tab/>
            </w:r>
            <w:r w:rsidR="00F74E72" w:rsidRPr="00AE6978">
              <w:rPr>
                <w:rStyle w:val="Hypertextovprepojenie"/>
                <w:noProof/>
              </w:rPr>
              <w:t>Bezpečnosť</w:t>
            </w:r>
            <w:r w:rsidR="00F74E72">
              <w:rPr>
                <w:noProof/>
                <w:webHidden/>
              </w:rPr>
              <w:tab/>
            </w:r>
            <w:r w:rsidR="00F74E72">
              <w:rPr>
                <w:noProof/>
                <w:webHidden/>
              </w:rPr>
              <w:fldChar w:fldCharType="begin"/>
            </w:r>
            <w:r w:rsidR="00F74E72">
              <w:rPr>
                <w:noProof/>
                <w:webHidden/>
              </w:rPr>
              <w:instrText xml:space="preserve"> PAGEREF _Toc35602784 \h </w:instrText>
            </w:r>
            <w:r w:rsidR="00F74E72">
              <w:rPr>
                <w:noProof/>
                <w:webHidden/>
              </w:rPr>
            </w:r>
            <w:r w:rsidR="00F74E72">
              <w:rPr>
                <w:noProof/>
                <w:webHidden/>
              </w:rPr>
              <w:fldChar w:fldCharType="separate"/>
            </w:r>
            <w:r w:rsidR="00F74E72">
              <w:rPr>
                <w:noProof/>
                <w:webHidden/>
              </w:rPr>
              <w:t>26</w:t>
            </w:r>
            <w:r w:rsidR="00F74E72">
              <w:rPr>
                <w:noProof/>
                <w:webHidden/>
              </w:rPr>
              <w:fldChar w:fldCharType="end"/>
            </w:r>
          </w:hyperlink>
        </w:p>
        <w:p w14:paraId="755F8E37" w14:textId="77777777" w:rsidR="00F74E72" w:rsidRDefault="00A329B7">
          <w:pPr>
            <w:pStyle w:val="Obsah3"/>
            <w:tabs>
              <w:tab w:val="left" w:pos="1100"/>
              <w:tab w:val="right" w:leader="dot" w:pos="9062"/>
            </w:tabs>
            <w:rPr>
              <w:rFonts w:asciiTheme="minorHAnsi" w:eastAsiaTheme="minorEastAsia" w:hAnsiTheme="minorHAnsi"/>
              <w:noProof/>
              <w:lang w:val="en-GB" w:eastAsia="en-GB"/>
            </w:rPr>
          </w:pPr>
          <w:hyperlink w:anchor="_Toc35602785" w:history="1">
            <w:r w:rsidR="00F74E72" w:rsidRPr="00AE6978">
              <w:rPr>
                <w:rStyle w:val="Hypertextovprepojenie"/>
                <w:noProof/>
              </w:rPr>
              <w:t>7.6.</w:t>
            </w:r>
            <w:r w:rsidR="00F74E72">
              <w:rPr>
                <w:rFonts w:asciiTheme="minorHAnsi" w:eastAsiaTheme="minorEastAsia" w:hAnsiTheme="minorHAnsi"/>
                <w:noProof/>
                <w:lang w:val="en-GB" w:eastAsia="en-GB"/>
              </w:rPr>
              <w:tab/>
            </w:r>
            <w:r w:rsidR="00F74E72" w:rsidRPr="00AE6978">
              <w:rPr>
                <w:rStyle w:val="Hypertextovprepojenie"/>
                <w:noProof/>
              </w:rPr>
              <w:t>Riadenie nákupu a spotreby softvéru</w:t>
            </w:r>
            <w:r w:rsidR="00F74E72">
              <w:rPr>
                <w:noProof/>
                <w:webHidden/>
              </w:rPr>
              <w:tab/>
            </w:r>
            <w:r w:rsidR="00F74E72">
              <w:rPr>
                <w:noProof/>
                <w:webHidden/>
              </w:rPr>
              <w:fldChar w:fldCharType="begin"/>
            </w:r>
            <w:r w:rsidR="00F74E72">
              <w:rPr>
                <w:noProof/>
                <w:webHidden/>
              </w:rPr>
              <w:instrText xml:space="preserve"> PAGEREF _Toc35602785 \h </w:instrText>
            </w:r>
            <w:r w:rsidR="00F74E72">
              <w:rPr>
                <w:noProof/>
                <w:webHidden/>
              </w:rPr>
            </w:r>
            <w:r w:rsidR="00F74E72">
              <w:rPr>
                <w:noProof/>
                <w:webHidden/>
              </w:rPr>
              <w:fldChar w:fldCharType="separate"/>
            </w:r>
            <w:r w:rsidR="00F74E72">
              <w:rPr>
                <w:noProof/>
                <w:webHidden/>
              </w:rPr>
              <w:t>27</w:t>
            </w:r>
            <w:r w:rsidR="00F74E72">
              <w:rPr>
                <w:noProof/>
                <w:webHidden/>
              </w:rPr>
              <w:fldChar w:fldCharType="end"/>
            </w:r>
          </w:hyperlink>
        </w:p>
        <w:p w14:paraId="6DDFBEAD" w14:textId="77777777" w:rsidR="00F74E72" w:rsidRDefault="00A329B7">
          <w:pPr>
            <w:pStyle w:val="Obsah3"/>
            <w:tabs>
              <w:tab w:val="left" w:pos="1100"/>
              <w:tab w:val="right" w:leader="dot" w:pos="9062"/>
            </w:tabs>
            <w:rPr>
              <w:rFonts w:asciiTheme="minorHAnsi" w:eastAsiaTheme="minorEastAsia" w:hAnsiTheme="minorHAnsi"/>
              <w:noProof/>
              <w:lang w:val="en-GB" w:eastAsia="en-GB"/>
            </w:rPr>
          </w:pPr>
          <w:hyperlink w:anchor="_Toc35602786" w:history="1">
            <w:r w:rsidR="00F74E72" w:rsidRPr="00AE6978">
              <w:rPr>
                <w:rStyle w:val="Hypertextovprepojenie"/>
                <w:noProof/>
              </w:rPr>
              <w:t>7.7.</w:t>
            </w:r>
            <w:r w:rsidR="00F74E72">
              <w:rPr>
                <w:rFonts w:asciiTheme="minorHAnsi" w:eastAsiaTheme="minorEastAsia" w:hAnsiTheme="minorHAnsi"/>
                <w:noProof/>
                <w:lang w:val="en-GB" w:eastAsia="en-GB"/>
              </w:rPr>
              <w:tab/>
            </w:r>
            <w:r w:rsidR="00F74E72" w:rsidRPr="00AE6978">
              <w:rPr>
                <w:rStyle w:val="Hypertextovprepojenie"/>
                <w:noProof/>
              </w:rPr>
              <w:t>Centralizácia podporných IT činností</w:t>
            </w:r>
            <w:r w:rsidR="00F74E72">
              <w:rPr>
                <w:noProof/>
                <w:webHidden/>
              </w:rPr>
              <w:tab/>
            </w:r>
            <w:r w:rsidR="00F74E72">
              <w:rPr>
                <w:noProof/>
                <w:webHidden/>
              </w:rPr>
              <w:fldChar w:fldCharType="begin"/>
            </w:r>
            <w:r w:rsidR="00F74E72">
              <w:rPr>
                <w:noProof/>
                <w:webHidden/>
              </w:rPr>
              <w:instrText xml:space="preserve"> PAGEREF _Toc35602786 \h </w:instrText>
            </w:r>
            <w:r w:rsidR="00F74E72">
              <w:rPr>
                <w:noProof/>
                <w:webHidden/>
              </w:rPr>
            </w:r>
            <w:r w:rsidR="00F74E72">
              <w:rPr>
                <w:noProof/>
                <w:webHidden/>
              </w:rPr>
              <w:fldChar w:fldCharType="separate"/>
            </w:r>
            <w:r w:rsidR="00F74E72">
              <w:rPr>
                <w:noProof/>
                <w:webHidden/>
              </w:rPr>
              <w:t>29</w:t>
            </w:r>
            <w:r w:rsidR="00F74E72">
              <w:rPr>
                <w:noProof/>
                <w:webHidden/>
              </w:rPr>
              <w:fldChar w:fldCharType="end"/>
            </w:r>
          </w:hyperlink>
        </w:p>
        <w:p w14:paraId="3BA2E5DD" w14:textId="77777777" w:rsidR="00F74E72" w:rsidRDefault="00A329B7">
          <w:pPr>
            <w:pStyle w:val="Obsah3"/>
            <w:tabs>
              <w:tab w:val="left" w:pos="1100"/>
              <w:tab w:val="right" w:leader="dot" w:pos="9062"/>
            </w:tabs>
            <w:rPr>
              <w:rFonts w:asciiTheme="minorHAnsi" w:eastAsiaTheme="minorEastAsia" w:hAnsiTheme="minorHAnsi"/>
              <w:noProof/>
              <w:lang w:val="en-GB" w:eastAsia="en-GB"/>
            </w:rPr>
          </w:pPr>
          <w:hyperlink w:anchor="_Toc35602787" w:history="1">
            <w:r w:rsidR="00F74E72" w:rsidRPr="00AE6978">
              <w:rPr>
                <w:rStyle w:val="Hypertextovprepojenie"/>
                <w:noProof/>
              </w:rPr>
              <w:t>7.8.</w:t>
            </w:r>
            <w:r w:rsidR="00F74E72">
              <w:rPr>
                <w:rFonts w:asciiTheme="minorHAnsi" w:eastAsiaTheme="minorEastAsia" w:hAnsiTheme="minorHAnsi"/>
                <w:noProof/>
                <w:lang w:val="en-GB" w:eastAsia="en-GB"/>
              </w:rPr>
              <w:tab/>
            </w:r>
            <w:r w:rsidR="00F74E72" w:rsidRPr="00AE6978">
              <w:rPr>
                <w:rStyle w:val="Hypertextovprepojenie"/>
                <w:noProof/>
              </w:rPr>
              <w:t>Zmena modelu nákupu telekomunikačných služieb</w:t>
            </w:r>
            <w:r w:rsidR="00F74E72">
              <w:rPr>
                <w:noProof/>
                <w:webHidden/>
              </w:rPr>
              <w:tab/>
            </w:r>
            <w:r w:rsidR="00F74E72">
              <w:rPr>
                <w:noProof/>
                <w:webHidden/>
              </w:rPr>
              <w:fldChar w:fldCharType="begin"/>
            </w:r>
            <w:r w:rsidR="00F74E72">
              <w:rPr>
                <w:noProof/>
                <w:webHidden/>
              </w:rPr>
              <w:instrText xml:space="preserve"> PAGEREF _Toc35602787 \h </w:instrText>
            </w:r>
            <w:r w:rsidR="00F74E72">
              <w:rPr>
                <w:noProof/>
                <w:webHidden/>
              </w:rPr>
            </w:r>
            <w:r w:rsidR="00F74E72">
              <w:rPr>
                <w:noProof/>
                <w:webHidden/>
              </w:rPr>
              <w:fldChar w:fldCharType="separate"/>
            </w:r>
            <w:r w:rsidR="00F74E72">
              <w:rPr>
                <w:noProof/>
                <w:webHidden/>
              </w:rPr>
              <w:t>30</w:t>
            </w:r>
            <w:r w:rsidR="00F74E72">
              <w:rPr>
                <w:noProof/>
                <w:webHidden/>
              </w:rPr>
              <w:fldChar w:fldCharType="end"/>
            </w:r>
          </w:hyperlink>
        </w:p>
        <w:p w14:paraId="7359223A" w14:textId="77777777" w:rsidR="00F74E72" w:rsidRDefault="00A329B7">
          <w:pPr>
            <w:pStyle w:val="Obsah3"/>
            <w:tabs>
              <w:tab w:val="left" w:pos="1100"/>
              <w:tab w:val="right" w:leader="dot" w:pos="9062"/>
            </w:tabs>
            <w:rPr>
              <w:rFonts w:asciiTheme="minorHAnsi" w:eastAsiaTheme="minorEastAsia" w:hAnsiTheme="minorHAnsi"/>
              <w:noProof/>
              <w:lang w:val="en-GB" w:eastAsia="en-GB"/>
            </w:rPr>
          </w:pPr>
          <w:hyperlink w:anchor="_Toc35602788" w:history="1">
            <w:r w:rsidR="00F74E72" w:rsidRPr="00AE6978">
              <w:rPr>
                <w:rStyle w:val="Hypertextovprepojenie"/>
                <w:noProof/>
              </w:rPr>
              <w:t>7.9.</w:t>
            </w:r>
            <w:r w:rsidR="00F74E72">
              <w:rPr>
                <w:rFonts w:asciiTheme="minorHAnsi" w:eastAsiaTheme="minorEastAsia" w:hAnsiTheme="minorHAnsi"/>
                <w:noProof/>
                <w:lang w:val="en-GB" w:eastAsia="en-GB"/>
              </w:rPr>
              <w:tab/>
            </w:r>
            <w:r w:rsidR="00F74E72" w:rsidRPr="00AE6978">
              <w:rPr>
                <w:rStyle w:val="Hypertextovprepojenie"/>
                <w:noProof/>
              </w:rPr>
              <w:t>Efektívna prevádzka vládneho cloudu</w:t>
            </w:r>
            <w:r w:rsidR="00F74E72">
              <w:rPr>
                <w:noProof/>
                <w:webHidden/>
              </w:rPr>
              <w:tab/>
            </w:r>
            <w:r w:rsidR="00F74E72">
              <w:rPr>
                <w:noProof/>
                <w:webHidden/>
              </w:rPr>
              <w:fldChar w:fldCharType="begin"/>
            </w:r>
            <w:r w:rsidR="00F74E72">
              <w:rPr>
                <w:noProof/>
                <w:webHidden/>
              </w:rPr>
              <w:instrText xml:space="preserve"> PAGEREF _Toc35602788 \h </w:instrText>
            </w:r>
            <w:r w:rsidR="00F74E72">
              <w:rPr>
                <w:noProof/>
                <w:webHidden/>
              </w:rPr>
            </w:r>
            <w:r w:rsidR="00F74E72">
              <w:rPr>
                <w:noProof/>
                <w:webHidden/>
              </w:rPr>
              <w:fldChar w:fldCharType="separate"/>
            </w:r>
            <w:r w:rsidR="00F74E72">
              <w:rPr>
                <w:noProof/>
                <w:webHidden/>
              </w:rPr>
              <w:t>31</w:t>
            </w:r>
            <w:r w:rsidR="00F74E72">
              <w:rPr>
                <w:noProof/>
                <w:webHidden/>
              </w:rPr>
              <w:fldChar w:fldCharType="end"/>
            </w:r>
          </w:hyperlink>
        </w:p>
        <w:p w14:paraId="3D830E32" w14:textId="77777777" w:rsidR="00F74E72" w:rsidRDefault="00A329B7">
          <w:pPr>
            <w:pStyle w:val="Obsah3"/>
            <w:tabs>
              <w:tab w:val="right" w:leader="dot" w:pos="9062"/>
            </w:tabs>
            <w:rPr>
              <w:rFonts w:asciiTheme="minorHAnsi" w:eastAsiaTheme="minorEastAsia" w:hAnsiTheme="minorHAnsi"/>
              <w:noProof/>
              <w:lang w:val="en-GB" w:eastAsia="en-GB"/>
            </w:rPr>
          </w:pPr>
          <w:hyperlink w:anchor="_Toc35602789" w:history="1">
            <w:r w:rsidR="00F74E72" w:rsidRPr="00AE6978">
              <w:rPr>
                <w:rStyle w:val="Hypertextovprepojenie"/>
                <w:noProof/>
              </w:rPr>
              <w:t>Príloha 1: Opatrenia revízie výdavkov na informatizáciu</w:t>
            </w:r>
            <w:r w:rsidR="00F74E72">
              <w:rPr>
                <w:noProof/>
                <w:webHidden/>
              </w:rPr>
              <w:tab/>
            </w:r>
            <w:r w:rsidR="00F74E72">
              <w:rPr>
                <w:noProof/>
                <w:webHidden/>
              </w:rPr>
              <w:fldChar w:fldCharType="begin"/>
            </w:r>
            <w:r w:rsidR="00F74E72">
              <w:rPr>
                <w:noProof/>
                <w:webHidden/>
              </w:rPr>
              <w:instrText xml:space="preserve"> PAGEREF _Toc35602789 \h </w:instrText>
            </w:r>
            <w:r w:rsidR="00F74E72">
              <w:rPr>
                <w:noProof/>
                <w:webHidden/>
              </w:rPr>
            </w:r>
            <w:r w:rsidR="00F74E72">
              <w:rPr>
                <w:noProof/>
                <w:webHidden/>
              </w:rPr>
              <w:fldChar w:fldCharType="separate"/>
            </w:r>
            <w:r w:rsidR="00F74E72">
              <w:rPr>
                <w:noProof/>
                <w:webHidden/>
              </w:rPr>
              <w:t>33</w:t>
            </w:r>
            <w:r w:rsidR="00F74E72">
              <w:rPr>
                <w:noProof/>
                <w:webHidden/>
              </w:rPr>
              <w:fldChar w:fldCharType="end"/>
            </w:r>
          </w:hyperlink>
        </w:p>
        <w:p w14:paraId="7623F0AE" w14:textId="77777777" w:rsidR="009D4E45" w:rsidRDefault="009D4E45" w:rsidP="00E05BE2">
          <w:pPr>
            <w:spacing w:line="252" w:lineRule="auto"/>
          </w:pPr>
          <w:r>
            <w:rPr>
              <w:b/>
              <w:bCs/>
            </w:rPr>
            <w:fldChar w:fldCharType="end"/>
          </w:r>
        </w:p>
      </w:sdtContent>
    </w:sdt>
    <w:p w14:paraId="5BD53879" w14:textId="77777777" w:rsidR="001608F9" w:rsidRDefault="001608F9" w:rsidP="0059256C">
      <w:pPr>
        <w:pStyle w:val="Nadpis2"/>
        <w:numPr>
          <w:ilvl w:val="0"/>
          <w:numId w:val="1"/>
        </w:numPr>
        <w:ind w:left="0" w:firstLine="0"/>
      </w:pPr>
      <w:bookmarkStart w:id="1" w:name="_Toc35602753"/>
      <w:r>
        <w:t>Úvod</w:t>
      </w:r>
      <w:r w:rsidR="005663DF">
        <w:t xml:space="preserve"> a zhrnutie</w:t>
      </w:r>
      <w:bookmarkEnd w:id="1"/>
    </w:p>
    <w:p w14:paraId="1DE45E23" w14:textId="77777777" w:rsidR="00CE7BC2" w:rsidRDefault="00CE7BC2" w:rsidP="00CE7BC2">
      <w:r>
        <w:rPr>
          <w:b/>
        </w:rPr>
        <w:t xml:space="preserve">Výsledky Slovenskej informatizácie sa zlepšujú, potenciál digitalizácie verejnej správy </w:t>
      </w:r>
      <w:r w:rsidR="000A02D1">
        <w:rPr>
          <w:b/>
        </w:rPr>
        <w:t xml:space="preserve">však </w:t>
      </w:r>
      <w:r>
        <w:rPr>
          <w:b/>
        </w:rPr>
        <w:t xml:space="preserve">nie je plne využitý. </w:t>
      </w:r>
      <w:r>
        <w:t xml:space="preserve">Skóre DESI, ktoré monitoruje </w:t>
      </w:r>
      <w:r w:rsidRPr="007860BD">
        <w:t>pokrok digitálnej konkurencieschopnosti krajín</w:t>
      </w:r>
      <w:r>
        <w:t xml:space="preserve"> EÚ, sa od roku 2016 zvyšuje. </w:t>
      </w:r>
      <w:r w:rsidR="00846793">
        <w:t xml:space="preserve">Rozdiel skóre voči priemeru EÚ sa výraznejšie nemení, Slovensku patrí 21. priečka z 28 posudzovaných krajín. </w:t>
      </w:r>
      <w:r>
        <w:t>Najvýraznejší posun je v oblasti digitálnych verejných služieb.</w:t>
      </w:r>
      <w:r w:rsidR="00006CAB">
        <w:t xml:space="preserve"> Podľa DESI sa zvyšuje počet služieb verejnej správy </w:t>
      </w:r>
      <w:r w:rsidR="001075D6">
        <w:t>poskytovaných online.</w:t>
      </w:r>
      <w:r w:rsidR="00006CAB">
        <w:t xml:space="preserve"> </w:t>
      </w:r>
      <w:r w:rsidR="001075D6">
        <w:t>M</w:t>
      </w:r>
      <w:r w:rsidR="00006CAB">
        <w:t xml:space="preserve">iera ich používania </w:t>
      </w:r>
      <w:r w:rsidR="00846793">
        <w:t xml:space="preserve">však </w:t>
      </w:r>
      <w:r w:rsidR="001075D6">
        <w:t xml:space="preserve">rastie </w:t>
      </w:r>
      <w:r w:rsidR="00846793">
        <w:t>najmä</w:t>
      </w:r>
      <w:r w:rsidR="001075D6">
        <w:t xml:space="preserve"> medzi podnikateľmi, medzi občanmi klesá</w:t>
      </w:r>
      <w:r w:rsidR="00006CAB">
        <w:t>.</w:t>
      </w:r>
      <w:r w:rsidR="00846793">
        <w:t xml:space="preserve"> </w:t>
      </w:r>
      <w:r w:rsidR="00006CAB">
        <w:t>Do budúcnosti je tak</w:t>
      </w:r>
      <w:r w:rsidR="001075D6">
        <w:t xml:space="preserve"> cieľom okrem ďalšej digitalizácie</w:t>
      </w:r>
      <w:r w:rsidR="00006CAB">
        <w:t xml:space="preserve"> </w:t>
      </w:r>
      <w:r w:rsidR="001075D6">
        <w:t>aj zlepšenie</w:t>
      </w:r>
      <w:r w:rsidR="00006CAB">
        <w:t xml:space="preserve"> monitoring</w:t>
      </w:r>
      <w:r w:rsidR="001075D6">
        <w:t>u</w:t>
      </w:r>
      <w:r w:rsidR="00006CAB">
        <w:t xml:space="preserve"> a </w:t>
      </w:r>
      <w:r w:rsidR="001075D6">
        <w:t>využívania</w:t>
      </w:r>
      <w:r w:rsidR="00006CAB">
        <w:t xml:space="preserve"> služieb.  </w:t>
      </w:r>
    </w:p>
    <w:p w14:paraId="5CFC38EF" w14:textId="77777777" w:rsidR="00104A68" w:rsidRDefault="00160503" w:rsidP="00CE7BC2">
      <w:r>
        <w:rPr>
          <w:b/>
        </w:rPr>
        <w:t xml:space="preserve">Rastúce </w:t>
      </w:r>
      <w:r w:rsidR="00CE7BC2">
        <w:rPr>
          <w:b/>
        </w:rPr>
        <w:t>výdavky na</w:t>
      </w:r>
      <w:r>
        <w:rPr>
          <w:b/>
        </w:rPr>
        <w:t xml:space="preserve"> štátne</w:t>
      </w:r>
      <w:r w:rsidR="00CE7BC2">
        <w:rPr>
          <w:b/>
        </w:rPr>
        <w:t xml:space="preserve"> IT </w:t>
      </w:r>
      <w:r>
        <w:rPr>
          <w:b/>
        </w:rPr>
        <w:t>zvyšujú tlak na efektívnosť</w:t>
      </w:r>
      <w:r w:rsidR="001164AC">
        <w:rPr>
          <w:b/>
        </w:rPr>
        <w:t xml:space="preserve"> informatizácie</w:t>
      </w:r>
      <w:r>
        <w:rPr>
          <w:b/>
        </w:rPr>
        <w:t xml:space="preserve">. </w:t>
      </w:r>
      <w:r w:rsidR="00CE7BC2" w:rsidRPr="007842F5">
        <w:t>V rokoch 2016-1</w:t>
      </w:r>
      <w:r w:rsidR="007F2418">
        <w:t>9</w:t>
      </w:r>
      <w:r w:rsidR="00CE7BC2" w:rsidRPr="007842F5">
        <w:t xml:space="preserve"> boli</w:t>
      </w:r>
      <w:r w:rsidR="001164AC">
        <w:t xml:space="preserve"> </w:t>
      </w:r>
      <w:r w:rsidR="00CE7BC2" w:rsidRPr="007842F5">
        <w:t>priemerné ročné výdavky na IT 4</w:t>
      </w:r>
      <w:r w:rsidR="007F2418">
        <w:t>88</w:t>
      </w:r>
      <w:r w:rsidR="00CE7BC2" w:rsidRPr="007842F5">
        <w:t xml:space="preserve"> mil. eur, na roky 20</w:t>
      </w:r>
      <w:r w:rsidR="007F2418">
        <w:t>20</w:t>
      </w:r>
      <w:r w:rsidR="00CE7BC2" w:rsidRPr="007842F5">
        <w:t>-22 je priemerná oč</w:t>
      </w:r>
      <w:r w:rsidR="007F2418">
        <w:t>akávaná a rozpočtovaná výška 703</w:t>
      </w:r>
      <w:r w:rsidR="00CE7BC2" w:rsidRPr="007842F5">
        <w:t xml:space="preserve"> mil. eur.</w:t>
      </w:r>
      <w:r w:rsidR="00CE7BC2">
        <w:t xml:space="preserve"> </w:t>
      </w:r>
      <w:r w:rsidR="001164AC" w:rsidRPr="00A115E4">
        <w:t xml:space="preserve">Najväčšou rozpočtovou položkou sú výdavky na prevádzku systémov, ktoré </w:t>
      </w:r>
      <w:r w:rsidR="00DF0A53">
        <w:t>v roku 2019 dosiahli 337</w:t>
      </w:r>
      <w:r w:rsidR="001622D7">
        <w:t xml:space="preserve"> </w:t>
      </w:r>
      <w:r w:rsidR="001164AC" w:rsidRPr="00A115E4">
        <w:t xml:space="preserve">mil. eur. </w:t>
      </w:r>
      <w:r w:rsidR="00CE7BC2">
        <w:t xml:space="preserve">Zatiaľ čo veľké investície do štátneho IT a budovanie systémov sú </w:t>
      </w:r>
      <w:r w:rsidR="00DF0A53">
        <w:t xml:space="preserve">z veľkej časti </w:t>
      </w:r>
      <w:r w:rsidR="00CE7BC2">
        <w:t xml:space="preserve">financované zo zdrojov EÚ, prevádzka je financovaná zo štátneho rozpočtu (ŠR).   </w:t>
      </w:r>
    </w:p>
    <w:p w14:paraId="532108F5" w14:textId="19A96379" w:rsidR="00CE7BC2" w:rsidRDefault="00CE7BC2" w:rsidP="00CE7BC2">
      <w:r>
        <w:rPr>
          <w:b/>
        </w:rPr>
        <w:t xml:space="preserve">Zlepšenie </w:t>
      </w:r>
      <w:r w:rsidR="00BA5B15">
        <w:rPr>
          <w:b/>
        </w:rPr>
        <w:t xml:space="preserve">hodnoty za peniaze </w:t>
      </w:r>
      <w:r>
        <w:rPr>
          <w:b/>
        </w:rPr>
        <w:t xml:space="preserve">vyžaduje implementáciu opatrení zo strategických dokumentov. </w:t>
      </w:r>
      <w:r>
        <w:t>Národná koncepcia riadenia informatizácie verejnej správy (NKIVS) definuje 12 strategických cieľov a</w:t>
      </w:r>
      <w:r w:rsidR="00FF163E">
        <w:t xml:space="preserve"> 10</w:t>
      </w:r>
      <w:r>
        <w:t> priorít</w:t>
      </w:r>
      <w:r w:rsidR="001164AC">
        <w:t xml:space="preserve">. </w:t>
      </w:r>
      <w:r>
        <w:t>Zo 46 merateľných ukazovateľov, ktoré NKIVS definuje na sledovanie pokroku, sa dá v správe o jej plnení z roku 2018 hodnotiť 21 z nich. Dosiahnutie cieľovej  hodnoty je najmenej pri 13 rizikové.</w:t>
      </w:r>
      <w:r w:rsidR="00B029D5">
        <w:t xml:space="preserve"> </w:t>
      </w:r>
      <w:r w:rsidR="00332E7D">
        <w:t>Z pohľadu strategických cieľov je priorita posilnenie interných kapacít a zameranie sa nie len na nové projekty, ale aj efektívnu prevádzku IT</w:t>
      </w:r>
      <w:r w:rsidR="00B029D5">
        <w:t>.</w:t>
      </w:r>
      <w:r w:rsidR="00332E7D">
        <w:t xml:space="preserve"> Z technických priorít je to lepšia správa a výmena údajov a využívanie centrálnych spoločných </w:t>
      </w:r>
      <w:r w:rsidR="00D85C1D">
        <w:t>modulov</w:t>
      </w:r>
      <w:r w:rsidR="00332E7D">
        <w:t xml:space="preserve">. </w:t>
      </w:r>
      <w:r w:rsidRPr="00B736C7">
        <w:t>Čiastočný posun je vidieť pri znižovaní počtu papierových potvrdení, ktoré sú občania povinní nosiť na úrady (princíp 1x a dosť).</w:t>
      </w:r>
      <w:r w:rsidR="00D85C1D" w:rsidRPr="00D85C1D">
        <w:t xml:space="preserve"> </w:t>
      </w:r>
      <w:r w:rsidR="00D85C1D">
        <w:t>V rámci prvej a druhej vlny boja proti byrokracii nie je nutné nosiť 14 potvrdení alebo výpisov a v rámci tretej vlny sa plánuje ďalších 8</w:t>
      </w:r>
      <w:r w:rsidR="00D85C1D">
        <w:rPr>
          <w:rStyle w:val="Odkaznapoznmkupodiarou"/>
        </w:rPr>
        <w:footnoteReference w:id="1"/>
      </w:r>
      <w:r w:rsidR="00D85C1D">
        <w:t>.</w:t>
      </w:r>
    </w:p>
    <w:p w14:paraId="35617A91" w14:textId="77777777" w:rsidR="00CE7BC2" w:rsidRDefault="00CE7BC2" w:rsidP="00CE7BC2">
      <w:r>
        <w:rPr>
          <w:b/>
        </w:rPr>
        <w:t xml:space="preserve">Jednotlivé investičné projekty sú lepšie pripravené. </w:t>
      </w:r>
      <w:r>
        <w:t xml:space="preserve">Vďaka aktualizovanej metodike majú nové investičné projekty jednotný štandard na štúdiu uskutočniteľnosti a ekonomickú analýzu, detailnejšie rozpočty a expertné odhady prínosov sú nahradené meraniami. Pozitívom aj v porovnaní so zahraničím je zverejňovanie štúdií uskutočniteľnosti pri projektoch spolufinancovaných zo zdrojov EÚ. </w:t>
      </w:r>
      <w:r w:rsidR="0071327C">
        <w:t xml:space="preserve">Revízia navrhuje posilnenie rámca na prípravu projektov v skoršej fáze </w:t>
      </w:r>
      <w:r w:rsidR="009979D6">
        <w:t>projektového</w:t>
      </w:r>
      <w:r w:rsidR="0071327C">
        <w:t xml:space="preserve"> zámeru a pilotného riešenia. To zároveň umožní </w:t>
      </w:r>
      <w:r w:rsidR="009979D6">
        <w:t>zjednodušiť</w:t>
      </w:r>
      <w:r w:rsidR="0071327C">
        <w:t xml:space="preserve"> prípravu a schvaľovanie štúdií uskutočniteľnosti. </w:t>
      </w:r>
      <w:r w:rsidR="009979D6">
        <w:t>Pre prípravu projektov definuje</w:t>
      </w:r>
      <w:r w:rsidR="0071327C">
        <w:t xml:space="preserve"> päť princípov</w:t>
      </w:r>
      <w:r w:rsidR="009979D6">
        <w:t>, ktoré prinesú lacnejšie riešenia a jednoduchšiu implementáciu.</w:t>
      </w:r>
      <w:r w:rsidR="00BA5B15">
        <w:t xml:space="preserve"> Úrad podpredsedu vlády pre investície a informatizáciu (ÚPVII) by mal </w:t>
      </w:r>
      <w:r w:rsidR="009979D6">
        <w:t>vytvoriť</w:t>
      </w:r>
      <w:r w:rsidR="00BA5B15">
        <w:t xml:space="preserve"> metodiky pre agilné obstarávanie a vývoj, ktoré zjednodušia </w:t>
      </w:r>
      <w:r w:rsidR="00197236">
        <w:t>prechod od veľkých projektov ku priebežnému zlepšovaniu IT služieb</w:t>
      </w:r>
      <w:r w:rsidR="00BA5B15">
        <w:t xml:space="preserve"> a zvýšia prínosy informatizácie pre používateľov.</w:t>
      </w:r>
    </w:p>
    <w:p w14:paraId="77A7E52A" w14:textId="77777777" w:rsidR="00672E11" w:rsidRDefault="00A115E4" w:rsidP="00672E11">
      <w:r>
        <w:rPr>
          <w:b/>
        </w:rPr>
        <w:t>P</w:t>
      </w:r>
      <w:r w:rsidR="00CE7BC2" w:rsidRPr="003F444D">
        <w:rPr>
          <w:b/>
        </w:rPr>
        <w:t>riestor na zlepšenie je pri výbere a prioritizácii investičných projektov.</w:t>
      </w:r>
      <w:r w:rsidR="00CE7BC2">
        <w:t xml:space="preserve"> </w:t>
      </w:r>
      <w:r w:rsidR="006C512B">
        <w:t>Pri projektoch z fondov EÚ na schválenie postačuje</w:t>
      </w:r>
      <w:r w:rsidR="00CE7BC2">
        <w:t xml:space="preserve"> súlad </w:t>
      </w:r>
      <w:r w:rsidR="00E95B51">
        <w:t>s</w:t>
      </w:r>
      <w:r w:rsidR="003028B2">
        <w:t> </w:t>
      </w:r>
      <w:r w:rsidR="00E95B51">
        <w:t>cieľmi</w:t>
      </w:r>
      <w:r w:rsidR="003028B2">
        <w:t xml:space="preserve"> operačného programu, cieľmi a</w:t>
      </w:r>
      <w:r w:rsidR="00E95B51">
        <w:t> architektonickými princípmi</w:t>
      </w:r>
      <w:r w:rsidR="00CE7BC2">
        <w:t> NKIVS a pomer prínosov a nákladov vyšší ako </w:t>
      </w:r>
      <w:r w:rsidR="006C512B">
        <w:t>jeden, pri financovaní zo štátneho rozpočtu sú požiadavky ešte nižšie.</w:t>
      </w:r>
      <w:r w:rsidR="00CE7BC2">
        <w:t xml:space="preserve"> </w:t>
      </w:r>
      <w:r w:rsidR="006C512B">
        <w:t>Vyberať projekty podľa priority je pritom nevyhnutné nielen pre zvýšenie hodnoty za peniaze, ale aj pre efektívne fungovanie štátneho IT. Existujúci z</w:t>
      </w:r>
      <w:r w:rsidR="00CE7BC2">
        <w:t xml:space="preserve">ásobník projektov </w:t>
      </w:r>
      <w:r w:rsidR="006C512B">
        <w:t xml:space="preserve">je tak potrebné doplniť o harmonogram prípravy podľa priority a zosúladiť s rozpočtovými možnosťami. </w:t>
      </w:r>
      <w:r w:rsidR="00104A68">
        <w:t>Zásobník sa zároveň rozšíri o všetky plánované investície, nie len projekty z EÚ fondov</w:t>
      </w:r>
      <w:r w:rsidR="00CE7BC2">
        <w:t xml:space="preserve">. </w:t>
      </w:r>
    </w:p>
    <w:p w14:paraId="7F0F69F3" w14:textId="50756AC8" w:rsidR="00CE7BC2" w:rsidRDefault="00672E11" w:rsidP="00CE7BC2">
      <w:r w:rsidRPr="00A115E4">
        <w:rPr>
          <w:b/>
        </w:rPr>
        <w:t xml:space="preserve">Dosiahnuté výsledky </w:t>
      </w:r>
      <w:r w:rsidR="0071327C" w:rsidRPr="00A115E4">
        <w:rPr>
          <w:b/>
        </w:rPr>
        <w:t>v</w:t>
      </w:r>
      <w:r w:rsidRPr="00A115E4">
        <w:rPr>
          <w:b/>
        </w:rPr>
        <w:t xml:space="preserve"> informatizáci</w:t>
      </w:r>
      <w:r w:rsidR="0071327C" w:rsidRPr="00A115E4">
        <w:rPr>
          <w:b/>
        </w:rPr>
        <w:t>i</w:t>
      </w:r>
      <w:r w:rsidRPr="00A115E4">
        <w:rPr>
          <w:b/>
        </w:rPr>
        <w:t xml:space="preserve"> je nevyhnutné pretaviť do fungovania štátu a verejne odpočtovať</w:t>
      </w:r>
      <w:r w:rsidR="0071327C" w:rsidRPr="00A115E4">
        <w:rPr>
          <w:b/>
        </w:rPr>
        <w:t>.</w:t>
      </w:r>
      <w:r w:rsidR="0071327C">
        <w:t xml:space="preserve"> </w:t>
      </w:r>
      <w:r>
        <w:t xml:space="preserve"> </w:t>
      </w:r>
      <w:r w:rsidR="0071327C">
        <w:t xml:space="preserve">Digitalizácia verejnej správy umožní v najbližších 10 rokoch ušetriť čas úradníkov v hodnote 100 mil. eur (ekvivalent 4 </w:t>
      </w:r>
      <w:r w:rsidR="00F278D3">
        <w:t xml:space="preserve">690 </w:t>
      </w:r>
      <w:r w:rsidR="0071327C">
        <w:t xml:space="preserve">FTE). Prínosy pre občanov a úspory na strane štátu by sa mali merať </w:t>
      </w:r>
      <w:r>
        <w:t xml:space="preserve">na základe skutočných údajov z informačných systémov. </w:t>
      </w:r>
      <w:r w:rsidR="0071327C">
        <w:t>Transparentné sledovanie už teraz do veľkej miery umožňujú funkcionality portálu MetaIS.</w:t>
      </w:r>
    </w:p>
    <w:p w14:paraId="0D608C7C" w14:textId="1EDD5761" w:rsidR="00CE7BC2" w:rsidRDefault="00CE7BC2" w:rsidP="00CE7BC2">
      <w:r>
        <w:rPr>
          <w:b/>
        </w:rPr>
        <w:t xml:space="preserve">V strednodobom horizonte môžu byť IT výdavky znížené o 48-95 mil. eur bez dopadu na kvalitu podporovaných biznis služieb. </w:t>
      </w:r>
      <w:r w:rsidR="00D85C1D">
        <w:t>Zahraničná prax ukazuje</w:t>
      </w:r>
      <w:r>
        <w:t xml:space="preserve">, že zavedenie analytického sledovania IT výdavkov </w:t>
      </w:r>
      <w:r>
        <w:lastRenderedPageBreak/>
        <w:t>a manažérskej zodpovednosti za ich výšku (IT finančné riadenie) pomáha do 2-4 rokov od implementácie znížiť výdavky o 10-20 % (48-95 mil. eur) bez dopadu na kvalitu podporovaných biznis služieb. Lepšie sledovanie IT výdavkov v jednotnej štruktúre umožní  ich porovnanie medzi úradmi aj medzinárodne. Zavedenie manažérskej zodpovednosti za ich výšku je mechanizmus, ako preniesť identifikovanú úsporu do rozpočtu.</w:t>
      </w:r>
    </w:p>
    <w:p w14:paraId="4BFA389A" w14:textId="67066D24" w:rsidR="00CE7BC2" w:rsidRDefault="00CE7BC2" w:rsidP="00CE7BC2">
      <w:r>
        <w:rPr>
          <w:b/>
        </w:rPr>
        <w:t xml:space="preserve">Implementáciou </w:t>
      </w:r>
      <w:r w:rsidR="00A115E4">
        <w:rPr>
          <w:b/>
        </w:rPr>
        <w:t>čiastkových</w:t>
      </w:r>
      <w:r>
        <w:rPr>
          <w:b/>
        </w:rPr>
        <w:t xml:space="preserve"> opatrení je možné znížiť IT výdavky </w:t>
      </w:r>
      <w:r w:rsidR="00A115E4">
        <w:rPr>
          <w:b/>
        </w:rPr>
        <w:t xml:space="preserve">už v najbližších rokoch </w:t>
      </w:r>
      <w:r w:rsidR="007A76DE">
        <w:rPr>
          <w:b/>
        </w:rPr>
        <w:br/>
      </w:r>
      <w:r>
        <w:rPr>
          <w:b/>
        </w:rPr>
        <w:t>o</w:t>
      </w:r>
      <w:r w:rsidR="007A76DE">
        <w:rPr>
          <w:b/>
        </w:rPr>
        <w:t> </w:t>
      </w:r>
      <w:r w:rsidR="00B7422E">
        <w:rPr>
          <w:b/>
        </w:rPr>
        <w:t>34,2-70,4</w:t>
      </w:r>
      <w:r w:rsidR="00771A5C">
        <w:rPr>
          <w:b/>
        </w:rPr>
        <w:t xml:space="preserve"> </w:t>
      </w:r>
      <w:r>
        <w:rPr>
          <w:b/>
        </w:rPr>
        <w:t xml:space="preserve">mil. eur. </w:t>
      </w:r>
      <w:r>
        <w:t xml:space="preserve">IT finančné riadenie je strednodobý nástroj na zavedenie systematického riadenia IT výdavkov. Počas jeho zavádzania je možné už v najbližších rokoch implementovať ďalšie opatrenia na znižovanie výdavkov s efektom už v najbližších rokoch. Najmä </w:t>
      </w:r>
      <w:r w:rsidRPr="00D041A8">
        <w:t>stanovenie cenových limitov na nákup tovarov a služieb a prehodnotenie zmlúv na prevádzku a rozvoj informačných systémov</w:t>
      </w:r>
      <w:r w:rsidR="0020554F">
        <w:t>.</w:t>
      </w:r>
    </w:p>
    <w:p w14:paraId="31D8E559" w14:textId="77777777" w:rsidR="001C3886" w:rsidRPr="00CD5AE3" w:rsidRDefault="001C3886" w:rsidP="001C3886">
      <w:pPr>
        <w:rPr>
          <w:bCs/>
        </w:rPr>
      </w:pPr>
      <w:r>
        <w:rPr>
          <w:bCs/>
        </w:rPr>
        <w:t xml:space="preserve">Dosiahnutie niektorých úspor je podmienené vynaložením kapitálových investícií na vybraných kľúčových rezortoch, ktoré bude potrebné v rámci prípravy programového rozpočtu aj zo strany Ministerstva financií a ÚPVII prioritizovať. Konkrétne ide o centralizáciu podporných činností, ktorá je podmienená vhodnou infraštruktúrou (tenký klient, pripojenie, SW vybavenie pre IT oddelenia). Ďalej aj úspory z efektívnej prevádzky vládneho cloudu v časti migrácie do vládneho cloudu môžu nastať až po zrealizovaní migrácie informačných systémov (väčšina systémov nie je cloud ready a je nutná ich úprava na aplikačnej úrovni). Revízia však obsahuje mnohé úspory podmienené organizačno-procesnými zmenami, ktoré je možné zaviesť jednoduchšie a v kratšom čase. </w:t>
      </w:r>
    </w:p>
    <w:p w14:paraId="595A57B1" w14:textId="59C52093" w:rsidR="00CE7BC2" w:rsidRPr="00765192" w:rsidRDefault="00CE7BC2" w:rsidP="00CE7BC2">
      <w:pPr>
        <w:spacing w:after="0"/>
        <w:rPr>
          <w:b/>
        </w:rPr>
      </w:pPr>
      <w:r w:rsidRPr="00765192">
        <w:rPr>
          <w:b/>
        </w:rPr>
        <w:t xml:space="preserve">Tabuľka </w:t>
      </w:r>
      <w:r w:rsidR="003326DF">
        <w:rPr>
          <w:b/>
        </w:rPr>
        <w:t>1</w:t>
      </w:r>
      <w:r w:rsidRPr="00765192">
        <w:rPr>
          <w:b/>
        </w:rPr>
        <w:t>: Predpokladaná úspora IT nákladov podľa prioritných oblastí</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5995"/>
        <w:gridCol w:w="2381"/>
      </w:tblGrid>
      <w:tr w:rsidR="00CE7BC2" w:rsidRPr="00765192" w14:paraId="0AE437FD" w14:textId="77777777" w:rsidTr="003A6EC3">
        <w:tc>
          <w:tcPr>
            <w:tcW w:w="668" w:type="dxa"/>
            <w:tcBorders>
              <w:top w:val="single" w:sz="4" w:space="0" w:color="auto"/>
              <w:bottom w:val="single" w:sz="4" w:space="0" w:color="auto"/>
            </w:tcBorders>
          </w:tcPr>
          <w:p w14:paraId="79E302C7" w14:textId="77777777" w:rsidR="00CE7BC2" w:rsidRPr="00765192" w:rsidRDefault="00CE7BC2" w:rsidP="00807E79">
            <w:pPr>
              <w:rPr>
                <w:b/>
              </w:rPr>
            </w:pPr>
            <w:r w:rsidRPr="00765192">
              <w:rPr>
                <w:b/>
              </w:rPr>
              <w:t>Číslo</w:t>
            </w:r>
          </w:p>
        </w:tc>
        <w:tc>
          <w:tcPr>
            <w:tcW w:w="5995" w:type="dxa"/>
            <w:tcBorders>
              <w:top w:val="single" w:sz="4" w:space="0" w:color="auto"/>
              <w:bottom w:val="single" w:sz="4" w:space="0" w:color="auto"/>
            </w:tcBorders>
          </w:tcPr>
          <w:p w14:paraId="14EE9890" w14:textId="77777777" w:rsidR="00CE7BC2" w:rsidRPr="00765192" w:rsidRDefault="00CE7BC2" w:rsidP="00807E79">
            <w:pPr>
              <w:rPr>
                <w:b/>
              </w:rPr>
            </w:pPr>
            <w:r w:rsidRPr="00765192">
              <w:rPr>
                <w:b/>
              </w:rPr>
              <w:t>Priorita</w:t>
            </w:r>
          </w:p>
        </w:tc>
        <w:tc>
          <w:tcPr>
            <w:tcW w:w="2381" w:type="dxa"/>
            <w:tcBorders>
              <w:top w:val="single" w:sz="4" w:space="0" w:color="auto"/>
              <w:bottom w:val="single" w:sz="4" w:space="0" w:color="auto"/>
            </w:tcBorders>
          </w:tcPr>
          <w:p w14:paraId="205F80FD" w14:textId="77777777" w:rsidR="00CE7BC2" w:rsidRPr="00765192" w:rsidRDefault="00CE7BC2" w:rsidP="00807E79">
            <w:pPr>
              <w:jc w:val="center"/>
              <w:rPr>
                <w:b/>
              </w:rPr>
            </w:pPr>
            <w:r w:rsidRPr="00765192">
              <w:rPr>
                <w:b/>
              </w:rPr>
              <w:t>Úspora</w:t>
            </w:r>
          </w:p>
        </w:tc>
      </w:tr>
      <w:tr w:rsidR="00CE7BC2" w:rsidRPr="00765192" w14:paraId="234DC984" w14:textId="77777777" w:rsidTr="003A6EC3">
        <w:tc>
          <w:tcPr>
            <w:tcW w:w="668" w:type="dxa"/>
            <w:tcBorders>
              <w:top w:val="single" w:sz="4" w:space="0" w:color="auto"/>
            </w:tcBorders>
          </w:tcPr>
          <w:p w14:paraId="7044A2B9" w14:textId="77777777" w:rsidR="00CE7BC2" w:rsidRPr="00765192" w:rsidRDefault="00066AC3">
            <w:r>
              <w:t>6</w:t>
            </w:r>
            <w:r w:rsidR="00CE7BC2">
              <w:t>.</w:t>
            </w:r>
            <w:r w:rsidR="00F20936">
              <w:t>1</w:t>
            </w:r>
          </w:p>
        </w:tc>
        <w:tc>
          <w:tcPr>
            <w:tcW w:w="5995" w:type="dxa"/>
            <w:tcBorders>
              <w:top w:val="single" w:sz="4" w:space="0" w:color="auto"/>
            </w:tcBorders>
          </w:tcPr>
          <w:p w14:paraId="14238DCB" w14:textId="77777777" w:rsidR="00CE7BC2" w:rsidRPr="00765192" w:rsidRDefault="00CE7BC2" w:rsidP="00807E79">
            <w:r w:rsidRPr="00765192">
              <w:t xml:space="preserve">Zavedenie </w:t>
            </w:r>
            <w:r>
              <w:t>IT finančného riadenia</w:t>
            </w:r>
          </w:p>
        </w:tc>
        <w:tc>
          <w:tcPr>
            <w:tcW w:w="2381" w:type="dxa"/>
            <w:tcBorders>
              <w:top w:val="single" w:sz="4" w:space="0" w:color="auto"/>
            </w:tcBorders>
          </w:tcPr>
          <w:p w14:paraId="33035E84" w14:textId="77777777" w:rsidR="00CE7BC2" w:rsidRPr="00765192" w:rsidRDefault="00CE7BC2" w:rsidP="00807E79">
            <w:pPr>
              <w:jc w:val="center"/>
            </w:pPr>
            <w:r w:rsidRPr="00765192">
              <w:t>4</w:t>
            </w:r>
            <w:r>
              <w:t>8</w:t>
            </w:r>
            <w:r w:rsidRPr="00765192">
              <w:t>-</w:t>
            </w:r>
            <w:r>
              <w:t>95</w:t>
            </w:r>
            <w:r w:rsidRPr="00765192">
              <w:t xml:space="preserve"> mil. eur</w:t>
            </w:r>
          </w:p>
        </w:tc>
      </w:tr>
      <w:tr w:rsidR="00CE7BC2" w:rsidRPr="00765192" w14:paraId="3D8A71EA" w14:textId="77777777" w:rsidTr="003A6EC3">
        <w:tc>
          <w:tcPr>
            <w:tcW w:w="668" w:type="dxa"/>
          </w:tcPr>
          <w:p w14:paraId="7A38A571" w14:textId="77777777" w:rsidR="00CE7BC2" w:rsidRPr="00AB7682" w:rsidRDefault="00066AC3">
            <w:pPr>
              <w:rPr>
                <w:i/>
              </w:rPr>
            </w:pPr>
            <w:r>
              <w:rPr>
                <w:i/>
              </w:rPr>
              <w:t>6</w:t>
            </w:r>
            <w:r w:rsidR="00CE7BC2" w:rsidRPr="00AB7682">
              <w:rPr>
                <w:i/>
              </w:rPr>
              <w:t>.</w:t>
            </w:r>
            <w:r w:rsidR="00F20936">
              <w:rPr>
                <w:i/>
              </w:rPr>
              <w:t>2</w:t>
            </w:r>
          </w:p>
        </w:tc>
        <w:tc>
          <w:tcPr>
            <w:tcW w:w="5995" w:type="dxa"/>
          </w:tcPr>
          <w:p w14:paraId="6A2FCDBE" w14:textId="77777777" w:rsidR="00CE7BC2" w:rsidRPr="00AB7682" w:rsidRDefault="00CE7BC2" w:rsidP="00807E79">
            <w:pPr>
              <w:rPr>
                <w:i/>
              </w:rPr>
            </w:pPr>
            <w:r w:rsidRPr="00AB7682">
              <w:rPr>
                <w:i/>
              </w:rPr>
              <w:t>Benchmarking – cenové limity pre tovary a služby</w:t>
            </w:r>
          </w:p>
        </w:tc>
        <w:tc>
          <w:tcPr>
            <w:tcW w:w="2381" w:type="dxa"/>
          </w:tcPr>
          <w:p w14:paraId="46F4EF3A" w14:textId="375239BF" w:rsidR="00CE7BC2" w:rsidRPr="00AB7682" w:rsidRDefault="00CF0505" w:rsidP="007F2418">
            <w:pPr>
              <w:jc w:val="center"/>
              <w:rPr>
                <w:i/>
              </w:rPr>
            </w:pPr>
            <w:r w:rsidRPr="00CF0505">
              <w:rPr>
                <w:i/>
              </w:rPr>
              <w:t>7,1 – 30,3 mil. eur</w:t>
            </w:r>
          </w:p>
        </w:tc>
      </w:tr>
      <w:tr w:rsidR="00520216" w:rsidRPr="00765192" w14:paraId="7D746F71" w14:textId="77777777" w:rsidTr="003A6EC3">
        <w:tc>
          <w:tcPr>
            <w:tcW w:w="668" w:type="dxa"/>
          </w:tcPr>
          <w:p w14:paraId="034102CA" w14:textId="77777777" w:rsidR="00520216" w:rsidRPr="00AB7682" w:rsidRDefault="00520216">
            <w:pPr>
              <w:rPr>
                <w:i/>
              </w:rPr>
            </w:pPr>
            <w:r>
              <w:rPr>
                <w:i/>
              </w:rPr>
              <w:t>6</w:t>
            </w:r>
            <w:r w:rsidRPr="00AB7682">
              <w:rPr>
                <w:i/>
              </w:rPr>
              <w:t>.</w:t>
            </w:r>
            <w:r>
              <w:rPr>
                <w:i/>
              </w:rPr>
              <w:t>3</w:t>
            </w:r>
          </w:p>
        </w:tc>
        <w:tc>
          <w:tcPr>
            <w:tcW w:w="5995" w:type="dxa"/>
          </w:tcPr>
          <w:p w14:paraId="7014BE9F" w14:textId="77777777" w:rsidR="00520216" w:rsidRPr="00AB7682" w:rsidRDefault="00520216" w:rsidP="00807E79">
            <w:pPr>
              <w:rPr>
                <w:i/>
              </w:rPr>
            </w:pPr>
            <w:r w:rsidRPr="00AB7682">
              <w:rPr>
                <w:i/>
              </w:rPr>
              <w:t>Nastavenie správnej úrovne SLA</w:t>
            </w:r>
          </w:p>
        </w:tc>
        <w:tc>
          <w:tcPr>
            <w:tcW w:w="2381" w:type="dxa"/>
            <w:vMerge w:val="restart"/>
          </w:tcPr>
          <w:p w14:paraId="66E1BF4A" w14:textId="77777777" w:rsidR="00520216" w:rsidRPr="00AB7682" w:rsidRDefault="00ED1D75">
            <w:pPr>
              <w:jc w:val="center"/>
              <w:rPr>
                <w:i/>
              </w:rPr>
            </w:pPr>
            <w:r>
              <w:rPr>
                <w:i/>
              </w:rPr>
              <w:t>Úspora bude vyčíslená pri hodnotení zmlúv</w:t>
            </w:r>
          </w:p>
        </w:tc>
      </w:tr>
      <w:tr w:rsidR="00520216" w:rsidRPr="00765192" w14:paraId="1A163E22" w14:textId="77777777" w:rsidTr="003A6EC3">
        <w:tc>
          <w:tcPr>
            <w:tcW w:w="668" w:type="dxa"/>
          </w:tcPr>
          <w:p w14:paraId="76E44206" w14:textId="77777777" w:rsidR="00520216" w:rsidRPr="00AB7682" w:rsidRDefault="00520216">
            <w:pPr>
              <w:rPr>
                <w:i/>
              </w:rPr>
            </w:pPr>
            <w:r>
              <w:rPr>
                <w:i/>
              </w:rPr>
              <w:t>6.4</w:t>
            </w:r>
          </w:p>
        </w:tc>
        <w:tc>
          <w:tcPr>
            <w:tcW w:w="5995" w:type="dxa"/>
          </w:tcPr>
          <w:p w14:paraId="2DC5E9AD" w14:textId="77777777" w:rsidR="00520216" w:rsidRPr="00AB7682" w:rsidRDefault="00520216">
            <w:pPr>
              <w:rPr>
                <w:i/>
              </w:rPr>
            </w:pPr>
            <w:r w:rsidRPr="00066AC3">
              <w:rPr>
                <w:i/>
              </w:rPr>
              <w:t>Riadiť a vyhodnocovať ekonomickú efektívnosť zmenových požiadaviek</w:t>
            </w:r>
          </w:p>
        </w:tc>
        <w:tc>
          <w:tcPr>
            <w:tcW w:w="2381" w:type="dxa"/>
            <w:vMerge/>
          </w:tcPr>
          <w:p w14:paraId="1CA25150" w14:textId="77777777" w:rsidR="00520216" w:rsidRPr="00AB7682" w:rsidRDefault="00520216" w:rsidP="00807E79">
            <w:pPr>
              <w:jc w:val="center"/>
              <w:rPr>
                <w:i/>
              </w:rPr>
            </w:pPr>
          </w:p>
        </w:tc>
      </w:tr>
      <w:tr w:rsidR="00CE7BC2" w:rsidRPr="00765192" w14:paraId="7BD2E7DF" w14:textId="77777777" w:rsidTr="003A6EC3">
        <w:tc>
          <w:tcPr>
            <w:tcW w:w="668" w:type="dxa"/>
            <w:vAlign w:val="center"/>
          </w:tcPr>
          <w:p w14:paraId="625A708C" w14:textId="77777777" w:rsidR="00CE7BC2" w:rsidRPr="00AB7682" w:rsidRDefault="00066AC3" w:rsidP="003A6EC3">
            <w:pPr>
              <w:jc w:val="left"/>
              <w:rPr>
                <w:i/>
              </w:rPr>
            </w:pPr>
            <w:r>
              <w:rPr>
                <w:i/>
              </w:rPr>
              <w:t>6</w:t>
            </w:r>
            <w:r w:rsidR="00CE7BC2" w:rsidRPr="00AB7682">
              <w:rPr>
                <w:i/>
              </w:rPr>
              <w:t>.</w:t>
            </w:r>
            <w:r w:rsidR="00F20936">
              <w:rPr>
                <w:i/>
              </w:rPr>
              <w:t>5</w:t>
            </w:r>
          </w:p>
        </w:tc>
        <w:tc>
          <w:tcPr>
            <w:tcW w:w="5995" w:type="dxa"/>
            <w:vAlign w:val="center"/>
          </w:tcPr>
          <w:p w14:paraId="429C8EAA" w14:textId="77777777" w:rsidR="00CE7BC2" w:rsidRPr="00AB7682" w:rsidRDefault="00CE7BC2" w:rsidP="003A6EC3">
            <w:pPr>
              <w:jc w:val="left"/>
              <w:rPr>
                <w:i/>
              </w:rPr>
            </w:pPr>
            <w:r w:rsidRPr="00AB7682">
              <w:rPr>
                <w:i/>
              </w:rPr>
              <w:t>Bezpečnosť</w:t>
            </w:r>
          </w:p>
        </w:tc>
        <w:tc>
          <w:tcPr>
            <w:tcW w:w="2381" w:type="dxa"/>
            <w:vAlign w:val="center"/>
          </w:tcPr>
          <w:p w14:paraId="0B19E781" w14:textId="77777777" w:rsidR="00CE7BC2" w:rsidRPr="00AB7682" w:rsidRDefault="00520216" w:rsidP="005D6A5E">
            <w:pPr>
              <w:jc w:val="center"/>
              <w:rPr>
                <w:i/>
              </w:rPr>
            </w:pPr>
            <w:r>
              <w:rPr>
                <w:i/>
              </w:rPr>
              <w:t>Kvantifikácia po vyčíslení výdavkov na bezpečnosť</w:t>
            </w:r>
          </w:p>
        </w:tc>
      </w:tr>
      <w:tr w:rsidR="00CE7BC2" w:rsidRPr="00765192" w14:paraId="4DFAAC29" w14:textId="77777777" w:rsidTr="003A6EC3">
        <w:tc>
          <w:tcPr>
            <w:tcW w:w="668" w:type="dxa"/>
          </w:tcPr>
          <w:p w14:paraId="65165610" w14:textId="77777777" w:rsidR="00CE7BC2" w:rsidRPr="00AB7682" w:rsidRDefault="00066AC3">
            <w:pPr>
              <w:rPr>
                <w:i/>
              </w:rPr>
            </w:pPr>
            <w:r>
              <w:rPr>
                <w:i/>
              </w:rPr>
              <w:t>6</w:t>
            </w:r>
            <w:r w:rsidR="00CE7BC2" w:rsidRPr="00AB7682">
              <w:rPr>
                <w:i/>
              </w:rPr>
              <w:t>.</w:t>
            </w:r>
            <w:r w:rsidR="00F20936">
              <w:rPr>
                <w:i/>
              </w:rPr>
              <w:t>6</w:t>
            </w:r>
          </w:p>
        </w:tc>
        <w:tc>
          <w:tcPr>
            <w:tcW w:w="5995" w:type="dxa"/>
          </w:tcPr>
          <w:p w14:paraId="24F08DFD" w14:textId="77777777" w:rsidR="00CE7BC2" w:rsidRPr="00AB7682" w:rsidRDefault="00CE7BC2" w:rsidP="00807E79">
            <w:pPr>
              <w:rPr>
                <w:i/>
              </w:rPr>
            </w:pPr>
            <w:r w:rsidRPr="00AB7682">
              <w:rPr>
                <w:i/>
              </w:rPr>
              <w:t>Nákup softvérových licencií</w:t>
            </w:r>
          </w:p>
        </w:tc>
        <w:tc>
          <w:tcPr>
            <w:tcW w:w="2381" w:type="dxa"/>
          </w:tcPr>
          <w:p w14:paraId="3B83E526" w14:textId="77777777" w:rsidR="00CE7BC2" w:rsidRPr="00AB7682" w:rsidRDefault="00F65AF6" w:rsidP="00807E79">
            <w:pPr>
              <w:jc w:val="center"/>
              <w:rPr>
                <w:i/>
              </w:rPr>
            </w:pPr>
            <w:r>
              <w:rPr>
                <w:i/>
              </w:rPr>
              <w:t>5,2-5,6 mil. eur</w:t>
            </w:r>
          </w:p>
        </w:tc>
      </w:tr>
      <w:tr w:rsidR="00CE7BC2" w:rsidRPr="00765192" w14:paraId="58D59F3A" w14:textId="77777777" w:rsidTr="003A6EC3">
        <w:tc>
          <w:tcPr>
            <w:tcW w:w="668" w:type="dxa"/>
          </w:tcPr>
          <w:p w14:paraId="24AB7411" w14:textId="77777777" w:rsidR="00CE7BC2" w:rsidRPr="00AB7682" w:rsidRDefault="00066AC3">
            <w:pPr>
              <w:rPr>
                <w:i/>
              </w:rPr>
            </w:pPr>
            <w:r>
              <w:rPr>
                <w:i/>
              </w:rPr>
              <w:t>6</w:t>
            </w:r>
            <w:r w:rsidR="00CE7BC2" w:rsidRPr="00AB7682">
              <w:rPr>
                <w:i/>
              </w:rPr>
              <w:t>.</w:t>
            </w:r>
            <w:r w:rsidR="00F20936">
              <w:rPr>
                <w:i/>
              </w:rPr>
              <w:t>7</w:t>
            </w:r>
          </w:p>
        </w:tc>
        <w:tc>
          <w:tcPr>
            <w:tcW w:w="5995" w:type="dxa"/>
          </w:tcPr>
          <w:p w14:paraId="60907B7A" w14:textId="77777777" w:rsidR="00CE7BC2" w:rsidRPr="00AB7682" w:rsidRDefault="00CE7BC2" w:rsidP="00807E79">
            <w:pPr>
              <w:rPr>
                <w:i/>
              </w:rPr>
            </w:pPr>
            <w:r w:rsidRPr="00AB7682">
              <w:rPr>
                <w:i/>
              </w:rPr>
              <w:t>Centralizácia podporných činností</w:t>
            </w:r>
          </w:p>
        </w:tc>
        <w:tc>
          <w:tcPr>
            <w:tcW w:w="2381" w:type="dxa"/>
          </w:tcPr>
          <w:p w14:paraId="21DDE637" w14:textId="48DD79FB" w:rsidR="00CE7BC2" w:rsidRPr="00AB7682" w:rsidRDefault="00B7422E" w:rsidP="00807E79">
            <w:pPr>
              <w:jc w:val="center"/>
              <w:rPr>
                <w:i/>
              </w:rPr>
            </w:pPr>
            <w:r>
              <w:rPr>
                <w:i/>
              </w:rPr>
              <w:t>1,6-3,0</w:t>
            </w:r>
            <w:r w:rsidR="00CE7BC2" w:rsidRPr="00AB7682">
              <w:rPr>
                <w:i/>
              </w:rPr>
              <w:t xml:space="preserve"> mil. eur</w:t>
            </w:r>
          </w:p>
        </w:tc>
      </w:tr>
      <w:tr w:rsidR="00CE7BC2" w:rsidRPr="00765192" w14:paraId="286E24AC" w14:textId="77777777" w:rsidTr="003A6EC3">
        <w:tc>
          <w:tcPr>
            <w:tcW w:w="668" w:type="dxa"/>
          </w:tcPr>
          <w:p w14:paraId="164A4658" w14:textId="77777777" w:rsidR="00CE7BC2" w:rsidRPr="00AB7682" w:rsidRDefault="00066AC3">
            <w:pPr>
              <w:rPr>
                <w:i/>
              </w:rPr>
            </w:pPr>
            <w:r>
              <w:rPr>
                <w:i/>
              </w:rPr>
              <w:t>6</w:t>
            </w:r>
            <w:r w:rsidR="00CE7BC2" w:rsidRPr="00AB7682">
              <w:rPr>
                <w:i/>
              </w:rPr>
              <w:t>.</w:t>
            </w:r>
            <w:r w:rsidR="00F20936">
              <w:rPr>
                <w:i/>
              </w:rPr>
              <w:t>8</w:t>
            </w:r>
          </w:p>
        </w:tc>
        <w:tc>
          <w:tcPr>
            <w:tcW w:w="5995" w:type="dxa"/>
          </w:tcPr>
          <w:p w14:paraId="3A796261" w14:textId="77777777" w:rsidR="00CE7BC2" w:rsidRPr="00AB7682" w:rsidRDefault="00CE7BC2" w:rsidP="00807E79">
            <w:pPr>
              <w:rPr>
                <w:i/>
              </w:rPr>
            </w:pPr>
            <w:r w:rsidRPr="00AB7682">
              <w:rPr>
                <w:i/>
              </w:rPr>
              <w:t>Zmena modelu nákupu telekomunikačných služieb</w:t>
            </w:r>
          </w:p>
        </w:tc>
        <w:tc>
          <w:tcPr>
            <w:tcW w:w="2381" w:type="dxa"/>
          </w:tcPr>
          <w:p w14:paraId="5DBFF6DB" w14:textId="07EA2092" w:rsidR="00CE7BC2" w:rsidRPr="00AB7682" w:rsidRDefault="008B7FE8" w:rsidP="00807E79">
            <w:pPr>
              <w:jc w:val="center"/>
              <w:rPr>
                <w:i/>
              </w:rPr>
            </w:pPr>
            <w:r>
              <w:rPr>
                <w:i/>
              </w:rPr>
              <w:t>1,5-4,</w:t>
            </w:r>
            <w:r w:rsidR="00CE7BC2" w:rsidRPr="00AB7682">
              <w:rPr>
                <w:i/>
              </w:rPr>
              <w:t>4 mil. eur</w:t>
            </w:r>
          </w:p>
        </w:tc>
      </w:tr>
      <w:tr w:rsidR="00062B81" w:rsidRPr="00765192" w14:paraId="44643F49" w14:textId="77777777" w:rsidTr="003A6EC3">
        <w:tc>
          <w:tcPr>
            <w:tcW w:w="668" w:type="dxa"/>
            <w:tcBorders>
              <w:bottom w:val="single" w:sz="4" w:space="0" w:color="auto"/>
            </w:tcBorders>
          </w:tcPr>
          <w:p w14:paraId="2481B0A7" w14:textId="77777777" w:rsidR="00062B81" w:rsidRPr="00AB7682" w:rsidRDefault="00066AC3">
            <w:pPr>
              <w:rPr>
                <w:i/>
              </w:rPr>
            </w:pPr>
            <w:r>
              <w:rPr>
                <w:i/>
              </w:rPr>
              <w:t>6.</w:t>
            </w:r>
            <w:r w:rsidR="00F20936">
              <w:rPr>
                <w:i/>
              </w:rPr>
              <w:t>9</w:t>
            </w:r>
          </w:p>
        </w:tc>
        <w:tc>
          <w:tcPr>
            <w:tcW w:w="5995" w:type="dxa"/>
            <w:tcBorders>
              <w:bottom w:val="single" w:sz="4" w:space="0" w:color="auto"/>
            </w:tcBorders>
          </w:tcPr>
          <w:p w14:paraId="1E62CC2A" w14:textId="77777777" w:rsidR="00062B81" w:rsidRPr="00AB7682" w:rsidRDefault="00062B81" w:rsidP="00807E79">
            <w:pPr>
              <w:rPr>
                <w:i/>
              </w:rPr>
            </w:pPr>
            <w:r w:rsidRPr="00062B81">
              <w:rPr>
                <w:i/>
              </w:rPr>
              <w:t>Efektívna prevádzka vládneho cloudu</w:t>
            </w:r>
          </w:p>
        </w:tc>
        <w:tc>
          <w:tcPr>
            <w:tcW w:w="2381" w:type="dxa"/>
            <w:tcBorders>
              <w:bottom w:val="single" w:sz="4" w:space="0" w:color="auto"/>
            </w:tcBorders>
          </w:tcPr>
          <w:p w14:paraId="4F3F2466" w14:textId="09C23621" w:rsidR="00062B81" w:rsidRPr="00AB7682" w:rsidRDefault="007872B3">
            <w:pPr>
              <w:jc w:val="center"/>
              <w:rPr>
                <w:i/>
              </w:rPr>
            </w:pPr>
            <w:r>
              <w:rPr>
                <w:i/>
              </w:rPr>
              <w:t>18,8-27,1</w:t>
            </w:r>
            <w:r w:rsidR="004747B7">
              <w:rPr>
                <w:i/>
              </w:rPr>
              <w:t xml:space="preserve"> mil. eur</w:t>
            </w:r>
            <w:r w:rsidR="00066AC3">
              <w:rPr>
                <w:rStyle w:val="Odkaznapoznmkupodiarou"/>
                <w:i/>
              </w:rPr>
              <w:footnoteReference w:id="2"/>
            </w:r>
          </w:p>
        </w:tc>
      </w:tr>
    </w:tbl>
    <w:p w14:paraId="54DCB261" w14:textId="77777777" w:rsidR="00807E79" w:rsidRDefault="009979D6" w:rsidP="00A115E4">
      <w:pPr>
        <w:spacing w:before="240" w:after="120"/>
      </w:pPr>
      <w:r>
        <w:rPr>
          <w:b/>
        </w:rPr>
        <w:t>Významný potenciál pre</w:t>
      </w:r>
      <w:r w:rsidR="00CE7BC2">
        <w:rPr>
          <w:b/>
        </w:rPr>
        <w:t xml:space="preserve"> zlepšenia výsledkov</w:t>
      </w:r>
      <w:r>
        <w:rPr>
          <w:b/>
        </w:rPr>
        <w:t xml:space="preserve"> aj znižovanie nákladov</w:t>
      </w:r>
      <w:r w:rsidR="00CE7BC2">
        <w:rPr>
          <w:b/>
        </w:rPr>
        <w:t xml:space="preserve"> </w:t>
      </w:r>
      <w:r>
        <w:rPr>
          <w:b/>
        </w:rPr>
        <w:t xml:space="preserve">predstavuje </w:t>
      </w:r>
      <w:r w:rsidR="00CE7BC2">
        <w:rPr>
          <w:b/>
        </w:rPr>
        <w:t xml:space="preserve">budovanie interných kapacít. </w:t>
      </w:r>
      <w:r w:rsidR="00CE7BC2" w:rsidRPr="00F44370">
        <w:t>Štát často nakupuje aj tie IT služby, ktoré je možné pri nižších nákladoch realizovať internými kapacitami v rovnakej kvalite.</w:t>
      </w:r>
      <w:r w:rsidR="00CE7BC2">
        <w:t xml:space="preserve"> Na vývoj softvéru v projektoch OP II plánuje </w:t>
      </w:r>
      <w:r w:rsidR="00CE7BC2" w:rsidRPr="00F44370">
        <w:t xml:space="preserve">štát počas najbližších 2 rokov najať 585 externistov za 202 mil. eur. </w:t>
      </w:r>
      <w:r w:rsidR="00C03B72" w:rsidRPr="00A115E4">
        <w:t>Nie všetky činnosti je možné a efektívne vykonávať interne, istá miera outsourcingu vo verejnom IT je bežná</w:t>
      </w:r>
      <w:r>
        <w:t>. Avšak kým</w:t>
      </w:r>
      <w:r w:rsidR="00C03B72" w:rsidRPr="00A115E4">
        <w:t xml:space="preserve"> v zahraničí</w:t>
      </w:r>
      <w:r w:rsidR="00C03B72">
        <w:rPr>
          <w:rStyle w:val="Odkaznapoznmkupodiarou"/>
          <w:sz w:val="20"/>
        </w:rPr>
        <w:footnoteReference w:id="3"/>
      </w:r>
      <w:r w:rsidR="00C03B72">
        <w:rPr>
          <w:sz w:val="20"/>
        </w:rPr>
        <w:t xml:space="preserve"> </w:t>
      </w:r>
      <w:r>
        <w:t xml:space="preserve">je outsourcing </w:t>
      </w:r>
      <w:r w:rsidR="00C03B72" w:rsidRPr="00A115E4">
        <w:t xml:space="preserve">celkovo na úrovni 30% </w:t>
      </w:r>
      <w:r>
        <w:t>(</w:t>
      </w:r>
      <w:r w:rsidR="00C03B72" w:rsidRPr="00A115E4">
        <w:t>podiel sa líši v závislosti od aktivity)</w:t>
      </w:r>
      <w:r>
        <w:t>,</w:t>
      </w:r>
      <w:r w:rsidR="00C03B72" w:rsidRPr="00A115E4">
        <w:t xml:space="preserve"> </w:t>
      </w:r>
      <w:r>
        <w:t>v</w:t>
      </w:r>
      <w:r w:rsidR="00C03B72" w:rsidRPr="00A115E4">
        <w:t xml:space="preserve"> OPII projektoch má byť internými kapacitami dodaných len 6 % prác. </w:t>
      </w:r>
      <w:r w:rsidR="00807E79">
        <w:t xml:space="preserve">Budovaním interných kapacít nezískava štát len priamu úsporu nákladov, ale aj lepšiu znalosť vlastných procesov a informačných systémov. To v budúcnosti umožňuje </w:t>
      </w:r>
      <w:r w:rsidR="00A37D50">
        <w:t>vykonávať časť prevádzky interne a lepšie odhadovať ceny externe prácnosť a ceny externe objednávaných služieb, najmä pri zmenových požiadavkách</w:t>
      </w:r>
      <w:r w:rsidR="00807E79">
        <w:t>.</w:t>
      </w:r>
    </w:p>
    <w:p w14:paraId="31B40B6E" w14:textId="77777777" w:rsidR="00807E79" w:rsidRDefault="00807E79">
      <w:pPr>
        <w:jc w:val="left"/>
      </w:pPr>
      <w:r>
        <w:br w:type="page"/>
      </w:r>
    </w:p>
    <w:p w14:paraId="63274CC8" w14:textId="77777777" w:rsidR="0059256C" w:rsidRPr="00765192" w:rsidRDefault="0059256C" w:rsidP="0059256C">
      <w:pPr>
        <w:pStyle w:val="Nadpis2"/>
        <w:numPr>
          <w:ilvl w:val="0"/>
          <w:numId w:val="1"/>
        </w:numPr>
        <w:ind w:left="0" w:firstLine="0"/>
      </w:pPr>
      <w:bookmarkStart w:id="2" w:name="_Toc24957474"/>
      <w:bookmarkStart w:id="3" w:name="_Toc24957645"/>
      <w:bookmarkStart w:id="4" w:name="_Toc24957815"/>
      <w:bookmarkStart w:id="5" w:name="_Toc24957984"/>
      <w:bookmarkStart w:id="6" w:name="_Toc24958153"/>
      <w:bookmarkStart w:id="7" w:name="_Toc24957475"/>
      <w:bookmarkStart w:id="8" w:name="_Toc24957646"/>
      <w:bookmarkStart w:id="9" w:name="_Toc24957816"/>
      <w:bookmarkStart w:id="10" w:name="_Toc24957985"/>
      <w:bookmarkStart w:id="11" w:name="_Toc24958154"/>
      <w:bookmarkStart w:id="12" w:name="_Toc24957476"/>
      <w:bookmarkStart w:id="13" w:name="_Toc24957647"/>
      <w:bookmarkStart w:id="14" w:name="_Toc24957817"/>
      <w:bookmarkStart w:id="15" w:name="_Toc24957986"/>
      <w:bookmarkStart w:id="16" w:name="_Toc24958155"/>
      <w:bookmarkStart w:id="17" w:name="_Toc24957477"/>
      <w:bookmarkStart w:id="18" w:name="_Toc24957648"/>
      <w:bookmarkStart w:id="19" w:name="_Toc24957818"/>
      <w:bookmarkStart w:id="20" w:name="_Toc24957987"/>
      <w:bookmarkStart w:id="21" w:name="_Toc24958156"/>
      <w:bookmarkStart w:id="22" w:name="_Toc24957478"/>
      <w:bookmarkStart w:id="23" w:name="_Toc24957649"/>
      <w:bookmarkStart w:id="24" w:name="_Toc24957819"/>
      <w:bookmarkStart w:id="25" w:name="_Toc24957988"/>
      <w:bookmarkStart w:id="26" w:name="_Toc24958157"/>
      <w:bookmarkStart w:id="27" w:name="_Toc24957479"/>
      <w:bookmarkStart w:id="28" w:name="_Toc24957650"/>
      <w:bookmarkStart w:id="29" w:name="_Toc24957820"/>
      <w:bookmarkStart w:id="30" w:name="_Toc24957989"/>
      <w:bookmarkStart w:id="31" w:name="_Toc24958158"/>
      <w:bookmarkStart w:id="32" w:name="_Toc24957480"/>
      <w:bookmarkStart w:id="33" w:name="_Toc24957651"/>
      <w:bookmarkStart w:id="34" w:name="_Toc24957821"/>
      <w:bookmarkStart w:id="35" w:name="_Toc24957990"/>
      <w:bookmarkStart w:id="36" w:name="_Toc24958159"/>
      <w:bookmarkStart w:id="37" w:name="_Toc24957568"/>
      <w:bookmarkStart w:id="38" w:name="_Toc24957739"/>
      <w:bookmarkStart w:id="39" w:name="_Toc24957909"/>
      <w:bookmarkStart w:id="40" w:name="_Toc24958078"/>
      <w:bookmarkStart w:id="41" w:name="_Toc24958247"/>
      <w:bookmarkStart w:id="42" w:name="_Toc24957569"/>
      <w:bookmarkStart w:id="43" w:name="_Toc24957740"/>
      <w:bookmarkStart w:id="44" w:name="_Toc24957910"/>
      <w:bookmarkStart w:id="45" w:name="_Toc24958079"/>
      <w:bookmarkStart w:id="46" w:name="_Toc24958248"/>
      <w:bookmarkStart w:id="47" w:name="_Toc24957602"/>
      <w:bookmarkStart w:id="48" w:name="_Toc24957773"/>
      <w:bookmarkStart w:id="49" w:name="_Toc24957943"/>
      <w:bookmarkStart w:id="50" w:name="_Toc24958112"/>
      <w:bookmarkStart w:id="51" w:name="_Toc24958281"/>
      <w:bookmarkStart w:id="52" w:name="_Toc3560275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765192">
        <w:lastRenderedPageBreak/>
        <w:t>Výsledky informatizácie</w:t>
      </w:r>
      <w:bookmarkEnd w:id="52"/>
    </w:p>
    <w:p w14:paraId="75B97BFB" w14:textId="77777777" w:rsidR="0059256C" w:rsidRPr="00765192" w:rsidRDefault="00A115E4" w:rsidP="0059256C">
      <w:pPr>
        <w:spacing w:before="120" w:after="120"/>
      </w:pPr>
      <w:r>
        <w:rPr>
          <w:b/>
        </w:rPr>
        <w:t>Výsledky Slovenskej informatizácie sa zlepšujú, v</w:t>
      </w:r>
      <w:r w:rsidR="0059256C">
        <w:rPr>
          <w:b/>
        </w:rPr>
        <w:t xml:space="preserve"> medzinárodnom </w:t>
      </w:r>
      <w:r>
        <w:rPr>
          <w:b/>
        </w:rPr>
        <w:t>zaostávajú</w:t>
      </w:r>
      <w:r w:rsidRPr="00765192">
        <w:rPr>
          <w:b/>
        </w:rPr>
        <w:t xml:space="preserve"> </w:t>
      </w:r>
      <w:r w:rsidR="0059256C" w:rsidRPr="00765192">
        <w:rPr>
          <w:b/>
        </w:rPr>
        <w:t xml:space="preserve">za priemerom EÚ. </w:t>
      </w:r>
      <w:r w:rsidR="0059256C" w:rsidRPr="00765192">
        <w:t>Od prijatia Revízie na informatizáciu v roku 2016 sa zlepšilo skóre DESI</w:t>
      </w:r>
      <w:r w:rsidR="0059256C" w:rsidRPr="00765192">
        <w:rPr>
          <w:rStyle w:val="Odkaznapoznmkupodiarou"/>
        </w:rPr>
        <w:footnoteReference w:id="4"/>
      </w:r>
      <w:r w:rsidR="0059256C" w:rsidRPr="00765192">
        <w:t xml:space="preserve"> vo všetkých meraných ukazovateľoch, napriek tomu zaostávajú výsledky informatizácie za priemerom EÚ a pozícia Slovenska sa v porovnaní s inými krajinami nezlepšuje. Podľa indexu DESI je Slovensko v roku 2019 na 21. priečke z 28 posudzovaných krajín</w:t>
      </w:r>
      <w:r w:rsidR="00CF4CE3">
        <w:t>. Výraznejší posun nastal v oblasti hodnotenia digitálnych a verejných služieb, celkový výsledok je stále za priemerom EÚ.</w:t>
      </w:r>
      <w:r w:rsidR="0059256C" w:rsidRPr="00765192">
        <w:t xml:space="preserve"> Podpriemerné výsledky dosahuje Slovenská informatizácia aj podľa tzv. „eGovernment benchmark</w:t>
      </w:r>
      <w:r w:rsidR="0059256C" w:rsidRPr="00765192">
        <w:rPr>
          <w:rStyle w:val="Odkaznapoznmkupodiarou"/>
        </w:rPr>
        <w:footnoteReference w:id="5"/>
      </w:r>
      <w:r w:rsidR="0059256C" w:rsidRPr="00765192">
        <w:t xml:space="preserve">“, ktorý radí Slovensko medzi krajiny s nekonsolidovanou elektronickou verejnou správou. Tie dosahujú nižšiu úroveň digitalizácie, majú nižší počet používateľov online služieb a zatiaľ nevyužili príležitosti v oblasti IKT. </w:t>
      </w:r>
    </w:p>
    <w:p w14:paraId="67D63887" w14:textId="77777777" w:rsidR="0059256C" w:rsidRPr="00765192" w:rsidRDefault="0059256C" w:rsidP="0059256C">
      <w:pPr>
        <w:spacing w:after="0"/>
        <w:rPr>
          <w:b/>
        </w:rPr>
      </w:pPr>
      <w:r w:rsidRPr="00765192">
        <w:rPr>
          <w:b/>
        </w:rPr>
        <w:t>Graf 1: Vývoj DESI skóre a relatívna výkonnosť podľa oblastí</w:t>
      </w:r>
    </w:p>
    <w:tbl>
      <w:tblPr>
        <w:tblStyle w:val="Mriekatabuky"/>
        <w:tblW w:w="5000" w:type="pct"/>
        <w:tblCellMar>
          <w:left w:w="70" w:type="dxa"/>
          <w:right w:w="70" w:type="dxa"/>
        </w:tblCellMar>
        <w:tblLook w:val="04A0" w:firstRow="1" w:lastRow="0" w:firstColumn="1" w:lastColumn="0" w:noHBand="0" w:noVBand="1"/>
      </w:tblPr>
      <w:tblGrid>
        <w:gridCol w:w="4281"/>
        <w:gridCol w:w="4791"/>
      </w:tblGrid>
      <w:tr w:rsidR="0059256C" w:rsidRPr="00765192" w14:paraId="5530DF95" w14:textId="77777777" w:rsidTr="001D543F">
        <w:trPr>
          <w:trHeight w:val="3095"/>
        </w:trPr>
        <w:tc>
          <w:tcPr>
            <w:tcW w:w="4279" w:type="dxa"/>
            <w:tcBorders>
              <w:left w:val="nil"/>
              <w:bottom w:val="single" w:sz="4" w:space="0" w:color="auto"/>
              <w:right w:val="nil"/>
            </w:tcBorders>
          </w:tcPr>
          <w:p w14:paraId="2043860F" w14:textId="77777777" w:rsidR="0059256C" w:rsidRPr="00765192" w:rsidRDefault="0059256C" w:rsidP="001D543F">
            <w:r w:rsidRPr="00765192">
              <w:rPr>
                <w:noProof/>
                <w:lang w:eastAsia="sk-SK"/>
              </w:rPr>
              <w:drawing>
                <wp:inline distT="0" distB="0" distL="0" distR="0" wp14:anchorId="7800EAA8" wp14:editId="56371C80">
                  <wp:extent cx="2764790" cy="2095500"/>
                  <wp:effectExtent l="0" t="0" r="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762" w:type="dxa"/>
            <w:tcBorders>
              <w:left w:val="nil"/>
              <w:bottom w:val="single" w:sz="4" w:space="0" w:color="auto"/>
              <w:right w:val="nil"/>
            </w:tcBorders>
          </w:tcPr>
          <w:p w14:paraId="597AC052" w14:textId="77777777" w:rsidR="0059256C" w:rsidRPr="00765192" w:rsidRDefault="0059256C" w:rsidP="001D543F">
            <w:r w:rsidRPr="00765192">
              <w:rPr>
                <w:noProof/>
                <w:lang w:eastAsia="sk-SK"/>
              </w:rPr>
              <w:drawing>
                <wp:inline distT="0" distB="0" distL="0" distR="0" wp14:anchorId="1B4D42E1" wp14:editId="7E0B662F">
                  <wp:extent cx="3091180" cy="2095500"/>
                  <wp:effectExtent l="0" t="0" r="13970" b="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59256C" w:rsidRPr="00765192" w14:paraId="0889CD31" w14:textId="77777777" w:rsidTr="001D543F">
        <w:trPr>
          <w:trHeight w:val="68"/>
        </w:trPr>
        <w:tc>
          <w:tcPr>
            <w:tcW w:w="9072" w:type="dxa"/>
            <w:gridSpan w:val="2"/>
            <w:tcBorders>
              <w:left w:val="nil"/>
              <w:bottom w:val="nil"/>
              <w:right w:val="nil"/>
            </w:tcBorders>
          </w:tcPr>
          <w:p w14:paraId="4EFE3025" w14:textId="77777777" w:rsidR="0059256C" w:rsidRPr="00765192" w:rsidRDefault="0059256C" w:rsidP="001D543F">
            <w:pPr>
              <w:jc w:val="right"/>
              <w:rPr>
                <w:i/>
                <w:sz w:val="18"/>
              </w:rPr>
            </w:pPr>
            <w:r w:rsidRPr="00765192">
              <w:rPr>
                <w:i/>
                <w:noProof/>
                <w:sz w:val="18"/>
                <w:lang w:eastAsia="sk-SK"/>
              </w:rPr>
              <w:t>Zdroj: Digital Economy and Society Index (2019), Spracovanie ÚHP</w:t>
            </w:r>
          </w:p>
        </w:tc>
      </w:tr>
    </w:tbl>
    <w:p w14:paraId="21BA577A" w14:textId="77777777" w:rsidR="00D86B65" w:rsidRDefault="00CF4CE3" w:rsidP="0059256C">
      <w:pPr>
        <w:spacing w:before="120" w:after="120"/>
      </w:pPr>
      <w:r>
        <w:rPr>
          <w:b/>
        </w:rPr>
        <w:t xml:space="preserve">Podľa </w:t>
      </w:r>
      <w:r w:rsidR="006F155A">
        <w:rPr>
          <w:b/>
        </w:rPr>
        <w:t>hodnotenia NKIVS</w:t>
      </w:r>
      <w:r>
        <w:rPr>
          <w:b/>
        </w:rPr>
        <w:t xml:space="preserve"> zaostávajú výsledky</w:t>
      </w:r>
      <w:r w:rsidR="00841453">
        <w:rPr>
          <w:b/>
        </w:rPr>
        <w:t xml:space="preserve"> dosiahnuté v informatizácii za ambíciami. </w:t>
      </w:r>
      <w:r w:rsidR="00A115E4">
        <w:rPr>
          <w:b/>
        </w:rPr>
        <w:t>I</w:t>
      </w:r>
      <w:r w:rsidR="006F155A">
        <w:rPr>
          <w:b/>
        </w:rPr>
        <w:t>nform</w:t>
      </w:r>
      <w:r w:rsidR="00A115E4">
        <w:rPr>
          <w:b/>
        </w:rPr>
        <w:t>á</w:t>
      </w:r>
      <w:r w:rsidR="006F155A">
        <w:rPr>
          <w:b/>
        </w:rPr>
        <w:t xml:space="preserve">cia o plnení NKIVS </w:t>
      </w:r>
      <w:r w:rsidR="00841453" w:rsidRPr="00765192">
        <w:rPr>
          <w:b/>
        </w:rPr>
        <w:t>poskytuje opis stavu IT, bez hodnotenia dosiahnutých výsledkov a formulovania priorít.</w:t>
      </w:r>
      <w:r w:rsidR="00841453">
        <w:rPr>
          <w:b/>
        </w:rPr>
        <w:t xml:space="preserve"> </w:t>
      </w:r>
      <w:r w:rsidR="00841453">
        <w:t>Ambície a ciele pre informatizáciu sú definované v Národnej koncepcii informatizácie verejnej správy</w:t>
      </w:r>
      <w:r w:rsidR="008D3D26">
        <w:rPr>
          <w:rStyle w:val="Odkaznapoznmkupodiarou"/>
          <w:b/>
        </w:rPr>
        <w:footnoteReference w:id="6"/>
      </w:r>
      <w:r w:rsidR="00841453">
        <w:t>, ich dosiahnutie je každoročne odpočtované v</w:t>
      </w:r>
      <w:r w:rsidR="00FF57B7" w:rsidRPr="00FF57B7">
        <w:t> </w:t>
      </w:r>
      <w:r w:rsidR="0059256C" w:rsidRPr="00FF57B7">
        <w:t>„Informáci</w:t>
      </w:r>
      <w:r w:rsidR="00FF57B7" w:rsidRPr="00FF57B7">
        <w:t>i</w:t>
      </w:r>
      <w:r w:rsidR="0059256C" w:rsidRPr="00765192">
        <w:t xml:space="preserve"> o plnení Národnej koncepcie informatizácie verejnej správ</w:t>
      </w:r>
      <w:r w:rsidR="00FF57B7">
        <w:t>y Slovenskej republiky (NKIVS)“</w:t>
      </w:r>
      <w:r w:rsidR="008D3D26">
        <w:rPr>
          <w:rStyle w:val="Odkaznapoznmkupodiarou"/>
        </w:rPr>
        <w:footnoteReference w:id="7"/>
      </w:r>
      <w:r w:rsidR="00841453">
        <w:t>.</w:t>
      </w:r>
      <w:r w:rsidR="008D3D26">
        <w:t xml:space="preserve"> </w:t>
      </w:r>
      <w:r w:rsidR="00D86B65" w:rsidRPr="00765192">
        <w:t>Dokument poskytuje kvalitatívny opis stavu informatizácie a uskutočnených krokov, nedefinuje odporúčania na dosiahnutie cieľového stavu.</w:t>
      </w:r>
      <w:r w:rsidR="00D86B65">
        <w:t xml:space="preserve">  </w:t>
      </w:r>
    </w:p>
    <w:p w14:paraId="551E5867" w14:textId="739D5C82" w:rsidR="00D85C1D" w:rsidRDefault="008D3D26">
      <w:pPr>
        <w:spacing w:before="120" w:after="120"/>
      </w:pPr>
      <w:r>
        <w:t>Výsledky implementácie NKIVS nie sú viditeľné na dátach.</w:t>
      </w:r>
      <w:r w:rsidR="00FF57B7">
        <w:t xml:space="preserve"> </w:t>
      </w:r>
      <w:r w:rsidR="00841453">
        <w:t>Z</w:t>
      </w:r>
      <w:r w:rsidR="0059256C" w:rsidRPr="00765192">
        <w:t xml:space="preserve">o 46 merateľných ukazovateľov </w:t>
      </w:r>
      <w:r w:rsidR="00841453">
        <w:t xml:space="preserve">je </w:t>
      </w:r>
      <w:r w:rsidR="0059256C" w:rsidRPr="00765192">
        <w:t>len pre 21 dostupná aspoň hodnota v roku 2018 a cieľová hodnota</w:t>
      </w:r>
      <w:r w:rsidR="00841453">
        <w:t>.</w:t>
      </w:r>
      <w:r w:rsidR="0059256C" w:rsidRPr="00765192">
        <w:t xml:space="preserve"> </w:t>
      </w:r>
      <w:r w:rsidR="00841453">
        <w:t>J</w:t>
      </w:r>
      <w:r w:rsidR="0059256C" w:rsidRPr="00765192">
        <w:t>ej dosiahnutie je najmenej pri 13 z nich rizikové</w:t>
      </w:r>
      <w:r w:rsidR="00841453">
        <w:t>, hodnota nameraná v roku 2018 výrazne zaostáva za cieľovou hodnotou na rok 2020</w:t>
      </w:r>
      <w:r w:rsidR="0059256C" w:rsidRPr="00765192">
        <w:t xml:space="preserve">. </w:t>
      </w:r>
      <w:r w:rsidR="00D86B65" w:rsidRPr="00D86B65">
        <w:t xml:space="preserve">Väčšina ukazovateľov v NKIVS nespĺňa požiadavky na výkonnostné ukazovatele, podľa ktorých je možné vyhodnocovať </w:t>
      </w:r>
      <w:r w:rsidR="00D86B65">
        <w:t>posun a riadiť rozvoj.</w:t>
      </w:r>
      <w:r w:rsidR="00D86B65" w:rsidRPr="00D86B65">
        <w:t xml:space="preserve"> </w:t>
      </w:r>
      <w:r w:rsidR="00D85C1D">
        <w:t xml:space="preserve"> </w:t>
      </w:r>
    </w:p>
    <w:p w14:paraId="4F867E36" w14:textId="77777777" w:rsidR="005814B2" w:rsidRDefault="008D3D26" w:rsidP="0059256C">
      <w:pPr>
        <w:spacing w:before="120" w:after="120"/>
      </w:pPr>
      <w:r>
        <w:rPr>
          <w:b/>
        </w:rPr>
        <w:t xml:space="preserve">Opatrenia na zlepšenie riadenia informatizácie neboli implementované v potrebnej miere. </w:t>
      </w:r>
      <w:r>
        <w:t xml:space="preserve">V NKIVS sú definované strategické opatrenia potrebné na zlepšenie riadenia informatizácie – </w:t>
      </w:r>
      <w:r w:rsidR="005814B2">
        <w:t xml:space="preserve">zavedenie koncepčného centrálneho riadenia verejného IT na strategickej úrovni, úrovni realizácie zmien a sledovania výkonnosti IT, posilňovanie interných kapacít, alebo zdieľanie najlepších praktík zo zahraničia. Výsledkom má byť transparentný a otvorený mechanizmus riadenia, ktorý umožní kontinuálne zlepšovanie a zavádzanie inovácií v súlade s princípmi „Hodnota za peniaze“. Okrem iného je podľa NKIVS potrebné zaviesť agilné riadenie projektov a verejné testovanie prototypov. Podľa </w:t>
      </w:r>
      <w:r w:rsidR="007D690E">
        <w:t>výsledkových ukazovateľov z informácie</w:t>
      </w:r>
      <w:r w:rsidR="005814B2">
        <w:t xml:space="preserve"> o plnení NKIVS nie sú opatrenia </w:t>
      </w:r>
      <w:r w:rsidR="005814B2">
        <w:lastRenderedPageBreak/>
        <w:t xml:space="preserve">potrebné na zlepšenie riadenia implementované v potrebnej miere a výsledky zaostávajú za stanovenými cieľovými hodnotami. </w:t>
      </w:r>
    </w:p>
    <w:p w14:paraId="627C5EFB" w14:textId="420A35FD" w:rsidR="00D85C1D" w:rsidRDefault="00D85C1D" w:rsidP="0059256C">
      <w:pPr>
        <w:spacing w:before="120" w:after="120"/>
      </w:pPr>
      <w:r>
        <w:t xml:space="preserve">Nutné je však spomenúť pokrok v centralizácií IT prostredníctvom zákona č. 95/2019 Z.z. o informačných technológiach verejnej správy v ktorom sa stanovili vzťahy medzi orgánomo vedenia (Úradom podpredsedu vlády SR pre investície a informatizáciu) a orgánmi riadenia (orgány verejnej moci) a špecificky ich pozícia správcov IT. Zaviedlo sa verejné pripomienkovanie IT projektov financovaných z EÚ prostriedkov. Otvorenosť IT projektov výrazne narastá verejnou častou Metainformačného systému verejnej správy v ktorej sú evidované IT projekty financované z EÚ prostriedkov vrátane štúdie uskutočniteľnosti. Tieto pravidlá je nutné aplikovať na všetky projekty financované aj z iných verejných prostriedkov. </w:t>
      </w:r>
    </w:p>
    <w:p w14:paraId="75A4D01B" w14:textId="67811603" w:rsidR="007D690E" w:rsidRPr="00160503" w:rsidRDefault="007D690E" w:rsidP="00160503">
      <w:pPr>
        <w:spacing w:before="120" w:after="0"/>
        <w:rPr>
          <w:b/>
          <w:sz w:val="20"/>
        </w:rPr>
      </w:pPr>
      <w:r w:rsidRPr="00160503">
        <w:rPr>
          <w:b/>
          <w:sz w:val="20"/>
        </w:rPr>
        <w:t xml:space="preserve">Tabuľka </w:t>
      </w:r>
      <w:r w:rsidR="003326DF">
        <w:rPr>
          <w:b/>
          <w:sz w:val="20"/>
        </w:rPr>
        <w:t>2</w:t>
      </w:r>
      <w:r w:rsidRPr="00160503">
        <w:rPr>
          <w:b/>
          <w:sz w:val="20"/>
        </w:rPr>
        <w:t>: Merateľné ukazovatele pre cieľ „Zlepšenie governance verejného IT“</w:t>
      </w:r>
    </w:p>
    <w:tbl>
      <w:tblPr>
        <w:tblW w:w="9135" w:type="dxa"/>
        <w:tblLook w:val="04A0" w:firstRow="1" w:lastRow="0" w:firstColumn="1" w:lastColumn="0" w:noHBand="0" w:noVBand="1"/>
      </w:tblPr>
      <w:tblGrid>
        <w:gridCol w:w="6406"/>
        <w:gridCol w:w="881"/>
        <w:gridCol w:w="881"/>
        <w:gridCol w:w="863"/>
        <w:gridCol w:w="104"/>
      </w:tblGrid>
      <w:tr w:rsidR="007D690E" w:rsidRPr="007D690E" w14:paraId="32D204BE" w14:textId="77777777" w:rsidTr="00160503">
        <w:trPr>
          <w:gridAfter w:val="1"/>
          <w:wAfter w:w="104" w:type="dxa"/>
          <w:trHeight w:val="298"/>
        </w:trPr>
        <w:tc>
          <w:tcPr>
            <w:tcW w:w="6406" w:type="dxa"/>
            <w:tcBorders>
              <w:top w:val="single" w:sz="4" w:space="0" w:color="auto"/>
              <w:left w:val="nil"/>
              <w:bottom w:val="single" w:sz="4" w:space="0" w:color="auto"/>
              <w:right w:val="nil"/>
            </w:tcBorders>
            <w:shd w:val="clear" w:color="auto" w:fill="auto"/>
            <w:noWrap/>
            <w:vAlign w:val="center"/>
            <w:hideMark/>
          </w:tcPr>
          <w:p w14:paraId="4ED08AA1" w14:textId="77777777" w:rsidR="007D690E" w:rsidRPr="00160503" w:rsidRDefault="007D690E" w:rsidP="00160503">
            <w:pPr>
              <w:spacing w:after="0" w:line="240" w:lineRule="auto"/>
              <w:jc w:val="center"/>
              <w:rPr>
                <w:rFonts w:eastAsia="Times New Roman" w:cs="Calibri"/>
                <w:b/>
                <w:bCs/>
                <w:color w:val="000000"/>
                <w:sz w:val="20"/>
                <w:lang w:eastAsia="en-GB"/>
              </w:rPr>
            </w:pPr>
            <w:r w:rsidRPr="00160503">
              <w:rPr>
                <w:rFonts w:eastAsia="Times New Roman" w:cs="Calibri"/>
                <w:b/>
                <w:bCs/>
                <w:color w:val="000000"/>
                <w:sz w:val="20"/>
                <w:lang w:eastAsia="en-GB"/>
              </w:rPr>
              <w:t>Ukazovateľ</w:t>
            </w:r>
          </w:p>
        </w:tc>
        <w:tc>
          <w:tcPr>
            <w:tcW w:w="881" w:type="dxa"/>
            <w:tcBorders>
              <w:top w:val="single" w:sz="4" w:space="0" w:color="auto"/>
              <w:left w:val="nil"/>
              <w:bottom w:val="single" w:sz="4" w:space="0" w:color="auto"/>
              <w:right w:val="nil"/>
            </w:tcBorders>
            <w:shd w:val="clear" w:color="auto" w:fill="auto"/>
            <w:vAlign w:val="bottom"/>
            <w:hideMark/>
          </w:tcPr>
          <w:p w14:paraId="31630ED7" w14:textId="77777777" w:rsidR="007D690E" w:rsidRPr="00160503" w:rsidRDefault="007D690E" w:rsidP="00066AC3">
            <w:pPr>
              <w:spacing w:after="0" w:line="240" w:lineRule="auto"/>
              <w:jc w:val="center"/>
              <w:rPr>
                <w:rFonts w:eastAsia="Times New Roman" w:cs="Calibri"/>
                <w:b/>
                <w:bCs/>
                <w:color w:val="000000"/>
                <w:sz w:val="20"/>
                <w:lang w:eastAsia="en-GB"/>
              </w:rPr>
            </w:pPr>
            <w:r w:rsidRPr="00160503">
              <w:rPr>
                <w:rFonts w:eastAsia="Times New Roman" w:cs="Calibri"/>
                <w:b/>
                <w:bCs/>
                <w:color w:val="000000"/>
                <w:sz w:val="20"/>
                <w:lang w:eastAsia="en-GB"/>
              </w:rPr>
              <w:t>Hodnota</w:t>
            </w:r>
            <w:r w:rsidRPr="00160503">
              <w:rPr>
                <w:rFonts w:eastAsia="Times New Roman" w:cs="Calibri"/>
                <w:b/>
                <w:bCs/>
                <w:color w:val="000000"/>
                <w:sz w:val="20"/>
                <w:lang w:eastAsia="en-GB"/>
              </w:rPr>
              <w:br/>
              <w:t>2017</w:t>
            </w:r>
          </w:p>
        </w:tc>
        <w:tc>
          <w:tcPr>
            <w:tcW w:w="881" w:type="dxa"/>
            <w:tcBorders>
              <w:top w:val="single" w:sz="4" w:space="0" w:color="auto"/>
              <w:left w:val="nil"/>
              <w:bottom w:val="single" w:sz="4" w:space="0" w:color="auto"/>
              <w:right w:val="nil"/>
            </w:tcBorders>
            <w:shd w:val="clear" w:color="auto" w:fill="auto"/>
            <w:vAlign w:val="bottom"/>
            <w:hideMark/>
          </w:tcPr>
          <w:p w14:paraId="403D2B77" w14:textId="77777777" w:rsidR="007D690E" w:rsidRPr="00160503" w:rsidRDefault="007D690E">
            <w:pPr>
              <w:spacing w:after="0" w:line="240" w:lineRule="auto"/>
              <w:jc w:val="center"/>
              <w:rPr>
                <w:rFonts w:eastAsia="Times New Roman" w:cs="Calibri"/>
                <w:b/>
                <w:bCs/>
                <w:color w:val="000000"/>
                <w:sz w:val="20"/>
                <w:lang w:eastAsia="en-GB"/>
              </w:rPr>
            </w:pPr>
            <w:r w:rsidRPr="00160503">
              <w:rPr>
                <w:rFonts w:eastAsia="Times New Roman" w:cs="Calibri"/>
                <w:b/>
                <w:bCs/>
                <w:color w:val="000000"/>
                <w:sz w:val="20"/>
                <w:lang w:eastAsia="en-GB"/>
              </w:rPr>
              <w:t>Hodnota</w:t>
            </w:r>
            <w:r w:rsidRPr="00160503">
              <w:rPr>
                <w:rFonts w:eastAsia="Times New Roman" w:cs="Calibri"/>
                <w:b/>
                <w:bCs/>
                <w:color w:val="000000"/>
                <w:sz w:val="20"/>
                <w:lang w:eastAsia="en-GB"/>
              </w:rPr>
              <w:br/>
              <w:t>2018</w:t>
            </w:r>
          </w:p>
        </w:tc>
        <w:tc>
          <w:tcPr>
            <w:tcW w:w="863" w:type="dxa"/>
            <w:tcBorders>
              <w:top w:val="single" w:sz="4" w:space="0" w:color="auto"/>
              <w:left w:val="nil"/>
              <w:bottom w:val="single" w:sz="4" w:space="0" w:color="auto"/>
              <w:right w:val="nil"/>
            </w:tcBorders>
            <w:shd w:val="clear" w:color="auto" w:fill="auto"/>
            <w:vAlign w:val="bottom"/>
            <w:hideMark/>
          </w:tcPr>
          <w:p w14:paraId="05B95A83" w14:textId="77777777" w:rsidR="007D690E" w:rsidRPr="00160503" w:rsidRDefault="007D690E">
            <w:pPr>
              <w:spacing w:after="0" w:line="240" w:lineRule="auto"/>
              <w:jc w:val="center"/>
              <w:rPr>
                <w:rFonts w:eastAsia="Times New Roman" w:cs="Calibri"/>
                <w:b/>
                <w:bCs/>
                <w:color w:val="000000"/>
                <w:sz w:val="20"/>
                <w:lang w:eastAsia="en-GB"/>
              </w:rPr>
            </w:pPr>
            <w:r w:rsidRPr="00160503">
              <w:rPr>
                <w:rFonts w:eastAsia="Times New Roman" w:cs="Calibri"/>
                <w:b/>
                <w:bCs/>
                <w:color w:val="000000"/>
                <w:sz w:val="20"/>
                <w:lang w:eastAsia="en-GB"/>
              </w:rPr>
              <w:t>Cieľová hodnota</w:t>
            </w:r>
          </w:p>
        </w:tc>
      </w:tr>
      <w:tr w:rsidR="007D690E" w:rsidRPr="007D690E" w14:paraId="0128E1A6" w14:textId="77777777" w:rsidTr="00160503">
        <w:trPr>
          <w:gridAfter w:val="1"/>
          <w:wAfter w:w="104" w:type="dxa"/>
          <w:trHeight w:val="149"/>
        </w:trPr>
        <w:tc>
          <w:tcPr>
            <w:tcW w:w="6406" w:type="dxa"/>
            <w:tcBorders>
              <w:top w:val="nil"/>
              <w:left w:val="nil"/>
              <w:bottom w:val="nil"/>
              <w:right w:val="nil"/>
            </w:tcBorders>
            <w:shd w:val="clear" w:color="auto" w:fill="auto"/>
            <w:noWrap/>
            <w:vAlign w:val="center"/>
            <w:hideMark/>
          </w:tcPr>
          <w:p w14:paraId="3E0CCCDB" w14:textId="77777777" w:rsidR="007D690E" w:rsidRPr="00160503" w:rsidRDefault="007D690E" w:rsidP="005619AD">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Podiel systémov využívajúcich Open source SW</w:t>
            </w:r>
          </w:p>
        </w:tc>
        <w:tc>
          <w:tcPr>
            <w:tcW w:w="881" w:type="dxa"/>
            <w:tcBorders>
              <w:top w:val="nil"/>
              <w:left w:val="nil"/>
              <w:bottom w:val="nil"/>
              <w:right w:val="nil"/>
            </w:tcBorders>
            <w:shd w:val="clear" w:color="auto" w:fill="auto"/>
            <w:noWrap/>
            <w:vAlign w:val="center"/>
            <w:hideMark/>
          </w:tcPr>
          <w:p w14:paraId="0C1BD39D" w14:textId="77777777" w:rsidR="007D690E" w:rsidRPr="00160503" w:rsidRDefault="007D690E" w:rsidP="00066AC3">
            <w:pPr>
              <w:spacing w:after="0" w:line="240" w:lineRule="auto"/>
              <w:jc w:val="center"/>
              <w:rPr>
                <w:rFonts w:eastAsia="Times New Roman" w:cs="Calibri"/>
                <w:color w:val="000000"/>
                <w:sz w:val="20"/>
                <w:lang w:eastAsia="en-GB"/>
              </w:rPr>
            </w:pPr>
          </w:p>
        </w:tc>
        <w:tc>
          <w:tcPr>
            <w:tcW w:w="881" w:type="dxa"/>
            <w:tcBorders>
              <w:top w:val="nil"/>
              <w:left w:val="nil"/>
              <w:bottom w:val="nil"/>
              <w:right w:val="nil"/>
            </w:tcBorders>
            <w:shd w:val="clear" w:color="auto" w:fill="auto"/>
            <w:noWrap/>
            <w:vAlign w:val="center"/>
            <w:hideMark/>
          </w:tcPr>
          <w:p w14:paraId="2291F0A6" w14:textId="77777777" w:rsidR="007D690E" w:rsidRPr="00160503" w:rsidRDefault="007D690E">
            <w:pPr>
              <w:spacing w:after="0" w:line="240" w:lineRule="auto"/>
              <w:jc w:val="center"/>
              <w:rPr>
                <w:rFonts w:eastAsia="Times New Roman" w:cs="Calibri"/>
                <w:color w:val="000000"/>
                <w:sz w:val="20"/>
                <w:lang w:eastAsia="en-GB"/>
              </w:rPr>
            </w:pPr>
          </w:p>
        </w:tc>
        <w:tc>
          <w:tcPr>
            <w:tcW w:w="863" w:type="dxa"/>
            <w:tcBorders>
              <w:top w:val="nil"/>
              <w:left w:val="nil"/>
              <w:bottom w:val="nil"/>
              <w:right w:val="nil"/>
            </w:tcBorders>
            <w:shd w:val="clear" w:color="auto" w:fill="auto"/>
            <w:noWrap/>
            <w:vAlign w:val="center"/>
            <w:hideMark/>
          </w:tcPr>
          <w:p w14:paraId="53C9D623" w14:textId="77777777" w:rsidR="007D690E" w:rsidRPr="00160503" w:rsidRDefault="007D690E">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40.0%</w:t>
            </w:r>
          </w:p>
        </w:tc>
      </w:tr>
      <w:tr w:rsidR="007D690E" w:rsidRPr="007D690E" w14:paraId="4A977AC5" w14:textId="77777777" w:rsidTr="00160503">
        <w:trPr>
          <w:gridAfter w:val="1"/>
          <w:wAfter w:w="104" w:type="dxa"/>
          <w:trHeight w:val="149"/>
        </w:trPr>
        <w:tc>
          <w:tcPr>
            <w:tcW w:w="6406" w:type="dxa"/>
            <w:tcBorders>
              <w:top w:val="nil"/>
              <w:left w:val="nil"/>
              <w:bottom w:val="nil"/>
              <w:right w:val="nil"/>
            </w:tcBorders>
            <w:shd w:val="clear" w:color="auto" w:fill="auto"/>
            <w:vAlign w:val="center"/>
            <w:hideMark/>
          </w:tcPr>
          <w:p w14:paraId="1865441F" w14:textId="77777777" w:rsidR="007D690E" w:rsidRPr="00160503" w:rsidRDefault="007D690E" w:rsidP="005619AD">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Podiel verejných obstarávaní s otvorenou súťažou</w:t>
            </w:r>
            <w:r w:rsidR="003E1001">
              <w:rPr>
                <w:rFonts w:eastAsia="Times New Roman" w:cs="Calibri"/>
                <w:color w:val="000000"/>
                <w:sz w:val="20"/>
                <w:lang w:eastAsia="en-GB"/>
              </w:rPr>
              <w:t xml:space="preserve"> (nie priame rokovacie konanie)</w:t>
            </w:r>
          </w:p>
        </w:tc>
        <w:tc>
          <w:tcPr>
            <w:tcW w:w="881" w:type="dxa"/>
            <w:tcBorders>
              <w:top w:val="nil"/>
              <w:left w:val="nil"/>
              <w:bottom w:val="nil"/>
              <w:right w:val="nil"/>
            </w:tcBorders>
            <w:shd w:val="clear" w:color="auto" w:fill="auto"/>
            <w:noWrap/>
            <w:vAlign w:val="center"/>
            <w:hideMark/>
          </w:tcPr>
          <w:p w14:paraId="7FF3102F" w14:textId="77777777" w:rsidR="007D690E" w:rsidRPr="00160503" w:rsidRDefault="007D690E" w:rsidP="00066AC3">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70.8%</w:t>
            </w:r>
          </w:p>
        </w:tc>
        <w:tc>
          <w:tcPr>
            <w:tcW w:w="881" w:type="dxa"/>
            <w:tcBorders>
              <w:top w:val="nil"/>
              <w:left w:val="nil"/>
              <w:bottom w:val="nil"/>
              <w:right w:val="nil"/>
            </w:tcBorders>
            <w:shd w:val="clear" w:color="auto" w:fill="auto"/>
            <w:noWrap/>
            <w:vAlign w:val="center"/>
            <w:hideMark/>
          </w:tcPr>
          <w:p w14:paraId="2AC0C5E3" w14:textId="77777777" w:rsidR="007D690E" w:rsidRPr="00160503" w:rsidRDefault="007D690E">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89.5%</w:t>
            </w:r>
          </w:p>
        </w:tc>
        <w:tc>
          <w:tcPr>
            <w:tcW w:w="863" w:type="dxa"/>
            <w:tcBorders>
              <w:top w:val="nil"/>
              <w:left w:val="nil"/>
              <w:bottom w:val="nil"/>
              <w:right w:val="nil"/>
            </w:tcBorders>
            <w:shd w:val="clear" w:color="auto" w:fill="auto"/>
            <w:noWrap/>
            <w:vAlign w:val="center"/>
            <w:hideMark/>
          </w:tcPr>
          <w:p w14:paraId="4074596D" w14:textId="77777777" w:rsidR="007D690E" w:rsidRPr="00160503" w:rsidRDefault="007D690E">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95.0%</w:t>
            </w:r>
          </w:p>
        </w:tc>
      </w:tr>
      <w:tr w:rsidR="007D690E" w:rsidRPr="007D690E" w14:paraId="297C19C3" w14:textId="77777777" w:rsidTr="00160503">
        <w:trPr>
          <w:gridAfter w:val="1"/>
          <w:wAfter w:w="104" w:type="dxa"/>
          <w:trHeight w:val="149"/>
        </w:trPr>
        <w:tc>
          <w:tcPr>
            <w:tcW w:w="6406" w:type="dxa"/>
            <w:tcBorders>
              <w:top w:val="nil"/>
              <w:left w:val="nil"/>
              <w:bottom w:val="nil"/>
              <w:right w:val="nil"/>
            </w:tcBorders>
            <w:shd w:val="clear" w:color="auto" w:fill="auto"/>
            <w:vAlign w:val="center"/>
            <w:hideMark/>
          </w:tcPr>
          <w:p w14:paraId="304DBF0B" w14:textId="77777777" w:rsidR="007D690E" w:rsidRPr="00160503" w:rsidRDefault="007D690E" w:rsidP="005619AD">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 xml:space="preserve">Podiel projektov v hodnote nižšej ako 5 miliónov </w:t>
            </w:r>
            <w:r w:rsidR="003E1001">
              <w:rPr>
                <w:rFonts w:eastAsia="Times New Roman" w:cs="Calibri"/>
                <w:color w:val="000000"/>
                <w:sz w:val="20"/>
                <w:lang w:eastAsia="en-GB"/>
              </w:rPr>
              <w:t>eur</w:t>
            </w:r>
          </w:p>
        </w:tc>
        <w:tc>
          <w:tcPr>
            <w:tcW w:w="881" w:type="dxa"/>
            <w:tcBorders>
              <w:top w:val="nil"/>
              <w:left w:val="nil"/>
              <w:bottom w:val="nil"/>
              <w:right w:val="nil"/>
            </w:tcBorders>
            <w:shd w:val="clear" w:color="auto" w:fill="auto"/>
            <w:noWrap/>
            <w:vAlign w:val="center"/>
            <w:hideMark/>
          </w:tcPr>
          <w:p w14:paraId="31A6DCEB" w14:textId="77777777" w:rsidR="007D690E" w:rsidRPr="00160503" w:rsidRDefault="007D690E" w:rsidP="00066AC3">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42.0%</w:t>
            </w:r>
          </w:p>
        </w:tc>
        <w:tc>
          <w:tcPr>
            <w:tcW w:w="881" w:type="dxa"/>
            <w:tcBorders>
              <w:top w:val="nil"/>
              <w:left w:val="nil"/>
              <w:bottom w:val="nil"/>
              <w:right w:val="nil"/>
            </w:tcBorders>
            <w:shd w:val="clear" w:color="auto" w:fill="auto"/>
            <w:noWrap/>
            <w:vAlign w:val="center"/>
            <w:hideMark/>
          </w:tcPr>
          <w:p w14:paraId="6975E7A1" w14:textId="77777777" w:rsidR="007D690E" w:rsidRPr="00160503" w:rsidRDefault="007D690E">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32.0%</w:t>
            </w:r>
          </w:p>
        </w:tc>
        <w:tc>
          <w:tcPr>
            <w:tcW w:w="863" w:type="dxa"/>
            <w:tcBorders>
              <w:top w:val="nil"/>
              <w:left w:val="nil"/>
              <w:bottom w:val="nil"/>
              <w:right w:val="nil"/>
            </w:tcBorders>
            <w:shd w:val="clear" w:color="auto" w:fill="auto"/>
            <w:noWrap/>
            <w:vAlign w:val="center"/>
            <w:hideMark/>
          </w:tcPr>
          <w:p w14:paraId="6B43F788" w14:textId="77777777" w:rsidR="007D690E" w:rsidRPr="00160503" w:rsidRDefault="007D690E">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75.0%</w:t>
            </w:r>
          </w:p>
        </w:tc>
      </w:tr>
      <w:tr w:rsidR="007D690E" w:rsidRPr="007D690E" w14:paraId="3FBFEA80" w14:textId="77777777" w:rsidTr="00160503">
        <w:trPr>
          <w:gridAfter w:val="1"/>
          <w:wAfter w:w="104" w:type="dxa"/>
          <w:trHeight w:val="298"/>
        </w:trPr>
        <w:tc>
          <w:tcPr>
            <w:tcW w:w="6406" w:type="dxa"/>
            <w:tcBorders>
              <w:top w:val="nil"/>
              <w:left w:val="nil"/>
              <w:bottom w:val="nil"/>
              <w:right w:val="nil"/>
            </w:tcBorders>
            <w:shd w:val="clear" w:color="auto" w:fill="auto"/>
            <w:vAlign w:val="center"/>
            <w:hideMark/>
          </w:tcPr>
          <w:p w14:paraId="18F52356" w14:textId="77777777" w:rsidR="007D690E" w:rsidRPr="00160503" w:rsidRDefault="007D690E" w:rsidP="005619AD">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Podiel projektov, ktoré prešli nezávislým posúdením hodnoty za peniaze</w:t>
            </w:r>
          </w:p>
        </w:tc>
        <w:tc>
          <w:tcPr>
            <w:tcW w:w="881" w:type="dxa"/>
            <w:tcBorders>
              <w:top w:val="nil"/>
              <w:left w:val="nil"/>
              <w:bottom w:val="nil"/>
              <w:right w:val="nil"/>
            </w:tcBorders>
            <w:shd w:val="clear" w:color="auto" w:fill="auto"/>
            <w:noWrap/>
            <w:vAlign w:val="center"/>
            <w:hideMark/>
          </w:tcPr>
          <w:p w14:paraId="0F595763" w14:textId="77777777" w:rsidR="007D690E" w:rsidRPr="00160503" w:rsidRDefault="007D690E" w:rsidP="00066AC3">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100.0%</w:t>
            </w:r>
          </w:p>
        </w:tc>
        <w:tc>
          <w:tcPr>
            <w:tcW w:w="881" w:type="dxa"/>
            <w:tcBorders>
              <w:top w:val="nil"/>
              <w:left w:val="nil"/>
              <w:bottom w:val="nil"/>
              <w:right w:val="nil"/>
            </w:tcBorders>
            <w:shd w:val="clear" w:color="auto" w:fill="auto"/>
            <w:noWrap/>
            <w:vAlign w:val="center"/>
            <w:hideMark/>
          </w:tcPr>
          <w:p w14:paraId="717A2CD4" w14:textId="77777777" w:rsidR="007D690E" w:rsidRPr="00160503" w:rsidRDefault="007D690E">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100.0%</w:t>
            </w:r>
          </w:p>
        </w:tc>
        <w:tc>
          <w:tcPr>
            <w:tcW w:w="863" w:type="dxa"/>
            <w:tcBorders>
              <w:top w:val="nil"/>
              <w:left w:val="nil"/>
              <w:bottom w:val="nil"/>
              <w:right w:val="nil"/>
            </w:tcBorders>
            <w:shd w:val="clear" w:color="auto" w:fill="auto"/>
            <w:noWrap/>
            <w:vAlign w:val="center"/>
            <w:hideMark/>
          </w:tcPr>
          <w:p w14:paraId="7716C63C" w14:textId="77777777" w:rsidR="007D690E" w:rsidRPr="00160503" w:rsidRDefault="007D690E">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100.0%</w:t>
            </w:r>
          </w:p>
        </w:tc>
      </w:tr>
      <w:tr w:rsidR="007D690E" w:rsidRPr="007D690E" w14:paraId="19FD0E3F" w14:textId="77777777" w:rsidTr="00160503">
        <w:trPr>
          <w:gridAfter w:val="1"/>
          <w:wAfter w:w="104" w:type="dxa"/>
          <w:trHeight w:val="149"/>
        </w:trPr>
        <w:tc>
          <w:tcPr>
            <w:tcW w:w="6406" w:type="dxa"/>
            <w:tcBorders>
              <w:top w:val="nil"/>
              <w:left w:val="nil"/>
              <w:bottom w:val="nil"/>
              <w:right w:val="nil"/>
            </w:tcBorders>
            <w:shd w:val="clear" w:color="auto" w:fill="auto"/>
            <w:vAlign w:val="center"/>
            <w:hideMark/>
          </w:tcPr>
          <w:p w14:paraId="40941055" w14:textId="77777777" w:rsidR="007D690E" w:rsidRPr="00160503" w:rsidRDefault="007D690E" w:rsidP="005619AD">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Podiel projektov riadených agilne</w:t>
            </w:r>
          </w:p>
        </w:tc>
        <w:tc>
          <w:tcPr>
            <w:tcW w:w="881" w:type="dxa"/>
            <w:tcBorders>
              <w:top w:val="nil"/>
              <w:left w:val="nil"/>
              <w:bottom w:val="nil"/>
              <w:right w:val="nil"/>
            </w:tcBorders>
            <w:shd w:val="clear" w:color="auto" w:fill="auto"/>
            <w:noWrap/>
            <w:vAlign w:val="center"/>
            <w:hideMark/>
          </w:tcPr>
          <w:p w14:paraId="0B4372EF" w14:textId="77777777" w:rsidR="007D690E" w:rsidRPr="00160503" w:rsidRDefault="007D690E" w:rsidP="00066AC3">
            <w:pPr>
              <w:spacing w:after="0" w:line="240" w:lineRule="auto"/>
              <w:jc w:val="center"/>
              <w:rPr>
                <w:rFonts w:eastAsia="Times New Roman" w:cs="Calibri"/>
                <w:color w:val="000000"/>
                <w:sz w:val="20"/>
                <w:lang w:eastAsia="en-GB"/>
              </w:rPr>
            </w:pPr>
          </w:p>
        </w:tc>
        <w:tc>
          <w:tcPr>
            <w:tcW w:w="881" w:type="dxa"/>
            <w:tcBorders>
              <w:top w:val="nil"/>
              <w:left w:val="nil"/>
              <w:bottom w:val="nil"/>
              <w:right w:val="nil"/>
            </w:tcBorders>
            <w:shd w:val="clear" w:color="auto" w:fill="auto"/>
            <w:noWrap/>
            <w:vAlign w:val="center"/>
            <w:hideMark/>
          </w:tcPr>
          <w:p w14:paraId="359CFD70" w14:textId="77777777" w:rsidR="007D690E" w:rsidRPr="00160503" w:rsidRDefault="007D690E">
            <w:pPr>
              <w:spacing w:after="0" w:line="240" w:lineRule="auto"/>
              <w:jc w:val="center"/>
              <w:rPr>
                <w:rFonts w:ascii="Times New Roman" w:eastAsia="Times New Roman" w:hAnsi="Times New Roman" w:cs="Times New Roman"/>
                <w:sz w:val="18"/>
                <w:szCs w:val="20"/>
                <w:lang w:eastAsia="en-GB"/>
              </w:rPr>
            </w:pPr>
          </w:p>
        </w:tc>
        <w:tc>
          <w:tcPr>
            <w:tcW w:w="863" w:type="dxa"/>
            <w:tcBorders>
              <w:top w:val="nil"/>
              <w:left w:val="nil"/>
              <w:bottom w:val="nil"/>
              <w:right w:val="nil"/>
            </w:tcBorders>
            <w:shd w:val="clear" w:color="auto" w:fill="auto"/>
            <w:noWrap/>
            <w:vAlign w:val="center"/>
            <w:hideMark/>
          </w:tcPr>
          <w:p w14:paraId="62B37785" w14:textId="77777777" w:rsidR="007D690E" w:rsidRPr="00160503" w:rsidRDefault="007D690E">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70.0%</w:t>
            </w:r>
          </w:p>
        </w:tc>
      </w:tr>
      <w:tr w:rsidR="007D690E" w:rsidRPr="007D690E" w14:paraId="6337EF30" w14:textId="77777777" w:rsidTr="00160503">
        <w:trPr>
          <w:gridAfter w:val="1"/>
          <w:wAfter w:w="104" w:type="dxa"/>
          <w:trHeight w:val="447"/>
        </w:trPr>
        <w:tc>
          <w:tcPr>
            <w:tcW w:w="6406" w:type="dxa"/>
            <w:tcBorders>
              <w:top w:val="nil"/>
              <w:left w:val="nil"/>
              <w:bottom w:val="nil"/>
              <w:right w:val="nil"/>
            </w:tcBorders>
            <w:shd w:val="clear" w:color="auto" w:fill="auto"/>
            <w:vAlign w:val="center"/>
            <w:hideMark/>
          </w:tcPr>
          <w:p w14:paraId="1C185411" w14:textId="77777777" w:rsidR="007D690E" w:rsidRPr="00160503" w:rsidRDefault="007D690E" w:rsidP="005619AD">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Podiel inštitúcií verejnej správy prevádzkujúcich ISVS, ktoré majú namodelované informačné prostredie v enterprise-architektúre</w:t>
            </w:r>
          </w:p>
        </w:tc>
        <w:tc>
          <w:tcPr>
            <w:tcW w:w="881" w:type="dxa"/>
            <w:tcBorders>
              <w:top w:val="nil"/>
              <w:left w:val="nil"/>
              <w:bottom w:val="nil"/>
              <w:right w:val="nil"/>
            </w:tcBorders>
            <w:shd w:val="clear" w:color="auto" w:fill="auto"/>
            <w:noWrap/>
            <w:vAlign w:val="center"/>
            <w:hideMark/>
          </w:tcPr>
          <w:p w14:paraId="6C5DC719" w14:textId="77777777" w:rsidR="007D690E" w:rsidRPr="00160503" w:rsidRDefault="007D690E" w:rsidP="00066AC3">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20.8%</w:t>
            </w:r>
          </w:p>
        </w:tc>
        <w:tc>
          <w:tcPr>
            <w:tcW w:w="881" w:type="dxa"/>
            <w:tcBorders>
              <w:top w:val="nil"/>
              <w:left w:val="nil"/>
              <w:bottom w:val="nil"/>
              <w:right w:val="nil"/>
            </w:tcBorders>
            <w:shd w:val="clear" w:color="auto" w:fill="auto"/>
            <w:noWrap/>
            <w:vAlign w:val="center"/>
            <w:hideMark/>
          </w:tcPr>
          <w:p w14:paraId="64ABE964" w14:textId="77777777" w:rsidR="007D690E" w:rsidRPr="00160503" w:rsidRDefault="007D690E">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37.5%</w:t>
            </w:r>
          </w:p>
        </w:tc>
        <w:tc>
          <w:tcPr>
            <w:tcW w:w="863" w:type="dxa"/>
            <w:tcBorders>
              <w:top w:val="nil"/>
              <w:left w:val="nil"/>
              <w:bottom w:val="nil"/>
              <w:right w:val="nil"/>
            </w:tcBorders>
            <w:shd w:val="clear" w:color="auto" w:fill="auto"/>
            <w:noWrap/>
            <w:vAlign w:val="center"/>
            <w:hideMark/>
          </w:tcPr>
          <w:p w14:paraId="32257CF7" w14:textId="77777777" w:rsidR="007D690E" w:rsidRPr="00160503" w:rsidRDefault="007D690E">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80.0%</w:t>
            </w:r>
          </w:p>
        </w:tc>
      </w:tr>
      <w:tr w:rsidR="007D690E" w:rsidRPr="007D690E" w14:paraId="50DAE306" w14:textId="77777777" w:rsidTr="00160503">
        <w:trPr>
          <w:gridAfter w:val="1"/>
          <w:wAfter w:w="104" w:type="dxa"/>
          <w:trHeight w:val="447"/>
        </w:trPr>
        <w:tc>
          <w:tcPr>
            <w:tcW w:w="6406" w:type="dxa"/>
            <w:tcBorders>
              <w:top w:val="nil"/>
              <w:left w:val="nil"/>
              <w:bottom w:val="single" w:sz="4" w:space="0" w:color="auto"/>
              <w:right w:val="nil"/>
            </w:tcBorders>
            <w:shd w:val="clear" w:color="auto" w:fill="auto"/>
            <w:vAlign w:val="center"/>
            <w:hideMark/>
          </w:tcPr>
          <w:p w14:paraId="73DFEE02" w14:textId="77777777" w:rsidR="007D690E" w:rsidRPr="00160503" w:rsidRDefault="007D690E" w:rsidP="005619AD">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Podiel elektronických služieb verejnej správy, ktoré sú pravidelne monitorované a pre ktoré sa sleduje spätná väzba</w:t>
            </w:r>
          </w:p>
        </w:tc>
        <w:tc>
          <w:tcPr>
            <w:tcW w:w="881" w:type="dxa"/>
            <w:tcBorders>
              <w:top w:val="nil"/>
              <w:left w:val="nil"/>
              <w:bottom w:val="single" w:sz="4" w:space="0" w:color="auto"/>
              <w:right w:val="nil"/>
            </w:tcBorders>
            <w:shd w:val="clear" w:color="auto" w:fill="auto"/>
            <w:noWrap/>
            <w:vAlign w:val="center"/>
            <w:hideMark/>
          </w:tcPr>
          <w:p w14:paraId="70BAC04E" w14:textId="77777777" w:rsidR="007D690E" w:rsidRPr="00160503" w:rsidRDefault="007D690E" w:rsidP="00066AC3">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57.4%</w:t>
            </w:r>
          </w:p>
        </w:tc>
        <w:tc>
          <w:tcPr>
            <w:tcW w:w="881" w:type="dxa"/>
            <w:tcBorders>
              <w:top w:val="nil"/>
              <w:left w:val="nil"/>
              <w:bottom w:val="single" w:sz="4" w:space="0" w:color="auto"/>
              <w:right w:val="nil"/>
            </w:tcBorders>
            <w:shd w:val="clear" w:color="auto" w:fill="auto"/>
            <w:noWrap/>
            <w:vAlign w:val="center"/>
            <w:hideMark/>
          </w:tcPr>
          <w:p w14:paraId="47705AA9" w14:textId="77777777" w:rsidR="007D690E" w:rsidRPr="00160503" w:rsidRDefault="007D690E">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82.6%</w:t>
            </w:r>
          </w:p>
        </w:tc>
        <w:tc>
          <w:tcPr>
            <w:tcW w:w="863" w:type="dxa"/>
            <w:tcBorders>
              <w:top w:val="nil"/>
              <w:left w:val="nil"/>
              <w:bottom w:val="single" w:sz="4" w:space="0" w:color="auto"/>
              <w:right w:val="nil"/>
            </w:tcBorders>
            <w:shd w:val="clear" w:color="auto" w:fill="auto"/>
            <w:noWrap/>
            <w:vAlign w:val="center"/>
            <w:hideMark/>
          </w:tcPr>
          <w:p w14:paraId="3C52D5A5" w14:textId="77777777" w:rsidR="007D690E" w:rsidRPr="00160503" w:rsidRDefault="007D690E">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90.0%</w:t>
            </w:r>
          </w:p>
        </w:tc>
      </w:tr>
      <w:tr w:rsidR="007D690E" w:rsidRPr="007D690E" w14:paraId="6A7E5DD1" w14:textId="77777777" w:rsidTr="00160503">
        <w:trPr>
          <w:trHeight w:val="149"/>
        </w:trPr>
        <w:tc>
          <w:tcPr>
            <w:tcW w:w="9135" w:type="dxa"/>
            <w:gridSpan w:val="5"/>
            <w:tcBorders>
              <w:top w:val="nil"/>
              <w:left w:val="nil"/>
              <w:bottom w:val="nil"/>
              <w:right w:val="nil"/>
            </w:tcBorders>
            <w:shd w:val="clear" w:color="auto" w:fill="auto"/>
            <w:noWrap/>
            <w:hideMark/>
          </w:tcPr>
          <w:p w14:paraId="78442CFA" w14:textId="77777777" w:rsidR="007D690E" w:rsidRPr="00160503" w:rsidRDefault="007D690E" w:rsidP="007D690E">
            <w:pPr>
              <w:spacing w:after="0" w:line="240" w:lineRule="auto"/>
              <w:jc w:val="right"/>
              <w:rPr>
                <w:rFonts w:eastAsia="Times New Roman" w:cs="Calibri"/>
                <w:i/>
                <w:iCs/>
                <w:color w:val="000000"/>
                <w:sz w:val="16"/>
                <w:szCs w:val="18"/>
                <w:lang w:eastAsia="en-GB"/>
              </w:rPr>
            </w:pPr>
            <w:r w:rsidRPr="00160503">
              <w:rPr>
                <w:rFonts w:eastAsia="Times New Roman" w:cs="Calibri"/>
                <w:i/>
                <w:iCs/>
                <w:color w:val="000000"/>
                <w:sz w:val="16"/>
                <w:szCs w:val="18"/>
                <w:lang w:eastAsia="en-GB"/>
              </w:rPr>
              <w:t>Zdroj: Informácia o plnení NKIVS, Spracovanie ÚHP</w:t>
            </w:r>
          </w:p>
        </w:tc>
      </w:tr>
    </w:tbl>
    <w:p w14:paraId="310FC83A" w14:textId="47B280D1" w:rsidR="00D91783" w:rsidRDefault="0059256C" w:rsidP="00855656">
      <w:pPr>
        <w:spacing w:before="120"/>
      </w:pPr>
      <w:r w:rsidRPr="00765192">
        <w:rPr>
          <w:b/>
        </w:rPr>
        <w:t>Digitálne služby štátu využívalo v roku 2018 minimálne o 18 % ľudí menej, ako bolo plánované</w:t>
      </w:r>
      <w:r w:rsidR="006F155A">
        <w:rPr>
          <w:b/>
        </w:rPr>
        <w:t xml:space="preserve"> v štúdii uskutočniteľnosti</w:t>
      </w:r>
      <w:r w:rsidRPr="00765192">
        <w:rPr>
          <w:b/>
        </w:rPr>
        <w:t xml:space="preserve">. </w:t>
      </w:r>
      <w:r w:rsidR="008A24D6">
        <w:t>Štúdia uskutočniteľnosti ústredného portálu verejnej správy</w:t>
      </w:r>
      <w:r w:rsidR="008A24D6" w:rsidRPr="00765192">
        <w:rPr>
          <w:rStyle w:val="Odkaznapoznmkupodiarou"/>
        </w:rPr>
        <w:footnoteReference w:id="8"/>
      </w:r>
      <w:r w:rsidR="00071D09">
        <w:t xml:space="preserve"> odhadovala, že v roku 2018 bude elektronické služby štátu</w:t>
      </w:r>
      <w:r w:rsidR="008A24D6">
        <w:t xml:space="preserve"> </w:t>
      </w:r>
      <w:r w:rsidR="00071D09">
        <w:t>využívať 1,7 mil. ľudí.</w:t>
      </w:r>
      <w:r w:rsidR="008A24D6" w:rsidRPr="00765192">
        <w:t xml:space="preserve"> </w:t>
      </w:r>
      <w:r w:rsidR="00071D09">
        <w:t>P</w:t>
      </w:r>
      <w:r w:rsidR="008A24D6" w:rsidRPr="00765192">
        <w:t>odľa počtu BOK vydaných k eID mohlo elektronické podania realizovať najviac 1,4 mil. ľudí.</w:t>
      </w:r>
      <w:r w:rsidR="008A24D6">
        <w:t xml:space="preserve"> </w:t>
      </w:r>
      <w:r w:rsidR="00855656">
        <w:t xml:space="preserve">Reálny počet používateľov môže byť nižší. </w:t>
      </w:r>
      <w:r w:rsidR="005D6A5E">
        <w:t>Bezpečnostný osobný kód (</w:t>
      </w:r>
      <w:r w:rsidR="005D6A5E" w:rsidRPr="00765192">
        <w:t>BOK</w:t>
      </w:r>
      <w:r w:rsidR="005D6A5E">
        <w:t xml:space="preserve">), ktorý spolu s eID slúži na </w:t>
      </w:r>
      <w:r w:rsidR="00D9151A">
        <w:t>potvrdenie totožnosti pri elektronickej komunikácii,</w:t>
      </w:r>
      <w:r w:rsidR="005D6A5E" w:rsidRPr="00765192">
        <w:t xml:space="preserve"> je vydávaný automaticky</w:t>
      </w:r>
      <w:r w:rsidR="00855656">
        <w:t xml:space="preserve"> a je predpokladom pre využitie elektronických služieb</w:t>
      </w:r>
      <w:r w:rsidR="00D9151A">
        <w:t>.</w:t>
      </w:r>
      <w:r w:rsidR="005D6A5E" w:rsidRPr="00765192">
        <w:t xml:space="preserve"> </w:t>
      </w:r>
      <w:r w:rsidR="00D9151A">
        <w:t>Ú</w:t>
      </w:r>
      <w:r w:rsidR="005D6A5E" w:rsidRPr="00765192">
        <w:t xml:space="preserve">daje o reálnom počte občanov, ktorí využili elektronické služby nie sú dostupné. </w:t>
      </w:r>
    </w:p>
    <w:p w14:paraId="55AB3B87" w14:textId="77777777" w:rsidR="003768D9" w:rsidRDefault="001165FD" w:rsidP="0059256C">
      <w:pPr>
        <w:spacing w:before="120"/>
      </w:pPr>
      <w:r>
        <w:rPr>
          <w:b/>
        </w:rPr>
        <w:t>Pozitívnym trendom je postupné uplatňovanie princípu 1x a dosť v</w:t>
      </w:r>
      <w:r w:rsidR="006B3601">
        <w:rPr>
          <w:b/>
        </w:rPr>
        <w:t> </w:t>
      </w:r>
      <w:r>
        <w:rPr>
          <w:b/>
        </w:rPr>
        <w:t>praxi</w:t>
      </w:r>
      <w:r w:rsidR="006B3601">
        <w:rPr>
          <w:b/>
        </w:rPr>
        <w:t xml:space="preserve"> a online </w:t>
      </w:r>
      <w:r w:rsidR="00173205">
        <w:rPr>
          <w:b/>
        </w:rPr>
        <w:t xml:space="preserve">sledovanie </w:t>
      </w:r>
      <w:r w:rsidR="006B3601">
        <w:rPr>
          <w:b/>
        </w:rPr>
        <w:t>výsledkov</w:t>
      </w:r>
      <w:r>
        <w:rPr>
          <w:b/>
        </w:rPr>
        <w:t xml:space="preserve">. </w:t>
      </w:r>
      <w:r w:rsidR="004D51EB">
        <w:rPr>
          <w:b/>
        </w:rPr>
        <w:t>Celkové prínosy a náklady však nie sú kvôli odhadom a neúplným podkladom overiteľné</w:t>
      </w:r>
      <w:r>
        <w:rPr>
          <w:b/>
        </w:rPr>
        <w:t xml:space="preserve">. </w:t>
      </w:r>
      <w:r w:rsidR="006B3601">
        <w:t xml:space="preserve">Jedným z nástrojov na zvyšovanie hodnoty elektronických služieb pre občanov a podnikateľov je v NKIVS definovaný princíp „jedenkrát a dosť“. Orgány verejnej správy nemajú pri poskytovaní služieb občanom alebo podnikateľom požadovať údaje, ktorými už verejná správa disponuje. Pôvodná ambícia bola zaviesť princíp vo všetkých konaniach do konca roka 2018. </w:t>
      </w:r>
    </w:p>
    <w:p w14:paraId="25178156" w14:textId="77777777" w:rsidR="000137B9" w:rsidRDefault="006B3601" w:rsidP="0059256C">
      <w:pPr>
        <w:spacing w:before="120"/>
      </w:pPr>
      <w:r>
        <w:t>V praxi je princíp „jedenkrát a dosť“ uplatňovaný postupne. Vo viacerých kolách legislatívneho procesu bola zavedená povinnosť nežiadať</w:t>
      </w:r>
      <w:r w:rsidR="004D51EB">
        <w:t xml:space="preserve"> od občanov a podnikateľov </w:t>
      </w:r>
      <w:r>
        <w:t>21 výpisov alebo potvrdení</w:t>
      </w:r>
      <w:r w:rsidR="00823B30">
        <w:t xml:space="preserve">. </w:t>
      </w:r>
      <w:r w:rsidR="005562E8">
        <w:t xml:space="preserve">Potrebné informácie získavajú zamestnanci verejnej správy.  </w:t>
      </w:r>
    </w:p>
    <w:p w14:paraId="11C98B2C" w14:textId="77777777" w:rsidR="00841453" w:rsidRDefault="004D51EB" w:rsidP="0059256C">
      <w:pPr>
        <w:spacing w:before="120"/>
      </w:pPr>
      <w:r>
        <w:t xml:space="preserve">Podľa doložiek vplyvov na rozpočet </w:t>
      </w:r>
      <w:r w:rsidR="000137B9">
        <w:t>verejnej správy majú výdavky spojené s odstraňovaním papierových výpisov a potvrdení do roku 2022 dosiahnuť 18,4 mil. eur s DPH. Výdavky nemusia byť úplné. Pri prvom kole rušenia povinnosti predkladať papierové výpisy boli do doložky vplyvov zahrnuté len personálne náklady a výpadok príjmov na správaných poplatkoch. Výdavky spojené s IS alebo integračných rozhraní neboli v doložke kvôli prebiehajúcej analýze zahrnuté</w:t>
      </w:r>
      <w:r w:rsidR="00BC09E0">
        <w:t xml:space="preserve">. V ďalších kolách tvoria </w:t>
      </w:r>
      <w:r w:rsidR="003768D9">
        <w:t xml:space="preserve">výdavky na úpravy IS a integrácií </w:t>
      </w:r>
      <w:r w:rsidR="00BC09E0">
        <w:t>zásadnú časť celkového dopadu na rozpočet</w:t>
      </w:r>
      <w:r w:rsidR="003768D9">
        <w:t>, ich výška nie je overiteľná</w:t>
      </w:r>
      <w:r w:rsidR="00BC09E0">
        <w:t xml:space="preserve">. </w:t>
      </w:r>
    </w:p>
    <w:p w14:paraId="7BECE309" w14:textId="573092B4" w:rsidR="006B3601" w:rsidRPr="00160503" w:rsidRDefault="007855FC">
      <w:pPr>
        <w:spacing w:before="120"/>
      </w:pPr>
      <w:r>
        <w:t>Prínosy</w:t>
      </w:r>
      <w:r w:rsidR="005F79A5">
        <w:t xml:space="preserve"> </w:t>
      </w:r>
      <w:r w:rsidR="00D85C1D">
        <w:t xml:space="preserve">občana </w:t>
      </w:r>
      <w:r w:rsidR="005F79A5">
        <w:t>z úspory času, cestovných nákladov a poplatkov za výpisy</w:t>
      </w:r>
      <w:r>
        <w:t xml:space="preserve"> </w:t>
      </w:r>
      <w:r w:rsidR="00D85C1D">
        <w:t xml:space="preserve">dosiahli </w:t>
      </w:r>
      <w:r w:rsidR="00E828EA">
        <w:t>v roku 2019 podľa</w:t>
      </w:r>
      <w:r w:rsidR="00D85C1D">
        <w:t xml:space="preserve"> online monitoringu</w:t>
      </w:r>
      <w:r>
        <w:rPr>
          <w:rStyle w:val="Odkaznapoznmkupodiarou"/>
        </w:rPr>
        <w:footnoteReference w:id="9"/>
      </w:r>
      <w:r w:rsidR="00D85C1D">
        <w:t xml:space="preserve"> hodnotu </w:t>
      </w:r>
      <w:r w:rsidR="00E828EA">
        <w:t>6,9</w:t>
      </w:r>
      <w:r w:rsidR="00D85C1D">
        <w:t xml:space="preserve"> mil. eur</w:t>
      </w:r>
      <w:r w:rsidR="005F79A5">
        <w:t>.</w:t>
      </w:r>
      <w:r>
        <w:t xml:space="preserve"> </w:t>
      </w:r>
      <w:r w:rsidR="005F79A5">
        <w:t xml:space="preserve">Prínosy jednotlivých podaní sú kvantifikované v doložkách vplyvov, ktoré boli </w:t>
      </w:r>
      <w:r w:rsidR="005F79A5">
        <w:lastRenderedPageBreak/>
        <w:t>spracované pri predkladaní legislatívnych zámerov. Údaje o počte podaní a výške poplatkov vychádzajú zo štatistík úradov</w:t>
      </w:r>
      <w:r w:rsidR="00E828EA">
        <w:t xml:space="preserve"> a monitoringu systémov</w:t>
      </w:r>
      <w:r w:rsidR="005F79A5">
        <w:t xml:space="preserve">. Údaje o úspore času a cestovných nákladov, ktoré sú použité aj v online monitoringu, sú expertným odhadom, ktorý nie je možné overiť. </w:t>
      </w:r>
    </w:p>
    <w:p w14:paraId="49CEB81F" w14:textId="77777777" w:rsidR="0059256C" w:rsidRPr="009D4E45" w:rsidRDefault="00FF57B7" w:rsidP="009D4E45">
      <w:pPr>
        <w:pStyle w:val="Nadpis2"/>
        <w:numPr>
          <w:ilvl w:val="0"/>
          <w:numId w:val="1"/>
        </w:numPr>
      </w:pPr>
      <w:bookmarkStart w:id="53" w:name="_Toc35602755"/>
      <w:r>
        <w:t>Výdavky a rozpočet</w:t>
      </w:r>
      <w:bookmarkEnd w:id="53"/>
    </w:p>
    <w:p w14:paraId="581465F7" w14:textId="7D78EF0F" w:rsidR="000969A7" w:rsidRPr="00C35F00" w:rsidRDefault="0059256C" w:rsidP="00D433B0">
      <w:pPr>
        <w:spacing w:after="120"/>
        <w:rPr>
          <w:b/>
        </w:rPr>
      </w:pPr>
      <w:r>
        <w:rPr>
          <w:b/>
        </w:rPr>
        <w:t xml:space="preserve">Celková výška IT výdavkov dlhodobo rastie, na roky 2020-22 sú rozpočtované v priemernej výške </w:t>
      </w:r>
      <w:r w:rsidR="00D02793">
        <w:rPr>
          <w:b/>
        </w:rPr>
        <w:t>703</w:t>
      </w:r>
      <w:r>
        <w:rPr>
          <w:b/>
        </w:rPr>
        <w:t xml:space="preserve"> mil. eur.</w:t>
      </w:r>
      <w:r>
        <w:t xml:space="preserve"> Dlhodobo najväčšou položkou sú prevádzkové náklady financované zo štátneho rozpočtu, ktoré sa medzi rokmi 2016 a</w:t>
      </w:r>
      <w:r w:rsidR="00B736C7">
        <w:t> </w:t>
      </w:r>
      <w:r>
        <w:t>2019</w:t>
      </w:r>
      <w:r w:rsidR="00B736C7">
        <w:t xml:space="preserve"> </w:t>
      </w:r>
      <w:r>
        <w:t>zdvo</w:t>
      </w:r>
      <w:r w:rsidR="00D02793">
        <w:t>jnásobili zo 170 mil. eur na 337</w:t>
      </w:r>
      <w:r>
        <w:t xml:space="preserve"> mil. eur. Od roku 2019 je očakávaný skokový nárast výdavkov v dôsledku realizácie projektov spolufinancovaných zo zdrojov EÚ. </w:t>
      </w:r>
      <w:r w:rsidR="000969A7">
        <w:rPr>
          <w:b/>
        </w:rPr>
        <w:br/>
      </w:r>
      <w:r w:rsidR="000969A7" w:rsidRPr="00C35F00">
        <w:rPr>
          <w:b/>
        </w:rPr>
        <w:t xml:space="preserve">Graf </w:t>
      </w:r>
      <w:r w:rsidR="003326DF">
        <w:rPr>
          <w:b/>
        </w:rPr>
        <w:t>2</w:t>
      </w:r>
      <w:r w:rsidR="000969A7" w:rsidRPr="00C35F00">
        <w:rPr>
          <w:b/>
        </w:rPr>
        <w:t>: Vývoj celkových výdavkov na informatizáciu (mil. eur)</w:t>
      </w:r>
    </w:p>
    <w:tbl>
      <w:tblPr>
        <w:tblStyle w:val="Mriekatabuky"/>
        <w:tblW w:w="9072" w:type="dxa"/>
        <w:tblBorders>
          <w:left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9072"/>
      </w:tblGrid>
      <w:tr w:rsidR="000969A7" w14:paraId="74B947AC" w14:textId="77777777" w:rsidTr="00125431">
        <w:trPr>
          <w:trHeight w:val="3288"/>
        </w:trPr>
        <w:tc>
          <w:tcPr>
            <w:tcW w:w="9072" w:type="dxa"/>
            <w:tcBorders>
              <w:bottom w:val="single" w:sz="4" w:space="0" w:color="auto"/>
            </w:tcBorders>
          </w:tcPr>
          <w:p w14:paraId="21988F2C" w14:textId="77777777" w:rsidR="000969A7" w:rsidRDefault="00125431" w:rsidP="0068794D">
            <w:pPr>
              <w:rPr>
                <w:b/>
              </w:rPr>
            </w:pPr>
            <w:r>
              <w:rPr>
                <w:noProof/>
                <w:lang w:eastAsia="sk-SK"/>
              </w:rPr>
              <w:drawing>
                <wp:inline distT="0" distB="0" distL="0" distR="0" wp14:anchorId="165C1EF9" wp14:editId="671D00B5">
                  <wp:extent cx="5760000" cy="2088000"/>
                  <wp:effectExtent l="0" t="0" r="0" b="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0969A7" w:rsidRPr="001D2E76" w14:paraId="22429627" w14:textId="77777777" w:rsidTr="0068794D">
        <w:trPr>
          <w:trHeight w:val="179"/>
        </w:trPr>
        <w:tc>
          <w:tcPr>
            <w:tcW w:w="9072" w:type="dxa"/>
            <w:tcBorders>
              <w:top w:val="single" w:sz="4" w:space="0" w:color="auto"/>
              <w:bottom w:val="nil"/>
            </w:tcBorders>
          </w:tcPr>
          <w:p w14:paraId="02FF96A3" w14:textId="77777777" w:rsidR="000969A7" w:rsidRPr="00BB20F1" w:rsidRDefault="000969A7" w:rsidP="0068794D">
            <w:pPr>
              <w:jc w:val="right"/>
              <w:rPr>
                <w:i/>
                <w:noProof/>
                <w:sz w:val="18"/>
                <w:lang w:eastAsia="sk-SK"/>
              </w:rPr>
            </w:pPr>
            <w:r w:rsidRPr="00BB20F1">
              <w:rPr>
                <w:i/>
                <w:noProof/>
                <w:sz w:val="18"/>
                <w:lang w:eastAsia="sk-SK"/>
              </w:rPr>
              <w:t>Zdroj: RIS, Spracovanie ÚHP</w:t>
            </w:r>
          </w:p>
        </w:tc>
      </w:tr>
    </w:tbl>
    <w:p w14:paraId="6F870CB7" w14:textId="77777777" w:rsidR="0048176C" w:rsidRDefault="00DD72D8" w:rsidP="00EA43F7">
      <w:pPr>
        <w:spacing w:before="120" w:after="120"/>
      </w:pPr>
      <w:r>
        <w:rPr>
          <w:b/>
        </w:rPr>
        <w:t>Odhad potrebných IT výdavkov</w:t>
      </w:r>
      <w:r w:rsidR="000969A7">
        <w:rPr>
          <w:b/>
        </w:rPr>
        <w:t xml:space="preserve"> pripravuje správca kapitoly, kontroluje ÚPVII a finalizuje MF SR. </w:t>
      </w:r>
      <w:r w:rsidR="000969A7">
        <w:t>Do prípravy IT rozpočtu je zapojený správca rozpočtovej kapitoly, gestor medzirezortného programu 0EK (ÚPVII) a MF SR. Správca kapitoly rozpisuje plánované výdavky podľa štruktúry definovanej v medzirezortnom programe</w:t>
      </w:r>
      <w:r w:rsidR="0052691B">
        <w:t xml:space="preserve"> (bežné a kapitálové výdavky, IT výdavky a projekty, prvky)</w:t>
      </w:r>
      <w:r w:rsidR="000969A7">
        <w:t>, k návrhu spracováva stanovisko gestor. Stanovisko k rozpisu rozpočtu je podkladom pre rokovania MF SR so zástupcami rozpočtových kapitol.</w:t>
      </w:r>
    </w:p>
    <w:p w14:paraId="30CE5E64" w14:textId="0BFDE4EB" w:rsidR="0048176C" w:rsidRDefault="00B316F7" w:rsidP="004E01B6">
      <w:pPr>
        <w:spacing w:before="120" w:after="120"/>
      </w:pPr>
      <w:r>
        <w:t xml:space="preserve">Od roku 2017 je na rozpočtovanie IT výdavkov vytvorený samostatný medzirezortný program 0EK. Informačné systémy s ročnými výdavkami do 100 tis. eur a náklady na podpornú infraštruktúru sú rozpočtované na jednom z 3 všeobecných prvkov, systémy s ročnými výdavkami nad 100 tis. eur majú byť rozpočtované samostatne. Na </w:t>
      </w:r>
      <w:r w:rsidR="004E01B6">
        <w:t>rozpočtových kapitolách</w:t>
      </w:r>
      <w:r>
        <w:t xml:space="preserve">, ktoré tvoria 90 % IT výdavkov, sú metodické pokyny </w:t>
      </w:r>
      <w:r w:rsidR="004E01B6">
        <w:t>k 0EK</w:t>
      </w:r>
      <w:r>
        <w:t xml:space="preserve"> dodržované na úrovni delenia výdavkov </w:t>
      </w:r>
      <w:r w:rsidR="004E01B6">
        <w:t>podľa všeobecných kategórii</w:t>
      </w:r>
      <w:r>
        <w:t xml:space="preserve">. </w:t>
      </w:r>
      <w:r w:rsidR="00532F7C">
        <w:t xml:space="preserve">S výnimkou 2 </w:t>
      </w:r>
      <w:r w:rsidR="004E01B6">
        <w:t>rozpočtových kapitol</w:t>
      </w:r>
      <w:r w:rsidR="00532F7C">
        <w:t xml:space="preserve"> je v priemere 76 % IT výdavkov rozpočtovaných </w:t>
      </w:r>
      <w:r w:rsidR="004E01B6">
        <w:t>len na tejto úrovni</w:t>
      </w:r>
      <w:r w:rsidR="00532F7C">
        <w:t>, bez priradenia ku konkrétnym informačným systémom</w:t>
      </w:r>
      <w:r>
        <w:t xml:space="preserve">. </w:t>
      </w:r>
      <w:r w:rsidR="004E01B6">
        <w:t>Nákladové údaje sú dostupné pre 144 IS, v MetaIS je evidovaných 2583 prevádzkovaných IS</w:t>
      </w:r>
      <w:r w:rsidR="000618AE">
        <w:rPr>
          <w:rStyle w:val="Odkaznapoznmkupodiarou"/>
        </w:rPr>
        <w:footnoteReference w:id="10"/>
      </w:r>
      <w:r w:rsidR="004E01B6">
        <w:t>.</w:t>
      </w:r>
      <w:r w:rsidR="00B303F9">
        <w:t xml:space="preserve"> </w:t>
      </w:r>
      <w:r w:rsidR="00B303F9" w:rsidRPr="00D86B65">
        <w:t>Cieľom je evidovať údaje pre systémy, ktoré tvoria aspoň 80 % celkových IT výdavkov.</w:t>
      </w:r>
    </w:p>
    <w:p w14:paraId="30C6829B" w14:textId="09118B8A" w:rsidR="00D433B0" w:rsidRDefault="005F79A5" w:rsidP="0037129E">
      <w:pPr>
        <w:spacing w:before="120" w:after="120"/>
      </w:pPr>
      <w:r>
        <w:rPr>
          <w:b/>
        </w:rPr>
        <w:t xml:space="preserve">Kompetencie ÚPVII pri hodnotení IT výdavkov sú nedostatočné. </w:t>
      </w:r>
      <w:r w:rsidR="00793284">
        <w:t xml:space="preserve">Výška schválených IT výdavkov na príslušný rok je záväzná. Metodika 0EK ukladá správcom rozpočtových kapitol povinnosť nahlasovať zmeny v IT výdavkoch do 200 tis. eur ÚPVII, výdavky nad 200 tis. eur je možné realizovať len s ich stanoviskom. Detailnú dokumentáciu v súlade s metodikou na prípravu IT investícií tak môže ÚPVII vyžadovať len pri IT výdavkoch, ktorých realizácia vyžaduje presun prostriedkov rozpočtovým opatrením MF SR. Plánované výdavky, ktoré sú </w:t>
      </w:r>
      <w:r w:rsidR="00E9261C">
        <w:t>zahrnuté v rozpočte už na začiatku roka</w:t>
      </w:r>
      <w:r w:rsidR="00793284">
        <w:t xml:space="preserve"> a ktorých výška neprekročí 10 mil. eur s DPH, nepodliehajú rovnakej kontrole. </w:t>
      </w:r>
    </w:p>
    <w:p w14:paraId="7504F64F" w14:textId="77777777" w:rsidR="00F74E72" w:rsidRDefault="00F74E72">
      <w:pPr>
        <w:jc w:val="left"/>
        <w:rPr>
          <w:b/>
        </w:rPr>
      </w:pPr>
      <w:r>
        <w:rPr>
          <w:b/>
        </w:rPr>
        <w:br w:type="page"/>
      </w:r>
    </w:p>
    <w:p w14:paraId="4D76ACAF" w14:textId="67C46935" w:rsidR="0052691B" w:rsidRDefault="0052691B" w:rsidP="00EA43F7">
      <w:pPr>
        <w:spacing w:before="120" w:after="0"/>
        <w:rPr>
          <w:b/>
        </w:rPr>
      </w:pPr>
      <w:r w:rsidRPr="00EA43F7">
        <w:rPr>
          <w:b/>
        </w:rPr>
        <w:lastRenderedPageBreak/>
        <w:t xml:space="preserve">Graf </w:t>
      </w:r>
      <w:r w:rsidR="003326DF">
        <w:rPr>
          <w:b/>
        </w:rPr>
        <w:t>3</w:t>
      </w:r>
      <w:r w:rsidRPr="00EA43F7">
        <w:rPr>
          <w:b/>
        </w:rPr>
        <w:t>: Riadenie zmien v IT výdavkoch</w:t>
      </w:r>
      <w:r>
        <w:rPr>
          <w:b/>
        </w:rPr>
        <w:t xml:space="preserve"> (pravidlá pre bežné a kapitálové výdavky sú rovnaké)</w:t>
      </w:r>
    </w:p>
    <w:tbl>
      <w:tblPr>
        <w:tblStyle w:val="Mriekatabuky"/>
        <w:tblW w:w="9128" w:type="dxa"/>
        <w:tblBorders>
          <w:left w:val="none" w:sz="0" w:space="0" w:color="auto"/>
          <w:bottom w:val="none" w:sz="0" w:space="0" w:color="auto"/>
          <w:right w:val="none" w:sz="0" w:space="0" w:color="auto"/>
        </w:tblBorders>
        <w:tblLook w:val="04A0" w:firstRow="1" w:lastRow="0" w:firstColumn="1" w:lastColumn="0" w:noHBand="0" w:noVBand="1"/>
      </w:tblPr>
      <w:tblGrid>
        <w:gridCol w:w="9072"/>
        <w:gridCol w:w="56"/>
      </w:tblGrid>
      <w:tr w:rsidR="0052691B" w14:paraId="09F5F3EA" w14:textId="77777777" w:rsidTr="00EA43F7">
        <w:tc>
          <w:tcPr>
            <w:tcW w:w="9128" w:type="dxa"/>
            <w:gridSpan w:val="2"/>
          </w:tcPr>
          <w:p w14:paraId="5CCB9A93" w14:textId="77777777" w:rsidR="0052691B" w:rsidRDefault="00DD72D8" w:rsidP="008222FA">
            <w:pPr>
              <w:spacing w:before="120" w:after="120"/>
              <w:jc w:val="center"/>
              <w:rPr>
                <w:b/>
              </w:rPr>
            </w:pPr>
            <w:r w:rsidRPr="00DD72D8">
              <w:rPr>
                <w:b/>
                <w:noProof/>
                <w:lang w:eastAsia="sk-SK"/>
              </w:rPr>
              <w:drawing>
                <wp:inline distT="0" distB="0" distL="0" distR="0" wp14:anchorId="5EB1202E" wp14:editId="723D2016">
                  <wp:extent cx="4929378" cy="2590800"/>
                  <wp:effectExtent l="0" t="0" r="5080" b="0"/>
                  <wp:docPr id="5" name="Obrázok 5" descr="U:\UHP\00_HODNOTA_ZA_PENIAZE\00_SPENDING_REVIEW\03_INFORMATIZACIA\IT Sprava 2.0\00_PODKLADY\schvalovanie_upv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HP\00_HODNOTA_ZA_PENIAZE\00_SPENDING_REVIEW\03_INFORMATIZACIA\IT Sprava 2.0\00_PODKLADY\schvalovanie_upvi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9369" cy="2596051"/>
                          </a:xfrm>
                          <a:prstGeom prst="rect">
                            <a:avLst/>
                          </a:prstGeom>
                          <a:noFill/>
                          <a:ln>
                            <a:noFill/>
                          </a:ln>
                        </pic:spPr>
                      </pic:pic>
                    </a:graphicData>
                  </a:graphic>
                </wp:inline>
              </w:drawing>
            </w:r>
          </w:p>
        </w:tc>
      </w:tr>
      <w:tr w:rsidR="0052691B" w:rsidRPr="003C2A66" w14:paraId="45FA86E2" w14:textId="77777777" w:rsidTr="00EA43F7">
        <w:trPr>
          <w:gridAfter w:val="1"/>
          <w:wAfter w:w="56" w:type="dxa"/>
        </w:trPr>
        <w:tc>
          <w:tcPr>
            <w:tcW w:w="9072" w:type="dxa"/>
          </w:tcPr>
          <w:p w14:paraId="3B9B0ACF" w14:textId="77777777" w:rsidR="0052691B" w:rsidRPr="00EA43F7" w:rsidRDefault="0052691B" w:rsidP="00EA43F7">
            <w:pPr>
              <w:tabs>
                <w:tab w:val="left" w:pos="393"/>
                <w:tab w:val="right" w:pos="8846"/>
              </w:tabs>
              <w:jc w:val="left"/>
              <w:rPr>
                <w:i/>
                <w:noProof/>
                <w:sz w:val="18"/>
                <w:lang w:eastAsia="sk-SK"/>
              </w:rPr>
            </w:pPr>
            <w:r w:rsidRPr="00EA43F7">
              <w:rPr>
                <w:i/>
                <w:noProof/>
                <w:sz w:val="18"/>
                <w:lang w:eastAsia="sk-SK"/>
              </w:rPr>
              <w:tab/>
            </w:r>
            <w:r w:rsidRPr="00EA43F7">
              <w:rPr>
                <w:i/>
                <w:noProof/>
                <w:sz w:val="18"/>
                <w:lang w:eastAsia="sk-SK"/>
              </w:rPr>
              <w:tab/>
              <w:t>Zdroj: Metodický pokyn 0EK, Spracovanie ÚHP</w:t>
            </w:r>
          </w:p>
        </w:tc>
      </w:tr>
    </w:tbl>
    <w:p w14:paraId="4AB28332" w14:textId="77777777" w:rsidR="00AF75B2" w:rsidRDefault="00927F43" w:rsidP="002A7F52">
      <w:pPr>
        <w:spacing w:before="120" w:after="120"/>
      </w:pPr>
      <w:r>
        <w:rPr>
          <w:b/>
        </w:rPr>
        <w:t xml:space="preserve">Plánovaná výška investičných aj prevádzkových IT výdavkov sa dlhodobo výrazne odlišuje od skutočnosti. </w:t>
      </w:r>
      <w:r>
        <w:t>Prevádzkové IT výdavky sú na začiatku roka dlhodobo podhodnotené</w:t>
      </w:r>
      <w:r w:rsidR="00A82D89">
        <w:t xml:space="preserve">, od roku 2016 </w:t>
      </w:r>
      <w:r>
        <w:t>o 25-45%</w:t>
      </w:r>
      <w:r w:rsidR="00A82D89">
        <w:t>.</w:t>
      </w:r>
      <w:r>
        <w:t xml:space="preserve"> </w:t>
      </w:r>
      <w:r w:rsidR="00A82D89">
        <w:t>P</w:t>
      </w:r>
      <w:r>
        <w:t xml:space="preserve">ozitívnym signálom je postupné spresňovanie rozpočtového odhadu. Plánovaná výška investičných výdavkov sa na začiatku roka odlišuje od skutočného čerpania na konci roka niekoľkonásobne. Najväčší </w:t>
      </w:r>
      <w:r w:rsidR="00A82D89">
        <w:t>zdroj nepresnosti pri</w:t>
      </w:r>
      <w:r>
        <w:t xml:space="preserve"> plánovaní výšky IT investícií je schopnosť dokončovať plánované projekty načas. Dlhodobo je </w:t>
      </w:r>
      <w:r w:rsidR="001717F7">
        <w:t xml:space="preserve">menej ako 30 % investičného rozpočtu vyčerpaného podľa plánu, zvyšná časť zdrojov sa prenáša do ďalších rokov. </w:t>
      </w:r>
      <w:r w:rsidR="00AF75B2">
        <w:t>Čo najpresnejší odhad rozpočtu na objektívne potreby je nutným predpokladom pre efektívne riadenie.</w:t>
      </w:r>
    </w:p>
    <w:p w14:paraId="3D60009D" w14:textId="161EC354" w:rsidR="00AF75B2" w:rsidRPr="00EA43F7" w:rsidRDefault="00AF75B2" w:rsidP="00EA43F7">
      <w:pPr>
        <w:spacing w:after="0"/>
        <w:rPr>
          <w:b/>
        </w:rPr>
      </w:pPr>
      <w:r w:rsidRPr="00EA43F7">
        <w:rPr>
          <w:b/>
        </w:rPr>
        <w:t xml:space="preserve">Graf </w:t>
      </w:r>
      <w:r w:rsidR="003326DF">
        <w:rPr>
          <w:b/>
        </w:rPr>
        <w:t>4</w:t>
      </w:r>
      <w:r w:rsidRPr="00EA43F7">
        <w:rPr>
          <w:b/>
        </w:rPr>
        <w:t>: Rozpis a čerpanie prevádzkových (vľavo) a investičných (vpravo) IT výdavkov</w:t>
      </w:r>
      <w:r>
        <w:rPr>
          <w:b/>
        </w:rPr>
        <w:t xml:space="preserve"> (mil. eur)</w:t>
      </w:r>
    </w:p>
    <w:tbl>
      <w:tblPr>
        <w:tblStyle w:val="Mriekatabuky"/>
        <w:tblW w:w="0" w:type="auto"/>
        <w:tblBorders>
          <w:left w:val="none" w:sz="0" w:space="0" w:color="auto"/>
          <w:right w:val="none" w:sz="0" w:space="0" w:color="auto"/>
        </w:tblBorders>
        <w:tblCellMar>
          <w:left w:w="70" w:type="dxa"/>
          <w:right w:w="70" w:type="dxa"/>
        </w:tblCellMar>
        <w:tblLook w:val="04A0" w:firstRow="1" w:lastRow="0" w:firstColumn="1" w:lastColumn="0" w:noHBand="0" w:noVBand="1"/>
      </w:tblPr>
      <w:tblGrid>
        <w:gridCol w:w="4536"/>
        <w:gridCol w:w="4536"/>
      </w:tblGrid>
      <w:tr w:rsidR="00AF75B2" w14:paraId="0CA64E46" w14:textId="77777777" w:rsidTr="00B53343">
        <w:tc>
          <w:tcPr>
            <w:tcW w:w="4591" w:type="dxa"/>
            <w:tcBorders>
              <w:bottom w:val="single" w:sz="4" w:space="0" w:color="auto"/>
              <w:right w:val="nil"/>
            </w:tcBorders>
          </w:tcPr>
          <w:p w14:paraId="27044CA5" w14:textId="77777777" w:rsidR="00AF75B2" w:rsidRDefault="00B53343" w:rsidP="00AF75B2">
            <w:pPr>
              <w:rPr>
                <w:highlight w:val="yellow"/>
              </w:rPr>
            </w:pPr>
            <w:r>
              <w:rPr>
                <w:noProof/>
                <w:lang w:eastAsia="sk-SK"/>
              </w:rPr>
              <w:drawing>
                <wp:inline distT="0" distB="0" distL="0" distR="0" wp14:anchorId="5F1CC2E8" wp14:editId="25FCF761">
                  <wp:extent cx="2880000" cy="2340000"/>
                  <wp:effectExtent l="0" t="0" r="0" b="3175"/>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481" w:type="dxa"/>
            <w:tcBorders>
              <w:left w:val="nil"/>
              <w:bottom w:val="single" w:sz="4" w:space="0" w:color="auto"/>
            </w:tcBorders>
          </w:tcPr>
          <w:p w14:paraId="6AFD25F6" w14:textId="77777777" w:rsidR="00AF75B2" w:rsidRDefault="00B53343" w:rsidP="00AF75B2">
            <w:pPr>
              <w:rPr>
                <w:highlight w:val="yellow"/>
              </w:rPr>
            </w:pPr>
            <w:r>
              <w:rPr>
                <w:noProof/>
                <w:lang w:eastAsia="sk-SK"/>
              </w:rPr>
              <w:drawing>
                <wp:inline distT="0" distB="0" distL="0" distR="0" wp14:anchorId="37CD7ED3" wp14:editId="74E52894">
                  <wp:extent cx="2880000" cy="2340000"/>
                  <wp:effectExtent l="0" t="0" r="0" b="3175"/>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AF75B2" w14:paraId="4C413FD0" w14:textId="77777777" w:rsidTr="00EA43F7">
        <w:tc>
          <w:tcPr>
            <w:tcW w:w="9072" w:type="dxa"/>
            <w:gridSpan w:val="2"/>
            <w:tcBorders>
              <w:bottom w:val="nil"/>
            </w:tcBorders>
          </w:tcPr>
          <w:p w14:paraId="6315894D" w14:textId="77777777" w:rsidR="00AF75B2" w:rsidRPr="00EA43F7" w:rsidRDefault="00AF75B2" w:rsidP="00EA43F7">
            <w:pPr>
              <w:jc w:val="right"/>
              <w:rPr>
                <w:i/>
                <w:noProof/>
                <w:sz w:val="18"/>
                <w:lang w:eastAsia="sk-SK"/>
              </w:rPr>
            </w:pPr>
            <w:r w:rsidRPr="00EA43F7">
              <w:rPr>
                <w:i/>
                <w:noProof/>
                <w:sz w:val="18"/>
                <w:lang w:eastAsia="sk-SK"/>
              </w:rPr>
              <w:t>Zdroj: RIS,Spracovanie ÚHP</w:t>
            </w:r>
          </w:p>
        </w:tc>
      </w:tr>
    </w:tbl>
    <w:p w14:paraId="11C024A0" w14:textId="77777777" w:rsidR="0059256C" w:rsidRDefault="0059256C" w:rsidP="00EA43F7">
      <w:pPr>
        <w:spacing w:before="120" w:after="120"/>
        <w:rPr>
          <w:b/>
        </w:rPr>
      </w:pPr>
      <w:r>
        <w:rPr>
          <w:b/>
        </w:rPr>
        <w:t>Ekonomická klasifikácia neposkytuje údaje potrebné pre analýzu efektivity IT výdavkov.</w:t>
      </w:r>
      <w:r>
        <w:t xml:space="preserve"> </w:t>
      </w:r>
      <w:r w:rsidR="002A78E9">
        <w:t>Š</w:t>
      </w:r>
      <w:r>
        <w:t>truktúra programového rozpočtovania umožňuje sledovať IT výdavky na báze ekonomickej klasifikácie. Celková výška nákladov a</w:t>
      </w:r>
      <w:r w:rsidR="00C61AF9">
        <w:t> ich porovnanie podľa ekonomickej klasifikácie</w:t>
      </w:r>
      <w:r>
        <w:t xml:space="preserve"> (napr. náklady na podanie alebo zamestnanca) sú vhodným prvotným identifikátorom </w:t>
      </w:r>
      <w:r w:rsidR="00C61AF9">
        <w:t>neefektivity</w:t>
      </w:r>
      <w:r>
        <w:t xml:space="preserve">. Bez dodatočnej vrstvy údajov (napr. na báze štandardizovaných služieb) však nie je možné údaje porovnať v rámci štátu alebo medzinárodne a identifikovať konkrétne </w:t>
      </w:r>
      <w:r w:rsidR="00C61AF9">
        <w:t>príležitosti na zlepšenie</w:t>
      </w:r>
      <w:r>
        <w:t>, ktoré je potrebné adresovať alebo analyzovať</w:t>
      </w:r>
      <w:r w:rsidR="00C61AF9">
        <w:t xml:space="preserve"> alebo</w:t>
      </w:r>
      <w:r>
        <w:t xml:space="preserve"> aký dopad na IT výdavky bude mať úprava podporovaných biznis služieb.</w:t>
      </w:r>
    </w:p>
    <w:p w14:paraId="1349B5EA" w14:textId="77777777" w:rsidR="00265C1B" w:rsidRPr="00DA4C64" w:rsidRDefault="00265C1B" w:rsidP="00EA43F7">
      <w:pPr>
        <w:spacing w:after="120"/>
      </w:pPr>
      <w:r w:rsidRPr="00EA43F7">
        <w:lastRenderedPageBreak/>
        <w:t>Jednotným informačným miestom o nákladovosti a využití elektronických služieb štátu má byť MetaIS, kvalita a dôveryhodnosť zberaných údajov je nízka.</w:t>
      </w:r>
      <w:r w:rsidRPr="00765192">
        <w:rPr>
          <w:b/>
        </w:rPr>
        <w:t xml:space="preserve"> </w:t>
      </w:r>
      <w:r w:rsidRPr="00765192">
        <w:t xml:space="preserve">V MetaIS je definovaných </w:t>
      </w:r>
      <w:r w:rsidR="00563A24">
        <w:t>1668</w:t>
      </w:r>
      <w:r w:rsidRPr="00765192">
        <w:t xml:space="preserve"> koncových elektronických služieb</w:t>
      </w:r>
      <w:r w:rsidR="00563A24">
        <w:t xml:space="preserve"> ku ktorým môže byť sledovaná početnosť využitia</w:t>
      </w:r>
      <w:r w:rsidRPr="00765192">
        <w:t xml:space="preserve">, </w:t>
      </w:r>
      <w:r w:rsidR="00563A24">
        <w:t>iná ako 0 hodnota je vyplnená pri 249 z nich</w:t>
      </w:r>
      <w:r w:rsidRPr="00765192">
        <w:t xml:space="preserve"> (15 %).</w:t>
      </w:r>
      <w:r w:rsidR="00C90233">
        <w:t xml:space="preserve"> </w:t>
      </w:r>
    </w:p>
    <w:p w14:paraId="0DD496CC" w14:textId="77777777" w:rsidR="002F6853" w:rsidRDefault="0059256C" w:rsidP="009D4E45">
      <w:pPr>
        <w:pStyle w:val="Nadpis2"/>
        <w:numPr>
          <w:ilvl w:val="0"/>
          <w:numId w:val="1"/>
        </w:numPr>
      </w:pPr>
      <w:bookmarkStart w:id="54" w:name="_Toc31438953"/>
      <w:bookmarkStart w:id="55" w:name="_Toc31441140"/>
      <w:bookmarkStart w:id="56" w:name="_Toc31112762"/>
      <w:bookmarkStart w:id="57" w:name="_Toc31113754"/>
      <w:bookmarkStart w:id="58" w:name="_Toc31438954"/>
      <w:bookmarkStart w:id="59" w:name="_Toc31441141"/>
      <w:bookmarkStart w:id="60" w:name="_Toc35602756"/>
      <w:bookmarkEnd w:id="54"/>
      <w:bookmarkEnd w:id="55"/>
      <w:bookmarkEnd w:id="56"/>
      <w:bookmarkEnd w:id="57"/>
      <w:bookmarkEnd w:id="58"/>
      <w:bookmarkEnd w:id="59"/>
      <w:r w:rsidRPr="002F6853">
        <w:t>Stratégia riadenia informatizácie</w:t>
      </w:r>
      <w:bookmarkEnd w:id="60"/>
    </w:p>
    <w:p w14:paraId="2FA9B9D9" w14:textId="77777777" w:rsidR="009675D9" w:rsidRDefault="0036611E" w:rsidP="00160503">
      <w:r w:rsidRPr="00160503">
        <w:rPr>
          <w:b/>
        </w:rPr>
        <w:t>Strategické ciele a rámec riadenia informatizácie sú definované v Národnej koncepcii informatizácie verejnej správy (NKIVS)</w:t>
      </w:r>
      <w:r w:rsidR="0068794D">
        <w:rPr>
          <w:rStyle w:val="Odkaznapoznmkupodiarou"/>
          <w:b/>
        </w:rPr>
        <w:footnoteReference w:id="11"/>
      </w:r>
      <w:r w:rsidRPr="00160503">
        <w:rPr>
          <w:b/>
        </w:rPr>
        <w:t xml:space="preserve"> a nadväzujúcich dokumentoch.</w:t>
      </w:r>
      <w:r w:rsidRPr="0036611E">
        <w:t xml:space="preserve"> NKIVS je hlavným strategickým dokumentom, ktorý definuje smerovanie informatizácie na roky 2016-20. Definuje 12 strategických cieľov informatizácie, ktoré delí do 10 prioritných oblastí. Ku každému strategickému cieľu sú priradené 2 výsledkové merateľné ukazovatele na sledovanie dosiahnutého pokroku, s výnimkou cieľa „Zlepšenie governance verejného IT“ aj so súčasnými a cieľovými hodnotami. Celkovo je v NKIVS definovaných 65 merateľných ukazovateľov rozdelených medzi výsledkové a výstupové, kvalitatívne (napr. spokojnosť používateľov s e-Governmentom) aj finančné (napr. zníženie prevádzkových a obstarávacích nákladov ISVS). Prechod zo súčasného do cieľového stavu je pre jednotlivé oblasti opísaný vo všeobecnom akčnom pláne NKIVS, vrátane úlohy spracovať detailný akčný plán informatizácie verejnej správy na roky 2016-20.</w:t>
      </w:r>
      <w:r w:rsidR="009675D9" w:rsidRPr="009675D9">
        <w:t xml:space="preserve"> </w:t>
      </w:r>
    </w:p>
    <w:p w14:paraId="1D4B73FB" w14:textId="35383719" w:rsidR="00960046" w:rsidRPr="00841453" w:rsidRDefault="009675D9" w:rsidP="00160503">
      <w:pPr>
        <w:spacing w:before="120" w:after="0"/>
        <w:rPr>
          <w:rStyle w:val="Nadpis3Char"/>
        </w:rPr>
      </w:pPr>
      <w:r w:rsidRPr="00160503">
        <w:rPr>
          <w:b/>
        </w:rPr>
        <w:t xml:space="preserve">Tabuľka </w:t>
      </w:r>
      <w:r w:rsidR="003326DF">
        <w:rPr>
          <w:b/>
        </w:rPr>
        <w:t>3</w:t>
      </w:r>
      <w:r w:rsidRPr="00160503">
        <w:rPr>
          <w:b/>
        </w:rPr>
        <w:t>: Strategické ciele a priority NKIVS</w:t>
      </w:r>
    </w:p>
    <w:tbl>
      <w:tblPr>
        <w:tblW w:w="9313" w:type="dxa"/>
        <w:tblLook w:val="04A0" w:firstRow="1" w:lastRow="0" w:firstColumn="1" w:lastColumn="0" w:noHBand="0" w:noVBand="1"/>
      </w:tblPr>
      <w:tblGrid>
        <w:gridCol w:w="4663"/>
        <w:gridCol w:w="452"/>
        <w:gridCol w:w="452"/>
        <w:gridCol w:w="452"/>
        <w:gridCol w:w="452"/>
        <w:gridCol w:w="452"/>
        <w:gridCol w:w="452"/>
        <w:gridCol w:w="452"/>
        <w:gridCol w:w="452"/>
        <w:gridCol w:w="452"/>
        <w:gridCol w:w="454"/>
        <w:gridCol w:w="128"/>
      </w:tblGrid>
      <w:tr w:rsidR="00960046" w:rsidRPr="00960046" w14:paraId="7653534F" w14:textId="77777777" w:rsidTr="00160503">
        <w:trPr>
          <w:gridAfter w:val="1"/>
          <w:wAfter w:w="128" w:type="dxa"/>
          <w:trHeight w:val="2215"/>
        </w:trPr>
        <w:tc>
          <w:tcPr>
            <w:tcW w:w="4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D15DC" w14:textId="77777777" w:rsidR="00960046" w:rsidRPr="00160503" w:rsidRDefault="00960046" w:rsidP="00960046">
            <w:pPr>
              <w:spacing w:after="0" w:line="240" w:lineRule="auto"/>
              <w:jc w:val="center"/>
              <w:rPr>
                <w:rFonts w:eastAsia="Times New Roman" w:cs="Calibri"/>
                <w:color w:val="000000"/>
                <w:sz w:val="20"/>
                <w:lang w:eastAsia="en-GB"/>
              </w:rPr>
            </w:pPr>
            <w:r w:rsidRPr="00160503">
              <w:rPr>
                <w:rFonts w:eastAsia="Times New Roman" w:cs="Calibri"/>
                <w:color w:val="000000"/>
                <w:sz w:val="20"/>
                <w:lang w:eastAsia="en-GB"/>
              </w:rPr>
              <w:t>Cieľ/Priorita</w:t>
            </w:r>
          </w:p>
        </w:tc>
        <w:tc>
          <w:tcPr>
            <w:tcW w:w="452" w:type="dxa"/>
            <w:tcBorders>
              <w:top w:val="single" w:sz="4" w:space="0" w:color="auto"/>
              <w:left w:val="nil"/>
              <w:bottom w:val="single" w:sz="4" w:space="0" w:color="auto"/>
              <w:right w:val="nil"/>
            </w:tcBorders>
            <w:shd w:val="clear" w:color="auto" w:fill="auto"/>
            <w:noWrap/>
            <w:textDirection w:val="btLr"/>
            <w:vAlign w:val="bottom"/>
            <w:hideMark/>
          </w:tcPr>
          <w:p w14:paraId="752C832B" w14:textId="77777777" w:rsidR="00960046" w:rsidRPr="00160503" w:rsidRDefault="00960046" w:rsidP="00160503">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Multikanálový prístup</w:t>
            </w:r>
          </w:p>
        </w:tc>
        <w:tc>
          <w:tcPr>
            <w:tcW w:w="452" w:type="dxa"/>
            <w:tcBorders>
              <w:top w:val="single" w:sz="4" w:space="0" w:color="auto"/>
              <w:left w:val="nil"/>
              <w:bottom w:val="single" w:sz="4" w:space="0" w:color="auto"/>
              <w:right w:val="nil"/>
            </w:tcBorders>
            <w:shd w:val="clear" w:color="auto" w:fill="auto"/>
            <w:noWrap/>
            <w:textDirection w:val="btLr"/>
            <w:vAlign w:val="bottom"/>
            <w:hideMark/>
          </w:tcPr>
          <w:p w14:paraId="47B0F857" w14:textId="77777777" w:rsidR="00960046" w:rsidRPr="00160503" w:rsidRDefault="00960046" w:rsidP="00160503">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Interakcia s verejnou správou</w:t>
            </w:r>
          </w:p>
        </w:tc>
        <w:tc>
          <w:tcPr>
            <w:tcW w:w="452" w:type="dxa"/>
            <w:tcBorders>
              <w:top w:val="single" w:sz="4" w:space="0" w:color="auto"/>
              <w:left w:val="nil"/>
              <w:bottom w:val="single" w:sz="4" w:space="0" w:color="auto"/>
              <w:right w:val="nil"/>
            </w:tcBorders>
            <w:shd w:val="clear" w:color="auto" w:fill="auto"/>
            <w:noWrap/>
            <w:textDirection w:val="btLr"/>
            <w:vAlign w:val="bottom"/>
            <w:hideMark/>
          </w:tcPr>
          <w:p w14:paraId="6B33F4D9" w14:textId="77777777" w:rsidR="00960046" w:rsidRPr="00160503" w:rsidRDefault="00960046" w:rsidP="00160503">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Integrácia a Orchestrácia</w:t>
            </w:r>
          </w:p>
        </w:tc>
        <w:tc>
          <w:tcPr>
            <w:tcW w:w="452" w:type="dxa"/>
            <w:tcBorders>
              <w:top w:val="single" w:sz="4" w:space="0" w:color="auto"/>
              <w:left w:val="nil"/>
              <w:bottom w:val="single" w:sz="4" w:space="0" w:color="auto"/>
              <w:right w:val="nil"/>
            </w:tcBorders>
            <w:shd w:val="clear" w:color="auto" w:fill="auto"/>
            <w:noWrap/>
            <w:textDirection w:val="btLr"/>
            <w:vAlign w:val="bottom"/>
            <w:hideMark/>
          </w:tcPr>
          <w:p w14:paraId="43452177" w14:textId="77777777" w:rsidR="00960046" w:rsidRPr="00160503" w:rsidRDefault="00960046" w:rsidP="00160503">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Rozvoj agendových IS</w:t>
            </w:r>
          </w:p>
        </w:tc>
        <w:tc>
          <w:tcPr>
            <w:tcW w:w="452" w:type="dxa"/>
            <w:tcBorders>
              <w:top w:val="single" w:sz="4" w:space="0" w:color="auto"/>
              <w:left w:val="nil"/>
              <w:bottom w:val="single" w:sz="4" w:space="0" w:color="auto"/>
              <w:right w:val="nil"/>
            </w:tcBorders>
            <w:shd w:val="clear" w:color="auto" w:fill="auto"/>
            <w:noWrap/>
            <w:textDirection w:val="btLr"/>
            <w:vAlign w:val="bottom"/>
            <w:hideMark/>
          </w:tcPr>
          <w:p w14:paraId="4E21BD27" w14:textId="77777777" w:rsidR="00960046" w:rsidRPr="00160503" w:rsidRDefault="00960046" w:rsidP="00160503">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Centrálne spoločné bloky</w:t>
            </w:r>
          </w:p>
        </w:tc>
        <w:tc>
          <w:tcPr>
            <w:tcW w:w="452" w:type="dxa"/>
            <w:tcBorders>
              <w:top w:val="single" w:sz="4" w:space="0" w:color="auto"/>
              <w:left w:val="nil"/>
              <w:bottom w:val="single" w:sz="4" w:space="0" w:color="auto"/>
              <w:right w:val="nil"/>
            </w:tcBorders>
            <w:shd w:val="clear" w:color="auto" w:fill="auto"/>
            <w:noWrap/>
            <w:textDirection w:val="btLr"/>
            <w:vAlign w:val="bottom"/>
            <w:hideMark/>
          </w:tcPr>
          <w:p w14:paraId="7F6262B9" w14:textId="77777777" w:rsidR="00960046" w:rsidRPr="00160503" w:rsidRDefault="00960046" w:rsidP="00160503">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Riadenie údajov a big data</w:t>
            </w:r>
          </w:p>
        </w:tc>
        <w:tc>
          <w:tcPr>
            <w:tcW w:w="452" w:type="dxa"/>
            <w:tcBorders>
              <w:top w:val="single" w:sz="4" w:space="0" w:color="auto"/>
              <w:left w:val="nil"/>
              <w:bottom w:val="single" w:sz="4" w:space="0" w:color="auto"/>
              <w:right w:val="nil"/>
            </w:tcBorders>
            <w:shd w:val="clear" w:color="auto" w:fill="auto"/>
            <w:noWrap/>
            <w:textDirection w:val="btLr"/>
            <w:vAlign w:val="bottom"/>
            <w:hideMark/>
          </w:tcPr>
          <w:p w14:paraId="7C724013" w14:textId="77777777" w:rsidR="00960046" w:rsidRPr="00160503" w:rsidRDefault="00960046" w:rsidP="00160503">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Otvorené údaje</w:t>
            </w:r>
          </w:p>
        </w:tc>
        <w:tc>
          <w:tcPr>
            <w:tcW w:w="452" w:type="dxa"/>
            <w:tcBorders>
              <w:top w:val="single" w:sz="4" w:space="0" w:color="auto"/>
              <w:left w:val="nil"/>
              <w:bottom w:val="single" w:sz="4" w:space="0" w:color="auto"/>
              <w:right w:val="nil"/>
            </w:tcBorders>
            <w:shd w:val="clear" w:color="auto" w:fill="auto"/>
            <w:noWrap/>
            <w:textDirection w:val="btLr"/>
            <w:vAlign w:val="bottom"/>
            <w:hideMark/>
          </w:tcPr>
          <w:p w14:paraId="46111642" w14:textId="77777777" w:rsidR="00960046" w:rsidRPr="00160503" w:rsidRDefault="00960046" w:rsidP="00160503">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Vládny cloud</w:t>
            </w:r>
          </w:p>
        </w:tc>
        <w:tc>
          <w:tcPr>
            <w:tcW w:w="452" w:type="dxa"/>
            <w:tcBorders>
              <w:top w:val="single" w:sz="4" w:space="0" w:color="auto"/>
              <w:left w:val="nil"/>
              <w:bottom w:val="single" w:sz="4" w:space="0" w:color="auto"/>
              <w:right w:val="nil"/>
            </w:tcBorders>
            <w:shd w:val="clear" w:color="auto" w:fill="auto"/>
            <w:noWrap/>
            <w:textDirection w:val="btLr"/>
            <w:vAlign w:val="bottom"/>
            <w:hideMark/>
          </w:tcPr>
          <w:p w14:paraId="188FB779" w14:textId="77777777" w:rsidR="00960046" w:rsidRPr="00160503" w:rsidRDefault="00960046" w:rsidP="00160503">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Komunikačná infraštruktúra</w:t>
            </w:r>
          </w:p>
        </w:tc>
        <w:tc>
          <w:tcPr>
            <w:tcW w:w="454"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C7E5A19" w14:textId="77777777" w:rsidR="00960046" w:rsidRPr="00160503" w:rsidRDefault="00960046" w:rsidP="00160503">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Kybernetická bezpečnosť</w:t>
            </w:r>
          </w:p>
        </w:tc>
      </w:tr>
      <w:tr w:rsidR="00960046" w:rsidRPr="00960046" w14:paraId="4545F43A" w14:textId="77777777" w:rsidTr="00160503">
        <w:trPr>
          <w:gridAfter w:val="1"/>
          <w:wAfter w:w="128" w:type="dxa"/>
          <w:trHeight w:val="158"/>
        </w:trPr>
        <w:tc>
          <w:tcPr>
            <w:tcW w:w="4663" w:type="dxa"/>
            <w:tcBorders>
              <w:top w:val="nil"/>
              <w:left w:val="single" w:sz="4" w:space="0" w:color="auto"/>
              <w:bottom w:val="nil"/>
              <w:right w:val="single" w:sz="4" w:space="0" w:color="auto"/>
            </w:tcBorders>
            <w:shd w:val="clear" w:color="auto" w:fill="auto"/>
            <w:noWrap/>
            <w:vAlign w:val="bottom"/>
            <w:hideMark/>
          </w:tcPr>
          <w:p w14:paraId="75B002EB" w14:textId="77777777" w:rsidR="00960046" w:rsidRPr="00160503" w:rsidRDefault="00960046" w:rsidP="00960046">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Zvýšime kvalitu, štandard a dostupnosť e-služieb pre občanov</w:t>
            </w:r>
          </w:p>
        </w:tc>
        <w:tc>
          <w:tcPr>
            <w:tcW w:w="452" w:type="dxa"/>
            <w:tcBorders>
              <w:top w:val="nil"/>
              <w:left w:val="single" w:sz="4" w:space="0" w:color="auto"/>
              <w:bottom w:val="nil"/>
              <w:right w:val="nil"/>
            </w:tcBorders>
            <w:shd w:val="clear" w:color="000000" w:fill="00B0F0"/>
            <w:noWrap/>
            <w:vAlign w:val="bottom"/>
            <w:hideMark/>
          </w:tcPr>
          <w:p w14:paraId="7C6CF012" w14:textId="77777777" w:rsidR="00960046" w:rsidRPr="00160503" w:rsidRDefault="00960046" w:rsidP="00841453">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7A42E8BB" w14:textId="77777777" w:rsidR="00960046" w:rsidRPr="00160503" w:rsidRDefault="00960046" w:rsidP="005619AD">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73E75A6C"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0D84D141"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3B5C735F"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64C2C54C"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auto" w:fill="auto"/>
            <w:noWrap/>
            <w:vAlign w:val="bottom"/>
            <w:hideMark/>
          </w:tcPr>
          <w:p w14:paraId="1F17E0E2" w14:textId="77777777" w:rsidR="00960046" w:rsidRPr="00160503" w:rsidRDefault="00960046">
            <w:pPr>
              <w:spacing w:after="0" w:line="240" w:lineRule="auto"/>
              <w:jc w:val="center"/>
              <w:rPr>
                <w:rFonts w:eastAsia="Times New Roman" w:cs="Calibri"/>
                <w:color w:val="00B0F0"/>
                <w:sz w:val="16"/>
                <w:lang w:eastAsia="en-GB"/>
              </w:rPr>
            </w:pPr>
          </w:p>
        </w:tc>
        <w:tc>
          <w:tcPr>
            <w:tcW w:w="452" w:type="dxa"/>
            <w:tcBorders>
              <w:top w:val="nil"/>
              <w:left w:val="nil"/>
              <w:bottom w:val="nil"/>
              <w:right w:val="nil"/>
            </w:tcBorders>
            <w:shd w:val="clear" w:color="auto" w:fill="auto"/>
            <w:noWrap/>
            <w:vAlign w:val="bottom"/>
            <w:hideMark/>
          </w:tcPr>
          <w:p w14:paraId="721B03A2"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11674D46"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4" w:type="dxa"/>
            <w:tcBorders>
              <w:top w:val="nil"/>
              <w:left w:val="nil"/>
              <w:bottom w:val="nil"/>
              <w:right w:val="single" w:sz="4" w:space="0" w:color="auto"/>
            </w:tcBorders>
            <w:shd w:val="clear" w:color="auto" w:fill="auto"/>
            <w:noWrap/>
            <w:vAlign w:val="bottom"/>
            <w:hideMark/>
          </w:tcPr>
          <w:p w14:paraId="430C2DCD"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r>
      <w:tr w:rsidR="00960046" w:rsidRPr="00960046" w14:paraId="0F2F55BF" w14:textId="77777777" w:rsidTr="00160503">
        <w:trPr>
          <w:gridAfter w:val="1"/>
          <w:wAfter w:w="128" w:type="dxa"/>
          <w:trHeight w:val="158"/>
        </w:trPr>
        <w:tc>
          <w:tcPr>
            <w:tcW w:w="4663" w:type="dxa"/>
            <w:tcBorders>
              <w:top w:val="nil"/>
              <w:left w:val="single" w:sz="4" w:space="0" w:color="auto"/>
              <w:bottom w:val="nil"/>
              <w:right w:val="single" w:sz="4" w:space="0" w:color="auto"/>
            </w:tcBorders>
            <w:shd w:val="clear" w:color="auto" w:fill="auto"/>
            <w:noWrap/>
            <w:vAlign w:val="bottom"/>
            <w:hideMark/>
          </w:tcPr>
          <w:p w14:paraId="27B73E59" w14:textId="77777777" w:rsidR="00960046" w:rsidRPr="00160503" w:rsidRDefault="00960046" w:rsidP="00960046">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Zvýšime pokrytie širokopásmovým internetom</w:t>
            </w:r>
          </w:p>
        </w:tc>
        <w:tc>
          <w:tcPr>
            <w:tcW w:w="452" w:type="dxa"/>
            <w:tcBorders>
              <w:top w:val="nil"/>
              <w:left w:val="nil"/>
              <w:bottom w:val="nil"/>
              <w:right w:val="nil"/>
            </w:tcBorders>
            <w:shd w:val="clear" w:color="auto" w:fill="auto"/>
            <w:noWrap/>
            <w:vAlign w:val="bottom"/>
            <w:hideMark/>
          </w:tcPr>
          <w:p w14:paraId="3BDF97AD" w14:textId="77777777" w:rsidR="00960046" w:rsidRPr="00160503" w:rsidRDefault="00960046" w:rsidP="00841453">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nil"/>
              <w:right w:val="nil"/>
            </w:tcBorders>
            <w:shd w:val="clear" w:color="auto" w:fill="auto"/>
            <w:noWrap/>
            <w:vAlign w:val="bottom"/>
            <w:hideMark/>
          </w:tcPr>
          <w:p w14:paraId="0BCA9C4C" w14:textId="77777777" w:rsidR="00960046" w:rsidRPr="00160503" w:rsidRDefault="00960046" w:rsidP="005619AD">
            <w:pPr>
              <w:spacing w:after="0" w:line="240" w:lineRule="auto"/>
              <w:jc w:val="center"/>
              <w:rPr>
                <w:rFonts w:eastAsia="Times New Roman" w:cs="Calibri"/>
                <w:color w:val="000000"/>
                <w:sz w:val="16"/>
                <w:lang w:eastAsia="en-GB"/>
              </w:rPr>
            </w:pPr>
          </w:p>
        </w:tc>
        <w:tc>
          <w:tcPr>
            <w:tcW w:w="452" w:type="dxa"/>
            <w:tcBorders>
              <w:top w:val="nil"/>
              <w:left w:val="nil"/>
              <w:bottom w:val="nil"/>
              <w:right w:val="nil"/>
            </w:tcBorders>
            <w:shd w:val="clear" w:color="auto" w:fill="auto"/>
            <w:noWrap/>
            <w:vAlign w:val="bottom"/>
            <w:hideMark/>
          </w:tcPr>
          <w:p w14:paraId="76DAB7EB"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3FCEA7EF"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760D5583"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78966CAF"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3DD47D92"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1BE21798"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000000" w:fill="00B0F0"/>
            <w:noWrap/>
            <w:vAlign w:val="bottom"/>
            <w:hideMark/>
          </w:tcPr>
          <w:p w14:paraId="4BAFD59F"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4" w:type="dxa"/>
            <w:tcBorders>
              <w:top w:val="nil"/>
              <w:left w:val="nil"/>
              <w:bottom w:val="nil"/>
              <w:right w:val="single" w:sz="4" w:space="0" w:color="auto"/>
            </w:tcBorders>
            <w:shd w:val="clear" w:color="auto" w:fill="auto"/>
            <w:noWrap/>
            <w:vAlign w:val="bottom"/>
            <w:hideMark/>
          </w:tcPr>
          <w:p w14:paraId="33A2FF77"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r>
      <w:tr w:rsidR="00960046" w:rsidRPr="00960046" w14:paraId="7B4A1687" w14:textId="77777777" w:rsidTr="00160503">
        <w:trPr>
          <w:gridAfter w:val="1"/>
          <w:wAfter w:w="128" w:type="dxa"/>
          <w:trHeight w:val="158"/>
        </w:trPr>
        <w:tc>
          <w:tcPr>
            <w:tcW w:w="4663" w:type="dxa"/>
            <w:tcBorders>
              <w:top w:val="nil"/>
              <w:left w:val="single" w:sz="4" w:space="0" w:color="auto"/>
              <w:bottom w:val="nil"/>
              <w:right w:val="single" w:sz="4" w:space="0" w:color="auto"/>
            </w:tcBorders>
            <w:shd w:val="clear" w:color="auto" w:fill="auto"/>
            <w:noWrap/>
            <w:vAlign w:val="bottom"/>
            <w:hideMark/>
          </w:tcPr>
          <w:p w14:paraId="25F927E0" w14:textId="77777777" w:rsidR="00960046" w:rsidRPr="00160503" w:rsidRDefault="00960046" w:rsidP="00960046">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Zlepšime digitálne zručnosti a inklúziu znevýhodnených jednotlivcov do digitálneho trhu</w:t>
            </w:r>
          </w:p>
        </w:tc>
        <w:tc>
          <w:tcPr>
            <w:tcW w:w="452" w:type="dxa"/>
            <w:tcBorders>
              <w:top w:val="nil"/>
              <w:left w:val="single" w:sz="4" w:space="0" w:color="auto"/>
              <w:bottom w:val="nil"/>
              <w:right w:val="nil"/>
            </w:tcBorders>
            <w:shd w:val="clear" w:color="000000" w:fill="00B0F0"/>
            <w:noWrap/>
            <w:vAlign w:val="bottom"/>
            <w:hideMark/>
          </w:tcPr>
          <w:p w14:paraId="627B8BA6" w14:textId="77777777" w:rsidR="00960046" w:rsidRPr="00160503" w:rsidRDefault="00960046" w:rsidP="00841453">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38A93FE3" w14:textId="77777777" w:rsidR="00960046" w:rsidRPr="00160503" w:rsidRDefault="00960046" w:rsidP="005619AD">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auto" w:fill="auto"/>
            <w:noWrap/>
            <w:vAlign w:val="bottom"/>
            <w:hideMark/>
          </w:tcPr>
          <w:p w14:paraId="5004C679" w14:textId="77777777" w:rsidR="00960046" w:rsidRPr="00160503" w:rsidRDefault="00960046">
            <w:pPr>
              <w:spacing w:after="0" w:line="240" w:lineRule="auto"/>
              <w:jc w:val="center"/>
              <w:rPr>
                <w:rFonts w:eastAsia="Times New Roman" w:cs="Calibri"/>
                <w:color w:val="00B0F0"/>
                <w:sz w:val="16"/>
                <w:lang w:eastAsia="en-GB"/>
              </w:rPr>
            </w:pPr>
          </w:p>
        </w:tc>
        <w:tc>
          <w:tcPr>
            <w:tcW w:w="452" w:type="dxa"/>
            <w:tcBorders>
              <w:top w:val="nil"/>
              <w:left w:val="nil"/>
              <w:bottom w:val="nil"/>
              <w:right w:val="nil"/>
            </w:tcBorders>
            <w:shd w:val="clear" w:color="auto" w:fill="auto"/>
            <w:noWrap/>
            <w:vAlign w:val="bottom"/>
            <w:hideMark/>
          </w:tcPr>
          <w:p w14:paraId="623EF615"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24737393"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7C25901C"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48168DD7"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244C3AC3"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1B771386"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4" w:type="dxa"/>
            <w:tcBorders>
              <w:top w:val="nil"/>
              <w:left w:val="nil"/>
              <w:bottom w:val="nil"/>
              <w:right w:val="single" w:sz="4" w:space="0" w:color="auto"/>
            </w:tcBorders>
            <w:shd w:val="clear" w:color="auto" w:fill="auto"/>
            <w:noWrap/>
            <w:vAlign w:val="bottom"/>
            <w:hideMark/>
          </w:tcPr>
          <w:p w14:paraId="4234B680"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r>
      <w:tr w:rsidR="00960046" w:rsidRPr="00960046" w14:paraId="2520C6CE" w14:textId="77777777" w:rsidTr="00160503">
        <w:trPr>
          <w:gridAfter w:val="1"/>
          <w:wAfter w:w="128" w:type="dxa"/>
          <w:trHeight w:val="158"/>
        </w:trPr>
        <w:tc>
          <w:tcPr>
            <w:tcW w:w="4663" w:type="dxa"/>
            <w:tcBorders>
              <w:top w:val="nil"/>
              <w:left w:val="single" w:sz="4" w:space="0" w:color="auto"/>
              <w:bottom w:val="nil"/>
              <w:right w:val="single" w:sz="4" w:space="0" w:color="auto"/>
            </w:tcBorders>
            <w:shd w:val="clear" w:color="auto" w:fill="auto"/>
            <w:noWrap/>
            <w:vAlign w:val="bottom"/>
            <w:hideMark/>
          </w:tcPr>
          <w:p w14:paraId="644F2490" w14:textId="77777777" w:rsidR="00960046" w:rsidRPr="00160503" w:rsidRDefault="00960046" w:rsidP="00960046">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Zvýšime kvalitu, štandard a dostupnosť e-služieb pre podnikateľov</w:t>
            </w:r>
          </w:p>
        </w:tc>
        <w:tc>
          <w:tcPr>
            <w:tcW w:w="452" w:type="dxa"/>
            <w:tcBorders>
              <w:top w:val="nil"/>
              <w:left w:val="single" w:sz="4" w:space="0" w:color="auto"/>
              <w:bottom w:val="nil"/>
              <w:right w:val="nil"/>
            </w:tcBorders>
            <w:shd w:val="clear" w:color="000000" w:fill="00B0F0"/>
            <w:noWrap/>
            <w:vAlign w:val="bottom"/>
            <w:hideMark/>
          </w:tcPr>
          <w:p w14:paraId="4B3A9B54" w14:textId="77777777" w:rsidR="00960046" w:rsidRPr="00160503" w:rsidRDefault="00960046" w:rsidP="00841453">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2265B863" w14:textId="77777777" w:rsidR="00960046" w:rsidRPr="00160503" w:rsidRDefault="00960046" w:rsidP="005619AD">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335F83C2"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724E827D"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48F0ED85"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5DD4E7BF"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auto" w:fill="auto"/>
            <w:noWrap/>
            <w:vAlign w:val="bottom"/>
            <w:hideMark/>
          </w:tcPr>
          <w:p w14:paraId="4BCB81D2" w14:textId="77777777" w:rsidR="00960046" w:rsidRPr="00160503" w:rsidRDefault="00960046">
            <w:pPr>
              <w:spacing w:after="0" w:line="240" w:lineRule="auto"/>
              <w:jc w:val="center"/>
              <w:rPr>
                <w:rFonts w:eastAsia="Times New Roman" w:cs="Calibri"/>
                <w:color w:val="00B0F0"/>
                <w:sz w:val="16"/>
                <w:lang w:eastAsia="en-GB"/>
              </w:rPr>
            </w:pPr>
          </w:p>
        </w:tc>
        <w:tc>
          <w:tcPr>
            <w:tcW w:w="452" w:type="dxa"/>
            <w:tcBorders>
              <w:top w:val="nil"/>
              <w:left w:val="nil"/>
              <w:bottom w:val="nil"/>
              <w:right w:val="nil"/>
            </w:tcBorders>
            <w:shd w:val="clear" w:color="auto" w:fill="auto"/>
            <w:noWrap/>
            <w:vAlign w:val="bottom"/>
            <w:hideMark/>
          </w:tcPr>
          <w:p w14:paraId="594043A8"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1170733A"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4" w:type="dxa"/>
            <w:tcBorders>
              <w:top w:val="nil"/>
              <w:left w:val="nil"/>
              <w:bottom w:val="nil"/>
              <w:right w:val="single" w:sz="4" w:space="0" w:color="auto"/>
            </w:tcBorders>
            <w:shd w:val="clear" w:color="auto" w:fill="auto"/>
            <w:noWrap/>
            <w:vAlign w:val="bottom"/>
            <w:hideMark/>
          </w:tcPr>
          <w:p w14:paraId="220140D4"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r>
      <w:tr w:rsidR="00960046" w:rsidRPr="00960046" w14:paraId="2CFE8493" w14:textId="77777777" w:rsidTr="00160503">
        <w:trPr>
          <w:gridAfter w:val="1"/>
          <w:wAfter w:w="128" w:type="dxa"/>
          <w:trHeight w:val="158"/>
        </w:trPr>
        <w:tc>
          <w:tcPr>
            <w:tcW w:w="4663" w:type="dxa"/>
            <w:tcBorders>
              <w:top w:val="nil"/>
              <w:left w:val="single" w:sz="4" w:space="0" w:color="auto"/>
              <w:bottom w:val="nil"/>
              <w:right w:val="single" w:sz="4" w:space="0" w:color="auto"/>
            </w:tcBorders>
            <w:shd w:val="clear" w:color="auto" w:fill="auto"/>
            <w:noWrap/>
            <w:vAlign w:val="bottom"/>
            <w:hideMark/>
          </w:tcPr>
          <w:p w14:paraId="757792BE" w14:textId="77777777" w:rsidR="00960046" w:rsidRPr="00160503" w:rsidRDefault="00960046" w:rsidP="00960046">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Zvýšime inovačnú kapacitu najmä malých a stredných podni</w:t>
            </w:r>
            <w:r w:rsidR="00772493">
              <w:rPr>
                <w:rFonts w:eastAsia="Times New Roman" w:cs="Calibri"/>
                <w:color w:val="000000"/>
                <w:sz w:val="20"/>
                <w:lang w:eastAsia="en-GB"/>
              </w:rPr>
              <w:t>kateľov v digitálnej ekonomike</w:t>
            </w:r>
          </w:p>
        </w:tc>
        <w:tc>
          <w:tcPr>
            <w:tcW w:w="452" w:type="dxa"/>
            <w:tcBorders>
              <w:top w:val="nil"/>
              <w:left w:val="nil"/>
              <w:bottom w:val="nil"/>
              <w:right w:val="nil"/>
            </w:tcBorders>
            <w:shd w:val="clear" w:color="auto" w:fill="auto"/>
            <w:noWrap/>
            <w:vAlign w:val="bottom"/>
            <w:hideMark/>
          </w:tcPr>
          <w:p w14:paraId="07456EED" w14:textId="77777777" w:rsidR="00960046" w:rsidRPr="00160503" w:rsidRDefault="00960046" w:rsidP="00841453">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nil"/>
              <w:right w:val="nil"/>
            </w:tcBorders>
            <w:shd w:val="clear" w:color="auto" w:fill="auto"/>
            <w:noWrap/>
            <w:vAlign w:val="bottom"/>
            <w:hideMark/>
          </w:tcPr>
          <w:p w14:paraId="0DBD1CCB" w14:textId="77777777" w:rsidR="00960046" w:rsidRPr="00160503" w:rsidRDefault="00960046" w:rsidP="005619AD">
            <w:pPr>
              <w:spacing w:after="0" w:line="240" w:lineRule="auto"/>
              <w:jc w:val="center"/>
              <w:rPr>
                <w:rFonts w:eastAsia="Times New Roman" w:cs="Calibri"/>
                <w:color w:val="000000"/>
                <w:sz w:val="16"/>
                <w:lang w:eastAsia="en-GB"/>
              </w:rPr>
            </w:pPr>
          </w:p>
        </w:tc>
        <w:tc>
          <w:tcPr>
            <w:tcW w:w="452" w:type="dxa"/>
            <w:tcBorders>
              <w:top w:val="nil"/>
              <w:left w:val="nil"/>
              <w:bottom w:val="nil"/>
              <w:right w:val="nil"/>
            </w:tcBorders>
            <w:shd w:val="clear" w:color="auto" w:fill="auto"/>
            <w:noWrap/>
            <w:vAlign w:val="bottom"/>
            <w:hideMark/>
          </w:tcPr>
          <w:p w14:paraId="2B064F0B"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2C1334C9"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77DCCA0C"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6C40360D"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000000" w:fill="00B0F0"/>
            <w:noWrap/>
            <w:vAlign w:val="bottom"/>
            <w:hideMark/>
          </w:tcPr>
          <w:p w14:paraId="76668F20"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578DA8F2"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auto" w:fill="auto"/>
            <w:noWrap/>
            <w:vAlign w:val="bottom"/>
            <w:hideMark/>
          </w:tcPr>
          <w:p w14:paraId="70974286" w14:textId="77777777" w:rsidR="00960046" w:rsidRPr="00160503" w:rsidRDefault="00960046">
            <w:pPr>
              <w:spacing w:after="0" w:line="240" w:lineRule="auto"/>
              <w:jc w:val="center"/>
              <w:rPr>
                <w:rFonts w:eastAsia="Times New Roman" w:cs="Calibri"/>
                <w:color w:val="00B0F0"/>
                <w:sz w:val="16"/>
                <w:lang w:eastAsia="en-GB"/>
              </w:rPr>
            </w:pPr>
          </w:p>
        </w:tc>
        <w:tc>
          <w:tcPr>
            <w:tcW w:w="454" w:type="dxa"/>
            <w:tcBorders>
              <w:top w:val="nil"/>
              <w:left w:val="nil"/>
              <w:bottom w:val="nil"/>
              <w:right w:val="single" w:sz="4" w:space="0" w:color="auto"/>
            </w:tcBorders>
            <w:shd w:val="clear" w:color="auto" w:fill="auto"/>
            <w:noWrap/>
            <w:vAlign w:val="bottom"/>
            <w:hideMark/>
          </w:tcPr>
          <w:p w14:paraId="75DFFD1F"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r>
      <w:tr w:rsidR="00960046" w:rsidRPr="00960046" w14:paraId="460EE0DB" w14:textId="77777777" w:rsidTr="00160503">
        <w:trPr>
          <w:gridAfter w:val="1"/>
          <w:wAfter w:w="128" w:type="dxa"/>
          <w:trHeight w:val="158"/>
        </w:trPr>
        <w:tc>
          <w:tcPr>
            <w:tcW w:w="4663" w:type="dxa"/>
            <w:tcBorders>
              <w:top w:val="nil"/>
              <w:left w:val="single" w:sz="4" w:space="0" w:color="auto"/>
              <w:bottom w:val="nil"/>
              <w:right w:val="single" w:sz="4" w:space="0" w:color="auto"/>
            </w:tcBorders>
            <w:shd w:val="clear" w:color="auto" w:fill="auto"/>
            <w:noWrap/>
            <w:vAlign w:val="bottom"/>
            <w:hideMark/>
          </w:tcPr>
          <w:p w14:paraId="3B30CE0D" w14:textId="77777777" w:rsidR="00960046" w:rsidRPr="00160503" w:rsidRDefault="00960046" w:rsidP="00960046">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Zlepšíme dostupnosť údajov verejnej správy vo forme otvorených údajov</w:t>
            </w:r>
          </w:p>
        </w:tc>
        <w:tc>
          <w:tcPr>
            <w:tcW w:w="452" w:type="dxa"/>
            <w:tcBorders>
              <w:top w:val="nil"/>
              <w:left w:val="nil"/>
              <w:bottom w:val="nil"/>
              <w:right w:val="nil"/>
            </w:tcBorders>
            <w:shd w:val="clear" w:color="auto" w:fill="auto"/>
            <w:noWrap/>
            <w:vAlign w:val="bottom"/>
            <w:hideMark/>
          </w:tcPr>
          <w:p w14:paraId="5A5D899C" w14:textId="77777777" w:rsidR="00960046" w:rsidRPr="00160503" w:rsidRDefault="00960046" w:rsidP="00841453">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nil"/>
              <w:right w:val="nil"/>
            </w:tcBorders>
            <w:shd w:val="clear" w:color="auto" w:fill="auto"/>
            <w:noWrap/>
            <w:vAlign w:val="bottom"/>
            <w:hideMark/>
          </w:tcPr>
          <w:p w14:paraId="51750B0D" w14:textId="77777777" w:rsidR="00960046" w:rsidRPr="00160503" w:rsidRDefault="00960046" w:rsidP="005619AD">
            <w:pPr>
              <w:spacing w:after="0" w:line="240" w:lineRule="auto"/>
              <w:jc w:val="center"/>
              <w:rPr>
                <w:rFonts w:eastAsia="Times New Roman" w:cs="Calibri"/>
                <w:color w:val="000000"/>
                <w:sz w:val="16"/>
                <w:lang w:eastAsia="en-GB"/>
              </w:rPr>
            </w:pPr>
          </w:p>
        </w:tc>
        <w:tc>
          <w:tcPr>
            <w:tcW w:w="452" w:type="dxa"/>
            <w:tcBorders>
              <w:top w:val="nil"/>
              <w:left w:val="nil"/>
              <w:bottom w:val="nil"/>
              <w:right w:val="nil"/>
            </w:tcBorders>
            <w:shd w:val="clear" w:color="auto" w:fill="auto"/>
            <w:noWrap/>
            <w:vAlign w:val="bottom"/>
            <w:hideMark/>
          </w:tcPr>
          <w:p w14:paraId="1235C259"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336D94E4"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0DF5D063"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000000" w:fill="00B0F0"/>
            <w:noWrap/>
            <w:vAlign w:val="bottom"/>
            <w:hideMark/>
          </w:tcPr>
          <w:p w14:paraId="2A482C79"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2DDEF4E0"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auto" w:fill="auto"/>
            <w:noWrap/>
            <w:vAlign w:val="bottom"/>
            <w:hideMark/>
          </w:tcPr>
          <w:p w14:paraId="5D6503D3" w14:textId="77777777" w:rsidR="00960046" w:rsidRPr="00160503" w:rsidRDefault="00960046">
            <w:pPr>
              <w:spacing w:after="0" w:line="240" w:lineRule="auto"/>
              <w:jc w:val="center"/>
              <w:rPr>
                <w:rFonts w:eastAsia="Times New Roman" w:cs="Calibri"/>
                <w:color w:val="00B0F0"/>
                <w:sz w:val="16"/>
                <w:lang w:eastAsia="en-GB"/>
              </w:rPr>
            </w:pPr>
          </w:p>
        </w:tc>
        <w:tc>
          <w:tcPr>
            <w:tcW w:w="452" w:type="dxa"/>
            <w:tcBorders>
              <w:top w:val="nil"/>
              <w:left w:val="nil"/>
              <w:bottom w:val="nil"/>
              <w:right w:val="nil"/>
            </w:tcBorders>
            <w:shd w:val="clear" w:color="auto" w:fill="auto"/>
            <w:noWrap/>
            <w:vAlign w:val="bottom"/>
            <w:hideMark/>
          </w:tcPr>
          <w:p w14:paraId="07509650"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4" w:type="dxa"/>
            <w:tcBorders>
              <w:top w:val="nil"/>
              <w:left w:val="nil"/>
              <w:bottom w:val="nil"/>
              <w:right w:val="single" w:sz="4" w:space="0" w:color="auto"/>
            </w:tcBorders>
            <w:shd w:val="clear" w:color="auto" w:fill="auto"/>
            <w:noWrap/>
            <w:vAlign w:val="bottom"/>
            <w:hideMark/>
          </w:tcPr>
          <w:p w14:paraId="39A33AAD"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r>
      <w:tr w:rsidR="00960046" w:rsidRPr="00960046" w14:paraId="06A3D9A6" w14:textId="77777777" w:rsidTr="00160503">
        <w:trPr>
          <w:gridAfter w:val="1"/>
          <w:wAfter w:w="128" w:type="dxa"/>
          <w:trHeight w:val="158"/>
        </w:trPr>
        <w:tc>
          <w:tcPr>
            <w:tcW w:w="4663" w:type="dxa"/>
            <w:tcBorders>
              <w:top w:val="nil"/>
              <w:left w:val="single" w:sz="4" w:space="0" w:color="auto"/>
              <w:bottom w:val="nil"/>
              <w:right w:val="single" w:sz="4" w:space="0" w:color="auto"/>
            </w:tcBorders>
            <w:shd w:val="clear" w:color="auto" w:fill="auto"/>
            <w:noWrap/>
            <w:vAlign w:val="bottom"/>
            <w:hideMark/>
          </w:tcPr>
          <w:p w14:paraId="43D4FB83" w14:textId="77777777" w:rsidR="00960046" w:rsidRPr="00160503" w:rsidRDefault="00960046" w:rsidP="00960046">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Zlepšíme výkonnosť verejnej správy vďaka nasadeniu moderných informačných technológií</w:t>
            </w:r>
          </w:p>
        </w:tc>
        <w:tc>
          <w:tcPr>
            <w:tcW w:w="452" w:type="dxa"/>
            <w:tcBorders>
              <w:top w:val="nil"/>
              <w:left w:val="nil"/>
              <w:bottom w:val="nil"/>
              <w:right w:val="nil"/>
            </w:tcBorders>
            <w:shd w:val="clear" w:color="auto" w:fill="auto"/>
            <w:noWrap/>
            <w:vAlign w:val="bottom"/>
            <w:hideMark/>
          </w:tcPr>
          <w:p w14:paraId="5CC1B524" w14:textId="77777777" w:rsidR="00960046" w:rsidRPr="00160503" w:rsidRDefault="00960046" w:rsidP="00841453">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nil"/>
              <w:right w:val="nil"/>
            </w:tcBorders>
            <w:shd w:val="clear" w:color="000000" w:fill="00B0F0"/>
            <w:noWrap/>
            <w:vAlign w:val="bottom"/>
            <w:hideMark/>
          </w:tcPr>
          <w:p w14:paraId="0E4F1D24" w14:textId="77777777" w:rsidR="00960046" w:rsidRPr="00160503" w:rsidRDefault="00960046" w:rsidP="005619AD">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0C1DB99C"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6B664CBE"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4E9B0245"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2BB2E49D"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auto" w:fill="auto"/>
            <w:noWrap/>
            <w:vAlign w:val="bottom"/>
            <w:hideMark/>
          </w:tcPr>
          <w:p w14:paraId="08F922D2" w14:textId="77777777" w:rsidR="00960046" w:rsidRPr="00160503" w:rsidRDefault="00960046">
            <w:pPr>
              <w:spacing w:after="0" w:line="240" w:lineRule="auto"/>
              <w:jc w:val="center"/>
              <w:rPr>
                <w:rFonts w:eastAsia="Times New Roman" w:cs="Calibri"/>
                <w:color w:val="00B0F0"/>
                <w:sz w:val="16"/>
                <w:lang w:eastAsia="en-GB"/>
              </w:rPr>
            </w:pPr>
          </w:p>
        </w:tc>
        <w:tc>
          <w:tcPr>
            <w:tcW w:w="452" w:type="dxa"/>
            <w:tcBorders>
              <w:top w:val="nil"/>
              <w:left w:val="nil"/>
              <w:bottom w:val="nil"/>
              <w:right w:val="nil"/>
            </w:tcBorders>
            <w:shd w:val="clear" w:color="auto" w:fill="auto"/>
            <w:noWrap/>
            <w:vAlign w:val="bottom"/>
            <w:hideMark/>
          </w:tcPr>
          <w:p w14:paraId="58B98637"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605EC119"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4" w:type="dxa"/>
            <w:tcBorders>
              <w:top w:val="nil"/>
              <w:left w:val="nil"/>
              <w:bottom w:val="nil"/>
              <w:right w:val="single" w:sz="4" w:space="0" w:color="auto"/>
            </w:tcBorders>
            <w:shd w:val="clear" w:color="auto" w:fill="auto"/>
            <w:noWrap/>
            <w:vAlign w:val="bottom"/>
            <w:hideMark/>
          </w:tcPr>
          <w:p w14:paraId="2E22C31C"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r>
      <w:tr w:rsidR="00960046" w:rsidRPr="00960046" w14:paraId="79B327A7" w14:textId="77777777" w:rsidTr="00160503">
        <w:trPr>
          <w:gridAfter w:val="1"/>
          <w:wAfter w:w="128" w:type="dxa"/>
          <w:trHeight w:val="158"/>
        </w:trPr>
        <w:tc>
          <w:tcPr>
            <w:tcW w:w="4663" w:type="dxa"/>
            <w:tcBorders>
              <w:top w:val="nil"/>
              <w:left w:val="single" w:sz="4" w:space="0" w:color="auto"/>
              <w:bottom w:val="nil"/>
              <w:right w:val="single" w:sz="4" w:space="0" w:color="auto"/>
            </w:tcBorders>
            <w:shd w:val="clear" w:color="auto" w:fill="auto"/>
            <w:noWrap/>
            <w:vAlign w:val="bottom"/>
            <w:hideMark/>
          </w:tcPr>
          <w:p w14:paraId="56E16BED" w14:textId="77777777" w:rsidR="00960046" w:rsidRPr="00160503" w:rsidRDefault="00960046" w:rsidP="00960046">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Zlepšíme využívanie údajov a znalostí v rozhodovacích procesoch vo verejnej správe</w:t>
            </w:r>
          </w:p>
        </w:tc>
        <w:tc>
          <w:tcPr>
            <w:tcW w:w="452" w:type="dxa"/>
            <w:tcBorders>
              <w:top w:val="nil"/>
              <w:left w:val="nil"/>
              <w:bottom w:val="nil"/>
              <w:right w:val="nil"/>
            </w:tcBorders>
            <w:shd w:val="clear" w:color="auto" w:fill="auto"/>
            <w:noWrap/>
            <w:vAlign w:val="bottom"/>
            <w:hideMark/>
          </w:tcPr>
          <w:p w14:paraId="20F64CE6" w14:textId="77777777" w:rsidR="00960046" w:rsidRPr="00160503" w:rsidRDefault="00960046" w:rsidP="00841453">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nil"/>
              <w:right w:val="nil"/>
            </w:tcBorders>
            <w:shd w:val="clear" w:color="auto" w:fill="auto"/>
            <w:noWrap/>
            <w:vAlign w:val="bottom"/>
            <w:hideMark/>
          </w:tcPr>
          <w:p w14:paraId="23F0D951" w14:textId="77777777" w:rsidR="00960046" w:rsidRPr="00160503" w:rsidRDefault="00960046" w:rsidP="005619AD">
            <w:pPr>
              <w:spacing w:after="0" w:line="240" w:lineRule="auto"/>
              <w:jc w:val="center"/>
              <w:rPr>
                <w:rFonts w:eastAsia="Times New Roman" w:cs="Calibri"/>
                <w:color w:val="000000"/>
                <w:sz w:val="16"/>
                <w:lang w:eastAsia="en-GB"/>
              </w:rPr>
            </w:pPr>
          </w:p>
        </w:tc>
        <w:tc>
          <w:tcPr>
            <w:tcW w:w="452" w:type="dxa"/>
            <w:tcBorders>
              <w:top w:val="nil"/>
              <w:left w:val="nil"/>
              <w:bottom w:val="nil"/>
              <w:right w:val="nil"/>
            </w:tcBorders>
            <w:shd w:val="clear" w:color="auto" w:fill="auto"/>
            <w:noWrap/>
            <w:vAlign w:val="bottom"/>
            <w:hideMark/>
          </w:tcPr>
          <w:p w14:paraId="69CDB005"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000000" w:fill="00B0F0"/>
            <w:noWrap/>
            <w:vAlign w:val="bottom"/>
            <w:hideMark/>
          </w:tcPr>
          <w:p w14:paraId="12E6A77B"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35B3D03B"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000000" w:fill="00B0F0"/>
            <w:noWrap/>
            <w:vAlign w:val="bottom"/>
            <w:hideMark/>
          </w:tcPr>
          <w:p w14:paraId="4E484A43"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auto" w:fill="auto"/>
            <w:noWrap/>
            <w:vAlign w:val="bottom"/>
            <w:hideMark/>
          </w:tcPr>
          <w:p w14:paraId="4655DC95" w14:textId="77777777" w:rsidR="00960046" w:rsidRPr="00160503" w:rsidRDefault="00960046">
            <w:pPr>
              <w:spacing w:after="0" w:line="240" w:lineRule="auto"/>
              <w:jc w:val="center"/>
              <w:rPr>
                <w:rFonts w:eastAsia="Times New Roman" w:cs="Calibri"/>
                <w:color w:val="00B0F0"/>
                <w:sz w:val="16"/>
                <w:lang w:eastAsia="en-GB"/>
              </w:rPr>
            </w:pPr>
          </w:p>
        </w:tc>
        <w:tc>
          <w:tcPr>
            <w:tcW w:w="452" w:type="dxa"/>
            <w:tcBorders>
              <w:top w:val="nil"/>
              <w:left w:val="nil"/>
              <w:bottom w:val="nil"/>
              <w:right w:val="nil"/>
            </w:tcBorders>
            <w:shd w:val="clear" w:color="auto" w:fill="auto"/>
            <w:noWrap/>
            <w:vAlign w:val="bottom"/>
            <w:hideMark/>
          </w:tcPr>
          <w:p w14:paraId="66FC1DB6"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710CCA4C"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4" w:type="dxa"/>
            <w:tcBorders>
              <w:top w:val="nil"/>
              <w:left w:val="nil"/>
              <w:bottom w:val="nil"/>
              <w:right w:val="single" w:sz="4" w:space="0" w:color="auto"/>
            </w:tcBorders>
            <w:shd w:val="clear" w:color="auto" w:fill="auto"/>
            <w:noWrap/>
            <w:vAlign w:val="bottom"/>
            <w:hideMark/>
          </w:tcPr>
          <w:p w14:paraId="12B9B721"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r>
      <w:tr w:rsidR="00960046" w:rsidRPr="00960046" w14:paraId="570F4DD1" w14:textId="77777777" w:rsidTr="00160503">
        <w:trPr>
          <w:gridAfter w:val="1"/>
          <w:wAfter w:w="128" w:type="dxa"/>
          <w:trHeight w:val="158"/>
        </w:trPr>
        <w:tc>
          <w:tcPr>
            <w:tcW w:w="4663" w:type="dxa"/>
            <w:tcBorders>
              <w:top w:val="nil"/>
              <w:left w:val="single" w:sz="4" w:space="0" w:color="auto"/>
              <w:bottom w:val="nil"/>
              <w:right w:val="single" w:sz="4" w:space="0" w:color="auto"/>
            </w:tcBorders>
            <w:shd w:val="clear" w:color="auto" w:fill="auto"/>
            <w:noWrap/>
            <w:vAlign w:val="bottom"/>
            <w:hideMark/>
          </w:tcPr>
          <w:p w14:paraId="69053A7C" w14:textId="77777777" w:rsidR="00960046" w:rsidRPr="00160503" w:rsidRDefault="00960046" w:rsidP="00960046">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Racionalizujeme prevádzku informačných systémov pomocou vládneho cloudu</w:t>
            </w:r>
          </w:p>
        </w:tc>
        <w:tc>
          <w:tcPr>
            <w:tcW w:w="452" w:type="dxa"/>
            <w:tcBorders>
              <w:top w:val="nil"/>
              <w:left w:val="nil"/>
              <w:bottom w:val="nil"/>
              <w:right w:val="nil"/>
            </w:tcBorders>
            <w:shd w:val="clear" w:color="auto" w:fill="auto"/>
            <w:noWrap/>
            <w:vAlign w:val="bottom"/>
            <w:hideMark/>
          </w:tcPr>
          <w:p w14:paraId="08A19AF7" w14:textId="77777777" w:rsidR="00960046" w:rsidRPr="00160503" w:rsidRDefault="00960046" w:rsidP="00841453">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nil"/>
              <w:right w:val="nil"/>
            </w:tcBorders>
            <w:shd w:val="clear" w:color="auto" w:fill="auto"/>
            <w:noWrap/>
            <w:vAlign w:val="bottom"/>
            <w:hideMark/>
          </w:tcPr>
          <w:p w14:paraId="3AC2A922" w14:textId="77777777" w:rsidR="00960046" w:rsidRPr="00160503" w:rsidRDefault="00960046" w:rsidP="005619AD">
            <w:pPr>
              <w:spacing w:after="0" w:line="240" w:lineRule="auto"/>
              <w:jc w:val="center"/>
              <w:rPr>
                <w:rFonts w:eastAsia="Times New Roman" w:cs="Calibri"/>
                <w:color w:val="000000"/>
                <w:sz w:val="16"/>
                <w:lang w:eastAsia="en-GB"/>
              </w:rPr>
            </w:pPr>
          </w:p>
        </w:tc>
        <w:tc>
          <w:tcPr>
            <w:tcW w:w="452" w:type="dxa"/>
            <w:tcBorders>
              <w:top w:val="nil"/>
              <w:left w:val="nil"/>
              <w:bottom w:val="nil"/>
              <w:right w:val="nil"/>
            </w:tcBorders>
            <w:shd w:val="clear" w:color="auto" w:fill="auto"/>
            <w:noWrap/>
            <w:vAlign w:val="bottom"/>
            <w:hideMark/>
          </w:tcPr>
          <w:p w14:paraId="58DF480E"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08DC1E9A"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000000" w:fill="00B0F0"/>
            <w:noWrap/>
            <w:vAlign w:val="bottom"/>
            <w:hideMark/>
          </w:tcPr>
          <w:p w14:paraId="7F8EA16E"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auto" w:fill="auto"/>
            <w:noWrap/>
            <w:vAlign w:val="bottom"/>
            <w:hideMark/>
          </w:tcPr>
          <w:p w14:paraId="1DD3EE9A" w14:textId="77777777" w:rsidR="00960046" w:rsidRPr="00160503" w:rsidRDefault="00960046">
            <w:pPr>
              <w:spacing w:after="0" w:line="240" w:lineRule="auto"/>
              <w:jc w:val="center"/>
              <w:rPr>
                <w:rFonts w:eastAsia="Times New Roman" w:cs="Calibri"/>
                <w:color w:val="00B0F0"/>
                <w:sz w:val="16"/>
                <w:lang w:eastAsia="en-GB"/>
              </w:rPr>
            </w:pPr>
          </w:p>
        </w:tc>
        <w:tc>
          <w:tcPr>
            <w:tcW w:w="452" w:type="dxa"/>
            <w:tcBorders>
              <w:top w:val="nil"/>
              <w:left w:val="nil"/>
              <w:bottom w:val="nil"/>
              <w:right w:val="nil"/>
            </w:tcBorders>
            <w:shd w:val="clear" w:color="auto" w:fill="auto"/>
            <w:noWrap/>
            <w:vAlign w:val="bottom"/>
            <w:hideMark/>
          </w:tcPr>
          <w:p w14:paraId="66754450"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000000" w:fill="00B0F0"/>
            <w:noWrap/>
            <w:vAlign w:val="bottom"/>
            <w:hideMark/>
          </w:tcPr>
          <w:p w14:paraId="3BCA9E02"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c>
          <w:tcPr>
            <w:tcW w:w="452" w:type="dxa"/>
            <w:tcBorders>
              <w:top w:val="nil"/>
              <w:left w:val="nil"/>
              <w:bottom w:val="nil"/>
              <w:right w:val="nil"/>
            </w:tcBorders>
            <w:shd w:val="clear" w:color="auto" w:fill="auto"/>
            <w:noWrap/>
            <w:vAlign w:val="bottom"/>
            <w:hideMark/>
          </w:tcPr>
          <w:p w14:paraId="671C909C" w14:textId="77777777" w:rsidR="00960046" w:rsidRPr="00160503" w:rsidRDefault="00960046">
            <w:pPr>
              <w:spacing w:after="0" w:line="240" w:lineRule="auto"/>
              <w:jc w:val="center"/>
              <w:rPr>
                <w:rFonts w:eastAsia="Times New Roman" w:cs="Calibri"/>
                <w:color w:val="00B0F0"/>
                <w:sz w:val="16"/>
                <w:lang w:eastAsia="en-GB"/>
              </w:rPr>
            </w:pPr>
          </w:p>
        </w:tc>
        <w:tc>
          <w:tcPr>
            <w:tcW w:w="454" w:type="dxa"/>
            <w:tcBorders>
              <w:top w:val="nil"/>
              <w:left w:val="nil"/>
              <w:bottom w:val="nil"/>
              <w:right w:val="single" w:sz="4" w:space="0" w:color="auto"/>
            </w:tcBorders>
            <w:shd w:val="clear" w:color="auto" w:fill="auto"/>
            <w:noWrap/>
            <w:vAlign w:val="bottom"/>
            <w:hideMark/>
          </w:tcPr>
          <w:p w14:paraId="4DE4A15D"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r>
      <w:tr w:rsidR="00960046" w:rsidRPr="00960046" w14:paraId="15720794" w14:textId="77777777" w:rsidTr="00160503">
        <w:trPr>
          <w:gridAfter w:val="1"/>
          <w:wAfter w:w="128" w:type="dxa"/>
          <w:trHeight w:val="158"/>
        </w:trPr>
        <w:tc>
          <w:tcPr>
            <w:tcW w:w="4663" w:type="dxa"/>
            <w:tcBorders>
              <w:top w:val="nil"/>
              <w:left w:val="single" w:sz="4" w:space="0" w:color="auto"/>
              <w:bottom w:val="nil"/>
              <w:right w:val="single" w:sz="4" w:space="0" w:color="auto"/>
            </w:tcBorders>
            <w:shd w:val="clear" w:color="auto" w:fill="auto"/>
            <w:noWrap/>
            <w:vAlign w:val="bottom"/>
            <w:hideMark/>
          </w:tcPr>
          <w:p w14:paraId="01292D63" w14:textId="77777777" w:rsidR="00960046" w:rsidRPr="00160503" w:rsidRDefault="00960046" w:rsidP="00960046">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Zlepšíme „governance“ verejného IT</w:t>
            </w:r>
          </w:p>
        </w:tc>
        <w:tc>
          <w:tcPr>
            <w:tcW w:w="452" w:type="dxa"/>
            <w:tcBorders>
              <w:top w:val="nil"/>
              <w:left w:val="single" w:sz="4" w:space="0" w:color="auto"/>
              <w:bottom w:val="nil"/>
              <w:right w:val="nil"/>
            </w:tcBorders>
            <w:shd w:val="clear" w:color="000000" w:fill="808080"/>
            <w:noWrap/>
            <w:vAlign w:val="bottom"/>
            <w:hideMark/>
          </w:tcPr>
          <w:p w14:paraId="23BED601" w14:textId="77777777" w:rsidR="00960046" w:rsidRPr="00160503" w:rsidRDefault="00960046" w:rsidP="00841453">
            <w:pPr>
              <w:spacing w:after="0" w:line="240" w:lineRule="auto"/>
              <w:jc w:val="center"/>
              <w:rPr>
                <w:rFonts w:eastAsia="Times New Roman" w:cs="Calibri"/>
                <w:color w:val="808080"/>
                <w:sz w:val="16"/>
                <w:lang w:eastAsia="en-GB"/>
              </w:rPr>
            </w:pPr>
            <w:r w:rsidRPr="00160503">
              <w:rPr>
                <w:rFonts w:eastAsia="Times New Roman" w:cs="Calibri"/>
                <w:color w:val="808080"/>
                <w:sz w:val="16"/>
                <w:lang w:eastAsia="en-GB"/>
              </w:rPr>
              <w:t>Y</w:t>
            </w:r>
          </w:p>
        </w:tc>
        <w:tc>
          <w:tcPr>
            <w:tcW w:w="452" w:type="dxa"/>
            <w:tcBorders>
              <w:top w:val="nil"/>
              <w:left w:val="nil"/>
              <w:bottom w:val="nil"/>
              <w:right w:val="nil"/>
            </w:tcBorders>
            <w:shd w:val="clear" w:color="000000" w:fill="808080"/>
            <w:noWrap/>
            <w:vAlign w:val="bottom"/>
            <w:hideMark/>
          </w:tcPr>
          <w:p w14:paraId="6B24B031" w14:textId="77777777" w:rsidR="00960046" w:rsidRPr="00160503" w:rsidRDefault="00960046" w:rsidP="005619AD">
            <w:pPr>
              <w:spacing w:after="0" w:line="240" w:lineRule="auto"/>
              <w:jc w:val="center"/>
              <w:rPr>
                <w:rFonts w:eastAsia="Times New Roman" w:cs="Calibri"/>
                <w:color w:val="808080"/>
                <w:sz w:val="16"/>
                <w:lang w:eastAsia="en-GB"/>
              </w:rPr>
            </w:pPr>
            <w:r w:rsidRPr="00160503">
              <w:rPr>
                <w:rFonts w:eastAsia="Times New Roman" w:cs="Calibri"/>
                <w:color w:val="808080"/>
                <w:sz w:val="16"/>
                <w:lang w:eastAsia="en-GB"/>
              </w:rPr>
              <w:t>Y</w:t>
            </w:r>
          </w:p>
        </w:tc>
        <w:tc>
          <w:tcPr>
            <w:tcW w:w="452" w:type="dxa"/>
            <w:tcBorders>
              <w:top w:val="nil"/>
              <w:left w:val="nil"/>
              <w:bottom w:val="nil"/>
              <w:right w:val="nil"/>
            </w:tcBorders>
            <w:shd w:val="clear" w:color="000000" w:fill="808080"/>
            <w:noWrap/>
            <w:vAlign w:val="bottom"/>
            <w:hideMark/>
          </w:tcPr>
          <w:p w14:paraId="7988263F" w14:textId="77777777" w:rsidR="00960046" w:rsidRPr="00160503" w:rsidRDefault="00960046">
            <w:pPr>
              <w:spacing w:after="0" w:line="240" w:lineRule="auto"/>
              <w:jc w:val="center"/>
              <w:rPr>
                <w:rFonts w:eastAsia="Times New Roman" w:cs="Calibri"/>
                <w:color w:val="808080"/>
                <w:sz w:val="16"/>
                <w:lang w:eastAsia="en-GB"/>
              </w:rPr>
            </w:pPr>
            <w:r w:rsidRPr="00160503">
              <w:rPr>
                <w:rFonts w:eastAsia="Times New Roman" w:cs="Calibri"/>
                <w:color w:val="808080"/>
                <w:sz w:val="16"/>
                <w:lang w:eastAsia="en-GB"/>
              </w:rPr>
              <w:t>Y</w:t>
            </w:r>
          </w:p>
        </w:tc>
        <w:tc>
          <w:tcPr>
            <w:tcW w:w="452" w:type="dxa"/>
            <w:tcBorders>
              <w:top w:val="nil"/>
              <w:left w:val="nil"/>
              <w:bottom w:val="nil"/>
              <w:right w:val="nil"/>
            </w:tcBorders>
            <w:shd w:val="clear" w:color="000000" w:fill="808080"/>
            <w:noWrap/>
            <w:vAlign w:val="bottom"/>
            <w:hideMark/>
          </w:tcPr>
          <w:p w14:paraId="77302A68" w14:textId="77777777" w:rsidR="00960046" w:rsidRPr="00160503" w:rsidRDefault="00960046">
            <w:pPr>
              <w:spacing w:after="0" w:line="240" w:lineRule="auto"/>
              <w:jc w:val="center"/>
              <w:rPr>
                <w:rFonts w:eastAsia="Times New Roman" w:cs="Calibri"/>
                <w:color w:val="808080"/>
                <w:sz w:val="16"/>
                <w:lang w:eastAsia="en-GB"/>
              </w:rPr>
            </w:pPr>
            <w:r w:rsidRPr="00160503">
              <w:rPr>
                <w:rFonts w:eastAsia="Times New Roman" w:cs="Calibri"/>
                <w:color w:val="808080"/>
                <w:sz w:val="16"/>
                <w:lang w:eastAsia="en-GB"/>
              </w:rPr>
              <w:t>Y</w:t>
            </w:r>
          </w:p>
        </w:tc>
        <w:tc>
          <w:tcPr>
            <w:tcW w:w="452" w:type="dxa"/>
            <w:tcBorders>
              <w:top w:val="nil"/>
              <w:left w:val="nil"/>
              <w:bottom w:val="nil"/>
              <w:right w:val="nil"/>
            </w:tcBorders>
            <w:shd w:val="clear" w:color="000000" w:fill="808080"/>
            <w:noWrap/>
            <w:vAlign w:val="bottom"/>
            <w:hideMark/>
          </w:tcPr>
          <w:p w14:paraId="0DD7CACD" w14:textId="77777777" w:rsidR="00960046" w:rsidRPr="00160503" w:rsidRDefault="00960046">
            <w:pPr>
              <w:spacing w:after="0" w:line="240" w:lineRule="auto"/>
              <w:jc w:val="center"/>
              <w:rPr>
                <w:rFonts w:eastAsia="Times New Roman" w:cs="Calibri"/>
                <w:color w:val="808080"/>
                <w:sz w:val="16"/>
                <w:lang w:eastAsia="en-GB"/>
              </w:rPr>
            </w:pPr>
            <w:r w:rsidRPr="00160503">
              <w:rPr>
                <w:rFonts w:eastAsia="Times New Roman" w:cs="Calibri"/>
                <w:color w:val="808080"/>
                <w:sz w:val="16"/>
                <w:lang w:eastAsia="en-GB"/>
              </w:rPr>
              <w:t>Y</w:t>
            </w:r>
          </w:p>
        </w:tc>
        <w:tc>
          <w:tcPr>
            <w:tcW w:w="452" w:type="dxa"/>
            <w:tcBorders>
              <w:top w:val="nil"/>
              <w:left w:val="nil"/>
              <w:bottom w:val="nil"/>
              <w:right w:val="nil"/>
            </w:tcBorders>
            <w:shd w:val="clear" w:color="000000" w:fill="808080"/>
            <w:noWrap/>
            <w:vAlign w:val="bottom"/>
            <w:hideMark/>
          </w:tcPr>
          <w:p w14:paraId="2A8BC70E" w14:textId="77777777" w:rsidR="00960046" w:rsidRPr="00160503" w:rsidRDefault="00960046">
            <w:pPr>
              <w:spacing w:after="0" w:line="240" w:lineRule="auto"/>
              <w:jc w:val="center"/>
              <w:rPr>
                <w:rFonts w:eastAsia="Times New Roman" w:cs="Calibri"/>
                <w:color w:val="808080"/>
                <w:sz w:val="16"/>
                <w:lang w:eastAsia="en-GB"/>
              </w:rPr>
            </w:pPr>
            <w:r w:rsidRPr="00160503">
              <w:rPr>
                <w:rFonts w:eastAsia="Times New Roman" w:cs="Calibri"/>
                <w:color w:val="808080"/>
                <w:sz w:val="16"/>
                <w:lang w:eastAsia="en-GB"/>
              </w:rPr>
              <w:t>Y</w:t>
            </w:r>
          </w:p>
        </w:tc>
        <w:tc>
          <w:tcPr>
            <w:tcW w:w="452" w:type="dxa"/>
            <w:tcBorders>
              <w:top w:val="nil"/>
              <w:left w:val="nil"/>
              <w:bottom w:val="nil"/>
              <w:right w:val="nil"/>
            </w:tcBorders>
            <w:shd w:val="clear" w:color="000000" w:fill="808080"/>
            <w:noWrap/>
            <w:vAlign w:val="bottom"/>
            <w:hideMark/>
          </w:tcPr>
          <w:p w14:paraId="4F6040D9" w14:textId="77777777" w:rsidR="00960046" w:rsidRPr="00160503" w:rsidRDefault="00960046">
            <w:pPr>
              <w:spacing w:after="0" w:line="240" w:lineRule="auto"/>
              <w:jc w:val="center"/>
              <w:rPr>
                <w:rFonts w:eastAsia="Times New Roman" w:cs="Calibri"/>
                <w:color w:val="808080"/>
                <w:sz w:val="16"/>
                <w:lang w:eastAsia="en-GB"/>
              </w:rPr>
            </w:pPr>
            <w:r w:rsidRPr="00160503">
              <w:rPr>
                <w:rFonts w:eastAsia="Times New Roman" w:cs="Calibri"/>
                <w:color w:val="808080"/>
                <w:sz w:val="16"/>
                <w:lang w:eastAsia="en-GB"/>
              </w:rPr>
              <w:t>Y</w:t>
            </w:r>
          </w:p>
        </w:tc>
        <w:tc>
          <w:tcPr>
            <w:tcW w:w="452" w:type="dxa"/>
            <w:tcBorders>
              <w:top w:val="nil"/>
              <w:left w:val="nil"/>
              <w:bottom w:val="nil"/>
              <w:right w:val="nil"/>
            </w:tcBorders>
            <w:shd w:val="clear" w:color="000000" w:fill="808080"/>
            <w:noWrap/>
            <w:vAlign w:val="bottom"/>
            <w:hideMark/>
          </w:tcPr>
          <w:p w14:paraId="3AA499BA" w14:textId="77777777" w:rsidR="00960046" w:rsidRPr="00160503" w:rsidRDefault="00960046">
            <w:pPr>
              <w:spacing w:after="0" w:line="240" w:lineRule="auto"/>
              <w:jc w:val="center"/>
              <w:rPr>
                <w:rFonts w:eastAsia="Times New Roman" w:cs="Calibri"/>
                <w:color w:val="808080"/>
                <w:sz w:val="16"/>
                <w:lang w:eastAsia="en-GB"/>
              </w:rPr>
            </w:pPr>
            <w:r w:rsidRPr="00160503">
              <w:rPr>
                <w:rFonts w:eastAsia="Times New Roman" w:cs="Calibri"/>
                <w:color w:val="808080"/>
                <w:sz w:val="16"/>
                <w:lang w:eastAsia="en-GB"/>
              </w:rPr>
              <w:t>Y</w:t>
            </w:r>
          </w:p>
        </w:tc>
        <w:tc>
          <w:tcPr>
            <w:tcW w:w="452" w:type="dxa"/>
            <w:tcBorders>
              <w:top w:val="nil"/>
              <w:left w:val="nil"/>
              <w:bottom w:val="nil"/>
              <w:right w:val="nil"/>
            </w:tcBorders>
            <w:shd w:val="clear" w:color="000000" w:fill="808080"/>
            <w:noWrap/>
            <w:vAlign w:val="bottom"/>
            <w:hideMark/>
          </w:tcPr>
          <w:p w14:paraId="57AA46B1" w14:textId="77777777" w:rsidR="00960046" w:rsidRPr="00160503" w:rsidRDefault="00960046">
            <w:pPr>
              <w:spacing w:after="0" w:line="240" w:lineRule="auto"/>
              <w:jc w:val="center"/>
              <w:rPr>
                <w:rFonts w:eastAsia="Times New Roman" w:cs="Calibri"/>
                <w:color w:val="808080"/>
                <w:sz w:val="16"/>
                <w:lang w:eastAsia="en-GB"/>
              </w:rPr>
            </w:pPr>
            <w:r w:rsidRPr="00160503">
              <w:rPr>
                <w:rFonts w:eastAsia="Times New Roman" w:cs="Calibri"/>
                <w:color w:val="808080"/>
                <w:sz w:val="16"/>
                <w:lang w:eastAsia="en-GB"/>
              </w:rPr>
              <w:t>Y</w:t>
            </w:r>
          </w:p>
        </w:tc>
        <w:tc>
          <w:tcPr>
            <w:tcW w:w="454" w:type="dxa"/>
            <w:tcBorders>
              <w:top w:val="nil"/>
              <w:left w:val="nil"/>
              <w:bottom w:val="nil"/>
              <w:right w:val="single" w:sz="4" w:space="0" w:color="auto"/>
            </w:tcBorders>
            <w:shd w:val="clear" w:color="000000" w:fill="808080"/>
            <w:noWrap/>
            <w:vAlign w:val="bottom"/>
            <w:hideMark/>
          </w:tcPr>
          <w:p w14:paraId="3A66D123" w14:textId="77777777" w:rsidR="00960046" w:rsidRPr="00160503" w:rsidRDefault="00960046">
            <w:pPr>
              <w:spacing w:after="0" w:line="240" w:lineRule="auto"/>
              <w:jc w:val="center"/>
              <w:rPr>
                <w:rFonts w:eastAsia="Times New Roman" w:cs="Calibri"/>
                <w:color w:val="808080"/>
                <w:sz w:val="16"/>
                <w:lang w:eastAsia="en-GB"/>
              </w:rPr>
            </w:pPr>
            <w:r w:rsidRPr="00160503">
              <w:rPr>
                <w:rFonts w:eastAsia="Times New Roman" w:cs="Calibri"/>
                <w:color w:val="808080"/>
                <w:sz w:val="16"/>
                <w:lang w:eastAsia="en-GB"/>
              </w:rPr>
              <w:t>Y</w:t>
            </w:r>
          </w:p>
        </w:tc>
      </w:tr>
      <w:tr w:rsidR="00960046" w:rsidRPr="00960046" w14:paraId="7DA658E6" w14:textId="77777777" w:rsidTr="00160503">
        <w:trPr>
          <w:gridAfter w:val="1"/>
          <w:wAfter w:w="128" w:type="dxa"/>
          <w:trHeight w:val="158"/>
        </w:trPr>
        <w:tc>
          <w:tcPr>
            <w:tcW w:w="4663" w:type="dxa"/>
            <w:tcBorders>
              <w:top w:val="nil"/>
              <w:left w:val="single" w:sz="4" w:space="0" w:color="auto"/>
              <w:bottom w:val="nil"/>
              <w:right w:val="single" w:sz="4" w:space="0" w:color="auto"/>
            </w:tcBorders>
            <w:shd w:val="clear" w:color="auto" w:fill="auto"/>
            <w:noWrap/>
            <w:vAlign w:val="bottom"/>
            <w:hideMark/>
          </w:tcPr>
          <w:p w14:paraId="529986C4" w14:textId="77777777" w:rsidR="00960046" w:rsidRPr="00160503" w:rsidRDefault="00960046" w:rsidP="00960046">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Zvýšime ochranu kybernetického priestoru</w:t>
            </w:r>
          </w:p>
        </w:tc>
        <w:tc>
          <w:tcPr>
            <w:tcW w:w="452" w:type="dxa"/>
            <w:tcBorders>
              <w:top w:val="nil"/>
              <w:left w:val="nil"/>
              <w:bottom w:val="nil"/>
              <w:right w:val="nil"/>
            </w:tcBorders>
            <w:shd w:val="clear" w:color="auto" w:fill="auto"/>
            <w:noWrap/>
            <w:vAlign w:val="bottom"/>
            <w:hideMark/>
          </w:tcPr>
          <w:p w14:paraId="66D3EA69" w14:textId="77777777" w:rsidR="00960046" w:rsidRPr="00160503" w:rsidRDefault="00960046" w:rsidP="00841453">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nil"/>
              <w:right w:val="nil"/>
            </w:tcBorders>
            <w:shd w:val="clear" w:color="auto" w:fill="auto"/>
            <w:noWrap/>
            <w:vAlign w:val="bottom"/>
            <w:hideMark/>
          </w:tcPr>
          <w:p w14:paraId="6AD4BCD9" w14:textId="77777777" w:rsidR="00960046" w:rsidRPr="00160503" w:rsidRDefault="00960046" w:rsidP="005619AD">
            <w:pPr>
              <w:spacing w:after="0" w:line="240" w:lineRule="auto"/>
              <w:jc w:val="center"/>
              <w:rPr>
                <w:rFonts w:eastAsia="Times New Roman" w:cs="Calibri"/>
                <w:color w:val="000000"/>
                <w:sz w:val="16"/>
                <w:lang w:eastAsia="en-GB"/>
              </w:rPr>
            </w:pPr>
          </w:p>
        </w:tc>
        <w:tc>
          <w:tcPr>
            <w:tcW w:w="452" w:type="dxa"/>
            <w:tcBorders>
              <w:top w:val="nil"/>
              <w:left w:val="nil"/>
              <w:bottom w:val="nil"/>
              <w:right w:val="nil"/>
            </w:tcBorders>
            <w:shd w:val="clear" w:color="auto" w:fill="auto"/>
            <w:noWrap/>
            <w:vAlign w:val="bottom"/>
            <w:hideMark/>
          </w:tcPr>
          <w:p w14:paraId="7E5DB096"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6B4C7016"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6E74F719"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183864B5"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467C3983"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26B7348D"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2" w:type="dxa"/>
            <w:tcBorders>
              <w:top w:val="nil"/>
              <w:left w:val="nil"/>
              <w:bottom w:val="nil"/>
              <w:right w:val="nil"/>
            </w:tcBorders>
            <w:shd w:val="clear" w:color="auto" w:fill="auto"/>
            <w:noWrap/>
            <w:vAlign w:val="bottom"/>
            <w:hideMark/>
          </w:tcPr>
          <w:p w14:paraId="5D67D685" w14:textId="77777777" w:rsidR="00960046" w:rsidRPr="00160503" w:rsidRDefault="00960046">
            <w:pPr>
              <w:spacing w:after="0" w:line="240" w:lineRule="auto"/>
              <w:jc w:val="center"/>
              <w:rPr>
                <w:rFonts w:ascii="Times New Roman" w:eastAsia="Times New Roman" w:hAnsi="Times New Roman" w:cs="Times New Roman"/>
                <w:sz w:val="16"/>
                <w:szCs w:val="20"/>
                <w:lang w:eastAsia="en-GB"/>
              </w:rPr>
            </w:pPr>
          </w:p>
        </w:tc>
        <w:tc>
          <w:tcPr>
            <w:tcW w:w="454" w:type="dxa"/>
            <w:tcBorders>
              <w:top w:val="nil"/>
              <w:left w:val="nil"/>
              <w:bottom w:val="nil"/>
              <w:right w:val="single" w:sz="4" w:space="0" w:color="auto"/>
            </w:tcBorders>
            <w:shd w:val="clear" w:color="000000" w:fill="00B0F0"/>
            <w:noWrap/>
            <w:vAlign w:val="bottom"/>
            <w:hideMark/>
          </w:tcPr>
          <w:p w14:paraId="739D893A"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r>
      <w:tr w:rsidR="00960046" w:rsidRPr="00960046" w14:paraId="6B86289C" w14:textId="77777777" w:rsidTr="00160503">
        <w:trPr>
          <w:gridAfter w:val="1"/>
          <w:wAfter w:w="128" w:type="dxa"/>
          <w:trHeight w:val="158"/>
        </w:trPr>
        <w:tc>
          <w:tcPr>
            <w:tcW w:w="4663" w:type="dxa"/>
            <w:tcBorders>
              <w:top w:val="nil"/>
              <w:left w:val="single" w:sz="4" w:space="0" w:color="auto"/>
              <w:bottom w:val="single" w:sz="4" w:space="0" w:color="auto"/>
              <w:right w:val="single" w:sz="4" w:space="0" w:color="auto"/>
            </w:tcBorders>
            <w:shd w:val="clear" w:color="auto" w:fill="auto"/>
            <w:noWrap/>
            <w:vAlign w:val="bottom"/>
            <w:hideMark/>
          </w:tcPr>
          <w:p w14:paraId="71AD5FDF" w14:textId="77777777" w:rsidR="00960046" w:rsidRPr="00160503" w:rsidRDefault="00960046" w:rsidP="00960046">
            <w:pPr>
              <w:spacing w:after="0" w:line="240" w:lineRule="auto"/>
              <w:jc w:val="left"/>
              <w:rPr>
                <w:rFonts w:eastAsia="Times New Roman" w:cs="Calibri"/>
                <w:color w:val="000000"/>
                <w:sz w:val="20"/>
                <w:lang w:eastAsia="en-GB"/>
              </w:rPr>
            </w:pPr>
            <w:r w:rsidRPr="00160503">
              <w:rPr>
                <w:rFonts w:eastAsia="Times New Roman" w:cs="Calibri"/>
                <w:color w:val="000000"/>
                <w:sz w:val="20"/>
                <w:lang w:eastAsia="en-GB"/>
              </w:rPr>
              <w:t>Zlepšíme bezpečnosť údajov a transakcií vo verejnej správe</w:t>
            </w:r>
          </w:p>
        </w:tc>
        <w:tc>
          <w:tcPr>
            <w:tcW w:w="452" w:type="dxa"/>
            <w:tcBorders>
              <w:top w:val="nil"/>
              <w:left w:val="nil"/>
              <w:bottom w:val="single" w:sz="4" w:space="0" w:color="auto"/>
              <w:right w:val="nil"/>
            </w:tcBorders>
            <w:shd w:val="clear" w:color="auto" w:fill="auto"/>
            <w:noWrap/>
            <w:vAlign w:val="bottom"/>
            <w:hideMark/>
          </w:tcPr>
          <w:p w14:paraId="2343D2A4" w14:textId="77777777" w:rsidR="00960046" w:rsidRPr="00160503" w:rsidRDefault="00960046" w:rsidP="00841453">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single" w:sz="4" w:space="0" w:color="auto"/>
              <w:right w:val="nil"/>
            </w:tcBorders>
            <w:shd w:val="clear" w:color="auto" w:fill="auto"/>
            <w:noWrap/>
            <w:vAlign w:val="bottom"/>
            <w:hideMark/>
          </w:tcPr>
          <w:p w14:paraId="7BF4B551" w14:textId="77777777" w:rsidR="00960046" w:rsidRPr="00160503" w:rsidRDefault="00960046" w:rsidP="005619AD">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single" w:sz="4" w:space="0" w:color="auto"/>
              <w:right w:val="nil"/>
            </w:tcBorders>
            <w:shd w:val="clear" w:color="auto" w:fill="auto"/>
            <w:noWrap/>
            <w:vAlign w:val="bottom"/>
            <w:hideMark/>
          </w:tcPr>
          <w:p w14:paraId="75DCD929"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single" w:sz="4" w:space="0" w:color="auto"/>
              <w:right w:val="nil"/>
            </w:tcBorders>
            <w:shd w:val="clear" w:color="auto" w:fill="auto"/>
            <w:noWrap/>
            <w:vAlign w:val="bottom"/>
            <w:hideMark/>
          </w:tcPr>
          <w:p w14:paraId="3483FA19"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single" w:sz="4" w:space="0" w:color="auto"/>
              <w:right w:val="nil"/>
            </w:tcBorders>
            <w:shd w:val="clear" w:color="auto" w:fill="auto"/>
            <w:noWrap/>
            <w:vAlign w:val="bottom"/>
            <w:hideMark/>
          </w:tcPr>
          <w:p w14:paraId="461E62D4"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single" w:sz="4" w:space="0" w:color="auto"/>
              <w:right w:val="nil"/>
            </w:tcBorders>
            <w:shd w:val="clear" w:color="auto" w:fill="auto"/>
            <w:noWrap/>
            <w:vAlign w:val="bottom"/>
            <w:hideMark/>
          </w:tcPr>
          <w:p w14:paraId="16C23F60"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single" w:sz="4" w:space="0" w:color="auto"/>
              <w:right w:val="nil"/>
            </w:tcBorders>
            <w:shd w:val="clear" w:color="auto" w:fill="auto"/>
            <w:noWrap/>
            <w:vAlign w:val="bottom"/>
            <w:hideMark/>
          </w:tcPr>
          <w:p w14:paraId="35060FFB"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single" w:sz="4" w:space="0" w:color="auto"/>
              <w:right w:val="nil"/>
            </w:tcBorders>
            <w:shd w:val="clear" w:color="auto" w:fill="auto"/>
            <w:noWrap/>
            <w:vAlign w:val="bottom"/>
            <w:hideMark/>
          </w:tcPr>
          <w:p w14:paraId="449FDC50"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2" w:type="dxa"/>
            <w:tcBorders>
              <w:top w:val="nil"/>
              <w:left w:val="nil"/>
              <w:bottom w:val="single" w:sz="4" w:space="0" w:color="auto"/>
              <w:right w:val="nil"/>
            </w:tcBorders>
            <w:shd w:val="clear" w:color="auto" w:fill="auto"/>
            <w:noWrap/>
            <w:vAlign w:val="bottom"/>
            <w:hideMark/>
          </w:tcPr>
          <w:p w14:paraId="43D3B185" w14:textId="77777777" w:rsidR="00960046" w:rsidRPr="00160503" w:rsidRDefault="00960046">
            <w:pPr>
              <w:spacing w:after="0" w:line="240" w:lineRule="auto"/>
              <w:jc w:val="center"/>
              <w:rPr>
                <w:rFonts w:eastAsia="Times New Roman" w:cs="Calibri"/>
                <w:color w:val="000000"/>
                <w:sz w:val="16"/>
                <w:lang w:eastAsia="en-GB"/>
              </w:rPr>
            </w:pPr>
            <w:r w:rsidRPr="00160503">
              <w:rPr>
                <w:rFonts w:eastAsia="Times New Roman" w:cs="Calibri"/>
                <w:color w:val="000000"/>
                <w:sz w:val="16"/>
                <w:lang w:eastAsia="en-GB"/>
              </w:rPr>
              <w:t> </w:t>
            </w:r>
          </w:p>
        </w:tc>
        <w:tc>
          <w:tcPr>
            <w:tcW w:w="454" w:type="dxa"/>
            <w:tcBorders>
              <w:top w:val="nil"/>
              <w:left w:val="nil"/>
              <w:bottom w:val="single" w:sz="4" w:space="0" w:color="auto"/>
              <w:right w:val="single" w:sz="4" w:space="0" w:color="auto"/>
            </w:tcBorders>
            <w:shd w:val="clear" w:color="000000" w:fill="00B0F0"/>
            <w:noWrap/>
            <w:vAlign w:val="bottom"/>
            <w:hideMark/>
          </w:tcPr>
          <w:p w14:paraId="2B4E0798" w14:textId="77777777" w:rsidR="00960046" w:rsidRPr="00160503" w:rsidRDefault="00960046">
            <w:pPr>
              <w:spacing w:after="0" w:line="240" w:lineRule="auto"/>
              <w:jc w:val="center"/>
              <w:rPr>
                <w:rFonts w:eastAsia="Times New Roman" w:cs="Calibri"/>
                <w:color w:val="00B0F0"/>
                <w:sz w:val="16"/>
                <w:lang w:eastAsia="en-GB"/>
              </w:rPr>
            </w:pPr>
            <w:r w:rsidRPr="00160503">
              <w:rPr>
                <w:rFonts w:eastAsia="Times New Roman" w:cs="Calibri"/>
                <w:color w:val="00B0F0"/>
                <w:sz w:val="16"/>
                <w:lang w:eastAsia="en-GB"/>
              </w:rPr>
              <w:t>X</w:t>
            </w:r>
          </w:p>
        </w:tc>
      </w:tr>
      <w:tr w:rsidR="00960046" w:rsidRPr="00960046" w14:paraId="2A3E30AF" w14:textId="77777777" w:rsidTr="00160503">
        <w:trPr>
          <w:trHeight w:val="158"/>
        </w:trPr>
        <w:tc>
          <w:tcPr>
            <w:tcW w:w="9313" w:type="dxa"/>
            <w:gridSpan w:val="12"/>
            <w:tcBorders>
              <w:top w:val="nil"/>
              <w:left w:val="nil"/>
              <w:bottom w:val="nil"/>
              <w:right w:val="nil"/>
            </w:tcBorders>
            <w:shd w:val="clear" w:color="auto" w:fill="auto"/>
            <w:noWrap/>
            <w:hideMark/>
          </w:tcPr>
          <w:p w14:paraId="14D0D313" w14:textId="77777777" w:rsidR="00960046" w:rsidRPr="00160503" w:rsidRDefault="00960046" w:rsidP="00960046">
            <w:pPr>
              <w:spacing w:after="0" w:line="240" w:lineRule="auto"/>
              <w:jc w:val="right"/>
              <w:rPr>
                <w:rFonts w:eastAsia="Times New Roman" w:cs="Calibri"/>
                <w:i/>
                <w:iCs/>
                <w:color w:val="000000"/>
                <w:sz w:val="20"/>
                <w:szCs w:val="18"/>
                <w:lang w:eastAsia="en-GB"/>
              </w:rPr>
            </w:pPr>
            <w:r w:rsidRPr="00160503">
              <w:rPr>
                <w:rFonts w:eastAsia="Times New Roman" w:cs="Calibri"/>
                <w:i/>
                <w:iCs/>
                <w:color w:val="000000"/>
                <w:sz w:val="20"/>
                <w:szCs w:val="18"/>
                <w:lang w:eastAsia="en-GB"/>
              </w:rPr>
              <w:t>Zdroj: NKIVS, Spracovanie ÚHP</w:t>
            </w:r>
          </w:p>
        </w:tc>
      </w:tr>
    </w:tbl>
    <w:p w14:paraId="1C203570" w14:textId="678F7C75" w:rsidR="002A7F52" w:rsidRDefault="002A7F52" w:rsidP="00160503">
      <w:pPr>
        <w:spacing w:before="120" w:after="120"/>
      </w:pPr>
      <w:r w:rsidRPr="00160503">
        <w:rPr>
          <w:b/>
        </w:rPr>
        <w:t>Mieru naplnenia cieľov každoročne hodnotí správa o plnení NKIVS</w:t>
      </w:r>
      <w:r>
        <w:rPr>
          <w:rStyle w:val="Odkaznapoznmkupodiarou"/>
          <w:b/>
        </w:rPr>
        <w:footnoteReference w:id="12"/>
      </w:r>
      <w:r w:rsidRPr="00160503">
        <w:rPr>
          <w:b/>
        </w:rPr>
        <w:t xml:space="preserve">. Chýba zhodnotenie dosiahnutého pokroku a definovanie jasných </w:t>
      </w:r>
      <w:r>
        <w:rPr>
          <w:b/>
        </w:rPr>
        <w:t>odporúčaní</w:t>
      </w:r>
      <w:r w:rsidRPr="00160503">
        <w:rPr>
          <w:b/>
        </w:rPr>
        <w:t xml:space="preserve"> na ďalšie obdobie. </w:t>
      </w:r>
      <w:r>
        <w:t xml:space="preserve">Okrem kvalitatívneho opisu posunu je v správe vyhodnocovaných 46 merateľných ukazovateľov. Správa nehodnotí, či dosiahnutý posun zodpovedá očakávaniam a neformuluje odporúčania na ďalšie obdobie. Je potrebné zadefinovať výkonnostné ukazovatele na úrovni celkových výsledkov informatizácie, ich súčasnú a očakávanú hodnotu (napr. posun v pozícií eGovernment </w:t>
      </w:r>
      <w:r>
        <w:lastRenderedPageBreak/>
        <w:t xml:space="preserve">benchmark, alebo DESI skóre). Pravidelne odpočtovať mieru dosiahnutého posunu a formulovať odporúčania na ďalšie obdobie. </w:t>
      </w:r>
    </w:p>
    <w:p w14:paraId="25119CF9" w14:textId="77777777" w:rsidR="003C73E1" w:rsidRPr="00626FD8" w:rsidRDefault="003C73E1" w:rsidP="00D644C7">
      <w:pPr>
        <w:pStyle w:val="Odsekzoznamu"/>
        <w:numPr>
          <w:ilvl w:val="0"/>
          <w:numId w:val="6"/>
        </w:numPr>
        <w:rPr>
          <w:b/>
        </w:rPr>
      </w:pPr>
      <w:r>
        <w:rPr>
          <w:b/>
        </w:rPr>
        <w:t xml:space="preserve">Opatrenie: </w:t>
      </w:r>
      <w:r w:rsidR="00D644C7" w:rsidRPr="00D644C7">
        <w:rPr>
          <w:b/>
        </w:rPr>
        <w:t>Pri aktualizácii NKIVS zadefinovať agregátny ukazovateľ na hodnotenie výsledkov informatizácie so súčasnými a cieľovými hodnotami.</w:t>
      </w:r>
    </w:p>
    <w:p w14:paraId="2FBFBD32" w14:textId="77777777" w:rsidR="00037FD6" w:rsidRDefault="00A06838" w:rsidP="00C61AF9">
      <w:r>
        <w:rPr>
          <w:b/>
        </w:rPr>
        <w:t xml:space="preserve">Za centrálne riadenie informatizácie </w:t>
      </w:r>
      <w:r w:rsidR="001037B3">
        <w:rPr>
          <w:b/>
        </w:rPr>
        <w:t>a rozhodovanie o využívaní prostriedkov na IKT je zodpovedný</w:t>
      </w:r>
      <w:r>
        <w:rPr>
          <w:b/>
        </w:rPr>
        <w:t xml:space="preserve"> ÚPVII</w:t>
      </w:r>
      <w:r w:rsidR="001037B3">
        <w:rPr>
          <w:rStyle w:val="Odkaznapoznmkupodiarou"/>
        </w:rPr>
        <w:footnoteReference w:id="13"/>
      </w:r>
      <w:r>
        <w:rPr>
          <w:b/>
        </w:rPr>
        <w:t xml:space="preserve">. Skutočný dosah úradu na riadenie a dodržiavanie </w:t>
      </w:r>
      <w:r w:rsidR="001F6766">
        <w:rPr>
          <w:b/>
        </w:rPr>
        <w:t>cieľov a opatrení v NKIVS</w:t>
      </w:r>
      <w:r>
        <w:rPr>
          <w:b/>
        </w:rPr>
        <w:t xml:space="preserve"> </w:t>
      </w:r>
      <w:r w:rsidR="008D5F4A">
        <w:rPr>
          <w:b/>
        </w:rPr>
        <w:t>je</w:t>
      </w:r>
      <w:r>
        <w:rPr>
          <w:b/>
        </w:rPr>
        <w:t xml:space="preserve"> obmedzen</w:t>
      </w:r>
      <w:r w:rsidR="008D5F4A">
        <w:rPr>
          <w:b/>
        </w:rPr>
        <w:t>ý</w:t>
      </w:r>
      <w:r>
        <w:rPr>
          <w:b/>
        </w:rPr>
        <w:t xml:space="preserve">. </w:t>
      </w:r>
      <w:r w:rsidR="00037FD6">
        <w:t>Nosný dokument upravujúci informatizáciu verejnej správy je NKIVS. Podľa výsledkov kontroly Najvyššieho kontrolného úradu</w:t>
      </w:r>
      <w:r w:rsidR="002B21EE">
        <w:t xml:space="preserve"> (NKÚ)</w:t>
      </w:r>
      <w:r w:rsidR="00F53D9F">
        <w:t xml:space="preserve"> z roku 2018</w:t>
      </w:r>
      <w:r w:rsidR="00037FD6">
        <w:t xml:space="preserve"> je skutočný dosah ÚPVII na riadenie a dodržovanie NKIVS obmedzený napriek tomu, že dodržovanie definovaných princípov a cieľov je dané zákonom</w:t>
      </w:r>
      <w:r w:rsidR="00037FD6">
        <w:rPr>
          <w:rStyle w:val="Odkaznapoznmkupodiarou"/>
        </w:rPr>
        <w:footnoteReference w:id="14"/>
      </w:r>
      <w:r w:rsidR="00037FD6">
        <w:t>. Medzi hlavné zistenia kontroly</w:t>
      </w:r>
      <w:r w:rsidR="00196FD2">
        <w:t xml:space="preserve"> NKÚ </w:t>
      </w:r>
      <w:r w:rsidR="00037FD6">
        <w:t xml:space="preserve">patria nedostatočná koordinácia IT výdavkov, </w:t>
      </w:r>
      <w:r w:rsidR="002B21EE">
        <w:t>nerovnomerná aktivita pracovných skupín a</w:t>
      </w:r>
      <w:r w:rsidR="00037FD6">
        <w:t xml:space="preserve"> nedostatočné person</w:t>
      </w:r>
      <w:r w:rsidR="002B21EE">
        <w:t>álne kapacity.</w:t>
      </w:r>
      <w:r w:rsidR="00037FD6">
        <w:t xml:space="preserve"> </w:t>
      </w:r>
    </w:p>
    <w:p w14:paraId="69C9FE9A" w14:textId="77777777" w:rsidR="006B6D32" w:rsidRDefault="006B6D32" w:rsidP="00C61AF9">
      <w:r>
        <w:t xml:space="preserve">Úlohy definované v strategických dokumentoch ÚPVII mali do rezortných IT stratégii a opatrení preniesť Koncepcie rozvoja informačných systémov (KRIS). KRIS </w:t>
      </w:r>
      <w:r w:rsidR="005B113C">
        <w:t>má</w:t>
      </w:r>
      <w:r>
        <w:t xml:space="preserve"> detailne zmapovať aktuálnu situáciu IS všetkých organizácii v zriaďovateľskej pôsobnosti povinnej osoby a navrhnúť opatrenia na ďalšie úpravy alebo rozvoj na dosiahnutie cieľov NKIVS. Pri kontrole NKÚ zistil nedostatočnú kvalitu KRIS (všetky koncepcie boli vráten</w:t>
      </w:r>
      <w:r w:rsidR="009717DD">
        <w:t>é na dopracovanie</w:t>
      </w:r>
      <w:r w:rsidR="005B113C">
        <w:t>, niektoré viac krát),</w:t>
      </w:r>
      <w:r w:rsidR="009717DD">
        <w:t xml:space="preserve"> vo výraznej miere </w:t>
      </w:r>
      <w:r>
        <w:t>absenciu možností ÚPVII na ovplyvnenie ich kvality</w:t>
      </w:r>
      <w:r w:rsidR="009717DD">
        <w:t xml:space="preserve"> a absenciu termínov na maximálne trvanie posúdenia. Kvalitné zmapovanie súčasného stavu je nevyhnutné pre</w:t>
      </w:r>
      <w:r w:rsidR="00173205">
        <w:t xml:space="preserve"> riadenie</w:t>
      </w:r>
      <w:r w:rsidR="009717DD">
        <w:t xml:space="preserve"> ďalšieho </w:t>
      </w:r>
      <w:r w:rsidR="00346FD1">
        <w:t>rozvoja</w:t>
      </w:r>
      <w:r w:rsidR="009717DD">
        <w:t xml:space="preserve">. </w:t>
      </w:r>
      <w:r>
        <w:t xml:space="preserve"> </w:t>
      </w:r>
    </w:p>
    <w:p w14:paraId="0539592D" w14:textId="005AC37C" w:rsidR="00333282" w:rsidRDefault="005B113C" w:rsidP="00081226">
      <w:r>
        <w:t xml:space="preserve">Na plnenie zverených kompetencií sú potrebné dostatočné interné kapacity. </w:t>
      </w:r>
      <w:r w:rsidR="008720B2">
        <w:t>Podľa kontroly NKÚ nie sú kapacity sekcie riadenia informatizácie</w:t>
      </w:r>
      <w:r w:rsidR="00081226">
        <w:t xml:space="preserve"> (dnes Sekcia informačných technológií verejnej správy)</w:t>
      </w:r>
      <w:r w:rsidR="008720B2">
        <w:t xml:space="preserve"> plne obsadené</w:t>
      </w:r>
      <w:r w:rsidR="004D6252">
        <w:t xml:space="preserve">. </w:t>
      </w:r>
      <w:r w:rsidR="00977B75">
        <w:t>Podľa kontroly je m</w:t>
      </w:r>
      <w:r w:rsidR="008720B2">
        <w:t xml:space="preserve">zdové ohodnotenie </w:t>
      </w:r>
      <w:r w:rsidR="00977B75">
        <w:t>na porovnateľnej vysokoodbornej pozícii</w:t>
      </w:r>
      <w:r w:rsidR="008720B2">
        <w:t xml:space="preserve"> v súkromnej sfére</w:t>
      </w:r>
      <w:r w:rsidR="00977B75">
        <w:t xml:space="preserve"> vyššie o 750 Eur, </w:t>
      </w:r>
      <w:r w:rsidR="00CD6F27">
        <w:t>miera fluktuácie na 5 mesačnej báze (20 %) je vyššia ako v iných sekciách úradu (0 %)</w:t>
      </w:r>
      <w:r w:rsidR="008720B2">
        <w:t>. Chýbajúce kapacity sú dopĺňané externými konzultantmi</w:t>
      </w:r>
      <w:r w:rsidR="004D6252">
        <w:rPr>
          <w:rStyle w:val="Odkaznapoznmkupodiarou"/>
        </w:rPr>
        <w:footnoteReference w:id="15"/>
      </w:r>
      <w:r w:rsidR="00644F63">
        <w:t xml:space="preserve">. </w:t>
      </w:r>
      <w:r w:rsidR="00230B54">
        <w:t>Náklady na prácu externého konzultanta sú 2,5x vyššie ako pri interných zamestnancoch s platmi bežnými na trhu</w:t>
      </w:r>
      <w:r w:rsidR="00230B54">
        <w:rPr>
          <w:rStyle w:val="Odkaznapoznmkupodiarou"/>
        </w:rPr>
        <w:footnoteReference w:id="16"/>
      </w:r>
      <w:r w:rsidR="00230B54">
        <w:t xml:space="preserve">. Pri prebratí externe objednávaných služieb do interného výkonu by bolo možné obsadiť chýbajúce kapacity identifikované kontrolou NKÚ bez dopadu na rozpočet. </w:t>
      </w:r>
      <w:r w:rsidR="001156BD">
        <w:t>Posun nastal nahradením externých služieb internými vytvorením a obsadením expertov v Dátovej kancelárii a Behaviorálnej kancelárii.</w:t>
      </w:r>
    </w:p>
    <w:p w14:paraId="041ED729" w14:textId="77777777" w:rsidR="00230B54" w:rsidRDefault="00230B54" w:rsidP="00230B54">
      <w:pPr>
        <w:pStyle w:val="Nadpis2"/>
        <w:numPr>
          <w:ilvl w:val="0"/>
          <w:numId w:val="1"/>
        </w:numPr>
      </w:pPr>
      <w:bookmarkStart w:id="61" w:name="_Toc35602757"/>
      <w:r w:rsidRPr="002F6853">
        <w:t>S</w:t>
      </w:r>
      <w:r>
        <w:t>tanovenie priorít pre ďalší rozvoj informatizácie</w:t>
      </w:r>
      <w:bookmarkEnd w:id="61"/>
    </w:p>
    <w:p w14:paraId="2E310222" w14:textId="42012E29" w:rsidR="00875318" w:rsidRDefault="001019F0" w:rsidP="009E5E08">
      <w:r w:rsidRPr="009E5E08">
        <w:t xml:space="preserve">Rozvoj informatizácie verejnej správy je dnes možné sledovať na úrovni individuálnych projektov a služieb. </w:t>
      </w:r>
      <w:r w:rsidR="00DF306B" w:rsidRPr="009E5E08">
        <w:t>O</w:t>
      </w:r>
      <w:r w:rsidRPr="009E5E08">
        <w:t xml:space="preserve">braz o tom, ako </w:t>
      </w:r>
      <w:r w:rsidR="003C73E1">
        <w:t>jednotlivé projekty informatizácie</w:t>
      </w:r>
      <w:r w:rsidRPr="009E5E08">
        <w:t xml:space="preserve"> prispievajú k celkovému zlepšeniu </w:t>
      </w:r>
      <w:r w:rsidR="003C73E1">
        <w:t>služieb poskytovaných štátom</w:t>
      </w:r>
      <w:r w:rsidR="003C73E1" w:rsidRPr="009E5E08">
        <w:t xml:space="preserve"> </w:t>
      </w:r>
      <w:r w:rsidRPr="009E5E08">
        <w:t xml:space="preserve">je nedostatočný. Realizované projekty môžu zlepšovať poskytovanie služieb v oblastiach, ktoré majú minimálny príspevok k celkovému </w:t>
      </w:r>
      <w:r w:rsidR="003C73E1">
        <w:t>zefektívneniu</w:t>
      </w:r>
      <w:r w:rsidR="003C73E1" w:rsidRPr="009E5E08">
        <w:t xml:space="preserve"> </w:t>
      </w:r>
      <w:r w:rsidR="003C73E1">
        <w:t>poskytovaných služieb</w:t>
      </w:r>
      <w:r w:rsidRPr="009E5E08">
        <w:t xml:space="preserve">. </w:t>
      </w:r>
      <w:r w:rsidR="00072D2C" w:rsidRPr="009E5E08">
        <w:t xml:space="preserve">Je potrebné zadefinovať, </w:t>
      </w:r>
      <w:r w:rsidR="003C73E1">
        <w:t>ktoré štátom poskytované služby majú byť prioritne podporené</w:t>
      </w:r>
      <w:r w:rsidR="00072D2C" w:rsidRPr="009E5E08">
        <w:t xml:space="preserve"> </w:t>
      </w:r>
      <w:r w:rsidR="003C73E1">
        <w:t>digitalizáciou</w:t>
      </w:r>
      <w:r w:rsidR="00DF306B" w:rsidRPr="009E5E08">
        <w:t>, </w:t>
      </w:r>
      <w:r w:rsidR="00072D2C" w:rsidRPr="009E5E08">
        <w:t>kritéria</w:t>
      </w:r>
      <w:r w:rsidR="00DF306B" w:rsidRPr="009E5E08">
        <w:t xml:space="preserve"> na projekty, ktorými majú byť realizované a účinný kontrolný mechanizmus. Ten má už v skorej fáze umožniť výber a prioritizáciu projektov podľa prínosu k zlepšeniu prioritných služieb štátu. </w:t>
      </w:r>
    </w:p>
    <w:p w14:paraId="292B9BB5" w14:textId="77777777" w:rsidR="00C61AF9" w:rsidRDefault="002C6B90" w:rsidP="00160503">
      <w:pPr>
        <w:pStyle w:val="Odsekzoznamu"/>
        <w:rPr>
          <w:rStyle w:val="Nadpis3Char"/>
        </w:rPr>
      </w:pPr>
      <w:r w:rsidRPr="009E5E08">
        <w:rPr>
          <w:b/>
        </w:rPr>
        <w:t xml:space="preserve">Opatrenie: </w:t>
      </w:r>
      <w:r w:rsidR="00D644C7" w:rsidRPr="00D644C7">
        <w:rPr>
          <w:b/>
        </w:rPr>
        <w:t>Namapovať koncové služby poskytované štátom na 20 % prioritných eGOV služieb sledovaných eGOV benchmarkom (117) s najpočetnejším zastúpením trhu a na 100% SDG služieb (23) a priorizovať ich rozvoj.</w:t>
      </w:r>
      <w:r w:rsidR="003C73E1" w:rsidRPr="003C73E1" w:rsidDel="003C73E1">
        <w:rPr>
          <w:b/>
        </w:rPr>
        <w:t xml:space="preserve"> </w:t>
      </w:r>
    </w:p>
    <w:p w14:paraId="090141EE" w14:textId="77777777" w:rsidR="00067FA4" w:rsidRDefault="002F6853" w:rsidP="002F6853">
      <w:bookmarkStart w:id="62" w:name="_Toc35602758"/>
      <w:r w:rsidRPr="00FF57B7">
        <w:rPr>
          <w:rStyle w:val="Nadpis3Char"/>
        </w:rPr>
        <w:t>Stanovenie záväzného architektonického rámca</w:t>
      </w:r>
      <w:r w:rsidR="00B92666">
        <w:rPr>
          <w:rStyle w:val="Nadpis3Char"/>
        </w:rPr>
        <w:t xml:space="preserve"> a štandardov dokumentácie</w:t>
      </w:r>
      <w:r w:rsidR="00067FA4">
        <w:rPr>
          <w:rStyle w:val="Nadpis3Char"/>
        </w:rPr>
        <w:t xml:space="preserve"> pre všetky IS</w:t>
      </w:r>
      <w:bookmarkEnd w:id="62"/>
      <w:r w:rsidRPr="00FF57B7">
        <w:t xml:space="preserve">. </w:t>
      </w:r>
      <w:r w:rsidR="00AB4DFB" w:rsidRPr="00FF57B7">
        <w:t>Základné architektonické</w:t>
      </w:r>
      <w:r w:rsidR="00AB4DFB">
        <w:t xml:space="preserve"> princípy digitalizácie verejnej správy opisuje </w:t>
      </w:r>
      <w:r w:rsidR="00B750F6">
        <w:t>NKIVS</w:t>
      </w:r>
      <w:r w:rsidR="00AB4DFB" w:rsidRPr="00765192">
        <w:rPr>
          <w:rStyle w:val="Odkaznapoznmkupodiarou"/>
        </w:rPr>
        <w:footnoteReference w:id="17"/>
      </w:r>
      <w:r w:rsidR="00AB4DFB" w:rsidRPr="00765192">
        <w:t>.</w:t>
      </w:r>
      <w:r w:rsidR="00AB4DFB">
        <w:t xml:space="preserve"> </w:t>
      </w:r>
      <w:r w:rsidR="00961741">
        <w:t xml:space="preserve">Povinnosť zahrnúť </w:t>
      </w:r>
      <w:r w:rsidR="004C36C1">
        <w:t xml:space="preserve">softvér, ktorý štát vlastní, alebo softvér publikovaný pod otvorenou a EUPL licenciou </w:t>
      </w:r>
      <w:r w:rsidR="00961741">
        <w:t xml:space="preserve">do návrhu </w:t>
      </w:r>
      <w:r w:rsidR="004C36C1">
        <w:t>už vo fáze prípravy</w:t>
      </w:r>
      <w:r w:rsidR="00961741">
        <w:t xml:space="preserve"> štúdie uskutočniteľnosti a</w:t>
      </w:r>
      <w:r w:rsidR="004C36C1">
        <w:t xml:space="preserve"> dohľad nad následným reálnym využitím </w:t>
      </w:r>
      <w:r w:rsidR="00961741">
        <w:t xml:space="preserve">nie </w:t>
      </w:r>
      <w:r w:rsidR="004C36C1">
        <w:t xml:space="preserve">sú </w:t>
      </w:r>
      <w:r w:rsidR="00961741">
        <w:t>dostatočne vynucovan</w:t>
      </w:r>
      <w:r w:rsidR="004C36C1">
        <w:t>é</w:t>
      </w:r>
      <w:r w:rsidR="00961741">
        <w:t>. To v</w:t>
      </w:r>
      <w:r w:rsidR="000756E8">
        <w:t xml:space="preserve">edie k vytváraniu duplicitného softvéru s podobnou funkcionalitou a nárastu investičných a prevádzkových IT nákladov. </w:t>
      </w:r>
    </w:p>
    <w:p w14:paraId="104AEC67" w14:textId="77777777" w:rsidR="00E0344E" w:rsidRDefault="000756E8" w:rsidP="002F6853">
      <w:r>
        <w:lastRenderedPageBreak/>
        <w:t xml:space="preserve">V architektonickom rámci je potrebné okrem základných princípov zadefinovať konkrétne </w:t>
      </w:r>
      <w:r w:rsidR="00DF47EA">
        <w:t xml:space="preserve">spoločné </w:t>
      </w:r>
      <w:r>
        <w:t>moduly a</w:t>
      </w:r>
      <w:r w:rsidR="00DF47EA">
        <w:t xml:space="preserve"> IT </w:t>
      </w:r>
      <w:r>
        <w:t xml:space="preserve">služby, ktoré majú byť využívané na zabezpečovanie </w:t>
      </w:r>
      <w:r w:rsidR="004F1EF6">
        <w:t>najčastejšie používaných</w:t>
      </w:r>
      <w:r>
        <w:t xml:space="preserve"> IT </w:t>
      </w:r>
      <w:r w:rsidR="004F1EF6">
        <w:t>funkcionalít</w:t>
      </w:r>
      <w:r>
        <w:t xml:space="preserve"> (napr. </w:t>
      </w:r>
      <w:r w:rsidR="004F1EF6">
        <w:t>archivácia a výmena dokumentov, odosielanie správ a notifikácií, vydanie potvrdenia), zodpovednosť za kontrolu a vynucovanie ich dodržovania a adekvátne kompetencie na zjednanie nápravy v prípade zistenia nezrovnalostí.</w:t>
      </w:r>
      <w:r w:rsidR="00530041">
        <w:t xml:space="preserve"> </w:t>
      </w:r>
    </w:p>
    <w:p w14:paraId="255BF3F3" w14:textId="77777777" w:rsidR="002F6853" w:rsidRDefault="00252E92" w:rsidP="002F6853">
      <w:r>
        <w:t xml:space="preserve">Metodika riadenia projektov ÚPVII definuje štandard, v ktorom má byť </w:t>
      </w:r>
      <w:r w:rsidR="0046023B">
        <w:t xml:space="preserve">od roku 2018 </w:t>
      </w:r>
      <w:r>
        <w:t xml:space="preserve">k novým projektom dodaná </w:t>
      </w:r>
      <w:r w:rsidR="0046023B">
        <w:t xml:space="preserve">detailná </w:t>
      </w:r>
      <w:r>
        <w:t xml:space="preserve">dokumentácia IS. </w:t>
      </w:r>
      <w:r w:rsidR="0046023B">
        <w:t>Dokumentácia k existujúcim IS nebola štandardizovaná, jej odovzdanie pri preberaní úprav a IS nebolo povinné. Úrady tak často nedisponujú dokumentáciou k vlastným systémom, ktorá opisuje napr. integračné rozhrania, pokyny pre prevádzku, servis a údržbu. Vzniká tak riziko</w:t>
      </w:r>
      <w:r w:rsidR="0046023B" w:rsidRPr="0046023B">
        <w:t>, že úpravy systému budú obmedzené na dodávateľa s technickým know</w:t>
      </w:r>
      <w:r w:rsidR="0046023B">
        <w:t>-how vytvorenej infraštruktúry čo</w:t>
      </w:r>
      <w:r w:rsidR="0046023B" w:rsidRPr="0046023B">
        <w:t xml:space="preserve"> zvyšuje náklady integrácie systémov</w:t>
      </w:r>
      <w:r w:rsidR="0046023B">
        <w:t xml:space="preserve"> a obmedzuje možnosti na otvorenú súťaž na rozvoj a prevádzku IS.</w:t>
      </w:r>
      <w:r w:rsidR="00530041">
        <w:t xml:space="preserve"> </w:t>
      </w:r>
    </w:p>
    <w:tbl>
      <w:tblPr>
        <w:tblStyle w:val="Tabukasmriekou6farebnzvraznenie5"/>
        <w:tblW w:w="0" w:type="auto"/>
        <w:tblLook w:val="0420" w:firstRow="1" w:lastRow="0" w:firstColumn="0" w:lastColumn="0" w:noHBand="0" w:noVBand="1"/>
      </w:tblPr>
      <w:tblGrid>
        <w:gridCol w:w="9062"/>
      </w:tblGrid>
      <w:tr w:rsidR="00066400" w:rsidRPr="00765192" w14:paraId="4FAADAF3" w14:textId="77777777" w:rsidTr="00786C98">
        <w:trPr>
          <w:cnfStyle w:val="100000000000" w:firstRow="1" w:lastRow="0" w:firstColumn="0" w:lastColumn="0" w:oddVBand="0" w:evenVBand="0" w:oddHBand="0" w:evenHBand="0" w:firstRowFirstColumn="0" w:firstRowLastColumn="0" w:lastRowFirstColumn="0" w:lastRowLastColumn="0"/>
        </w:trPr>
        <w:tc>
          <w:tcPr>
            <w:tcW w:w="9062" w:type="dxa"/>
          </w:tcPr>
          <w:p w14:paraId="53AA8486" w14:textId="77777777" w:rsidR="00066400" w:rsidRPr="00765192" w:rsidRDefault="00066400" w:rsidP="00786C98">
            <w:pPr>
              <w:rPr>
                <w:sz w:val="20"/>
              </w:rPr>
            </w:pPr>
            <w:r>
              <w:rPr>
                <w:sz w:val="20"/>
              </w:rPr>
              <w:t>Box</w:t>
            </w:r>
            <w:r w:rsidRPr="00765192">
              <w:rPr>
                <w:sz w:val="20"/>
              </w:rPr>
              <w:t xml:space="preserve">: </w:t>
            </w:r>
            <w:r w:rsidRPr="00066400">
              <w:rPr>
                <w:sz w:val="20"/>
              </w:rPr>
              <w:t>Zdieľanie technológii a využívanie spoločných IT systémov v zahraničí</w:t>
            </w:r>
          </w:p>
        </w:tc>
      </w:tr>
      <w:tr w:rsidR="00066400" w:rsidRPr="00765192" w14:paraId="0601DE09" w14:textId="77777777" w:rsidTr="00786C98">
        <w:trPr>
          <w:cnfStyle w:val="000000100000" w:firstRow="0" w:lastRow="0" w:firstColumn="0" w:lastColumn="0" w:oddVBand="0" w:evenVBand="0" w:oddHBand="1" w:evenHBand="0" w:firstRowFirstColumn="0" w:firstRowLastColumn="0" w:lastRowFirstColumn="0" w:lastRowLastColumn="0"/>
          <w:trHeight w:val="674"/>
        </w:trPr>
        <w:tc>
          <w:tcPr>
            <w:tcW w:w="9062" w:type="dxa"/>
          </w:tcPr>
          <w:p w14:paraId="689E870C" w14:textId="77777777" w:rsidR="00066400" w:rsidRPr="00066400" w:rsidRDefault="00066400" w:rsidP="00066400">
            <w:pPr>
              <w:spacing w:before="120" w:after="120"/>
              <w:rPr>
                <w:sz w:val="20"/>
              </w:rPr>
            </w:pPr>
            <w:r w:rsidRPr="00066400">
              <w:rPr>
                <w:sz w:val="20"/>
              </w:rPr>
              <w:t xml:space="preserve">Typickým problémom nekoordinovaného budovania verejných digitálnych služieb je vznik duplicitného softvéru, ktorým rôzne úrady zabezpečujú plnenie rovnakých úloh. Bez centrálnej koordinácie sa tak dlhodobo zvyšujú finančné náklady na rozvoj a prevádzku IT systémov, štát navyše prichádza o možnosť dosiahnuť konzistentné a vysoko kvalitné digitálne služby. </w:t>
            </w:r>
          </w:p>
          <w:p w14:paraId="24AFD158" w14:textId="77777777" w:rsidR="00066400" w:rsidRPr="00066400" w:rsidRDefault="00066400" w:rsidP="00066400">
            <w:pPr>
              <w:spacing w:before="120" w:after="120"/>
              <w:rPr>
                <w:sz w:val="20"/>
              </w:rPr>
            </w:pPr>
            <w:r w:rsidRPr="00066400">
              <w:rPr>
                <w:sz w:val="20"/>
              </w:rPr>
              <w:t xml:space="preserve">Príkladom krajiny s úspešným mechanizmom na využitie spoločných IT systémov je Veľká Británia. Jedno z hlavných zásad tzv. technologického kódexu je „Zdieľaj, využi znova a spolupracuj“. Cieľom je vyhnúť sa opakovanému vynakladaniu času a finančných prostriedkov na zabezpečenie rovnakých výstupov maximalizáciou spolupráce naprieč orgánmi verejnej moci, najmä zdieľaním a opätovným využitím technológií, údajov a služieb. </w:t>
            </w:r>
          </w:p>
          <w:p w14:paraId="07FEEBB9" w14:textId="77777777" w:rsidR="00066400" w:rsidRPr="00066400" w:rsidRDefault="00066400" w:rsidP="00066400">
            <w:pPr>
              <w:spacing w:before="120" w:after="120"/>
              <w:rPr>
                <w:sz w:val="20"/>
              </w:rPr>
            </w:pPr>
            <w:r w:rsidRPr="00066400">
              <w:rPr>
                <w:sz w:val="20"/>
              </w:rPr>
              <w:t>Hlavnými pozorovanými benefitmi zo zdieľania vlastných riešení je jednoduchšia spolupráca a integrácia, nižšie náklady a zrýchlenie realizácie projektov. Dosahovanie výsledkov je založené na 6 princípoch:</w:t>
            </w:r>
          </w:p>
          <w:p w14:paraId="59A5C803" w14:textId="77777777" w:rsidR="00066400" w:rsidRPr="00066400" w:rsidRDefault="00066400" w:rsidP="005619AD">
            <w:pPr>
              <w:rPr>
                <w:sz w:val="20"/>
              </w:rPr>
            </w:pPr>
            <w:r w:rsidRPr="00066400">
              <w:rPr>
                <w:sz w:val="20"/>
              </w:rPr>
              <w:t>1.</w:t>
            </w:r>
            <w:r w:rsidRPr="00066400">
              <w:rPr>
                <w:sz w:val="20"/>
              </w:rPr>
              <w:tab/>
              <w:t>Vytváranie a koordinácia skupín, ktoré sa venujú rovnakým problematikám (architektúra, API, cloud...)</w:t>
            </w:r>
          </w:p>
          <w:p w14:paraId="47F6F095" w14:textId="77777777" w:rsidR="00066400" w:rsidRPr="00066400" w:rsidRDefault="00066400" w:rsidP="005619AD">
            <w:pPr>
              <w:rPr>
                <w:sz w:val="20"/>
              </w:rPr>
            </w:pPr>
            <w:r w:rsidRPr="00066400">
              <w:rPr>
                <w:sz w:val="20"/>
              </w:rPr>
              <w:t>2.</w:t>
            </w:r>
            <w:r w:rsidRPr="00066400">
              <w:rPr>
                <w:sz w:val="20"/>
              </w:rPr>
              <w:tab/>
              <w:t>Zadefinovanie jednotných technologických štandardov pre API</w:t>
            </w:r>
          </w:p>
          <w:p w14:paraId="677867A2" w14:textId="77777777" w:rsidR="00066400" w:rsidRPr="00066400" w:rsidRDefault="00066400" w:rsidP="005619AD">
            <w:pPr>
              <w:rPr>
                <w:sz w:val="20"/>
              </w:rPr>
            </w:pPr>
            <w:r w:rsidRPr="00066400">
              <w:rPr>
                <w:sz w:val="20"/>
              </w:rPr>
              <w:t>3.</w:t>
            </w:r>
            <w:r w:rsidRPr="00066400">
              <w:rPr>
                <w:sz w:val="20"/>
              </w:rPr>
              <w:tab/>
              <w:t>Agregovanie individuálnych nákupov rovnakých produktov a služieb do spoločných obstarávaní</w:t>
            </w:r>
          </w:p>
          <w:p w14:paraId="112C9416" w14:textId="77777777" w:rsidR="00066400" w:rsidRPr="00066400" w:rsidRDefault="00066400" w:rsidP="005619AD">
            <w:pPr>
              <w:rPr>
                <w:sz w:val="20"/>
              </w:rPr>
            </w:pPr>
            <w:r w:rsidRPr="00066400">
              <w:rPr>
                <w:sz w:val="20"/>
              </w:rPr>
              <w:t>4.</w:t>
            </w:r>
            <w:r w:rsidRPr="00066400">
              <w:rPr>
                <w:sz w:val="20"/>
              </w:rPr>
              <w:tab/>
              <w:t>Využívanie spoločných IT platforiem a služieb</w:t>
            </w:r>
          </w:p>
          <w:p w14:paraId="7639C87C" w14:textId="77777777" w:rsidR="00066400" w:rsidRPr="00066400" w:rsidRDefault="00066400" w:rsidP="005619AD">
            <w:pPr>
              <w:rPr>
                <w:sz w:val="20"/>
              </w:rPr>
            </w:pPr>
            <w:r w:rsidRPr="00066400">
              <w:rPr>
                <w:sz w:val="20"/>
              </w:rPr>
              <w:t>5.</w:t>
            </w:r>
            <w:r w:rsidRPr="00066400">
              <w:rPr>
                <w:sz w:val="20"/>
              </w:rPr>
              <w:tab/>
              <w:t>Dodržovanie spoločného technologického rámca vo vybraných oblastiach</w:t>
            </w:r>
          </w:p>
          <w:p w14:paraId="21CD3B9A" w14:textId="77777777" w:rsidR="00066400" w:rsidRPr="00066400" w:rsidRDefault="00066400" w:rsidP="005619AD">
            <w:pPr>
              <w:rPr>
                <w:sz w:val="20"/>
              </w:rPr>
            </w:pPr>
            <w:r w:rsidRPr="00066400">
              <w:rPr>
                <w:sz w:val="20"/>
              </w:rPr>
              <w:t>6.</w:t>
            </w:r>
            <w:r w:rsidRPr="00066400">
              <w:rPr>
                <w:sz w:val="20"/>
              </w:rPr>
              <w:tab/>
              <w:t>Publikovanie štandardizovaného zdrojového kódu</w:t>
            </w:r>
          </w:p>
          <w:p w14:paraId="597454D7" w14:textId="77777777" w:rsidR="00066400" w:rsidRPr="00066400" w:rsidRDefault="00066400" w:rsidP="00066400">
            <w:pPr>
              <w:spacing w:before="120" w:after="120"/>
              <w:rPr>
                <w:sz w:val="20"/>
              </w:rPr>
            </w:pPr>
            <w:r w:rsidRPr="00066400">
              <w:rPr>
                <w:sz w:val="20"/>
              </w:rPr>
              <w:t>Pri vytváraní nových IT služieb požaduje úrad zodpovedný za transformáciu verejných digitálnych služieb preukázať, že nákup nových technológií je skutočne potrebný. Vo všeobecnosti sa požaduje využiť už existujúce vládne platformy a IT služby iných úradov, ktoré boli pre zjednodušenie ďalšieho využitia budované so zámerom zdieľania.</w:t>
            </w:r>
          </w:p>
          <w:p w14:paraId="5EE7AA66" w14:textId="77777777" w:rsidR="00066400" w:rsidRPr="00066400" w:rsidRDefault="00066400" w:rsidP="00066400">
            <w:pPr>
              <w:spacing w:before="120" w:after="120"/>
              <w:rPr>
                <w:sz w:val="20"/>
              </w:rPr>
            </w:pPr>
            <w:r w:rsidRPr="00066400">
              <w:rPr>
                <w:sz w:val="20"/>
              </w:rPr>
              <w:t xml:space="preserve">Úspešným príkladom aplikácie na už prevádzkované IT služby je vytvorenie jednotného informačného miesta (portál Directgov, neskôr GOV.UK), a vypnutie 551 z 951 webových stránok a softvéru potrebného na správu ich obsahu. </w:t>
            </w:r>
          </w:p>
          <w:p w14:paraId="7880F347" w14:textId="77777777" w:rsidR="00066400" w:rsidRPr="00765192" w:rsidRDefault="00066400" w:rsidP="00066400">
            <w:pPr>
              <w:spacing w:before="120" w:after="120"/>
              <w:rPr>
                <w:sz w:val="20"/>
              </w:rPr>
            </w:pPr>
            <w:r w:rsidRPr="00066400">
              <w:rPr>
                <w:sz w:val="20"/>
              </w:rPr>
              <w:t>Príkladmi nových služieb je vytvorenie platforiem na zastrešenie najčastejšie využívaných IT služieb - zasielanie notifikácií, prijímanie platieb, prihlasovanie do systémov, alebo hosting systémov. Platformy sú pripravené tak, aby bolo ich využitie naprieč všetkými verejnými subjektmi čo najjednoduchšie. V súčasnosti ich používa viac ako 200 organizácií, ktoré nemusia zabezpečovať rozvoj a prevádzku vlastných IT služieb.</w:t>
            </w:r>
          </w:p>
        </w:tc>
      </w:tr>
    </w:tbl>
    <w:p w14:paraId="10AFC0D6" w14:textId="77777777" w:rsidR="004C36C1" w:rsidRPr="00EA43F7" w:rsidRDefault="004476C4" w:rsidP="00D644C7">
      <w:pPr>
        <w:pStyle w:val="Odsekzoznamu"/>
        <w:numPr>
          <w:ilvl w:val="0"/>
          <w:numId w:val="6"/>
        </w:numPr>
        <w:spacing w:before="120" w:after="120"/>
      </w:pPr>
      <w:r w:rsidRPr="004C36C1">
        <w:rPr>
          <w:b/>
        </w:rPr>
        <w:t xml:space="preserve">Opatrenie: </w:t>
      </w:r>
      <w:r w:rsidR="00D644C7" w:rsidRPr="00D644C7">
        <w:rPr>
          <w:b/>
        </w:rPr>
        <w:t xml:space="preserve">Zaviesť systém na opakované využitie otvoreného zdrojového kódu získaného v zmysle zákona o ITVS č. 95/2019 a EUPL licencie, manažérskych a špecializovaných produktov definovaných vo vyhláške o projektovom riadení. </w:t>
      </w:r>
      <w:r w:rsidR="004C36C1" w:rsidRPr="004C36C1" w:rsidDel="004C36C1">
        <w:rPr>
          <w:b/>
        </w:rPr>
        <w:t xml:space="preserve"> </w:t>
      </w:r>
    </w:p>
    <w:p w14:paraId="767DFA04" w14:textId="77777777" w:rsidR="008E0061" w:rsidRPr="008E0061" w:rsidRDefault="0046023B" w:rsidP="008E0061">
      <w:pPr>
        <w:pStyle w:val="Odsekzoznamu"/>
        <w:numPr>
          <w:ilvl w:val="0"/>
          <w:numId w:val="6"/>
        </w:numPr>
        <w:spacing w:before="120" w:after="120"/>
      </w:pPr>
      <w:r w:rsidRPr="008E0061">
        <w:rPr>
          <w:b/>
        </w:rPr>
        <w:t xml:space="preserve">Opatrenie: </w:t>
      </w:r>
      <w:r w:rsidR="008E0061" w:rsidRPr="008E0061">
        <w:rPr>
          <w:b/>
        </w:rPr>
        <w:t xml:space="preserve">Ak budú vysporiadavané autorské práva a zdrojové kódy  k ISVS je nutné zabezpečiť dokumentáciu IS podľa štandardov definovaných vo vyhláške o riadení projektov </w:t>
      </w:r>
    </w:p>
    <w:p w14:paraId="39F5AB49" w14:textId="59ED5F5E" w:rsidR="003A3C56" w:rsidRPr="001E6A36" w:rsidRDefault="003A3C56" w:rsidP="008E0061">
      <w:pPr>
        <w:pStyle w:val="Odsekzoznamu"/>
        <w:numPr>
          <w:ilvl w:val="0"/>
          <w:numId w:val="6"/>
        </w:numPr>
        <w:spacing w:before="120" w:after="120"/>
      </w:pPr>
      <w:r w:rsidRPr="008E0061">
        <w:rPr>
          <w:b/>
        </w:rPr>
        <w:t xml:space="preserve">Opatrenie: </w:t>
      </w:r>
      <w:r w:rsidR="00D644C7" w:rsidRPr="008E0061">
        <w:rPr>
          <w:b/>
        </w:rPr>
        <w:t>Identifikovať požiadavky na chýbajúce spoločné moduly.</w:t>
      </w:r>
      <w:r w:rsidR="004C36C1" w:rsidRPr="008E0061" w:rsidDel="004C36C1">
        <w:rPr>
          <w:b/>
        </w:rPr>
        <w:t xml:space="preserve"> </w:t>
      </w:r>
    </w:p>
    <w:p w14:paraId="408B3152" w14:textId="77777777" w:rsidR="00616B7C" w:rsidRDefault="005B7DB4" w:rsidP="005B7DB4">
      <w:pPr>
        <w:spacing w:before="120" w:after="0"/>
      </w:pPr>
      <w:bookmarkStart w:id="63" w:name="_Toc35602759"/>
      <w:r w:rsidRPr="00FF57B7">
        <w:rPr>
          <w:rStyle w:val="Nadpis3Char"/>
        </w:rPr>
        <w:t>Koncepcia ľudských zdrojov a budovanie interných kapacít</w:t>
      </w:r>
      <w:bookmarkEnd w:id="63"/>
      <w:r w:rsidRPr="00FF57B7">
        <w:t xml:space="preserve">. </w:t>
      </w:r>
      <w:r w:rsidR="00C91C67" w:rsidRPr="00C91C67">
        <w:t>Na vývoj softvéru v OP II projektoch plánuje štát počas najbližších 2 rokov najať 585 externistov za 202 mil. eur</w:t>
      </w:r>
      <w:r w:rsidR="00C91C67">
        <w:rPr>
          <w:rStyle w:val="Odkaznapoznmkupodiarou"/>
        </w:rPr>
        <w:footnoteReference w:id="18"/>
      </w:r>
      <w:r w:rsidR="00C91C67" w:rsidRPr="00C91C67">
        <w:t xml:space="preserve">. </w:t>
      </w:r>
      <w:r w:rsidRPr="00FF57B7">
        <w:t>Štát</w:t>
      </w:r>
      <w:r>
        <w:t xml:space="preserve"> často nakupuje aj tie IT služby, ktoré je možné pri nižších nákladoch realizovať internými kapacitami v rovnakej kvalite. Okrem priamej úspory nákladov sú benefitmi lepšie pripravené projekty a lepšia pripravenosť vyjednávať s dodávateľmi. </w:t>
      </w:r>
      <w:r w:rsidRPr="007F25F6">
        <w:t>Ako ukázala pred troma rokmi Revízia výdavkov na IT, počas OPISu</w:t>
      </w:r>
      <w:r>
        <w:t xml:space="preserve"> bolo možné z 56 mil. eur na riadenie projektov zamestnať 134 interných IT </w:t>
      </w:r>
      <w:r>
        <w:lastRenderedPageBreak/>
        <w:t>zamestnancov, namiesto toho boli často dodaní štátu ako služba</w:t>
      </w:r>
      <w:r w:rsidR="00961741">
        <w:rPr>
          <w:rStyle w:val="Odkaznapoznmkupodiarou"/>
        </w:rPr>
        <w:footnoteReference w:id="19"/>
      </w:r>
      <w:r>
        <w:t xml:space="preserve">. Externe riadené projekty boli drahšie a mali viac korekcií. </w:t>
      </w:r>
    </w:p>
    <w:p w14:paraId="07C64AEC" w14:textId="26FED082" w:rsidR="008222FA" w:rsidRDefault="008222FA" w:rsidP="0037129E">
      <w:pPr>
        <w:spacing w:before="120" w:after="120"/>
      </w:pPr>
      <w:r>
        <w:t>Nahradzovanie externých kapacít internými silami je potrebné realizovať postupne, aby nebola narušená stabilná prevádzka kritických služieb. Opatrenie počíta s rozširovaním kapacít v menších ucelených oblastiach. Pred realizáciou nových projektov alebo podpisom zmluvy je potrebné vyhodnotiť, ktoré role a služby je efektívne vykonávať interne a v rozpočte zabezpečiť presun alokácie z externých služieb na interných zamestnancov. Budovanie interných kapacít je možné rozdeliť do 3 oblastí :</w:t>
      </w:r>
    </w:p>
    <w:p w14:paraId="6E2E3F00" w14:textId="77777777" w:rsidR="005B7DB4" w:rsidRDefault="005B7DB4" w:rsidP="005B7DB4">
      <w:pPr>
        <w:pStyle w:val="Odsekzoznamu"/>
        <w:numPr>
          <w:ilvl w:val="0"/>
          <w:numId w:val="3"/>
        </w:numPr>
        <w:spacing w:before="120"/>
      </w:pPr>
      <w:r w:rsidRPr="000557B2">
        <w:t>Budovanie interných kapacít na poskytovanie štandardných IT prevádzkových</w:t>
      </w:r>
      <w:r w:rsidRPr="000557B2">
        <w:rPr>
          <w:b/>
        </w:rPr>
        <w:t xml:space="preserve"> </w:t>
      </w:r>
      <w:r w:rsidRPr="000557B2">
        <w:t>služieb</w:t>
      </w:r>
      <w:r>
        <w:t xml:space="preserve"> na úrovni L1 (prijímanie servisných požiadaviek) a L2 (riešenia požiadaviek, ktoré si nevyžadujú programátorské znalosti). </w:t>
      </w:r>
    </w:p>
    <w:p w14:paraId="7F33D63C" w14:textId="77777777" w:rsidR="005B7DB4" w:rsidRDefault="005B7DB4" w:rsidP="005B7DB4">
      <w:pPr>
        <w:pStyle w:val="Odsekzoznamu"/>
        <w:numPr>
          <w:ilvl w:val="0"/>
          <w:numId w:val="3"/>
        </w:numPr>
        <w:spacing w:before="120"/>
      </w:pPr>
      <w:r>
        <w:t xml:space="preserve">Budovanie interných kapacít na prípravu a riadenie projektov. Činnosti spadajúce do tejto oblasti sú príprava štúdie uskutočniteľnosti a CBA nových projektov, riadenie projektu pri tvorbe nových systémov a  zmenových požiadaviek existujúcich systémov a komunikácia s dodávateľmi. </w:t>
      </w:r>
    </w:p>
    <w:p w14:paraId="02AECA17" w14:textId="77777777" w:rsidR="005B7DB4" w:rsidRPr="00CC5285" w:rsidRDefault="005B7DB4" w:rsidP="005B7DB4">
      <w:pPr>
        <w:pStyle w:val="Odsekzoznamu"/>
        <w:numPr>
          <w:ilvl w:val="0"/>
          <w:numId w:val="3"/>
        </w:numPr>
        <w:spacing w:before="120"/>
      </w:pPr>
      <w:r>
        <w:t xml:space="preserve">Budovanie interných kapacít na realizáciu </w:t>
      </w:r>
      <w:r w:rsidR="008F4CCD">
        <w:t xml:space="preserve">nového </w:t>
      </w:r>
      <w:r>
        <w:t xml:space="preserve">a úpravu </w:t>
      </w:r>
      <w:r w:rsidR="008F4CCD">
        <w:t>existujúceho softvéru</w:t>
      </w:r>
      <w:r>
        <w:t>, kedy sú samotné programátorské práce realizované interným tímom.</w:t>
      </w:r>
    </w:p>
    <w:p w14:paraId="068B8570" w14:textId="77777777" w:rsidR="00DE6A2F" w:rsidRDefault="00E36552" w:rsidP="005B7DB4">
      <w:r>
        <w:t xml:space="preserve">Oficiálnou stratégiou štátu pri budovaní interných IT kapacít je „Koncepcia ľudských zdrojov v IT“ vypracovaná ÚPVII. Prostredníctvom </w:t>
      </w:r>
      <w:r w:rsidR="00E86BB9">
        <w:t>štruktúrovaných rozhovorov mapuje koncepcia súčasný stav v 16 orgánoch verejnej moci, ktoré sú najväčšími správcami IS v štáte. Podľa koncepcie bola väčšina IKT útvarov zriadená za účelom podpory používateľov, najväčším problémom je nedostatočná kapacita IT špecialistov</w:t>
      </w:r>
      <w:r w:rsidR="007F2EE5">
        <w:t>.</w:t>
      </w:r>
      <w:r w:rsidR="00DE6A2F" w:rsidRPr="00DE6A2F">
        <w:t xml:space="preserve"> </w:t>
      </w:r>
      <w:r w:rsidR="00DE6A2F">
        <w:t>Medzi ďalšie problémy radí nízke finančné ohodnotenie, podceňovanie vplyvu dopadov legislatívy na IT rozpočty a ľudské kapacity.</w:t>
      </w:r>
    </w:p>
    <w:p w14:paraId="318ACC31" w14:textId="77777777" w:rsidR="00BF7E13" w:rsidRDefault="00BF7E13" w:rsidP="005B7DB4">
      <w:r>
        <w:t>Koncepcia definuje tzv. „referenčný kompetenčný model (zoznam rolí, ich funkcií a procesov za ktoré zodpovedajú), víziu na zlepšenie súčasného stavu a rámcový opis implementačného plánu s postupnosťou krokov a ich prácnosťou. Kroky v diagrame sú rozdelené do základného časového rámca (Q1/2020 a 2020+), vybrané úlohy sú priradené k ÚPVII. Súčasťou nie je implementačný plán s konkrétnymi úlohami, zodpovednými osobami a </w:t>
      </w:r>
      <w:r w:rsidR="008F4CCD">
        <w:t>termínmi</w:t>
      </w:r>
      <w:r>
        <w:t>.</w:t>
      </w:r>
    </w:p>
    <w:p w14:paraId="34C84E9B" w14:textId="77777777" w:rsidR="00E86BB9" w:rsidRDefault="00DE6A2F">
      <w:r>
        <w:t xml:space="preserve">Prevažná väčšina analyzovaných </w:t>
      </w:r>
      <w:r w:rsidR="00C91C67">
        <w:t>orgánov verejnej moci (</w:t>
      </w:r>
      <w:r>
        <w:t>OVM</w:t>
      </w:r>
      <w:r w:rsidR="00C91C67">
        <w:t>)</w:t>
      </w:r>
      <w:r>
        <w:t xml:space="preserve"> nemá podľa koncepcie obsadené pozície procesných analytikov, ktorí komunikujú s internými zadávateľmi požiadaviek a dokážu odhadnúť dopad biznis zmien na informačné systémy a IT analytikov, ktorí komunikujú s dodávateľmi a dokážu posúdiť prácnosť a finančnú náročnosť dodávateľských ponúk. Na niektorých OVM sú role čiastočne zastúpené projektovými manažérmi, </w:t>
      </w:r>
      <w:r w:rsidR="008F4CCD">
        <w:t>najčastejšie</w:t>
      </w:r>
      <w:r>
        <w:t xml:space="preserve"> sú vykonávané externe existujúcimi alebo potenciálnymi dodávateľmi. OVM tak majú výrazne obmedzené možnosti na overenie, či ponúkané IT riešenia najlepšie zodpovedajú ich potrebám a sú nákladovo efektívne. </w:t>
      </w:r>
    </w:p>
    <w:p w14:paraId="037C6099" w14:textId="48A67BCB" w:rsidR="00BF7E13" w:rsidRDefault="00DE6A2F" w:rsidP="005B7DB4">
      <w:r>
        <w:t xml:space="preserve">V krátkodobom horizonte predstavuje potenciál na zlepšenie fungovania a úsporu nákladov najmä zabezpečenie štandardných prevádzkových IT rolí (systémový a sieťový administrátor, </w:t>
      </w:r>
      <w:r w:rsidR="00BF7E13">
        <w:t>sieťový a</w:t>
      </w:r>
      <w:r w:rsidR="007F2EE5">
        <w:t> </w:t>
      </w:r>
      <w:r w:rsidR="00BF7E13">
        <w:t>service</w:t>
      </w:r>
      <w:r w:rsidR="007F2EE5">
        <w:t xml:space="preserve"> </w:t>
      </w:r>
      <w:r w:rsidR="00BF7E13">
        <w:t xml:space="preserve">desk špecialista...) a rolí IT architekta a analytika. </w:t>
      </w:r>
      <w:r w:rsidR="004311CE">
        <w:t>Začať s nahradzovaním</w:t>
      </w:r>
      <w:r w:rsidR="00BF7E13">
        <w:t xml:space="preserve"> externe objednávan</w:t>
      </w:r>
      <w:r w:rsidR="004311CE">
        <w:t>ých</w:t>
      </w:r>
      <w:r w:rsidR="00BF7E13">
        <w:t xml:space="preserve"> IT </w:t>
      </w:r>
      <w:r w:rsidR="004311CE">
        <w:t xml:space="preserve">služieb vlastnými zamestnancami </w:t>
      </w:r>
      <w:r w:rsidR="00BF7E13">
        <w:t xml:space="preserve"> je realizovateľn</w:t>
      </w:r>
      <w:r w:rsidR="004311CE">
        <w:t>é</w:t>
      </w:r>
      <w:r w:rsidR="00BF7E13">
        <w:t xml:space="preserve"> už do 1 roka. </w:t>
      </w:r>
    </w:p>
    <w:p w14:paraId="559285F7" w14:textId="77777777" w:rsidR="00BF7E13" w:rsidRDefault="005B7DB4" w:rsidP="00160503">
      <w:pPr>
        <w:spacing w:after="120"/>
      </w:pPr>
      <w:r w:rsidRPr="004F1EF6">
        <w:t>Dlhodobý potenciál pre ďalšiu významnú úsporu je realizovanie úprav a rozvoja informačných systémov internými kapacitami.</w:t>
      </w:r>
      <w:r w:rsidRPr="00765192">
        <w:rPr>
          <w:b/>
        </w:rPr>
        <w:t xml:space="preserve"> </w:t>
      </w:r>
      <w:r w:rsidRPr="00765192">
        <w:t xml:space="preserve">Štandardná cena prác, za ktoré štát uzatvára zmluvy v sektore informačno-komunikačných technológií, sa </w:t>
      </w:r>
      <w:r w:rsidR="00067FA4">
        <w:t xml:space="preserve">podľa analýzy ÚHP </w:t>
      </w:r>
      <w:r w:rsidR="00067FA4" w:rsidRPr="00765192">
        <w:t>p</w:t>
      </w:r>
      <w:r w:rsidR="00067FA4">
        <w:t>op</w:t>
      </w:r>
      <w:r w:rsidR="00067FA4" w:rsidRPr="00765192">
        <w:t>ohybuje</w:t>
      </w:r>
      <w:r w:rsidRPr="00765192">
        <w:t xml:space="preserve"> na úrovni 5</w:t>
      </w:r>
      <w:r w:rsidR="00F33C23">
        <w:t>28</w:t>
      </w:r>
      <w:r w:rsidRPr="00765192">
        <w:t xml:space="preserve"> - </w:t>
      </w:r>
      <w:r w:rsidR="00F33C23">
        <w:t>816</w:t>
      </w:r>
      <w:r w:rsidRPr="00765192">
        <w:t xml:space="preserve"> Eur</w:t>
      </w:r>
      <w:r w:rsidR="00345C42">
        <w:t xml:space="preserve"> s DPH</w:t>
      </w:r>
      <w:r w:rsidRPr="00765192">
        <w:t xml:space="preserve"> za človekodeň.  Už pri týždňových nákladoch na externistu je možné zaplatiť interného zamestnanca s platom bežným na trhu. Budovanie informačných systémov internými kapacitami vyžaduje dlhodobý koordinovaný postup preberania všetkých autorských práv</w:t>
      </w:r>
      <w:r w:rsidR="008F4CCD">
        <w:t>, zdrojových kódov a dokumentácie</w:t>
      </w:r>
      <w:r w:rsidRPr="00765192">
        <w:t xml:space="preserve"> do vlastníctva štátu a vytvárania atraktívnych pracovných pozícii v porovnaní so súkromným sektorom.</w:t>
      </w:r>
    </w:p>
    <w:p w14:paraId="712A35A6" w14:textId="77777777" w:rsidR="00E53580" w:rsidRDefault="00E53580" w:rsidP="00160503">
      <w:pPr>
        <w:spacing w:after="120"/>
      </w:pPr>
      <w:r>
        <w:t xml:space="preserve">Pre role, ktoré nie je ekonomicky efektívne zabezpečovať interne, navrhuje koncepcia po vzore dobrej praxe z Veľkej Británie vytvoriť digitálne trhovisko. Trhovisko poskytuje katalóg služieb komerčných IT firiem, orgánom </w:t>
      </w:r>
      <w:r>
        <w:lastRenderedPageBreak/>
        <w:t>verejnej moci zjednodušuje kontakt s IT trhom. Trhovisko má pomôcť zapojiť sa vačičiemu okruhu vhodných dodávateľov externých služieb do verejného obstarávania a nakupujúcemu priniesť väčší počet cenových ponúk. Vo Veľkej Británii prispelo k výraznému zvýšeniu podielu IT služieb dodaných štátu malými a strednými dodávateľmi</w:t>
      </w:r>
      <w:r>
        <w:rPr>
          <w:rStyle w:val="Odkaznapoznmkupodiarou"/>
        </w:rPr>
        <w:footnoteReference w:id="20"/>
      </w:r>
      <w:r>
        <w:t>.</w:t>
      </w:r>
    </w:p>
    <w:tbl>
      <w:tblPr>
        <w:tblStyle w:val="Tabukasmriekou6farebnzvraznenie5"/>
        <w:tblW w:w="0" w:type="auto"/>
        <w:tblLook w:val="0420" w:firstRow="1" w:lastRow="0" w:firstColumn="0" w:lastColumn="0" w:noHBand="0" w:noVBand="1"/>
      </w:tblPr>
      <w:tblGrid>
        <w:gridCol w:w="9062"/>
      </w:tblGrid>
      <w:tr w:rsidR="005619AD" w:rsidRPr="00765192" w14:paraId="223F8E64" w14:textId="77777777" w:rsidTr="00BE655D">
        <w:trPr>
          <w:cnfStyle w:val="100000000000" w:firstRow="1" w:lastRow="0" w:firstColumn="0" w:lastColumn="0" w:oddVBand="0" w:evenVBand="0" w:oddHBand="0" w:evenHBand="0" w:firstRowFirstColumn="0" w:firstRowLastColumn="0" w:lastRowFirstColumn="0" w:lastRowLastColumn="0"/>
        </w:trPr>
        <w:tc>
          <w:tcPr>
            <w:tcW w:w="9062" w:type="dxa"/>
          </w:tcPr>
          <w:p w14:paraId="7B590C73" w14:textId="77777777" w:rsidR="005619AD" w:rsidRPr="00765192" w:rsidRDefault="005619AD">
            <w:pPr>
              <w:rPr>
                <w:sz w:val="20"/>
              </w:rPr>
            </w:pPr>
            <w:r>
              <w:rPr>
                <w:sz w:val="20"/>
              </w:rPr>
              <w:t>Box</w:t>
            </w:r>
            <w:r w:rsidRPr="00765192">
              <w:rPr>
                <w:sz w:val="20"/>
              </w:rPr>
              <w:t xml:space="preserve">: </w:t>
            </w:r>
            <w:r>
              <w:rPr>
                <w:sz w:val="20"/>
              </w:rPr>
              <w:t>Interné kapacity pri OP II projektoch</w:t>
            </w:r>
          </w:p>
        </w:tc>
      </w:tr>
      <w:tr w:rsidR="005619AD" w:rsidRPr="00765192" w14:paraId="7D7E3380" w14:textId="77777777" w:rsidTr="00BE655D">
        <w:trPr>
          <w:cnfStyle w:val="000000100000" w:firstRow="0" w:lastRow="0" w:firstColumn="0" w:lastColumn="0" w:oddVBand="0" w:evenVBand="0" w:oddHBand="1" w:evenHBand="0" w:firstRowFirstColumn="0" w:firstRowLastColumn="0" w:lastRowFirstColumn="0" w:lastRowLastColumn="0"/>
          <w:trHeight w:val="674"/>
        </w:trPr>
        <w:tc>
          <w:tcPr>
            <w:tcW w:w="9062" w:type="dxa"/>
          </w:tcPr>
          <w:p w14:paraId="7B465A7B" w14:textId="77777777" w:rsidR="00C03B72" w:rsidRDefault="00B11655" w:rsidP="00160503">
            <w:pPr>
              <w:spacing w:before="120" w:after="120"/>
              <w:rPr>
                <w:sz w:val="20"/>
              </w:rPr>
            </w:pPr>
            <w:r w:rsidRPr="00160503">
              <w:rPr>
                <w:sz w:val="20"/>
              </w:rPr>
              <w:t>Na vývoj softvéru</w:t>
            </w:r>
            <w:r w:rsidRPr="0054049C">
              <w:rPr>
                <w:sz w:val="20"/>
              </w:rPr>
              <w:t xml:space="preserve"> v OP II projektoch</w:t>
            </w:r>
            <w:r w:rsidRPr="00160503">
              <w:rPr>
                <w:sz w:val="20"/>
              </w:rPr>
              <w:t xml:space="preserve"> plánuje štát počas najbližších 2 rokov najať 585 externistov za 202 mil. eur. </w:t>
            </w:r>
            <w:r w:rsidR="00C03B72">
              <w:rPr>
                <w:sz w:val="20"/>
              </w:rPr>
              <w:t>Nie všetky činnosti je možné a efektívne vykonávať interne, istá miera outsourcingu vo verejnom IT je bežná aj v zahraničí</w:t>
            </w:r>
            <w:r w:rsidR="00C03B72">
              <w:rPr>
                <w:rStyle w:val="Odkaznapoznmkupodiarou"/>
                <w:sz w:val="20"/>
              </w:rPr>
              <w:footnoteReference w:id="21"/>
            </w:r>
            <w:r w:rsidR="00C03B72">
              <w:rPr>
                <w:sz w:val="20"/>
              </w:rPr>
              <w:t xml:space="preserve"> (celkovo na úrovni 30%, podiel sa líši v závislosti od aktivity). V OPII projektoch má byť i</w:t>
            </w:r>
            <w:r w:rsidR="00C03B72" w:rsidRPr="006F0313">
              <w:rPr>
                <w:sz w:val="20"/>
              </w:rPr>
              <w:t xml:space="preserve">nternými kapacitami dodaných len 6 % </w:t>
            </w:r>
            <w:r w:rsidR="00C03B72">
              <w:rPr>
                <w:sz w:val="20"/>
              </w:rPr>
              <w:t>prác</w:t>
            </w:r>
            <w:r w:rsidR="00C03B72" w:rsidRPr="006F0313">
              <w:rPr>
                <w:sz w:val="20"/>
              </w:rPr>
              <w:t>.</w:t>
            </w:r>
          </w:p>
          <w:p w14:paraId="550A1DD0" w14:textId="77777777" w:rsidR="0054049C" w:rsidRDefault="00B11655" w:rsidP="00160503">
            <w:pPr>
              <w:spacing w:before="120" w:after="120"/>
              <w:rPr>
                <w:sz w:val="20"/>
              </w:rPr>
            </w:pPr>
            <w:r w:rsidRPr="00160503">
              <w:rPr>
                <w:sz w:val="20"/>
              </w:rPr>
              <w:t>Celkové investičné náklady 30 IT projektov, ktoré boli pripravené podľa novej metodiky schválenej v auguste 2018 a schválené riadiacim výborom OP II, sú 290 mil. eur. Najväčšou položkou v rozpočtoch (spolu 206 mil. eur, 71 %) je vývoj vlastného softvéru na mieru. V projektoch je vývoj plánovaný v priemere na 2 roky, rozpočtovaný objem prác zodpovedá 585 zamestnancom na plný úväzok. Štát nemá vlastné kapacity na aktivity spojené s vývojom softvéru, služby plánuje nakúpiť od IT firiem na trhu. Interné kapacity na činnosti, ktoré nevyžadujú odborné IT znalosti (napr. administratívne práce, riadenie projektu, testovanie, digitalizácia materiálov), majú byť zapojené len pri 7 projektoch v objeme zodpovedajúcom 38 zamestnancom. Odborné IT činnosti (architekt, špecialista na dáta) plánuje interne zabezpečiť len 1 projekt.</w:t>
            </w:r>
          </w:p>
          <w:p w14:paraId="00269B98" w14:textId="77777777" w:rsidR="00A02F6B" w:rsidRDefault="00C03B72">
            <w:pPr>
              <w:spacing w:before="120" w:after="120"/>
            </w:pPr>
            <w:r>
              <w:rPr>
                <w:sz w:val="20"/>
              </w:rPr>
              <w:t>P</w:t>
            </w:r>
            <w:r w:rsidR="00B11655" w:rsidRPr="00160503">
              <w:rPr>
                <w:sz w:val="20"/>
              </w:rPr>
              <w:t xml:space="preserve">riemerná mesačná cena práce </w:t>
            </w:r>
            <w:r w:rsidR="0054049C">
              <w:rPr>
                <w:sz w:val="20"/>
              </w:rPr>
              <w:t>externistov</w:t>
            </w:r>
            <w:r w:rsidR="00B11655" w:rsidRPr="00160503">
              <w:rPr>
                <w:sz w:val="20"/>
              </w:rPr>
              <w:t xml:space="preserve"> je v 30 analyzovaných projektoch 14 167 eur</w:t>
            </w:r>
            <w:r w:rsidR="0054049C">
              <w:rPr>
                <w:sz w:val="20"/>
              </w:rPr>
              <w:t>. Úspora je možné dosiahnuť už lepším zapojením interných</w:t>
            </w:r>
            <w:r w:rsidR="00B11655" w:rsidRPr="00160503">
              <w:rPr>
                <w:sz w:val="20"/>
              </w:rPr>
              <w:t xml:space="preserve"> kapacít na ne-IT činnosti vo všetkých 30 projektoch (v 7 projektoch majú dodať v priemere </w:t>
            </w:r>
            <w:r>
              <w:rPr>
                <w:sz w:val="20"/>
              </w:rPr>
              <w:br/>
            </w:r>
            <w:r w:rsidR="00B11655" w:rsidRPr="00160503">
              <w:rPr>
                <w:sz w:val="20"/>
              </w:rPr>
              <w:t xml:space="preserve">22 % prác). Väčšou výzvou je budovanie vlastných IT kapacít, potenciálna úspora je však výrazne vyššia. </w:t>
            </w:r>
            <w:r w:rsidR="00A02F6B" w:rsidRPr="0054049C">
              <w:rPr>
                <w:sz w:val="20"/>
              </w:rPr>
              <w:t>Budovaním interných kapacít nezískava štát len priamu úsporu nákladov, ale aj lepšiu znalosť vlastných procesov a informačných systémov. To v budúcnosti umožňuje vykonávať časť prevádzky interne a lepšie odhadovať ceny externe prácnosť a ceny externe objednávaných služieb, najmä pri zmenových požiadavkách.</w:t>
            </w:r>
            <w:r w:rsidR="00A02F6B">
              <w:rPr>
                <w:sz w:val="20"/>
              </w:rPr>
              <w:t xml:space="preserve"> </w:t>
            </w:r>
          </w:p>
          <w:p w14:paraId="642BC054" w14:textId="77777777" w:rsidR="005619AD" w:rsidRPr="00765192" w:rsidRDefault="00B11655">
            <w:pPr>
              <w:spacing w:before="120" w:after="120"/>
              <w:rPr>
                <w:sz w:val="20"/>
              </w:rPr>
            </w:pPr>
            <w:r w:rsidRPr="00160503">
              <w:rPr>
                <w:sz w:val="20"/>
              </w:rPr>
              <w:t xml:space="preserve">Príklady ako vytvoriť vlastné interné kapacity ponúka zahraničie. Valtori ICT Center vo Fínsku alebo GDS vo Veľkej Britániinsú príkladmi štátnych inštitúcii, ktoré vlastnými kapacitami zabezpečujú IT služby ako vývoj softvéru, používateľský výskum alebo analýzu a návrh aplikácií. </w:t>
            </w:r>
          </w:p>
        </w:tc>
      </w:tr>
    </w:tbl>
    <w:p w14:paraId="6D8AADAF" w14:textId="77777777" w:rsidR="005B7DB4" w:rsidRDefault="005B7DB4" w:rsidP="00D644C7">
      <w:pPr>
        <w:pStyle w:val="Odsekzoznamu"/>
        <w:numPr>
          <w:ilvl w:val="0"/>
          <w:numId w:val="7"/>
        </w:numPr>
        <w:spacing w:before="120" w:after="120"/>
        <w:rPr>
          <w:b/>
        </w:rPr>
      </w:pPr>
      <w:r>
        <w:rPr>
          <w:b/>
        </w:rPr>
        <w:t xml:space="preserve">Opatrenie: </w:t>
      </w:r>
      <w:r w:rsidR="00D644C7" w:rsidRPr="00D644C7">
        <w:rPr>
          <w:b/>
        </w:rPr>
        <w:t xml:space="preserve">Zvýšiť efektivitu vynaložených finančných prostriedkov presunom výdavkov z externých služieb na interné kapacity. </w:t>
      </w:r>
      <w:r w:rsidR="00BE2440" w:rsidRPr="00BE2440">
        <w:rPr>
          <w:b/>
        </w:rPr>
        <w:t xml:space="preserve"> </w:t>
      </w:r>
    </w:p>
    <w:p w14:paraId="7C35F9E6" w14:textId="77777777" w:rsidR="00BE2440" w:rsidRDefault="005B7DB4" w:rsidP="00D644C7">
      <w:pPr>
        <w:pStyle w:val="Odsekzoznamu"/>
        <w:numPr>
          <w:ilvl w:val="0"/>
          <w:numId w:val="7"/>
        </w:numPr>
        <w:rPr>
          <w:b/>
        </w:rPr>
      </w:pPr>
      <w:r w:rsidRPr="00BE2440">
        <w:rPr>
          <w:b/>
        </w:rPr>
        <w:t xml:space="preserve">Opatrenie: </w:t>
      </w:r>
      <w:r w:rsidR="00D644C7" w:rsidRPr="00D644C7">
        <w:rPr>
          <w:b/>
        </w:rPr>
        <w:t>Zrealizovať pilotný projekt na  overenie efektívnosti interného výkonu IT služieb.</w:t>
      </w:r>
    </w:p>
    <w:p w14:paraId="3DC0D8FA" w14:textId="77777777" w:rsidR="002F6853" w:rsidRDefault="000C5632" w:rsidP="004F1EF6">
      <w:pPr>
        <w:spacing w:before="120"/>
      </w:pPr>
      <w:bookmarkStart w:id="64" w:name="_Toc35602760"/>
      <w:r w:rsidRPr="00FF57B7">
        <w:rPr>
          <w:rStyle w:val="Nadpis3Char"/>
        </w:rPr>
        <w:t xml:space="preserve">Revízia procesu </w:t>
      </w:r>
      <w:r w:rsidR="00E62076">
        <w:rPr>
          <w:rStyle w:val="Nadpis3Char"/>
        </w:rPr>
        <w:t>výberu a schvaľovania</w:t>
      </w:r>
      <w:r w:rsidR="00E62076" w:rsidRPr="00FF57B7">
        <w:rPr>
          <w:rStyle w:val="Nadpis3Char"/>
        </w:rPr>
        <w:t xml:space="preserve"> </w:t>
      </w:r>
      <w:r w:rsidRPr="00FF57B7">
        <w:rPr>
          <w:rStyle w:val="Nadpis3Char"/>
        </w:rPr>
        <w:t>projektov</w:t>
      </w:r>
      <w:bookmarkEnd w:id="64"/>
      <w:r>
        <w:rPr>
          <w:b/>
        </w:rPr>
        <w:t xml:space="preserve">. </w:t>
      </w:r>
      <w:r>
        <w:t>Súčasný proces nevedie systematicky k preferencii projektov, ktoré prinášajú najvyššiu hodnotu za peniaze a minimalizujú riziko, že</w:t>
      </w:r>
      <w:r w:rsidR="007B26E9">
        <w:t xml:space="preserve"> reálne výsledky budú odlišné od pôvodných očakávaní. Úpravou procesu je možné už v skorej fáze identifikovať projekty, ktoré prinášajú používateľom najvyššiu hodnotu, šetria najviac času a finančných prostriedkov a označiť rizikové projekty, ktoré je potrebné pred realizáciou dopracovať</w:t>
      </w:r>
      <w:r w:rsidR="00A24059">
        <w:t xml:space="preserve"> (viac kapitola 5)</w:t>
      </w:r>
      <w:r w:rsidR="007B26E9">
        <w:t xml:space="preserve">. </w:t>
      </w:r>
    </w:p>
    <w:p w14:paraId="2A50C25E" w14:textId="77777777" w:rsidR="00037A70" w:rsidRPr="00EA43F7" w:rsidRDefault="004476C4" w:rsidP="00D644C7">
      <w:pPr>
        <w:pStyle w:val="Odsekzoznamu"/>
        <w:numPr>
          <w:ilvl w:val="0"/>
          <w:numId w:val="8"/>
        </w:numPr>
        <w:spacing w:before="120"/>
      </w:pPr>
      <w:r>
        <w:rPr>
          <w:b/>
        </w:rPr>
        <w:t xml:space="preserve">Opatrenie: </w:t>
      </w:r>
      <w:r w:rsidR="00D644C7" w:rsidRPr="00D644C7">
        <w:rPr>
          <w:b/>
        </w:rPr>
        <w:t>Vo vyhláške o projektovom riadení zaviesť pilotné overenie navrhovaného konceptu do iniciačnej fázy projektového riadenia.</w:t>
      </w:r>
    </w:p>
    <w:p w14:paraId="773D57ED" w14:textId="6692B39A" w:rsidR="00672E11" w:rsidRDefault="00672E11" w:rsidP="00672E11">
      <w:pPr>
        <w:spacing w:before="120"/>
      </w:pPr>
      <w:bookmarkStart w:id="65" w:name="_Toc35602761"/>
      <w:r w:rsidRPr="001E3AD2">
        <w:rPr>
          <w:rStyle w:val="Nadpis3Char"/>
        </w:rPr>
        <w:t>Realizáciu projektov prioritizovať podľa pomeru prínosov a nákladov</w:t>
      </w:r>
      <w:bookmarkEnd w:id="65"/>
      <w:r w:rsidRPr="00CC5285">
        <w:rPr>
          <w:b/>
        </w:rPr>
        <w:t xml:space="preserve">. </w:t>
      </w:r>
      <w:r w:rsidRPr="00765192">
        <w:t xml:space="preserve">Pri realizácii projektov si musí byť štát istý, že za vynaložené prostriedky získava najvyššiu hodnotu za peniaze. </w:t>
      </w:r>
      <w:r w:rsidR="00307BD9" w:rsidRPr="00307BD9">
        <w:t xml:space="preserve">Pri projektoch z fondov EÚ na schválenie </w:t>
      </w:r>
      <w:r w:rsidR="00E22421">
        <w:t xml:space="preserve">často </w:t>
      </w:r>
      <w:r w:rsidR="00307BD9" w:rsidRPr="00307BD9">
        <w:t>postačuje súlad s cieľmi operačného programu, cieľmi a architektonickými princípmi NKIVS a pomer prínosov a nákladov vyšší ako jeden, pri financovaní zo štátneho rozpočtu sú požiadavky ešte nižšie.</w:t>
      </w:r>
      <w:r w:rsidR="009D0D8D">
        <w:t xml:space="preserve"> Prioritizácia projektov podľa </w:t>
      </w:r>
      <w:r w:rsidR="0037129E">
        <w:t>návratnosti</w:t>
      </w:r>
      <w:r w:rsidR="00526055">
        <w:t xml:space="preserve"> </w:t>
      </w:r>
      <w:r w:rsidR="009D0D8D">
        <w:t>je nevyhnutná nielen pre zvýšenie hodnoty za peniaze</w:t>
      </w:r>
      <w:r w:rsidR="0022246F">
        <w:t xml:space="preserve"> (identifikovaný problém/príležitosť sa riešia najefektívnejším spôsobom)</w:t>
      </w:r>
      <w:r w:rsidR="009D0D8D">
        <w:t>, ale aj pre efektívne fungovanie štátneho IT</w:t>
      </w:r>
      <w:r w:rsidR="0022246F">
        <w:t xml:space="preserve"> (prioritne sa </w:t>
      </w:r>
      <w:r w:rsidR="00C84102">
        <w:t>investuje do projektov, ktoré prinášajú najväčšie zlepšenia</w:t>
      </w:r>
      <w:r w:rsidR="0022246F">
        <w:t>)</w:t>
      </w:r>
      <w:r w:rsidR="009D0D8D">
        <w:t>.</w:t>
      </w:r>
      <w:r w:rsidR="00307BD9" w:rsidRPr="00307BD9">
        <w:t xml:space="preserve"> </w:t>
      </w:r>
      <w:r w:rsidRPr="00765192">
        <w:t>Alokáciu finančných prostriedkov na projekt</w:t>
      </w:r>
      <w:r w:rsidR="00CB1496">
        <w:t>y v zásobníku</w:t>
      </w:r>
      <w:r w:rsidRPr="00765192">
        <w:t xml:space="preserve"> je preto potrebné prioritizovať na základe ekonomickej efektívnosti. </w:t>
      </w:r>
      <w:r w:rsidR="007F2EE5" w:rsidRPr="00765192">
        <w:t>Realizovan</w:t>
      </w:r>
      <w:r w:rsidR="007F2EE5">
        <w:t>é</w:t>
      </w:r>
      <w:r w:rsidR="007F2EE5" w:rsidRPr="00765192">
        <w:t xml:space="preserve"> </w:t>
      </w:r>
      <w:r w:rsidRPr="00765192">
        <w:t>sú riešenia s najvyšším pomerom prínosov a nákladov (BCR).</w:t>
      </w:r>
    </w:p>
    <w:p w14:paraId="07631FC1" w14:textId="77777777" w:rsidR="00C84102" w:rsidRDefault="00C84102" w:rsidP="00672E11">
      <w:pPr>
        <w:spacing w:before="120"/>
      </w:pPr>
      <w:r>
        <w:rPr>
          <w:b/>
        </w:rPr>
        <w:t>Zo zásobníka projektov je potrebné vytvoriť investičný plán</w:t>
      </w:r>
      <w:r w:rsidR="00463DA9">
        <w:rPr>
          <w:b/>
        </w:rPr>
        <w:t xml:space="preserve"> zahrňujúci všetky investície do IT.</w:t>
      </w:r>
      <w:r w:rsidR="00463DA9">
        <w:t xml:space="preserve"> Časť IT projektov je evidovaná vo verejne dostupnom zásobníku</w:t>
      </w:r>
      <w:r w:rsidR="00463DA9">
        <w:rPr>
          <w:rStyle w:val="Odkaznapoznmkupodiarou"/>
        </w:rPr>
        <w:footnoteReference w:id="22"/>
      </w:r>
      <w:r w:rsidR="00463DA9">
        <w:t xml:space="preserve">. Pre projekty spolufinancované zo zdrojov EÚ sú v ňom </w:t>
      </w:r>
      <w:r w:rsidR="00463DA9">
        <w:lastRenderedPageBreak/>
        <w:t>uvedené základné informácie o projekte, ciele a </w:t>
      </w:r>
      <w:r w:rsidR="00731C01">
        <w:t xml:space="preserve">stav projektu a </w:t>
      </w:r>
      <w:r w:rsidR="00463DA9">
        <w:t xml:space="preserve">odkazy na dokumentáciu. </w:t>
      </w:r>
      <w:r w:rsidR="00731C01">
        <w:t>Investície financované</w:t>
      </w:r>
      <w:r w:rsidR="00463DA9">
        <w:t xml:space="preserve"> </w:t>
      </w:r>
      <w:r w:rsidR="00731C01">
        <w:t xml:space="preserve">zo štátneho rozpočtu nie sú v zásobníku evidované. Kvalitný zásobník slúži okrem evidencie zoznamu a stavu projektov aj ako investičný plán. Na to je potrebné rozšíriť existujúci zásobník o všetky plánované investície, nie len projekty z EÚ fondov, doplniť o harmonogram prípravy podľa priority a zosúladiť  ho s rozpočtovými možnosťami. </w:t>
      </w:r>
    </w:p>
    <w:p w14:paraId="00C5DDF3" w14:textId="77777777" w:rsidR="00C84102" w:rsidRDefault="00C84102" w:rsidP="00672E11">
      <w:pPr>
        <w:spacing w:before="120" w:after="120"/>
      </w:pPr>
      <w:r>
        <w:t>Existujúci zásobník projektov je tak potrebné doplniť o harmonogram prípravy podľa priority a zosúladiť s rozpočtovými možnosťami. Zásobník sa zároveň rozšíri o všetky plánované investície, nie len projekty z EÚ fondov.</w:t>
      </w:r>
    </w:p>
    <w:p w14:paraId="41E0548C" w14:textId="77777777" w:rsidR="00672E11" w:rsidRPr="00765192" w:rsidRDefault="00672E11" w:rsidP="00D644C7">
      <w:pPr>
        <w:pStyle w:val="Odsekzoznamu"/>
        <w:numPr>
          <w:ilvl w:val="0"/>
          <w:numId w:val="8"/>
        </w:numPr>
      </w:pPr>
      <w:r>
        <w:rPr>
          <w:b/>
        </w:rPr>
        <w:t xml:space="preserve">Opatrenie: </w:t>
      </w:r>
      <w:r w:rsidR="00D644C7" w:rsidRPr="00D644C7">
        <w:rPr>
          <w:b/>
        </w:rPr>
        <w:t>Evidovať stav projektov, zmenových požiadaviek a nových SLA, ktoré pokrývajú min. 80% verejných výdavkov na IT, v MetaIS s napojením na rozpočet.</w:t>
      </w:r>
    </w:p>
    <w:p w14:paraId="56184B36" w14:textId="20E11C51" w:rsidR="00CB13F5" w:rsidRPr="002B24D5" w:rsidRDefault="007F2EE5" w:rsidP="00832E56">
      <w:pPr>
        <w:spacing w:before="120"/>
        <w:rPr>
          <w:rStyle w:val="Nadpis3Char"/>
          <w:b w:val="0"/>
        </w:rPr>
      </w:pPr>
      <w:bookmarkStart w:id="66" w:name="_Toc35602762"/>
      <w:r w:rsidRPr="00A115E4">
        <w:rPr>
          <w:rStyle w:val="Nadpis3Char"/>
        </w:rPr>
        <w:t xml:space="preserve">Zavedenie </w:t>
      </w:r>
      <w:r w:rsidR="00E22421">
        <w:rPr>
          <w:rStyle w:val="Nadpis3Char"/>
        </w:rPr>
        <w:t>iteratívneho</w:t>
      </w:r>
      <w:r w:rsidR="00E22421" w:rsidRPr="00A115E4">
        <w:rPr>
          <w:rStyle w:val="Nadpis3Char"/>
        </w:rPr>
        <w:t xml:space="preserve"> </w:t>
      </w:r>
      <w:r w:rsidRPr="00A115E4">
        <w:rPr>
          <w:rStyle w:val="Nadpis3Char"/>
        </w:rPr>
        <w:t>riadenia IT projektov.</w:t>
      </w:r>
      <w:bookmarkEnd w:id="66"/>
      <w:r>
        <w:t xml:space="preserve"> </w:t>
      </w:r>
      <w:r w:rsidR="00CB13F5" w:rsidRPr="00A115E4">
        <w:t xml:space="preserve">Riadenie štátnych IT projektov nezohľadňuje sektorové špecifiká. Preferujú sa tradičné metódy riadenia, ktoré vyžadujú vopred detailne špecifikovať vytvárané dielo a minimalizujú riziko odchýlky od projektovej dokumentácie. </w:t>
      </w:r>
      <w:r w:rsidR="00CB13F5">
        <w:t>Požiadavky na digitálne služby sa v čase menia a  efektívna realizácia projektov vyžaduje metódy riadenia, ktoré umožňujú vytvárané dielo priebežne upravovať. Namiesto realizovania niekoľkých veľkých projektov, ktoré majú priniesť skokové zlepšenie súčasného stavu, je v IT preferované kontinuálne zlepšovanie služieb v menších celkoch a úprav</w:t>
      </w:r>
      <w:r w:rsidR="002121D4">
        <w:t>y</w:t>
      </w:r>
      <w:r w:rsidR="00CB13F5">
        <w:t xml:space="preserve"> na základe spätnej väzby od používateľov</w:t>
      </w:r>
      <w:r w:rsidR="00CB13F5">
        <w:rPr>
          <w:rStyle w:val="Odkaznapoznmkupodiarou"/>
        </w:rPr>
        <w:footnoteReference w:id="23"/>
      </w:r>
      <w:r w:rsidR="00CB13F5">
        <w:t xml:space="preserve">. </w:t>
      </w:r>
    </w:p>
    <w:p w14:paraId="7D0A3F70" w14:textId="154C9A51" w:rsidR="00832E56" w:rsidRDefault="00832E56" w:rsidP="00832E56">
      <w:r>
        <w:t>Riešením je zavedenie agilného spôsobu riadenia, ktoré adresuje špecifické oblasti  potrebné na efektívny rozvoj digitálnych služieb. Najmä nahradenie veľkých jednorazových projektov, ktorých implementácia trvá niekoľko rokov, priebežným zlepšovaním služieb na základe informácií získavaných pri ich reálnom používaní.  Práca na systéme nekončí odovzdaním vytvoreného diela, celý proces zberu spätnej väzby a úpravy systému pokračuje počas jeho životnosti. Dlhodobým cieľom je prechod od jednorazových projektov, ktoré majú priniesť skokové zlepšenie raz za niekoľko rokov, k priebežnému zlepšovaniu IT služieb.</w:t>
      </w:r>
      <w:r w:rsidR="00846AB5">
        <w:t xml:space="preserve"> </w:t>
      </w:r>
    </w:p>
    <w:p w14:paraId="220F550A" w14:textId="306D3A42" w:rsidR="00E22421" w:rsidRDefault="00832E56" w:rsidP="00832E56">
      <w:r w:rsidRPr="00B3032B">
        <w:t>Nutnou súčasťou zmeny riadenia projektov je zmena spôsobu ich obstarávania</w:t>
      </w:r>
      <w:r w:rsidR="00E22421">
        <w:t xml:space="preserve"> a prispôsobenie možností financovania, najmä zo zdrojov EÚ</w:t>
      </w:r>
      <w:r w:rsidRPr="00B3032B">
        <w:t xml:space="preserve">. </w:t>
      </w:r>
      <w:r w:rsidR="00E22421">
        <w:t xml:space="preserve">Prvým krokom je zavedenie iteratívneho vývoja IT systémov. </w:t>
      </w:r>
      <w:r w:rsidR="00846AB5">
        <w:t xml:space="preserve">Testovanie predpokladov a zapracovanie spätnej väzby je realizovaná na začiatku projektu namiesto na konci, kedy už podstatná časť diela vytvorená a možnosti na úpravu sú obmedzené. Druhým krokom je zavedenie tzv. inkrementálneho vývoja, pri ktorom sú priebežne vytvárané a používateľom sprístupňované menšie funkčné celky. Okrem šetrenia prostriedkov z lepšej kontroly vývoja tým dochádza v väčšej orientácií na potreby používateľa, nie na možnosti programátora.  </w:t>
      </w:r>
    </w:p>
    <w:p w14:paraId="1FE8B406" w14:textId="77777777" w:rsidR="00832E56" w:rsidRDefault="00832E56" w:rsidP="00832E56">
      <w:r>
        <w:t>Na skokovú zmenu z vodopádového riadenia IT projektov na agilné dnes nie sú prispôsobené procesy prípravy investícií, ani nákupu IT služieb a tovarov. Zmena vyžaduje spracovanie metodík, podľa ktorým majú úrady postupovať, úpravu procesov a zaškolenie interných zamestnancov.</w:t>
      </w:r>
      <w:r w:rsidR="00000DA9">
        <w:t xml:space="preserve"> </w:t>
      </w:r>
      <w:r w:rsidR="005A201D">
        <w:t>Za účelom implementovania zmien plánuje ÚPVII vytvoriť role produktových manažérov</w:t>
      </w:r>
      <w:r w:rsidR="00EF51A2">
        <w:t xml:space="preserve">, </w:t>
      </w:r>
      <w:r w:rsidR="005A201D">
        <w:t xml:space="preserve">ktorých úlohou bude pri zverených IT službách a produktoch aplikovať postupy iteratívneho a agilného rozvoja do praxe. </w:t>
      </w:r>
    </w:p>
    <w:p w14:paraId="3D4EFE2E" w14:textId="5A52B2BF" w:rsidR="00832E56" w:rsidRPr="008C5034" w:rsidRDefault="00832E56" w:rsidP="00D644C7">
      <w:pPr>
        <w:pStyle w:val="Odsekzoznamu"/>
        <w:numPr>
          <w:ilvl w:val="0"/>
          <w:numId w:val="8"/>
        </w:numPr>
        <w:spacing w:before="120"/>
        <w:rPr>
          <w:b/>
        </w:rPr>
      </w:pPr>
      <w:r w:rsidRPr="007A0004">
        <w:rPr>
          <w:b/>
        </w:rPr>
        <w:t xml:space="preserve">Opatrenie: </w:t>
      </w:r>
      <w:r w:rsidR="00D644C7" w:rsidRPr="00D644C7">
        <w:rPr>
          <w:b/>
        </w:rPr>
        <w:t xml:space="preserve">Pripraviť metodiku verejného obstarávania pre agilný </w:t>
      </w:r>
      <w:r w:rsidR="00846AB5">
        <w:rPr>
          <w:b/>
        </w:rPr>
        <w:t>vývoj</w:t>
      </w:r>
      <w:r w:rsidR="00D644C7" w:rsidRPr="00D644C7">
        <w:rPr>
          <w:b/>
        </w:rPr>
        <w:t>.</w:t>
      </w:r>
    </w:p>
    <w:p w14:paraId="1A7A06CD" w14:textId="77777777" w:rsidR="00832E56" w:rsidRPr="00053D61" w:rsidRDefault="00832E56" w:rsidP="00D644C7">
      <w:pPr>
        <w:pStyle w:val="Odsekzoznamu"/>
        <w:numPr>
          <w:ilvl w:val="0"/>
          <w:numId w:val="8"/>
        </w:numPr>
        <w:spacing w:before="120"/>
      </w:pPr>
      <w:r>
        <w:rPr>
          <w:b/>
        </w:rPr>
        <w:t xml:space="preserve">Opatrenie: </w:t>
      </w:r>
      <w:r w:rsidR="00D644C7" w:rsidRPr="00D644C7">
        <w:rPr>
          <w:b/>
        </w:rPr>
        <w:t>Zaviesť agilný produktový manažment v podmienkach eGOV.</w:t>
      </w:r>
      <w:r w:rsidR="000A7055" w:rsidRPr="000A7055" w:rsidDel="000A7055">
        <w:rPr>
          <w:b/>
        </w:rPr>
        <w:t xml:space="preserve"> </w:t>
      </w:r>
    </w:p>
    <w:tbl>
      <w:tblPr>
        <w:tblStyle w:val="Tabukasmriekou6farebnzvraznenie5"/>
        <w:tblW w:w="0" w:type="auto"/>
        <w:tblLook w:val="0420" w:firstRow="1" w:lastRow="0" w:firstColumn="0" w:lastColumn="0" w:noHBand="0" w:noVBand="1"/>
      </w:tblPr>
      <w:tblGrid>
        <w:gridCol w:w="9062"/>
      </w:tblGrid>
      <w:tr w:rsidR="00832E56" w:rsidRPr="00765192" w14:paraId="4771A14D" w14:textId="77777777" w:rsidTr="00786C98">
        <w:trPr>
          <w:cnfStyle w:val="100000000000" w:firstRow="1" w:lastRow="0" w:firstColumn="0" w:lastColumn="0" w:oddVBand="0" w:evenVBand="0" w:oddHBand="0" w:evenHBand="0" w:firstRowFirstColumn="0" w:firstRowLastColumn="0" w:lastRowFirstColumn="0" w:lastRowLastColumn="0"/>
        </w:trPr>
        <w:tc>
          <w:tcPr>
            <w:tcW w:w="9062" w:type="dxa"/>
          </w:tcPr>
          <w:p w14:paraId="5663A304" w14:textId="77777777" w:rsidR="00832E56" w:rsidRPr="00765192" w:rsidRDefault="00832E56" w:rsidP="00485D53">
            <w:pPr>
              <w:rPr>
                <w:sz w:val="20"/>
              </w:rPr>
            </w:pPr>
            <w:r>
              <w:rPr>
                <w:sz w:val="20"/>
              </w:rPr>
              <w:t>Box</w:t>
            </w:r>
            <w:r w:rsidRPr="00765192">
              <w:rPr>
                <w:sz w:val="20"/>
              </w:rPr>
              <w:t xml:space="preserve">: </w:t>
            </w:r>
            <w:r w:rsidRPr="00B3032B">
              <w:rPr>
                <w:sz w:val="20"/>
              </w:rPr>
              <w:t>Agilné riadenie IT projektov v zahraničí</w:t>
            </w:r>
          </w:p>
        </w:tc>
      </w:tr>
      <w:tr w:rsidR="00832E56" w:rsidRPr="00765192" w14:paraId="336D48C9" w14:textId="77777777" w:rsidTr="00786C98">
        <w:trPr>
          <w:cnfStyle w:val="000000100000" w:firstRow="0" w:lastRow="0" w:firstColumn="0" w:lastColumn="0" w:oddVBand="0" w:evenVBand="0" w:oddHBand="1" w:evenHBand="0" w:firstRowFirstColumn="0" w:firstRowLastColumn="0" w:lastRowFirstColumn="0" w:lastRowLastColumn="0"/>
          <w:trHeight w:val="674"/>
        </w:trPr>
        <w:tc>
          <w:tcPr>
            <w:tcW w:w="9062" w:type="dxa"/>
          </w:tcPr>
          <w:p w14:paraId="6D45E06F" w14:textId="77777777" w:rsidR="00832E56" w:rsidRPr="00B3032B" w:rsidRDefault="00832E56" w:rsidP="00786C98">
            <w:pPr>
              <w:spacing w:before="120" w:after="120"/>
              <w:rPr>
                <w:sz w:val="20"/>
              </w:rPr>
            </w:pPr>
            <w:r w:rsidRPr="00B3032B">
              <w:rPr>
                <w:sz w:val="20"/>
              </w:rPr>
              <w:t xml:space="preserve">Agilné riadenie projektov a rozvoja IT služieb, dlhodobo používané súkromným sektorom, sa stáva bežným štandardnom aj vo verejnom sektore. Príkladom sú krajiny ako Veľká Británia, USA alebo Estónsko. </w:t>
            </w:r>
          </w:p>
          <w:p w14:paraId="2CBFFDE2" w14:textId="77777777" w:rsidR="00832E56" w:rsidRPr="00B3032B" w:rsidRDefault="00832E56" w:rsidP="00786C98">
            <w:pPr>
              <w:spacing w:before="120" w:after="120"/>
              <w:rPr>
                <w:sz w:val="20"/>
              </w:rPr>
            </w:pPr>
            <w:r w:rsidRPr="00B3032B">
              <w:rPr>
                <w:sz w:val="20"/>
              </w:rPr>
              <w:t xml:space="preserve">Veľká Británia vyžaduje využitie agilných metód pri budovaní a prevádzkovaní všetkých digitálnych vládnych služieb. Agilným spôsobom je riadený aj rozvoj a prevádzka hlavného informačného miesta na získavanie informácii o verejných službách, portálu GOV.UK. Portál poskytuje informácie pôvodne dostupné len cez individuálne weby inštitúcii a úradov na jednom mieste. </w:t>
            </w:r>
          </w:p>
          <w:p w14:paraId="5C7B8ECE" w14:textId="77777777" w:rsidR="00832E56" w:rsidRPr="00B3032B" w:rsidRDefault="00832E56" w:rsidP="00786C98">
            <w:pPr>
              <w:spacing w:before="120" w:after="120"/>
              <w:rPr>
                <w:sz w:val="20"/>
              </w:rPr>
            </w:pPr>
            <w:r w:rsidRPr="00B3032B">
              <w:rPr>
                <w:sz w:val="20"/>
              </w:rPr>
              <w:lastRenderedPageBreak/>
              <w:t xml:space="preserve">Prevádzku a rozvoj portálu zabezpečuje od jeho vzniku v roku 2011 interný tím GDS (Government Digital Services).  Pri budovaní sa od začiatku počítalo s využitím agilných metód. </w:t>
            </w:r>
          </w:p>
          <w:p w14:paraId="0B226E86" w14:textId="77777777" w:rsidR="00832E56" w:rsidRPr="00B3032B" w:rsidRDefault="00832E56" w:rsidP="00786C98">
            <w:pPr>
              <w:spacing w:before="120" w:after="120"/>
              <w:rPr>
                <w:sz w:val="20"/>
              </w:rPr>
            </w:pPr>
            <w:r w:rsidRPr="00B3032B">
              <w:rPr>
                <w:sz w:val="20"/>
              </w:rPr>
              <w:t xml:space="preserve">V pilotnej „alfa“ fáze bola počas 12 týždňov vytvorená prvá verzia produktu (tzv. Minimal viable produt) s rozpočtom 261 tis. GBP. Alfa produkt slúžil na prezentáciu navrhovaného konceptu pomocou reálneho produktu, nie štúdie uskutočniteľnosti. </w:t>
            </w:r>
          </w:p>
          <w:p w14:paraId="42F6BD8E" w14:textId="77777777" w:rsidR="00832E56" w:rsidRPr="00B3032B" w:rsidRDefault="00832E56" w:rsidP="00786C98">
            <w:pPr>
              <w:spacing w:before="120" w:after="120"/>
              <w:rPr>
                <w:sz w:val="20"/>
              </w:rPr>
            </w:pPr>
            <w:r w:rsidRPr="00B3032B">
              <w:rPr>
                <w:sz w:val="20"/>
              </w:rPr>
              <w:t xml:space="preserve">Po schválení nasledovala „beta“ fáza, ktorá ďalej rozvíjala pôvodne prezentovaný koncept. Hlavými cieľmi bolo verejne otestovať nový web poskytujúci informácie občanom, interne otestovať novú publikačnú platformu pre zamestnancov spravujúcich obsah na gov.uk a zadefinovať dizajnový a používateľský jazyk pre nový web. Pri spustení v roku 2012 zahŕňala webstránka nástroj na zber spätnej väzby od používateľov. </w:t>
            </w:r>
          </w:p>
          <w:p w14:paraId="0ED2D73E" w14:textId="77777777" w:rsidR="00832E56" w:rsidRPr="00B3032B" w:rsidRDefault="00832E56" w:rsidP="00786C98">
            <w:pPr>
              <w:spacing w:before="120" w:after="120"/>
              <w:rPr>
                <w:sz w:val="20"/>
              </w:rPr>
            </w:pPr>
            <w:r w:rsidRPr="00B3032B">
              <w:rPr>
                <w:sz w:val="20"/>
              </w:rPr>
              <w:t>Do pilotného testovania boli zapojení zamestnanci 10 úradov a 2 produkty – webová stránka pre verejnosť a publikačná platforma. Počas 10 týždňovej prevádzky bola priebežne zberaná spätná väzba pri použití produktov a uskutočnených viacero používateľských testov.</w:t>
            </w:r>
          </w:p>
          <w:p w14:paraId="49981328" w14:textId="77777777" w:rsidR="00832E56" w:rsidRPr="00B3032B" w:rsidRDefault="00832E56" w:rsidP="00786C98">
            <w:pPr>
              <w:spacing w:before="120" w:after="120"/>
              <w:rPr>
                <w:sz w:val="20"/>
              </w:rPr>
            </w:pPr>
            <w:r w:rsidRPr="00B3032B">
              <w:rPr>
                <w:sz w:val="20"/>
              </w:rPr>
              <w:t>Pri web stránke poukázali výsledky napríklad na problematické fungovanie v niektorých webových prehliadačoch, nekonzistentnú navigáciu, alebo rozdielnu štruktúru podstránok jednotlivých ministerstiev. Zatiaľ čo väčšina užívateľov dokázala nájsť všeobecné informácie relatívne bez problémov, pri jednej z úloh viažucej sa na hľadanie konkrétnych informácii bolo až 67 % používateľov neúspešných. Dokončenie úloh, ktorých zložitosť bola na prvý pohľad porovnateľná, zabralo výrazne rozdielne množstvo času, od 132 do 252 sekúnd. Aplikovanie agilných metód umožnilo na základe získaných výsledkov a testov zapracovávať zmeny na dennej báze a odstrániť chyby, ktoré by boli pri tradičných metódach viditeľné až po spustení finálneho produktu.</w:t>
            </w:r>
          </w:p>
          <w:p w14:paraId="6A23B0C2" w14:textId="77777777" w:rsidR="00832E56" w:rsidRDefault="00832E56" w:rsidP="00786C98">
            <w:pPr>
              <w:spacing w:before="120" w:after="120"/>
              <w:rPr>
                <w:sz w:val="20"/>
              </w:rPr>
            </w:pPr>
            <w:r w:rsidRPr="00B3032B">
              <w:rPr>
                <w:sz w:val="20"/>
              </w:rPr>
              <w:t>Pri publikačnej platforme bolo medzi zamestnancami 6 oddelení spravujúcich obsah otestovaných 5 rozdielnych softvérových produktov. Jednou z hlavných úloh bolo overiť, či, resp. v ktorých častiach, môže nasadenie novej platformy zlepšiť správu obsahu v porovnaní s dnes používaným softvérom. Analyzovaním výsledkov 5 testov (čas potrebný na prihlásenie, publikovanie a odstránenie PDF súboru, zmena kontaktných údajov, úprava textu publikovaného na webe). Splnenie úloh trvalo pri použití novej beta platformy kratšie, ako pri použití existujúceho softvéru, čo potvrdilo vhodnosť pôvodného zámeru a umožnilo poukázať, v ktorých oblastiach je najväčší priestor na zlepšenie.</w:t>
            </w:r>
          </w:p>
          <w:p w14:paraId="7640EA66" w14:textId="77777777" w:rsidR="00C865F4" w:rsidRPr="00A115E4" w:rsidRDefault="00D76F21" w:rsidP="00EA43F7">
            <w:pPr>
              <w:spacing w:before="120" w:after="120"/>
              <w:rPr>
                <w:i/>
                <w:highlight w:val="yellow"/>
              </w:rPr>
            </w:pPr>
            <w:r>
              <w:rPr>
                <w:sz w:val="20"/>
              </w:rPr>
              <w:t>Okrem spracovania metodík a pilotnej aplikácie agilného prístupu vo vlastných projektoch prevádzkuje GDS aj tzv. „</w:t>
            </w:r>
            <w:r w:rsidRPr="00D76F21">
              <w:rPr>
                <w:sz w:val="20"/>
              </w:rPr>
              <w:t>GDS Academy</w:t>
            </w:r>
            <w:r>
              <w:rPr>
                <w:sz w:val="20"/>
              </w:rPr>
              <w:t xml:space="preserve">“, ktorá poskytuje kurzy a školenia pracovníkom verejnej správy. </w:t>
            </w:r>
            <w:r w:rsidR="00E44583">
              <w:rPr>
                <w:sz w:val="20"/>
              </w:rPr>
              <w:t xml:space="preserve">Cieľom je budovať kvalifikované interné kapacity </w:t>
            </w:r>
            <w:r w:rsidR="006460D6">
              <w:rPr>
                <w:sz w:val="20"/>
              </w:rPr>
              <w:t>so znalosťami moderných spôsobov rozvoja</w:t>
            </w:r>
            <w:r w:rsidR="00E44583">
              <w:rPr>
                <w:sz w:val="20"/>
              </w:rPr>
              <w:t xml:space="preserve"> digitálnych služieb. </w:t>
            </w:r>
            <w:r>
              <w:rPr>
                <w:sz w:val="20"/>
              </w:rPr>
              <w:t xml:space="preserve"> Kurzy sú zamerané na osvojenie zručností potrebných na agilné riadenie projektov a pribežne sú dopĺňané o nové témy aktuálne pre rozvoj štátneho IT (napr. </w:t>
            </w:r>
            <w:r w:rsidR="00E44583">
              <w:rPr>
                <w:sz w:val="20"/>
              </w:rPr>
              <w:t>umelá inteligencia vo verejnej správe, alebo používateľsky orientovaný dizajn). Od svojho vzniku pred 5 rokmi prešlo školeniami 10,000 ľudí.</w:t>
            </w:r>
          </w:p>
        </w:tc>
      </w:tr>
    </w:tbl>
    <w:p w14:paraId="028E1912" w14:textId="77777777" w:rsidR="001C2C81" w:rsidRDefault="00913404" w:rsidP="0037129E">
      <w:pPr>
        <w:spacing w:before="240"/>
      </w:pPr>
      <w:bookmarkStart w:id="67" w:name="_Toc35602763"/>
      <w:r>
        <w:rPr>
          <w:rStyle w:val="Nadpis3Char"/>
        </w:rPr>
        <w:lastRenderedPageBreak/>
        <w:t>Implementovať a v</w:t>
      </w:r>
      <w:r w:rsidR="002F6853" w:rsidRPr="00FF57B7">
        <w:rPr>
          <w:rStyle w:val="Nadpis3Char"/>
        </w:rPr>
        <w:t xml:space="preserve">erejne </w:t>
      </w:r>
      <w:r>
        <w:rPr>
          <w:rStyle w:val="Nadpis3Char"/>
        </w:rPr>
        <w:t>odpočtovať</w:t>
      </w:r>
      <w:r w:rsidR="002F6853" w:rsidRPr="00FF57B7">
        <w:rPr>
          <w:rStyle w:val="Nadpis3Char"/>
        </w:rPr>
        <w:t xml:space="preserve"> dosiahnut</w:t>
      </w:r>
      <w:r>
        <w:rPr>
          <w:rStyle w:val="Nadpis3Char"/>
        </w:rPr>
        <w:t>é</w:t>
      </w:r>
      <w:r w:rsidR="002F6853" w:rsidRPr="00FF57B7">
        <w:rPr>
          <w:rStyle w:val="Nadpis3Char"/>
        </w:rPr>
        <w:t xml:space="preserve"> výsledk</w:t>
      </w:r>
      <w:r>
        <w:rPr>
          <w:rStyle w:val="Nadpis3Char"/>
        </w:rPr>
        <w:t>y</w:t>
      </w:r>
      <w:bookmarkEnd w:id="67"/>
      <w:r w:rsidR="002F6853" w:rsidRPr="00FF57B7">
        <w:rPr>
          <w:rStyle w:val="Nadpis3Char"/>
        </w:rPr>
        <w:t xml:space="preserve"> </w:t>
      </w:r>
      <w:r w:rsidR="002F6853" w:rsidRPr="00A115E4">
        <w:t>na základe skutočných údajov z informačných systémov</w:t>
      </w:r>
      <w:r w:rsidR="002F6853" w:rsidRPr="00A115E4">
        <w:rPr>
          <w:b/>
        </w:rPr>
        <w:t>.</w:t>
      </w:r>
      <w:r w:rsidR="002F6853" w:rsidRPr="00765192">
        <w:t xml:space="preserve"> </w:t>
      </w:r>
      <w:r w:rsidR="002F6853">
        <w:t xml:space="preserve">Údaje o reálne dosiahnutých prínosoch informačných systémov nie sú v súčasnosti dostupné v dostatočnej kvalite. Čiastočný zdroj o využití vytvorených služieb poskytuje MetaIS, kvalita údajov sa však medzi jednotlivými IS výrazne líši. Údaje z ďalších informačných miest (napr. </w:t>
      </w:r>
      <w:hyperlink r:id="rId19" w:history="1">
        <w:r w:rsidR="002F6853">
          <w:rPr>
            <w:rStyle w:val="Hypertextovprepojenie"/>
          </w:rPr>
          <w:t>https://statistiky.slovensko.sk/</w:t>
        </w:r>
      </w:hyperlink>
      <w:r w:rsidR="002F6853">
        <w:t xml:space="preserve">) nemajú uvedený zdroj a ich relevantnosť nie je možné overiť. Údaje o reálne dosiahnutej úspore času úradníkov nie sú dostupné vôbec. Monitorovanie reálne dosiahnutých výsledkov vyžaduje vytvorenie jedného informačného miesta, kde budú verejne dostupné výsledky o využívaní služieb, ich nákladoch a dosiahnutej úspore času. </w:t>
      </w:r>
    </w:p>
    <w:p w14:paraId="2064770C" w14:textId="77777777" w:rsidR="00570785" w:rsidRDefault="00D71C1E">
      <w:r>
        <w:t xml:space="preserve">Celková spokojnosť s digitálnymi službami je na agregátnej úrovni </w:t>
      </w:r>
      <w:r w:rsidR="00DA0191">
        <w:t>opísaná</w:t>
      </w:r>
      <w:r>
        <w:t xml:space="preserve"> v správe o plnení NKIVS. V rokoch 2017 a 2018 bola na úrovni 54 % resp. 57 %, cieľová hodnota na rok 2020 je 73 %.</w:t>
      </w:r>
      <w:r w:rsidR="00DA0191">
        <w:t xml:space="preserve"> </w:t>
      </w:r>
      <w:r>
        <w:t xml:space="preserve">Údaje o používaní a spokojnosti s jednotlivými službami nie sú publikované. Vzniká tak riziko, že </w:t>
      </w:r>
      <w:r w:rsidR="00DA0191">
        <w:t>digitalizácia služieb neprinesie kvôli nízkej použiteľnosti očakávané úspory. Na systematické zlepšovanie je potrebná definovať a pravidelne vyhodnocovať výsledkové ukazovatele na úrovni individuálnych služieb.</w:t>
      </w:r>
      <w:r w:rsidR="00DA0191" w:rsidDel="00D71C1E">
        <w:t xml:space="preserve"> </w:t>
      </w:r>
    </w:p>
    <w:p w14:paraId="053DABC7" w14:textId="3C6B3DA9" w:rsidR="00D433B0" w:rsidRDefault="00913404" w:rsidP="00846AB5">
      <w:pPr>
        <w:spacing w:before="120" w:after="120"/>
      </w:pPr>
      <w:r w:rsidRPr="0059256C">
        <w:rPr>
          <w:b/>
        </w:rPr>
        <w:t>Digitalizácia verejnej správy umožní v najbližších 10 rokoch ušetriť čas úradníkov v hodnote 100 mil. eur (ekvivalent 4 6</w:t>
      </w:r>
      <w:r w:rsidR="00F278D3">
        <w:rPr>
          <w:b/>
        </w:rPr>
        <w:t>90</w:t>
      </w:r>
      <w:r w:rsidRPr="0059256C">
        <w:rPr>
          <w:b/>
        </w:rPr>
        <w:t xml:space="preserve"> FTE).</w:t>
      </w:r>
      <w:r w:rsidRPr="004D2B35">
        <w:t xml:space="preserve"> </w:t>
      </w:r>
      <w:r>
        <w:t>Predkladatelia IT projektov financovaných z Operačného programu Integrovaná infraštruktúra (OP II) sa zaviazali priniesť úsporu mzdových nákladov. Deklarovaná úspora má v roku 202</w:t>
      </w:r>
      <w:r w:rsidR="00DA3EE2">
        <w:t>9</w:t>
      </w:r>
      <w:r>
        <w:t xml:space="preserve"> potenciál </w:t>
      </w:r>
      <w:r w:rsidRPr="005F1F6E">
        <w:t xml:space="preserve">usporiť </w:t>
      </w:r>
      <w:r>
        <w:t>100</w:t>
      </w:r>
      <w:r w:rsidRPr="005F1F6E">
        <w:t xml:space="preserve"> mil. eur na mzdových nákladoch (takmer </w:t>
      </w:r>
      <w:r w:rsidR="00DA3EE2" w:rsidRPr="005F1F6E">
        <w:t>4</w:t>
      </w:r>
      <w:r w:rsidR="00DA3EE2">
        <w:t>6</w:t>
      </w:r>
      <w:r w:rsidR="00F278D3">
        <w:t>90</w:t>
      </w:r>
      <w:r w:rsidR="00DA3EE2" w:rsidRPr="005F1F6E">
        <w:t xml:space="preserve"> </w:t>
      </w:r>
      <w:r w:rsidRPr="005F1F6E">
        <w:t>prepočítaných úväzkov).</w:t>
      </w:r>
      <w:r>
        <w:t xml:space="preserve"> Deklarované úspory na ľudských zdrojoch z predošlého programového obdobia (Operačný program Informatizácia spoločnosti) nie je možné vierohodne odpočtovať a pravdepodobne sa nezrealizovali.</w:t>
      </w:r>
    </w:p>
    <w:p w14:paraId="7AF341CF" w14:textId="149F10A8" w:rsidR="00913404" w:rsidRPr="00E35AA9" w:rsidRDefault="00913404" w:rsidP="00E22421">
      <w:pPr>
        <w:pStyle w:val="Popis"/>
        <w:spacing w:after="0"/>
        <w:rPr>
          <w:b w:val="0"/>
          <w:color w:val="auto"/>
        </w:rPr>
      </w:pPr>
      <w:r w:rsidRPr="00E35AA9">
        <w:rPr>
          <w:color w:val="auto"/>
          <w:sz w:val="22"/>
        </w:rPr>
        <w:t xml:space="preserve">Tabuľka </w:t>
      </w:r>
      <w:r w:rsidR="003326DF">
        <w:rPr>
          <w:color w:val="auto"/>
          <w:sz w:val="22"/>
        </w:rPr>
        <w:t>4</w:t>
      </w:r>
      <w:r w:rsidRPr="00E35AA9">
        <w:rPr>
          <w:color w:val="auto"/>
          <w:sz w:val="22"/>
        </w:rPr>
        <w:t xml:space="preserve">: </w:t>
      </w:r>
      <w:r>
        <w:rPr>
          <w:color w:val="auto"/>
          <w:sz w:val="22"/>
        </w:rPr>
        <w:t xml:space="preserve">Deklarované úspory OPII projektov prepočítaná na počty úväzkov a hodnotu času </w:t>
      </w:r>
    </w:p>
    <w:tbl>
      <w:tblPr>
        <w:tblStyle w:val="Mriekatabuky"/>
        <w:tblW w:w="8930" w:type="dxa"/>
        <w:tblInd w:w="142" w:type="dxa"/>
        <w:tblLayout w:type="fixed"/>
        <w:tblLook w:val="04A0" w:firstRow="1" w:lastRow="0" w:firstColumn="1" w:lastColumn="0" w:noHBand="0" w:noVBand="1"/>
      </w:tblPr>
      <w:tblGrid>
        <w:gridCol w:w="1985"/>
        <w:gridCol w:w="3402"/>
        <w:gridCol w:w="1984"/>
        <w:gridCol w:w="1418"/>
        <w:gridCol w:w="141"/>
      </w:tblGrid>
      <w:tr w:rsidR="003D01FB" w:rsidRPr="00D177B6" w14:paraId="7920907D" w14:textId="77777777" w:rsidTr="003A6EC3">
        <w:trPr>
          <w:trHeight w:val="194"/>
        </w:trPr>
        <w:tc>
          <w:tcPr>
            <w:tcW w:w="1985" w:type="dxa"/>
            <w:tcBorders>
              <w:top w:val="single" w:sz="4" w:space="0" w:color="auto"/>
              <w:left w:val="nil"/>
              <w:bottom w:val="single" w:sz="4" w:space="0" w:color="auto"/>
              <w:right w:val="nil"/>
            </w:tcBorders>
            <w:noWrap/>
            <w:hideMark/>
          </w:tcPr>
          <w:p w14:paraId="6130A03A" w14:textId="77777777" w:rsidR="00DA3EE2" w:rsidRPr="000721D8" w:rsidRDefault="00DA3EE2" w:rsidP="001E6A36">
            <w:pPr>
              <w:rPr>
                <w:b/>
                <w:sz w:val="20"/>
                <w:szCs w:val="20"/>
              </w:rPr>
            </w:pPr>
            <w:r w:rsidRPr="000721D8">
              <w:rPr>
                <w:b/>
                <w:sz w:val="20"/>
                <w:szCs w:val="20"/>
              </w:rPr>
              <w:t>Úspora</w:t>
            </w:r>
          </w:p>
        </w:tc>
        <w:tc>
          <w:tcPr>
            <w:tcW w:w="3402" w:type="dxa"/>
            <w:tcBorders>
              <w:top w:val="single" w:sz="4" w:space="0" w:color="auto"/>
              <w:left w:val="nil"/>
              <w:bottom w:val="single" w:sz="4" w:space="0" w:color="auto"/>
              <w:right w:val="nil"/>
            </w:tcBorders>
            <w:noWrap/>
            <w:vAlign w:val="center"/>
            <w:hideMark/>
          </w:tcPr>
          <w:p w14:paraId="217FBEFE" w14:textId="436AFC08" w:rsidR="00DA3EE2" w:rsidRPr="00D177B6" w:rsidRDefault="00DA3EE2" w:rsidP="001E6A36">
            <w:pPr>
              <w:jc w:val="center"/>
              <w:rPr>
                <w:b/>
                <w:bCs/>
                <w:sz w:val="20"/>
                <w:szCs w:val="20"/>
              </w:rPr>
            </w:pPr>
            <w:r>
              <w:rPr>
                <w:b/>
                <w:bCs/>
                <w:sz w:val="20"/>
                <w:szCs w:val="20"/>
              </w:rPr>
              <w:t>Očakávaný prvý rok realizovania úspor</w:t>
            </w:r>
          </w:p>
        </w:tc>
        <w:tc>
          <w:tcPr>
            <w:tcW w:w="1984" w:type="dxa"/>
            <w:tcBorders>
              <w:top w:val="single" w:sz="4" w:space="0" w:color="auto"/>
              <w:left w:val="nil"/>
              <w:bottom w:val="single" w:sz="4" w:space="0" w:color="auto"/>
              <w:right w:val="nil"/>
            </w:tcBorders>
            <w:noWrap/>
            <w:vAlign w:val="center"/>
            <w:hideMark/>
          </w:tcPr>
          <w:p w14:paraId="3CCEDBA8" w14:textId="7A5388A2" w:rsidR="00DA3EE2" w:rsidRPr="00D177B6" w:rsidRDefault="00DA3EE2" w:rsidP="001E6A36">
            <w:pPr>
              <w:jc w:val="center"/>
              <w:rPr>
                <w:b/>
                <w:bCs/>
                <w:sz w:val="20"/>
                <w:szCs w:val="20"/>
              </w:rPr>
            </w:pPr>
            <w:r>
              <w:rPr>
                <w:b/>
                <w:bCs/>
                <w:sz w:val="20"/>
                <w:szCs w:val="20"/>
              </w:rPr>
              <w:t>Úspora v prvom roku</w:t>
            </w:r>
          </w:p>
        </w:tc>
        <w:tc>
          <w:tcPr>
            <w:tcW w:w="1559" w:type="dxa"/>
            <w:gridSpan w:val="2"/>
            <w:tcBorders>
              <w:top w:val="single" w:sz="4" w:space="0" w:color="auto"/>
              <w:left w:val="nil"/>
              <w:bottom w:val="single" w:sz="4" w:space="0" w:color="auto"/>
              <w:right w:val="nil"/>
            </w:tcBorders>
            <w:noWrap/>
            <w:vAlign w:val="center"/>
            <w:hideMark/>
          </w:tcPr>
          <w:p w14:paraId="66CD9D83" w14:textId="71ADA4DC" w:rsidR="00DA3EE2" w:rsidRPr="00D177B6" w:rsidRDefault="00DA3EE2" w:rsidP="001E6A36">
            <w:pPr>
              <w:jc w:val="center"/>
              <w:rPr>
                <w:b/>
                <w:bCs/>
                <w:sz w:val="20"/>
                <w:szCs w:val="20"/>
              </w:rPr>
            </w:pPr>
            <w:r>
              <w:rPr>
                <w:b/>
                <w:bCs/>
                <w:sz w:val="20"/>
                <w:szCs w:val="20"/>
              </w:rPr>
              <w:t>Potenciál úspor</w:t>
            </w:r>
          </w:p>
        </w:tc>
      </w:tr>
      <w:tr w:rsidR="003D01FB" w:rsidRPr="00D177B6" w14:paraId="07E8AB1C" w14:textId="77777777" w:rsidTr="003A6EC3">
        <w:trPr>
          <w:trHeight w:val="194"/>
        </w:trPr>
        <w:tc>
          <w:tcPr>
            <w:tcW w:w="1985" w:type="dxa"/>
            <w:tcBorders>
              <w:top w:val="single" w:sz="4" w:space="0" w:color="auto"/>
              <w:left w:val="nil"/>
              <w:bottom w:val="nil"/>
              <w:right w:val="nil"/>
            </w:tcBorders>
            <w:noWrap/>
            <w:hideMark/>
          </w:tcPr>
          <w:p w14:paraId="407C55B7" w14:textId="2D9A8F6C" w:rsidR="00DA3EE2" w:rsidRPr="000721D8" w:rsidRDefault="00DA3EE2">
            <w:pPr>
              <w:jc w:val="left"/>
              <w:rPr>
                <w:bCs/>
                <w:sz w:val="20"/>
                <w:szCs w:val="20"/>
              </w:rPr>
            </w:pPr>
            <w:r w:rsidRPr="000721D8">
              <w:rPr>
                <w:bCs/>
                <w:sz w:val="20"/>
                <w:szCs w:val="20"/>
              </w:rPr>
              <w:lastRenderedPageBreak/>
              <w:t>Hodnota času (mil. eur)</w:t>
            </w:r>
          </w:p>
        </w:tc>
        <w:tc>
          <w:tcPr>
            <w:tcW w:w="3402" w:type="dxa"/>
            <w:vMerge w:val="restart"/>
            <w:tcBorders>
              <w:top w:val="single" w:sz="4" w:space="0" w:color="auto"/>
              <w:left w:val="nil"/>
              <w:right w:val="nil"/>
            </w:tcBorders>
            <w:noWrap/>
            <w:vAlign w:val="center"/>
            <w:hideMark/>
          </w:tcPr>
          <w:p w14:paraId="47596AAC" w14:textId="756F2B09" w:rsidR="00DA3EE2" w:rsidRPr="000721D8" w:rsidRDefault="00DA3EE2">
            <w:pPr>
              <w:jc w:val="center"/>
              <w:rPr>
                <w:bCs/>
                <w:sz w:val="18"/>
                <w:szCs w:val="20"/>
              </w:rPr>
            </w:pPr>
            <w:r>
              <w:rPr>
                <w:bCs/>
                <w:sz w:val="18"/>
                <w:szCs w:val="20"/>
              </w:rPr>
              <w:t>2021</w:t>
            </w:r>
          </w:p>
        </w:tc>
        <w:tc>
          <w:tcPr>
            <w:tcW w:w="1984" w:type="dxa"/>
            <w:tcBorders>
              <w:top w:val="single" w:sz="4" w:space="0" w:color="auto"/>
              <w:left w:val="nil"/>
              <w:bottom w:val="nil"/>
              <w:right w:val="nil"/>
            </w:tcBorders>
            <w:noWrap/>
            <w:vAlign w:val="center"/>
            <w:hideMark/>
          </w:tcPr>
          <w:p w14:paraId="4C5E2505" w14:textId="44D2E943" w:rsidR="00DA3EE2" w:rsidRPr="000721D8" w:rsidRDefault="00DA3EE2">
            <w:pPr>
              <w:jc w:val="center"/>
              <w:rPr>
                <w:bCs/>
                <w:sz w:val="18"/>
                <w:szCs w:val="20"/>
              </w:rPr>
            </w:pPr>
            <w:r w:rsidRPr="000721D8">
              <w:rPr>
                <w:bCs/>
                <w:sz w:val="18"/>
                <w:szCs w:val="20"/>
              </w:rPr>
              <w:t>-</w:t>
            </w:r>
            <w:r>
              <w:rPr>
                <w:bCs/>
                <w:sz w:val="18"/>
                <w:szCs w:val="20"/>
              </w:rPr>
              <w:t>1,6</w:t>
            </w:r>
          </w:p>
        </w:tc>
        <w:tc>
          <w:tcPr>
            <w:tcW w:w="1559" w:type="dxa"/>
            <w:gridSpan w:val="2"/>
            <w:tcBorders>
              <w:top w:val="single" w:sz="4" w:space="0" w:color="auto"/>
              <w:left w:val="nil"/>
              <w:bottom w:val="nil"/>
              <w:right w:val="nil"/>
            </w:tcBorders>
            <w:noWrap/>
            <w:vAlign w:val="center"/>
            <w:hideMark/>
          </w:tcPr>
          <w:p w14:paraId="52BF172B" w14:textId="6A4B85E1" w:rsidR="00DA3EE2" w:rsidRPr="000721D8" w:rsidRDefault="00DA3EE2">
            <w:pPr>
              <w:jc w:val="center"/>
              <w:rPr>
                <w:bCs/>
                <w:sz w:val="18"/>
                <w:szCs w:val="20"/>
              </w:rPr>
            </w:pPr>
            <w:r w:rsidRPr="000721D8">
              <w:rPr>
                <w:bCs/>
                <w:sz w:val="18"/>
                <w:szCs w:val="20"/>
              </w:rPr>
              <w:t>-</w:t>
            </w:r>
            <w:r>
              <w:rPr>
                <w:bCs/>
                <w:sz w:val="18"/>
                <w:szCs w:val="20"/>
              </w:rPr>
              <w:t>100</w:t>
            </w:r>
          </w:p>
        </w:tc>
      </w:tr>
      <w:tr w:rsidR="003D01FB" w:rsidRPr="00D177B6" w14:paraId="2CF4EC73" w14:textId="77777777" w:rsidTr="003A6EC3">
        <w:trPr>
          <w:trHeight w:val="194"/>
        </w:trPr>
        <w:tc>
          <w:tcPr>
            <w:tcW w:w="1985" w:type="dxa"/>
            <w:tcBorders>
              <w:top w:val="nil"/>
              <w:left w:val="nil"/>
              <w:bottom w:val="single" w:sz="4" w:space="0" w:color="auto"/>
              <w:right w:val="nil"/>
            </w:tcBorders>
            <w:noWrap/>
            <w:vAlign w:val="center"/>
          </w:tcPr>
          <w:p w14:paraId="03F90686" w14:textId="77777777" w:rsidR="00DA3EE2" w:rsidRPr="000721D8" w:rsidRDefault="00DA3EE2" w:rsidP="00160503">
            <w:pPr>
              <w:jc w:val="left"/>
              <w:rPr>
                <w:bCs/>
                <w:sz w:val="20"/>
                <w:szCs w:val="20"/>
              </w:rPr>
            </w:pPr>
            <w:r w:rsidRPr="000721D8">
              <w:rPr>
                <w:bCs/>
                <w:sz w:val="20"/>
                <w:szCs w:val="20"/>
              </w:rPr>
              <w:t>Počet úväzkov (FTE</w:t>
            </w:r>
            <w:r>
              <w:rPr>
                <w:rStyle w:val="Odkaznapoznmkupodiarou"/>
                <w:bCs/>
              </w:rPr>
              <w:footnoteReference w:id="24"/>
            </w:r>
            <w:r w:rsidRPr="000721D8">
              <w:rPr>
                <w:bCs/>
                <w:sz w:val="20"/>
                <w:szCs w:val="20"/>
              </w:rPr>
              <w:t>)</w:t>
            </w:r>
          </w:p>
        </w:tc>
        <w:tc>
          <w:tcPr>
            <w:tcW w:w="3402" w:type="dxa"/>
            <w:vMerge/>
            <w:tcBorders>
              <w:left w:val="nil"/>
              <w:bottom w:val="single" w:sz="4" w:space="0" w:color="auto"/>
              <w:right w:val="nil"/>
            </w:tcBorders>
            <w:noWrap/>
            <w:vAlign w:val="center"/>
          </w:tcPr>
          <w:p w14:paraId="037C02BF" w14:textId="77777777" w:rsidR="00DA3EE2" w:rsidRPr="000721D8" w:rsidRDefault="00DA3EE2" w:rsidP="001E6A36">
            <w:pPr>
              <w:jc w:val="center"/>
              <w:rPr>
                <w:bCs/>
                <w:sz w:val="18"/>
                <w:szCs w:val="20"/>
              </w:rPr>
            </w:pPr>
          </w:p>
        </w:tc>
        <w:tc>
          <w:tcPr>
            <w:tcW w:w="1984" w:type="dxa"/>
            <w:tcBorders>
              <w:top w:val="nil"/>
              <w:left w:val="nil"/>
              <w:bottom w:val="single" w:sz="4" w:space="0" w:color="auto"/>
              <w:right w:val="nil"/>
            </w:tcBorders>
            <w:noWrap/>
            <w:vAlign w:val="center"/>
          </w:tcPr>
          <w:p w14:paraId="4782187A" w14:textId="6E5C0112" w:rsidR="00DA3EE2" w:rsidRPr="000721D8" w:rsidRDefault="00DA3EE2" w:rsidP="00DA3EE2">
            <w:pPr>
              <w:jc w:val="center"/>
              <w:rPr>
                <w:bCs/>
                <w:sz w:val="18"/>
                <w:szCs w:val="20"/>
              </w:rPr>
            </w:pPr>
            <w:r w:rsidRPr="000721D8">
              <w:rPr>
                <w:bCs/>
                <w:sz w:val="18"/>
                <w:szCs w:val="20"/>
              </w:rPr>
              <w:t>-</w:t>
            </w:r>
            <w:r>
              <w:rPr>
                <w:bCs/>
                <w:sz w:val="18"/>
                <w:szCs w:val="20"/>
              </w:rPr>
              <w:t>91</w:t>
            </w:r>
          </w:p>
        </w:tc>
        <w:tc>
          <w:tcPr>
            <w:tcW w:w="1559" w:type="dxa"/>
            <w:gridSpan w:val="2"/>
            <w:tcBorders>
              <w:top w:val="nil"/>
              <w:left w:val="nil"/>
              <w:bottom w:val="single" w:sz="4" w:space="0" w:color="auto"/>
              <w:right w:val="nil"/>
            </w:tcBorders>
            <w:noWrap/>
            <w:vAlign w:val="center"/>
          </w:tcPr>
          <w:p w14:paraId="64F1D7E9" w14:textId="5AA204CD" w:rsidR="00DA3EE2" w:rsidRPr="000721D8" w:rsidRDefault="00DA3EE2" w:rsidP="00F278D3">
            <w:pPr>
              <w:jc w:val="center"/>
              <w:rPr>
                <w:bCs/>
                <w:sz w:val="18"/>
                <w:szCs w:val="20"/>
              </w:rPr>
            </w:pPr>
            <w:r w:rsidRPr="000721D8">
              <w:rPr>
                <w:bCs/>
                <w:sz w:val="18"/>
                <w:szCs w:val="20"/>
              </w:rPr>
              <w:t>-</w:t>
            </w:r>
            <w:r>
              <w:rPr>
                <w:bCs/>
                <w:sz w:val="18"/>
                <w:szCs w:val="20"/>
              </w:rPr>
              <w:t>4 6</w:t>
            </w:r>
            <w:r w:rsidR="00F278D3">
              <w:rPr>
                <w:bCs/>
                <w:sz w:val="18"/>
                <w:szCs w:val="20"/>
              </w:rPr>
              <w:t>90</w:t>
            </w:r>
          </w:p>
        </w:tc>
      </w:tr>
      <w:tr w:rsidR="00DA3EE2" w:rsidRPr="00D177B6" w14:paraId="1A302052" w14:textId="77777777" w:rsidTr="003A6EC3">
        <w:trPr>
          <w:gridAfter w:val="1"/>
          <w:wAfter w:w="141" w:type="dxa"/>
          <w:trHeight w:val="194"/>
        </w:trPr>
        <w:tc>
          <w:tcPr>
            <w:tcW w:w="8789" w:type="dxa"/>
            <w:gridSpan w:val="4"/>
            <w:tcBorders>
              <w:top w:val="single" w:sz="4" w:space="0" w:color="auto"/>
              <w:left w:val="nil"/>
              <w:bottom w:val="nil"/>
              <w:right w:val="nil"/>
            </w:tcBorders>
            <w:noWrap/>
            <w:vAlign w:val="center"/>
          </w:tcPr>
          <w:p w14:paraId="4B1FB358" w14:textId="77777777" w:rsidR="00DA3EE2" w:rsidRPr="000721D8" w:rsidRDefault="00DA3EE2" w:rsidP="00DA3EE2">
            <w:pPr>
              <w:jc w:val="right"/>
              <w:rPr>
                <w:bCs/>
                <w:sz w:val="18"/>
                <w:szCs w:val="20"/>
              </w:rPr>
            </w:pPr>
            <w:r w:rsidRPr="004D2B35">
              <w:rPr>
                <w:bCs/>
                <w:i/>
                <w:sz w:val="20"/>
                <w:szCs w:val="20"/>
              </w:rPr>
              <w:t>Zdroj: štúdie uskutočniteľnosti projektov, spracovanie ÚHP</w:t>
            </w:r>
          </w:p>
        </w:tc>
      </w:tr>
    </w:tbl>
    <w:p w14:paraId="4354AC1A" w14:textId="77777777" w:rsidR="00913404" w:rsidRDefault="00913404" w:rsidP="00913404">
      <w:pPr>
        <w:spacing w:before="120" w:after="120"/>
      </w:pPr>
      <w:r>
        <w:t>Deklarované úspory projektov OP II musia byť monitorované a vynucované v rámci zostavovania rozpočtu verejnej správy, v záväzných ukazovateľoch zamestnanosti a výdavkov na mzdy. Okrem úspor vyplývajúcich z absolútnej redukcie počtu pracovníkov prinesú projekty dodatočné úspory s potenciálom 500 úväzkov (10 mil. eur ročne) znížením nákladov na ešte len plánované činnosti.</w:t>
      </w:r>
    </w:p>
    <w:p w14:paraId="225B31C5" w14:textId="77777777" w:rsidR="00913404" w:rsidRDefault="00913404" w:rsidP="00485D53">
      <w:pPr>
        <w:spacing w:before="120" w:after="120"/>
      </w:pPr>
      <w:r>
        <w:t>Najvýraznejšiu úsporu majú priniesť projekty MV SR Centrálne komponenty správneho konania vo verejnej správe (úspora 461 zamestnancov) a Digitálne pracovné prostredie zamestnanca MV SR (workdesk) (úspora 291 zamestnancov). Ich cieľom je elektronizácia spisov správneho konania, čím sa odbúrava časovo náročná fyzická práca so spisom a jeho archiváciou, a zjednotenie viacerých systémov do jedného. Tým sa eliminuje potreba duplicitného zadávania vstupov a práce s viacerými obrazovkami naraz. Úsporu vyše 500 zamestnancov (úradníkov aj strážnikov) prinesie aj Optimalizácia procesov riadenia a prevádzky Zboru väzenskej a justičnej stráže, ktorý elektronizuje životné situácie odsúdených, čím odbúrava administratívnu prácu zamestnancov s ich vybavením (napr. podávanie žiadostí ohľadom nakladania s finančnými prostriedkami obvineného alebo odsúdeného).</w:t>
      </w:r>
    </w:p>
    <w:p w14:paraId="1F91219E" w14:textId="77777777" w:rsidR="00913404" w:rsidRDefault="00913404" w:rsidP="00485D53">
      <w:pPr>
        <w:spacing w:before="120" w:after="120"/>
      </w:pPr>
      <w:r>
        <w:t>Prezentovaná úspora zahŕňa len úsporu nákladov na ľudské zdroje. Ďalšie prínosy IT projektov môžu byť realizované napríklad znížením prevádzkových nákladov, úsporou času občanov alebo dosiahnutím kvalitatívnych prínosov, ktoré nie je možné dôveryhodne vyjadriť ako úsporu času a nákladov (nižšie spoločenské škody, zvýšenie spokojnosti s poskytovanými službami). Dosiahnutie vyššie popísaných prínosov si môže</w:t>
      </w:r>
      <w:r w:rsidRPr="007722E5">
        <w:t xml:space="preserve"> </w:t>
      </w:r>
      <w:r>
        <w:t xml:space="preserve"> v</w:t>
      </w:r>
      <w:r w:rsidRPr="007722E5">
        <w:t xml:space="preserve">yžadovať krátkodobé zvýšenie </w:t>
      </w:r>
      <w:r w:rsidRPr="005F1F6E">
        <w:t>mzdových nákladov, ak je potrebné naplniť informačný systém údajmi. Kompletný zozna</w:t>
      </w:r>
      <w:r>
        <w:t>m zahrnutých projektov obsahuje.</w:t>
      </w:r>
    </w:p>
    <w:p w14:paraId="1DC37614" w14:textId="77777777" w:rsidR="004476C4" w:rsidRDefault="00913404" w:rsidP="00EA43F7">
      <w:pPr>
        <w:pStyle w:val="Odsekzoznamu"/>
      </w:pPr>
      <w:r w:rsidRPr="00913404">
        <w:rPr>
          <w:b/>
        </w:rPr>
        <w:t xml:space="preserve">Opatrenie: </w:t>
      </w:r>
      <w:r w:rsidR="00D644C7" w:rsidRPr="00D644C7">
        <w:rPr>
          <w:b/>
        </w:rPr>
        <w:t>Zaviesť systémový prístup do monitorovania nákladov, prínosov a výkonnosti IKT projektov a systémov.</w:t>
      </w:r>
    </w:p>
    <w:tbl>
      <w:tblPr>
        <w:tblStyle w:val="Tabukasmriekou6farebnzvraznenie5"/>
        <w:tblpPr w:leftFromText="141" w:rightFromText="141" w:vertAnchor="text" w:horzAnchor="margin" w:tblpY="-53"/>
        <w:tblW w:w="0" w:type="auto"/>
        <w:tblLook w:val="0420" w:firstRow="1" w:lastRow="0" w:firstColumn="0" w:lastColumn="0" w:noHBand="0" w:noVBand="1"/>
      </w:tblPr>
      <w:tblGrid>
        <w:gridCol w:w="9062"/>
      </w:tblGrid>
      <w:tr w:rsidR="002F6853" w:rsidRPr="00765192" w14:paraId="7D7F3C6E" w14:textId="77777777" w:rsidTr="001D543F">
        <w:trPr>
          <w:cnfStyle w:val="100000000000" w:firstRow="1" w:lastRow="0" w:firstColumn="0" w:lastColumn="0" w:oddVBand="0" w:evenVBand="0" w:oddHBand="0" w:evenHBand="0" w:firstRowFirstColumn="0" w:firstRowLastColumn="0" w:lastRowFirstColumn="0" w:lastRowLastColumn="0"/>
        </w:trPr>
        <w:tc>
          <w:tcPr>
            <w:tcW w:w="9062" w:type="dxa"/>
          </w:tcPr>
          <w:p w14:paraId="6E95A246" w14:textId="77777777" w:rsidR="002F6853" w:rsidRPr="00765192" w:rsidRDefault="002F6853" w:rsidP="001D543F">
            <w:pPr>
              <w:rPr>
                <w:sz w:val="20"/>
              </w:rPr>
            </w:pPr>
            <w:r w:rsidRPr="00765192">
              <w:rPr>
                <w:sz w:val="20"/>
              </w:rPr>
              <w:t>Box: Verejný odpočet výsledkov informatizácie v US a UK</w:t>
            </w:r>
            <w:r w:rsidRPr="00765192">
              <w:rPr>
                <w:rStyle w:val="Odkaznapoznmkupodiarou"/>
              </w:rPr>
              <w:footnoteReference w:id="25"/>
            </w:r>
          </w:p>
        </w:tc>
      </w:tr>
      <w:tr w:rsidR="002F6853" w:rsidRPr="00765192" w14:paraId="6B73A807" w14:textId="77777777" w:rsidTr="001D543F">
        <w:trPr>
          <w:cnfStyle w:val="000000100000" w:firstRow="0" w:lastRow="0" w:firstColumn="0" w:lastColumn="0" w:oddVBand="0" w:evenVBand="0" w:oddHBand="1" w:evenHBand="0" w:firstRowFirstColumn="0" w:firstRowLastColumn="0" w:lastRowFirstColumn="0" w:lastRowLastColumn="0"/>
          <w:trHeight w:val="1227"/>
        </w:trPr>
        <w:tc>
          <w:tcPr>
            <w:tcW w:w="9062" w:type="dxa"/>
          </w:tcPr>
          <w:p w14:paraId="153E4279" w14:textId="77777777" w:rsidR="002F6853" w:rsidRPr="00765192" w:rsidRDefault="002F6853" w:rsidP="001D543F">
            <w:pPr>
              <w:spacing w:before="120" w:after="120"/>
              <w:rPr>
                <w:sz w:val="20"/>
              </w:rPr>
            </w:pPr>
            <w:r w:rsidRPr="00765192">
              <w:rPr>
                <w:sz w:val="20"/>
              </w:rPr>
              <w:t xml:space="preserve">Vo Veľkej Británii sú na webe verejne dostupné tzv. „performance dashboards“, ktoré v prehľadnom formáte poskytujú údaje o výkonnosti jednotlivých služieb a ich vývoj v čase. Kľúčové sledované parametre sú počet podaní, náklady na transakciu, spokojnosť používateľov, miera dokončenia podaní a podiel digitálnych podaní. Výsledky sú v súčasnosti dostupné pre 775 služieb. </w:t>
            </w:r>
          </w:p>
          <w:p w14:paraId="1088CED6" w14:textId="77777777" w:rsidR="002F6853" w:rsidRPr="00765192" w:rsidRDefault="002F6853" w:rsidP="001D543F">
            <w:pPr>
              <w:spacing w:before="120" w:after="120"/>
              <w:rPr>
                <w:sz w:val="20"/>
              </w:rPr>
            </w:pPr>
            <w:r w:rsidRPr="00765192">
              <w:rPr>
                <w:sz w:val="20"/>
              </w:rPr>
              <w:t>V USA sú prostredníctvom tzv. „IT Dashboardu“ na jedno mieste verejne dostupné údaje o IT nákladoch jednotlivých inštitúcií, informácie o minulých a plánovaných investíciách (napr. počet projektov, rozpočet, konkrétne zmluvy miera dokončenia na čas a v rámci stanoveného rozpočtu). Výsledky na úrovni inštitúcií a projektov sú priamo porovnateľné.</w:t>
            </w:r>
          </w:p>
        </w:tc>
      </w:tr>
    </w:tbl>
    <w:p w14:paraId="4F020EE6" w14:textId="77777777" w:rsidR="00662851" w:rsidRDefault="00662851" w:rsidP="00EA43F7">
      <w:pPr>
        <w:spacing w:before="120" w:after="120"/>
      </w:pPr>
      <w:bookmarkStart w:id="68" w:name="_Toc35602764"/>
      <w:r w:rsidRPr="000A29FC">
        <w:rPr>
          <w:rStyle w:val="Nadpis3Char"/>
        </w:rPr>
        <w:t>Zavedenie zodpovednosti za implementáciu zmien do praxe</w:t>
      </w:r>
      <w:bookmarkEnd w:id="68"/>
      <w:r>
        <w:rPr>
          <w:b/>
        </w:rPr>
        <w:t xml:space="preserve">. </w:t>
      </w:r>
      <w:r>
        <w:t>Implementácia prijatých usmernení k zlepšeniu údajovej základne, ktorá by umožnila lepšie poznanie skutočného stavu a zefektívnenie riadenia informatizácie (napr. sledovanie nákladov, prínosov alebo výkonnosti informačných systémov) alebo kvalitnejšiu prípravu projektov (napr. zahrnutie otvoreného softvéru, lepšia príprava biznis alternatív) nie je dostatočne vynucovaná. Platné metodické pokyny a usmernenia nie sú implementované v plnej miere. Zlepšenie súčasného stavu vyžaduje aktívnu kontrolu nasadzovania zmien zo strany ÚPVII</w:t>
      </w:r>
      <w:r w:rsidR="00AE3122">
        <w:t>,</w:t>
      </w:r>
      <w:r>
        <w:t xml:space="preserve"> ako gestora témy informatizácie</w:t>
      </w:r>
      <w:r w:rsidR="00AE3122">
        <w:t>,</w:t>
      </w:r>
      <w:r>
        <w:t xml:space="preserve"> do rezortnej praxe.</w:t>
      </w:r>
      <w:r w:rsidR="00C356EE">
        <w:t xml:space="preserve"> Pre rezorty s najväčšími IT výdavkami plánuje ÚPVII zaviesť koncepciu tzv. account managementu, v ktorej má konkrétny pracovník za úlohu dlhodobo koordinovať postup a kontrolovať plnenie úloh pridelených rezortov.</w:t>
      </w:r>
    </w:p>
    <w:p w14:paraId="1D027F39" w14:textId="77777777" w:rsidR="00662851" w:rsidRDefault="00662851" w:rsidP="00D644C7">
      <w:pPr>
        <w:pStyle w:val="Odsekzoznamu"/>
        <w:numPr>
          <w:ilvl w:val="0"/>
          <w:numId w:val="8"/>
        </w:numPr>
      </w:pPr>
      <w:r w:rsidRPr="00EA43F7">
        <w:rPr>
          <w:b/>
        </w:rPr>
        <w:t xml:space="preserve">Opatrenie: </w:t>
      </w:r>
      <w:r w:rsidR="00D644C7" w:rsidRPr="00D644C7">
        <w:rPr>
          <w:b/>
        </w:rPr>
        <w:t>Prostredníctvom zavedenia konceptu tzv. account managementu kontrolovať a  vynucovať plnenie opatrení minimálne pre ÚOŠS, ktoré tvoria 80 % celkových IT výdavkov.</w:t>
      </w:r>
    </w:p>
    <w:p w14:paraId="03D7763E" w14:textId="77777777" w:rsidR="009D4E45" w:rsidRDefault="00FF57B7" w:rsidP="00485D53">
      <w:pPr>
        <w:pStyle w:val="Nadpis2"/>
        <w:numPr>
          <w:ilvl w:val="0"/>
          <w:numId w:val="1"/>
        </w:numPr>
        <w:spacing w:before="120" w:after="120"/>
      </w:pPr>
      <w:bookmarkStart w:id="69" w:name="_Toc35602765"/>
      <w:r>
        <w:lastRenderedPageBreak/>
        <w:t>Príprava projektov</w:t>
      </w:r>
      <w:r w:rsidR="00205E16">
        <w:t xml:space="preserve"> </w:t>
      </w:r>
      <w:r>
        <w:t>informatizácie</w:t>
      </w:r>
      <w:bookmarkEnd w:id="69"/>
      <w:r w:rsidR="00205E16">
        <w:t xml:space="preserve">  </w:t>
      </w:r>
    </w:p>
    <w:p w14:paraId="7BDFD567" w14:textId="77777777" w:rsidR="001E74A9" w:rsidRDefault="00875E13" w:rsidP="00EA43F7">
      <w:pPr>
        <w:spacing w:after="0"/>
      </w:pPr>
      <w:r w:rsidRPr="00EA43F7">
        <w:rPr>
          <w:b/>
        </w:rPr>
        <w:t xml:space="preserve">Centrálne riadenie IT </w:t>
      </w:r>
      <w:r w:rsidR="00F62D25">
        <w:rPr>
          <w:b/>
        </w:rPr>
        <w:t>projektov</w:t>
      </w:r>
      <w:r w:rsidR="00E27E99">
        <w:rPr>
          <w:b/>
        </w:rPr>
        <w:t xml:space="preserve"> financovaných zo štátneho rozpočtu aj zdrojov EÚ</w:t>
      </w:r>
      <w:r w:rsidRPr="00EA43F7">
        <w:rPr>
          <w:b/>
        </w:rPr>
        <w:t xml:space="preserve"> zabezpečuje ÚPVII. </w:t>
      </w:r>
      <w:r w:rsidR="00E27E99">
        <w:t>Legislatíva</w:t>
      </w:r>
      <w:r w:rsidR="00E27E99">
        <w:rPr>
          <w:rStyle w:val="Odkaznapoznmkupodiarou"/>
        </w:rPr>
        <w:footnoteReference w:id="26"/>
      </w:r>
      <w:r w:rsidR="00E27E99">
        <w:t xml:space="preserve"> vymedzuje ÚPVII zodpovednosť za riadenie verejných výdavkov na informačné technológie.  </w:t>
      </w:r>
      <w:r w:rsidR="002764AC">
        <w:t>R</w:t>
      </w:r>
      <w:r w:rsidR="00E27E99">
        <w:t>iadeni</w:t>
      </w:r>
      <w:r w:rsidR="002764AC">
        <w:t>e</w:t>
      </w:r>
      <w:r w:rsidR="00E27E99">
        <w:t xml:space="preserve"> investícii sa odlišu</w:t>
      </w:r>
      <w:r w:rsidR="002764AC">
        <w:t>je</w:t>
      </w:r>
      <w:r w:rsidR="00E27E99">
        <w:t xml:space="preserve"> podľa zdroja financovania. </w:t>
      </w:r>
      <w:r w:rsidR="00250C76">
        <w:t xml:space="preserve">Pravidlá pre riadenie investičných projektov sa líšia podľa zdroja financovania. Doterajšia prax ukazuje, že aj napriek formálnej odlišnosti pravidiel má ÚPVII dostatočné kompetencie na riadenie projektov.  </w:t>
      </w:r>
    </w:p>
    <w:p w14:paraId="550AC90D" w14:textId="77777777" w:rsidR="001E74A9" w:rsidRDefault="0043271C" w:rsidP="00EA43F7">
      <w:pPr>
        <w:spacing w:before="120" w:after="120"/>
      </w:pPr>
      <w:r>
        <w:t>Schvaľovanie IT projektov financovaných zo štátneho rozpočtu upravuje medzirezortný program 0EK, ktorého gestorom je ÚPVII. IT projekty definuje ako bežné a kapitálové IT výdavky štátn</w:t>
      </w:r>
      <w:r w:rsidRPr="00994BFB">
        <w:t>eho rozpočtu, ktor</w:t>
      </w:r>
      <w:r>
        <w:t>é vyvolajú zmeny v metainformačnom systéme, presahujú 1 mil. eur alebo presahujú 20 % finančných prostriedkov rozpočtovaných na prvku z ktorého je nákup realizovaný.</w:t>
      </w:r>
      <w:r w:rsidRPr="0043271C">
        <w:t xml:space="preserve"> </w:t>
      </w:r>
      <w:r>
        <w:t>Výdavky na IT projekty nad 200 tis. eur je možné realizovať len so súhlasom gestora. Pri výdavkoch nad 5 mil. eur je súčasťou žiadosti o stanovisko gestora štúdia uskutočniteľnosti, pri výdavkoch nad 10 mil. eur je potrebné hodnotenie MF SR.</w:t>
      </w:r>
    </w:p>
    <w:p w14:paraId="19CFE2A6" w14:textId="77777777" w:rsidR="0043271C" w:rsidRDefault="0043271C" w:rsidP="00CF1422">
      <w:pPr>
        <w:spacing w:before="120" w:after="120"/>
      </w:pPr>
      <w:r>
        <w:t xml:space="preserve">Pri IT projektoch spolufinancovaných zo zdrojov EÚ je ÚPVII zodpovedný najmä za </w:t>
      </w:r>
      <w:r w:rsidR="00250C76">
        <w:t xml:space="preserve">správu </w:t>
      </w:r>
      <w:r>
        <w:t xml:space="preserve">portfólia projektov a podkladov pre riadiaci výbor. Ako sprostredkovateľský orgán </w:t>
      </w:r>
      <w:r w:rsidRPr="0043271C">
        <w:t>Operačného programu Integrovaná infraštruktúra Prioritná os 7</w:t>
      </w:r>
      <w:r>
        <w:t xml:space="preserve"> je ÚPVII splnomocnený na prípravu zá</w:t>
      </w:r>
      <w:r w:rsidR="00B6727A">
        <w:t>merov národných projektov a</w:t>
      </w:r>
      <w:r>
        <w:t> aktualizáciu ich zoznamu. Konkrétne investičné projekty schvaľuje riadiaci výbor.</w:t>
      </w:r>
      <w:r w:rsidR="00B6727A" w:rsidRPr="00B6727A">
        <w:t xml:space="preserve"> </w:t>
      </w:r>
      <w:r w:rsidR="00B6727A">
        <w:t xml:space="preserve">Zasadnutia riadiaceho výboru zvoláva, vedie a program schvaľuje jeho predseda, ktorým je </w:t>
      </w:r>
      <w:r w:rsidR="00B6727A" w:rsidRPr="00B6727A">
        <w:t>podpredseda vlády Slovenskej republiky pre investície a</w:t>
      </w:r>
      <w:r w:rsidR="00B6727A">
        <w:t> </w:t>
      </w:r>
      <w:r w:rsidR="00B6727A" w:rsidRPr="00B6727A">
        <w:t>informatizáciu</w:t>
      </w:r>
      <w:r w:rsidR="00B6727A">
        <w:t xml:space="preserve">. </w:t>
      </w:r>
      <w:r w:rsidR="00250C76">
        <w:t xml:space="preserve">Od roku 2015 schválil riadiaci výbor 66 predložených zámerov, schválený nebol 1 zámer. </w:t>
      </w:r>
    </w:p>
    <w:p w14:paraId="5736B57F" w14:textId="77777777" w:rsidR="00CF1422" w:rsidRPr="00CF1422" w:rsidRDefault="00205E16" w:rsidP="00CF1422">
      <w:pPr>
        <w:spacing w:before="120" w:after="120"/>
      </w:pPr>
      <w:r w:rsidRPr="00205E16">
        <w:rPr>
          <w:b/>
        </w:rPr>
        <w:t xml:space="preserve">Od roku 2018 sú projekty pripravované podľa aktualizovanej metodiky, bez ohľadu na zdroj financovania. </w:t>
      </w:r>
      <w:r w:rsidRPr="00765192">
        <w:t>V súlade s novou metodikou sú alternatívy posudzované na 3 úrovniach</w:t>
      </w:r>
      <w:r w:rsidR="00067FA4">
        <w:t xml:space="preserve"> (biznis, aplikačná a technologická)</w:t>
      </w:r>
      <w:r w:rsidRPr="00765192">
        <w:t>, dôraz je kladený na definovanie širokého okruhu možných riešení problému už na úrovni biznis vrstvy. Samotné porovnanie technických alternatív realizácie systému prebieha až na konci procesu. Alternatívy sú najskôr hodnotené pomocou multikriteriálnej analýzy, najperspektívnejšie sú hodnotené pomocou analýzy prínosov a nákladov (CBA). V nej je rozpočet doložený na úrovni modulov a jednotkových cien a prínosy sú kvantifikované bez použitia expertných odhadov. Kľúčový faktor pre výber realizovanej alternatívy je objektívne kvantifikovaný pomer prínosov a nákladov (BCR).</w:t>
      </w:r>
    </w:p>
    <w:p w14:paraId="68DDB601" w14:textId="29F3A179" w:rsidR="00205E16" w:rsidRPr="00765192" w:rsidRDefault="00205E16" w:rsidP="00485D53">
      <w:pPr>
        <w:spacing w:before="120" w:after="120"/>
      </w:pPr>
      <w:r w:rsidRPr="00205E16">
        <w:rPr>
          <w:b/>
        </w:rPr>
        <w:t xml:space="preserve">Aktualizácia a zjednotenie pravidiel prispeli k úspore nákladov voči prvotnému odhadu v priemere o 15%.   </w:t>
      </w:r>
      <w:r w:rsidRPr="00765192">
        <w:t xml:space="preserve">Hodnotene ÚHP MF SR bolo spracované pre </w:t>
      </w:r>
      <w:r w:rsidR="000D4ECB">
        <w:t>56</w:t>
      </w:r>
      <w:r w:rsidRPr="00765192">
        <w:t xml:space="preserve"> projektov s</w:t>
      </w:r>
      <w:r w:rsidR="0003127D">
        <w:t> </w:t>
      </w:r>
      <w:r w:rsidR="005315FF">
        <w:t>celkovými</w:t>
      </w:r>
      <w:r w:rsidR="0003127D">
        <w:t xml:space="preserve"> investičnými a prevádzkovými</w:t>
      </w:r>
      <w:r w:rsidR="005315FF" w:rsidRPr="00765192">
        <w:t xml:space="preserve"> </w:t>
      </w:r>
      <w:r w:rsidRPr="00765192">
        <w:t>nákladmi 1</w:t>
      </w:r>
      <w:r w:rsidR="000D4ECB">
        <w:t>329</w:t>
      </w:r>
      <w:r w:rsidRPr="00765192">
        <w:t xml:space="preserve"> mil. eur. Úspora nákladov sa voči prvotnému odhadu pohybuje v priemere na úrovni 15%. V súlade s nariadením vlády sú hodnotené všetky projekty s nákladmi nad 10 mil. eur, v prípade spolufinancovania z fondov EÚ aj projekty s nižšími nákladmi. </w:t>
      </w:r>
    </w:p>
    <w:p w14:paraId="1C9C41A5" w14:textId="77777777" w:rsidR="00205E16" w:rsidRPr="00205E16" w:rsidRDefault="00205E16" w:rsidP="00485D53">
      <w:pPr>
        <w:spacing w:before="120" w:after="120"/>
      </w:pPr>
      <w:r w:rsidRPr="00205E16">
        <w:rPr>
          <w:b/>
        </w:rPr>
        <w:t xml:space="preserve">Pretrvávajúce nedostatky pri príprave a riadení IT projektov vedú k vyšším nákladom a nevyužitiu plného potenciálu prínosov digitalizácie verejnej správy. </w:t>
      </w:r>
      <w:r w:rsidRPr="00765192">
        <w:t>Projekty sú predkladané v pokročilej fáze prípravy, kedy sú už výrazne obmedzené možnosti na úpravu alternatív, navrhovaného rozsahu alebo technického riešenia. Preferované je detailné opísanie navrhovaného riešenia v štúdii uskutočniteľnosti, možnosť v praxi otestovať reálnu funkčnosť viacerých alternatív prípravou prototypov je využívaná minimálne. Rozpočty nie sú odhadované ako najpresnejší odhad nákladov, ale ako ic</w:t>
      </w:r>
      <w:r w:rsidR="009D726E">
        <w:t>h</w:t>
      </w:r>
      <w:r w:rsidRPr="00765192">
        <w:t xml:space="preserve"> horná hranica, za ktorú je možné projekt realizovať a ktorá bude korigovaná vo verejnom obstarávaní.</w:t>
      </w:r>
      <w:r w:rsidR="00063BD1">
        <w:t xml:space="preserve"> Pretrváva pohľad na hodnotenie ekonomickej efektívnosti projektu ako celku, bez dostatočného posúdenia jednotlivých požiadaviek, ich prioritizácie a realizácie len tých, ktoré sú nutné na dosiahnutie dominantnej časti prínosov. </w:t>
      </w:r>
      <w:r w:rsidRPr="00765192">
        <w:t xml:space="preserve"> Nedostatočná komunikácia s trhom a tlak na efektívne využitie finančných prostriedkov vedie k vytváraniu duplicitného softvéru, nie využitia už existujúcich produktov v najvyššej miere</w:t>
      </w:r>
    </w:p>
    <w:p w14:paraId="318F2564" w14:textId="77777777" w:rsidR="00DD0061" w:rsidRDefault="00A9376F" w:rsidP="00FF57B7">
      <w:pPr>
        <w:pStyle w:val="Nadpis3"/>
        <w:numPr>
          <w:ilvl w:val="1"/>
          <w:numId w:val="1"/>
        </w:numPr>
      </w:pPr>
      <w:bookmarkStart w:id="70" w:name="_Toc35602766"/>
      <w:r>
        <w:t xml:space="preserve">Riadenie </w:t>
      </w:r>
      <w:r w:rsidR="00DD0061">
        <w:t xml:space="preserve">prípravy </w:t>
      </w:r>
      <w:r w:rsidR="00205E16">
        <w:t xml:space="preserve">nových </w:t>
      </w:r>
      <w:r w:rsidR="00DD0061">
        <w:t>projektov</w:t>
      </w:r>
      <w:bookmarkEnd w:id="70"/>
    </w:p>
    <w:p w14:paraId="7275B767" w14:textId="77777777" w:rsidR="00DF2AFB" w:rsidRPr="00DF2AFB" w:rsidRDefault="00DF2AFB" w:rsidP="00DF2AFB"/>
    <w:p w14:paraId="5B9A4DFC" w14:textId="25FEA69A" w:rsidR="00291768" w:rsidRDefault="00291768" w:rsidP="00EA43F7">
      <w:pPr>
        <w:spacing w:after="0"/>
        <w:rPr>
          <w:b/>
        </w:rPr>
      </w:pPr>
      <w:r w:rsidRPr="00EA43F7">
        <w:rPr>
          <w:b/>
        </w:rPr>
        <w:t xml:space="preserve">Graf </w:t>
      </w:r>
      <w:r w:rsidR="003326DF">
        <w:rPr>
          <w:b/>
        </w:rPr>
        <w:t>5</w:t>
      </w:r>
      <w:r w:rsidRPr="00EA43F7">
        <w:rPr>
          <w:b/>
        </w:rPr>
        <w:t xml:space="preserve">: Proces prípravy IT investícií (EÚ národné projekty, ŠR projekty nad 1 mil. eur) </w:t>
      </w:r>
    </w:p>
    <w:tbl>
      <w:tblPr>
        <w:tblStyle w:val="Mriekatabuky"/>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F2AFB" w14:paraId="33D5BEF1" w14:textId="77777777" w:rsidTr="00DF2AFB">
        <w:tc>
          <w:tcPr>
            <w:tcW w:w="9062" w:type="dxa"/>
          </w:tcPr>
          <w:p w14:paraId="4FB6D352" w14:textId="51021BCD" w:rsidR="00DF2AFB" w:rsidRDefault="00DF2AFB" w:rsidP="00DF2AFB">
            <w:pPr>
              <w:spacing w:before="120" w:after="120"/>
              <w:rPr>
                <w:b/>
              </w:rPr>
            </w:pPr>
            <w:r>
              <w:rPr>
                <w:noProof/>
                <w:lang w:eastAsia="sk-SK"/>
              </w:rPr>
              <w:lastRenderedPageBreak/>
              <w:drawing>
                <wp:inline distT="0" distB="0" distL="0" distR="0" wp14:anchorId="58F15D44" wp14:editId="3E93D2B8">
                  <wp:extent cx="5760720" cy="1537335"/>
                  <wp:effectExtent l="0" t="0" r="0" b="571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prava-projektu.png"/>
                          <pic:cNvPicPr/>
                        </pic:nvPicPr>
                        <pic:blipFill>
                          <a:blip r:embed="rId20">
                            <a:extLst>
                              <a:ext uri="{28A0092B-C50C-407E-A947-70E740481C1C}">
                                <a14:useLocalDpi xmlns:a14="http://schemas.microsoft.com/office/drawing/2010/main" val="0"/>
                              </a:ext>
                            </a:extLst>
                          </a:blip>
                          <a:stretch>
                            <a:fillRect/>
                          </a:stretch>
                        </pic:blipFill>
                        <pic:spPr>
                          <a:xfrm>
                            <a:off x="0" y="0"/>
                            <a:ext cx="5760720" cy="1537335"/>
                          </a:xfrm>
                          <a:prstGeom prst="rect">
                            <a:avLst/>
                          </a:prstGeom>
                        </pic:spPr>
                      </pic:pic>
                    </a:graphicData>
                  </a:graphic>
                </wp:inline>
              </w:drawing>
            </w:r>
          </w:p>
        </w:tc>
      </w:tr>
    </w:tbl>
    <w:p w14:paraId="005BB9E5" w14:textId="77777777" w:rsidR="00EC764A" w:rsidRDefault="00EC764A" w:rsidP="00485D53">
      <w:pPr>
        <w:spacing w:before="120" w:after="120"/>
      </w:pPr>
      <w:r>
        <w:t>Na využitie potenciálu digitalizácie verejnej správy je potrebné upraviť proces prípravy nových IT projektov, najmä:</w:t>
      </w:r>
    </w:p>
    <w:p w14:paraId="59F74461" w14:textId="77777777" w:rsidR="00205E16" w:rsidRPr="005D6C0F" w:rsidRDefault="00205E16" w:rsidP="00485D53">
      <w:pPr>
        <w:spacing w:before="120" w:after="120"/>
      </w:pPr>
      <w:bookmarkStart w:id="71" w:name="_Toc35602767"/>
      <w:r w:rsidRPr="001E3AD2">
        <w:rPr>
          <w:rStyle w:val="Nadpis3Char"/>
        </w:rPr>
        <w:t>Príprava a schválenie projektového zámeru</w:t>
      </w:r>
      <w:bookmarkEnd w:id="71"/>
      <w:r w:rsidRPr="006666C2">
        <w:rPr>
          <w:b/>
        </w:rPr>
        <w:t xml:space="preserve">. </w:t>
      </w:r>
      <w:r w:rsidR="006666C2" w:rsidRPr="005D6C0F">
        <w:t xml:space="preserve">Pred spracovaním detailnej štúdie uskutočniteľnosti, ktorá sa dnes považuje za hlavný dokument opisujúci navrhované riešenie, je potrebné spracovať a schváliť projektový zámer. </w:t>
      </w:r>
      <w:r w:rsidR="006666C2" w:rsidRPr="00E652CB">
        <w:t>Ten v krátkom rozsahu najviac 5-10 strán opíše</w:t>
      </w:r>
      <w:r w:rsidR="006666C2" w:rsidRPr="008D267B">
        <w:t xml:space="preserve"> identifikovaný problém a príležitosť na zlepšenie a navrhovaný projekt</w:t>
      </w:r>
      <w:r w:rsidR="006666C2" w:rsidRPr="009E5E08">
        <w:t>. Do</w:t>
      </w:r>
      <w:r w:rsidR="006666C2" w:rsidRPr="00E652CB">
        <w:t>kument jasne definuje problém resp. príležitosť, používateľov nových IT služieb, alternatívy</w:t>
      </w:r>
      <w:r w:rsidR="006666C2" w:rsidRPr="008D267B">
        <w:t xml:space="preserve"> riešenia, predpokladané prínosy, výšku nákladov a spôsob financovania. </w:t>
      </w:r>
      <w:r w:rsidR="006666C2" w:rsidRPr="009E5E08">
        <w:t xml:space="preserve">Výstupom je verejný zoznam projektových zámerov, ktorý jasne opisuje biznis case </w:t>
      </w:r>
      <w:r w:rsidR="006666C2" w:rsidRPr="005D6C0F">
        <w:t>navrhovaného riešenia.</w:t>
      </w:r>
      <w:r w:rsidR="00C91C67">
        <w:t xml:space="preserve"> Aktuálne úlohu čiastočne plní reformný zámer, ktorý </w:t>
      </w:r>
      <w:r w:rsidR="0002595F">
        <w:t xml:space="preserve">však </w:t>
      </w:r>
      <w:r w:rsidR="00C91C67">
        <w:t xml:space="preserve">opisuje najmä procesné a biznisové zmeny poskytovania služieb. Vyvolané IT investície sú opísané len </w:t>
      </w:r>
      <w:r w:rsidR="0002595F">
        <w:t>na úrovni základných biznis požiadaviek na systémy</w:t>
      </w:r>
      <w:r w:rsidR="00C91C67">
        <w:t>.</w:t>
      </w:r>
      <w:r w:rsidR="0002595F">
        <w:t xml:space="preserve"> Napriek tomu uvádza prvotný odhad investičných nákladov, ktorý je používaný v ďalších fázach, vrátane základu pre detailný rozpočet v ekonomickej analýze. </w:t>
      </w:r>
      <w:r w:rsidR="00C91C67">
        <w:t xml:space="preserve">  </w:t>
      </w:r>
    </w:p>
    <w:p w14:paraId="7E07344C" w14:textId="77777777" w:rsidR="00BD51C6" w:rsidRPr="005D6C0F" w:rsidRDefault="00BD51C6" w:rsidP="00485D53">
      <w:pPr>
        <w:spacing w:before="120" w:after="120"/>
      </w:pPr>
      <w:bookmarkStart w:id="72" w:name="_Toc35602768"/>
      <w:r>
        <w:rPr>
          <w:rStyle w:val="Nadpis3Char"/>
        </w:rPr>
        <w:t>Detailná špecifikácia oblastí, v ktorých má rozvoj IT služieb priniesť zlepšenie.</w:t>
      </w:r>
      <w:bookmarkEnd w:id="72"/>
      <w:r>
        <w:rPr>
          <w:rStyle w:val="Nadpis3Char"/>
        </w:rPr>
        <w:t xml:space="preserve"> </w:t>
      </w:r>
      <w:r w:rsidRPr="005D6C0F">
        <w:t>Už pred realizáciou štúdie uskutočniteľnosti je potrebné jasne zadefinovať oblasti a úzke hrdlá procesov, ktoré má rozvoj IT služieb vyriešiť a čo najlepšie odhadnúť výšku budúcich nákladov a prínosov. Nástroj na overenie funkčnosti riešenia môže byť používateľský výskum, alebo vytvorenie tzv. prototypov – reálnych IT rieše</w:t>
      </w:r>
      <w:r w:rsidRPr="00E652CB">
        <w:t xml:space="preserve">ní, ktoré za zlomok nákladov poskytujú hlavnú funkcionalitu. V tejto fáze sú </w:t>
      </w:r>
      <w:r w:rsidRPr="008D267B">
        <w:t xml:space="preserve">overené predpoklady </w:t>
      </w:r>
      <w:r w:rsidRPr="009E5E08">
        <w:t>najperspe</w:t>
      </w:r>
      <w:r w:rsidRPr="00E652CB">
        <w:t>ktívnejších procesov na elektronizáciu, vhodné spôsoby ich riešenia a odhad nákladov a </w:t>
      </w:r>
      <w:r w:rsidRPr="008D267B">
        <w:t>prínosov.</w:t>
      </w:r>
      <w:r w:rsidRPr="009E5E08">
        <w:t xml:space="preserve"> Na overenie vhodnosti alternatív sú vopred stanovené kritéria, ktoré majú byť splnené. Výstupom sú konkrétne alternatívy, ktorých celkové náklady a prínosy budú rozpracované v štúdii uskutočniteľnosti.  </w:t>
      </w:r>
    </w:p>
    <w:p w14:paraId="756E47E2" w14:textId="31A03416" w:rsidR="001E3AD2" w:rsidRDefault="00846AB5" w:rsidP="00485D53">
      <w:pPr>
        <w:spacing w:before="120" w:after="120"/>
      </w:pPr>
      <w:bookmarkStart w:id="73" w:name="_Toc35602769"/>
      <w:r w:rsidRPr="003C3DCE">
        <w:rPr>
          <w:rStyle w:val="Nadpis3Char"/>
        </w:rPr>
        <w:t>Pilotné riešenie</w:t>
      </w:r>
      <w:r w:rsidR="001E3AD2" w:rsidRPr="00EA43F7">
        <w:rPr>
          <w:rStyle w:val="Nadpis3Char"/>
        </w:rPr>
        <w:t>.</w:t>
      </w:r>
      <w:bookmarkEnd w:id="73"/>
      <w:r w:rsidR="001E3AD2" w:rsidRPr="00CC5285">
        <w:rPr>
          <w:b/>
        </w:rPr>
        <w:t xml:space="preserve"> </w:t>
      </w:r>
      <w:r w:rsidR="00776FFF" w:rsidRPr="00EA43F7">
        <w:t>Spracovanie detailnej štúdie uskutočniteľnosti je finančne a časovo náročné, nemusí pritom zabezpečiť, že navrhované riešenie je najefektívnejšie</w:t>
      </w:r>
      <w:r w:rsidR="00776FFF">
        <w:t>.</w:t>
      </w:r>
      <w:r w:rsidR="00776FFF" w:rsidRPr="00776FFF" w:rsidDel="00776FFF">
        <w:rPr>
          <w:b/>
        </w:rPr>
        <w:t xml:space="preserve"> </w:t>
      </w:r>
      <w:r w:rsidR="001E3AD2" w:rsidRPr="00765192">
        <w:t xml:space="preserve">Štúdia poskytuje teoretický opis </w:t>
      </w:r>
      <w:r w:rsidR="00BD51C6">
        <w:t>nových IT služieb</w:t>
      </w:r>
      <w:r w:rsidR="001E3AD2" w:rsidRPr="00765192">
        <w:t>, bez overenia reálnej funkčnosti v praxi.</w:t>
      </w:r>
      <w:r w:rsidR="00776FFF">
        <w:t xml:space="preserve"> Len výnimočne je spracovaná internými zamestnancami, spravidla je pred hodnotením objednávaná ako jednorazová externá služba, po dokončení sa nepočíta s ďalšími úpravami. </w:t>
      </w:r>
      <w:r w:rsidR="00CA741A" w:rsidRPr="00CA741A">
        <w:t xml:space="preserve">Po jej kompletnom spracovaní sú možnosti na </w:t>
      </w:r>
      <w:r w:rsidR="00CA741A">
        <w:t>úpravy nadväzujúce na výsledky hodnotenia (</w:t>
      </w:r>
      <w:r w:rsidR="00CA741A" w:rsidRPr="00CA741A">
        <w:t>rozpracovanie nových alternatív alebo úprav</w:t>
      </w:r>
      <w:r w:rsidR="00CA741A">
        <w:t xml:space="preserve">y rozsahu) </w:t>
      </w:r>
      <w:r w:rsidR="00CA741A" w:rsidRPr="00CA741A">
        <w:t>výrazne obmedzené</w:t>
      </w:r>
      <w:r w:rsidR="00CA741A">
        <w:t xml:space="preserve"> kvôli nutnosti novej objednávky na služby externých konzultantov</w:t>
      </w:r>
      <w:r w:rsidR="00CA741A" w:rsidRPr="00CA741A">
        <w:t>.</w:t>
      </w:r>
      <w:r w:rsidR="00CA741A">
        <w:t xml:space="preserve"> </w:t>
      </w:r>
      <w:r w:rsidR="00DC4576">
        <w:t xml:space="preserve">Vhodným spôsobom je overiť navrhované riešenie pilotným projektom, ktorý v malom rozsahu za zlomok nákladov umožni preukázať životaschopnosť navrhovaného spôsobu </w:t>
      </w:r>
      <w:r w:rsidR="00661C70">
        <w:t>riešenia</w:t>
      </w:r>
      <w:r w:rsidR="00DC4576">
        <w:t xml:space="preserve"> identifikovaných problémov. Pilotn</w:t>
      </w:r>
      <w:r w:rsidR="00661C70">
        <w:t>á</w:t>
      </w:r>
      <w:r w:rsidR="00DC4576">
        <w:t xml:space="preserve"> </w:t>
      </w:r>
      <w:r w:rsidR="00661C70">
        <w:t>fáza</w:t>
      </w:r>
      <w:r w:rsidR="00DC4576">
        <w:t xml:space="preserve"> </w:t>
      </w:r>
      <w:r w:rsidR="00661C70">
        <w:t>umožňuje sledovaním interakcií používateľov so zjednodušeným prototypom navrhovaného riešenia vyhodnotiť, či predbežné výsledky zodpovedajú predpokladom a má význam investovať do ďalších fáz.</w:t>
      </w:r>
      <w:r w:rsidR="00661C70" w:rsidRPr="00765192" w:rsidDel="00661C70">
        <w:t xml:space="preserve"> </w:t>
      </w:r>
    </w:p>
    <w:tbl>
      <w:tblPr>
        <w:tblStyle w:val="Tabukasmriekou6farebnzvraznenie5"/>
        <w:tblW w:w="0" w:type="auto"/>
        <w:tblLook w:val="0420" w:firstRow="1" w:lastRow="0" w:firstColumn="0" w:lastColumn="0" w:noHBand="0" w:noVBand="1"/>
      </w:tblPr>
      <w:tblGrid>
        <w:gridCol w:w="9062"/>
      </w:tblGrid>
      <w:tr w:rsidR="009357A3" w:rsidRPr="00765192" w14:paraId="06E5E928" w14:textId="77777777" w:rsidTr="00B07233">
        <w:trPr>
          <w:cnfStyle w:val="100000000000" w:firstRow="1" w:lastRow="0" w:firstColumn="0" w:lastColumn="0" w:oddVBand="0" w:evenVBand="0" w:oddHBand="0" w:evenHBand="0" w:firstRowFirstColumn="0" w:firstRowLastColumn="0" w:lastRowFirstColumn="0" w:lastRowLastColumn="0"/>
        </w:trPr>
        <w:tc>
          <w:tcPr>
            <w:tcW w:w="9062" w:type="dxa"/>
          </w:tcPr>
          <w:p w14:paraId="22C8A81B" w14:textId="77777777" w:rsidR="009357A3" w:rsidRPr="00765192" w:rsidRDefault="009357A3" w:rsidP="00B07233">
            <w:pPr>
              <w:rPr>
                <w:sz w:val="20"/>
              </w:rPr>
            </w:pPr>
            <w:r>
              <w:rPr>
                <w:sz w:val="20"/>
              </w:rPr>
              <w:t xml:space="preserve">Box: Reálne využitie pilotného testovania na zníženie nákladov, ale úpravu služieb  </w:t>
            </w:r>
          </w:p>
        </w:tc>
      </w:tr>
      <w:tr w:rsidR="009357A3" w:rsidRPr="00765192" w14:paraId="0A824BCC" w14:textId="77777777" w:rsidTr="00B07233">
        <w:trPr>
          <w:cnfStyle w:val="000000100000" w:firstRow="0" w:lastRow="0" w:firstColumn="0" w:lastColumn="0" w:oddVBand="0" w:evenVBand="0" w:oddHBand="1" w:evenHBand="0" w:firstRowFirstColumn="0" w:firstRowLastColumn="0" w:lastRowFirstColumn="0" w:lastRowLastColumn="0"/>
          <w:trHeight w:val="674"/>
        </w:trPr>
        <w:tc>
          <w:tcPr>
            <w:tcW w:w="9062" w:type="dxa"/>
          </w:tcPr>
          <w:p w14:paraId="3D2E52BD" w14:textId="77777777" w:rsidR="009357A3" w:rsidRDefault="009357A3" w:rsidP="009357A3">
            <w:pPr>
              <w:spacing w:before="120" w:after="120"/>
              <w:rPr>
                <w:sz w:val="20"/>
              </w:rPr>
            </w:pPr>
            <w:r w:rsidRPr="00E12BDB">
              <w:rPr>
                <w:b/>
                <w:sz w:val="20"/>
              </w:rPr>
              <w:t xml:space="preserve">V pilotnej fáze projektu </w:t>
            </w:r>
            <w:r>
              <w:rPr>
                <w:b/>
                <w:sz w:val="20"/>
              </w:rPr>
              <w:t xml:space="preserve">na zabezpečenie efektívneho používania služieb eZdravia na celom území (projekt </w:t>
            </w:r>
            <w:r w:rsidRPr="00E12BDB">
              <w:rPr>
                <w:b/>
                <w:sz w:val="20"/>
              </w:rPr>
              <w:t>ESO1-D</w:t>
            </w:r>
            <w:r>
              <w:rPr>
                <w:b/>
                <w:sz w:val="20"/>
              </w:rPr>
              <w:t>)</w:t>
            </w:r>
            <w:r w:rsidRPr="00E12BDB">
              <w:rPr>
                <w:b/>
                <w:sz w:val="20"/>
              </w:rPr>
              <w:t xml:space="preserve"> bude overená možnosť znížiť náklady o 21 mil. eur úpravou preferovaného riešenia</w:t>
            </w:r>
            <w:r>
              <w:rPr>
                <w:sz w:val="20"/>
              </w:rPr>
              <w:t xml:space="preserve">. Projekt si dáva za cieľ </w:t>
            </w:r>
            <w:r w:rsidRPr="000124C4">
              <w:rPr>
                <w:sz w:val="20"/>
              </w:rPr>
              <w:t>zabezpečenie kontinuálnej a bezproblémovej práce v</w:t>
            </w:r>
            <w:r>
              <w:rPr>
                <w:sz w:val="20"/>
              </w:rPr>
              <w:t> </w:t>
            </w:r>
            <w:r w:rsidRPr="000124C4">
              <w:rPr>
                <w:sz w:val="20"/>
              </w:rPr>
              <w:t>systéme</w:t>
            </w:r>
            <w:r>
              <w:rPr>
                <w:sz w:val="20"/>
              </w:rPr>
              <w:t xml:space="preserve"> eZdravie. Podľa štúdie uskutočniteľnosti je preferovaný spôsob riešenia nákup počítačov a príslušenstva s celkovými nákladmi na vlastníctvo takmer 21 mil. eur. Alternatívou môže byť softvérové riešenie, ktoré nákup hardvéru nevyžaduje, resp. vyžaduje vo výrazne menšej miere. Miera náhrady </w:t>
            </w:r>
            <w:r w:rsidRPr="00BE7761">
              <w:rPr>
                <w:sz w:val="20"/>
              </w:rPr>
              <w:t>hardvér</w:t>
            </w:r>
            <w:r>
              <w:rPr>
                <w:sz w:val="20"/>
              </w:rPr>
              <w:t>u</w:t>
            </w:r>
            <w:r w:rsidRPr="00BE7761">
              <w:rPr>
                <w:sz w:val="20"/>
              </w:rPr>
              <w:t xml:space="preserve"> softvérovým riešením</w:t>
            </w:r>
            <w:r>
              <w:rPr>
                <w:sz w:val="20"/>
              </w:rPr>
              <w:t xml:space="preserve"> bude overená pilotnou fázou.</w:t>
            </w:r>
          </w:p>
          <w:p w14:paraId="3528E0C5" w14:textId="77777777" w:rsidR="009357A3" w:rsidRDefault="009357A3" w:rsidP="009357A3">
            <w:pPr>
              <w:spacing w:before="120" w:after="120"/>
              <w:rPr>
                <w:sz w:val="20"/>
              </w:rPr>
            </w:pPr>
            <w:r>
              <w:rPr>
                <w:b/>
                <w:sz w:val="20"/>
              </w:rPr>
              <w:t xml:space="preserve">Reálne využitie elektronických služieb matriky dnes dosahuje zlomok predpokladaného počtu podaní. Overením predpokladov v praxi mohli byť služby prispôsobené reálnym potrebám používateľov. </w:t>
            </w:r>
            <w:r>
              <w:rPr>
                <w:sz w:val="20"/>
              </w:rPr>
              <w:t>Projekt c</w:t>
            </w:r>
            <w:r w:rsidRPr="00E12BDB">
              <w:rPr>
                <w:sz w:val="20"/>
              </w:rPr>
              <w:t>entrálny informačný systém matrík s investičnými nákladmi</w:t>
            </w:r>
            <w:r>
              <w:rPr>
                <w:sz w:val="20"/>
              </w:rPr>
              <w:t xml:space="preserve"> 9 mil. eur poskytuje od roku 2015 používateľom 16 koncových služieb, ktoré patria medzi základné služby pre občanov. </w:t>
            </w:r>
            <w:r w:rsidRPr="000B1846">
              <w:rPr>
                <w:sz w:val="20"/>
              </w:rPr>
              <w:t xml:space="preserve">Podľa </w:t>
            </w:r>
            <w:r>
              <w:rPr>
                <w:sz w:val="20"/>
              </w:rPr>
              <w:t>projektovej dokumentácie</w:t>
            </w:r>
            <w:r w:rsidRPr="000B1846">
              <w:rPr>
                <w:sz w:val="20"/>
              </w:rPr>
              <w:t xml:space="preserve">  malo byť prostredníctvom informačného systému v </w:t>
            </w:r>
            <w:r w:rsidRPr="000B1846">
              <w:rPr>
                <w:sz w:val="20"/>
              </w:rPr>
              <w:lastRenderedPageBreak/>
              <w:t>roku 2018 vybavených 400 tis. podaní.</w:t>
            </w:r>
            <w:r>
              <w:rPr>
                <w:sz w:val="20"/>
              </w:rPr>
              <w:t xml:space="preserve"> </w:t>
            </w:r>
            <w:r w:rsidRPr="000B1846">
              <w:rPr>
                <w:sz w:val="20"/>
              </w:rPr>
              <w:t>Podľa údajov dostupných v MetaIS až 11 z poskytovaných služieb od spustenia systému nikto nevyužil</w:t>
            </w:r>
            <w:r>
              <w:rPr>
                <w:sz w:val="20"/>
              </w:rPr>
              <w:t>, zvyšné služby boli využité menej ako 1 tis. krát</w:t>
            </w:r>
            <w:r w:rsidRPr="000B1846">
              <w:rPr>
                <w:sz w:val="20"/>
              </w:rPr>
              <w:t xml:space="preserve">. </w:t>
            </w:r>
          </w:p>
          <w:tbl>
            <w:tblPr>
              <w:tblW w:w="8862" w:type="dxa"/>
              <w:tblCellMar>
                <w:left w:w="70" w:type="dxa"/>
                <w:right w:w="70" w:type="dxa"/>
              </w:tblCellMar>
              <w:tblLook w:val="04A0" w:firstRow="1" w:lastRow="0" w:firstColumn="1" w:lastColumn="0" w:noHBand="0" w:noVBand="1"/>
            </w:tblPr>
            <w:tblGrid>
              <w:gridCol w:w="6803"/>
              <w:gridCol w:w="314"/>
              <w:gridCol w:w="1729"/>
            </w:tblGrid>
            <w:tr w:rsidR="009357A3" w:rsidRPr="00327EEE" w14:paraId="4F9B315F" w14:textId="77777777" w:rsidTr="00B07233">
              <w:trPr>
                <w:trHeight w:val="270"/>
              </w:trPr>
              <w:tc>
                <w:tcPr>
                  <w:tcW w:w="7130" w:type="dxa"/>
                  <w:gridSpan w:val="2"/>
                  <w:tcBorders>
                    <w:top w:val="nil"/>
                    <w:left w:val="nil"/>
                    <w:bottom w:val="single" w:sz="4" w:space="0" w:color="0070C0"/>
                    <w:right w:val="nil"/>
                  </w:tcBorders>
                  <w:shd w:val="clear" w:color="auto" w:fill="auto"/>
                  <w:noWrap/>
                  <w:vAlign w:val="bottom"/>
                  <w:hideMark/>
                </w:tcPr>
                <w:p w14:paraId="7C43C3AC" w14:textId="2CFA0D81" w:rsidR="009357A3" w:rsidRPr="00327EEE" w:rsidRDefault="009357A3" w:rsidP="009B4960">
                  <w:pPr>
                    <w:spacing w:after="0" w:line="240" w:lineRule="auto"/>
                    <w:rPr>
                      <w:rFonts w:eastAsia="Times New Roman" w:cs="Times New Roman"/>
                      <w:b/>
                      <w:bCs/>
                      <w:color w:val="000000"/>
                      <w:lang w:eastAsia="sk-SK"/>
                    </w:rPr>
                  </w:pPr>
                  <w:r w:rsidRPr="00327EEE">
                    <w:rPr>
                      <w:b/>
                      <w:color w:val="2F5496" w:themeColor="accent5" w:themeShade="BF"/>
                      <w:sz w:val="20"/>
                    </w:rPr>
                    <w:t xml:space="preserve">Tabuľka </w:t>
                  </w:r>
                  <w:r w:rsidR="009B4960">
                    <w:rPr>
                      <w:b/>
                      <w:color w:val="2F5496" w:themeColor="accent5" w:themeShade="BF"/>
                      <w:sz w:val="20"/>
                    </w:rPr>
                    <w:t>5</w:t>
                  </w:r>
                  <w:r w:rsidRPr="00327EEE">
                    <w:rPr>
                      <w:b/>
                      <w:color w:val="2F5496" w:themeColor="accent5" w:themeShade="BF"/>
                      <w:sz w:val="20"/>
                    </w:rPr>
                    <w:t xml:space="preserve">: Využitie elektronických služieb matriky 2015-2019 </w:t>
                  </w:r>
                </w:p>
              </w:tc>
              <w:tc>
                <w:tcPr>
                  <w:tcW w:w="1731" w:type="dxa"/>
                  <w:tcBorders>
                    <w:top w:val="nil"/>
                    <w:left w:val="nil"/>
                    <w:bottom w:val="single" w:sz="4" w:space="0" w:color="0070C0"/>
                    <w:right w:val="nil"/>
                  </w:tcBorders>
                  <w:shd w:val="clear" w:color="auto" w:fill="auto"/>
                  <w:noWrap/>
                  <w:vAlign w:val="bottom"/>
                  <w:hideMark/>
                </w:tcPr>
                <w:p w14:paraId="4EB6A315" w14:textId="77777777" w:rsidR="009357A3" w:rsidRPr="00327EEE" w:rsidRDefault="009357A3" w:rsidP="009357A3">
                  <w:pPr>
                    <w:spacing w:after="0" w:line="240" w:lineRule="auto"/>
                    <w:rPr>
                      <w:rFonts w:eastAsia="Times New Roman" w:cs="Times New Roman"/>
                      <w:b/>
                      <w:bCs/>
                      <w:color w:val="000000"/>
                      <w:lang w:eastAsia="sk-SK"/>
                    </w:rPr>
                  </w:pPr>
                </w:p>
              </w:tc>
            </w:tr>
            <w:tr w:rsidR="009357A3" w:rsidRPr="00327EEE" w14:paraId="4B65BE28" w14:textId="77777777" w:rsidTr="00B07233">
              <w:trPr>
                <w:trHeight w:val="270"/>
              </w:trPr>
              <w:tc>
                <w:tcPr>
                  <w:tcW w:w="6816" w:type="dxa"/>
                  <w:tcBorders>
                    <w:top w:val="single" w:sz="4" w:space="0" w:color="0070C0"/>
                    <w:left w:val="nil"/>
                    <w:bottom w:val="single" w:sz="4" w:space="0" w:color="0070C0"/>
                    <w:right w:val="nil"/>
                  </w:tcBorders>
                  <w:shd w:val="clear" w:color="auto" w:fill="auto"/>
                  <w:noWrap/>
                  <w:vAlign w:val="center"/>
                  <w:hideMark/>
                </w:tcPr>
                <w:p w14:paraId="0FC1F410" w14:textId="77777777" w:rsidR="009357A3" w:rsidRPr="00327EEE" w:rsidRDefault="009357A3" w:rsidP="009357A3">
                  <w:pPr>
                    <w:spacing w:after="0" w:line="240" w:lineRule="auto"/>
                    <w:rPr>
                      <w:b/>
                      <w:color w:val="2F5496" w:themeColor="accent5" w:themeShade="BF"/>
                      <w:sz w:val="20"/>
                    </w:rPr>
                  </w:pPr>
                  <w:r w:rsidRPr="00327EEE">
                    <w:rPr>
                      <w:b/>
                      <w:color w:val="2F5496" w:themeColor="accent5" w:themeShade="BF"/>
                      <w:sz w:val="20"/>
                    </w:rPr>
                    <w:t>Služba</w:t>
                  </w:r>
                </w:p>
              </w:tc>
              <w:tc>
                <w:tcPr>
                  <w:tcW w:w="2045" w:type="dxa"/>
                  <w:gridSpan w:val="2"/>
                  <w:tcBorders>
                    <w:top w:val="single" w:sz="4" w:space="0" w:color="0070C0"/>
                    <w:left w:val="nil"/>
                    <w:bottom w:val="single" w:sz="4" w:space="0" w:color="0070C0"/>
                    <w:right w:val="nil"/>
                  </w:tcBorders>
                  <w:shd w:val="clear" w:color="auto" w:fill="auto"/>
                  <w:noWrap/>
                  <w:vAlign w:val="center"/>
                  <w:hideMark/>
                </w:tcPr>
                <w:p w14:paraId="1EBCC888" w14:textId="77777777" w:rsidR="009357A3" w:rsidRPr="00327EEE" w:rsidRDefault="009357A3" w:rsidP="009357A3">
                  <w:pPr>
                    <w:spacing w:after="0" w:line="240" w:lineRule="auto"/>
                    <w:jc w:val="center"/>
                    <w:rPr>
                      <w:b/>
                      <w:color w:val="2F5496" w:themeColor="accent5" w:themeShade="BF"/>
                      <w:sz w:val="20"/>
                    </w:rPr>
                  </w:pPr>
                  <w:r w:rsidRPr="00327EEE">
                    <w:rPr>
                      <w:b/>
                      <w:color w:val="2F5496" w:themeColor="accent5" w:themeShade="BF"/>
                      <w:sz w:val="20"/>
                    </w:rPr>
                    <w:t>Počet volaní 2015-19</w:t>
                  </w:r>
                </w:p>
              </w:tc>
            </w:tr>
            <w:tr w:rsidR="009357A3" w:rsidRPr="00327EEE" w14:paraId="4911CF76" w14:textId="77777777" w:rsidTr="00B07233">
              <w:trPr>
                <w:trHeight w:val="270"/>
              </w:trPr>
              <w:tc>
                <w:tcPr>
                  <w:tcW w:w="6816" w:type="dxa"/>
                  <w:tcBorders>
                    <w:top w:val="single" w:sz="4" w:space="0" w:color="0070C0"/>
                    <w:left w:val="nil"/>
                    <w:bottom w:val="nil"/>
                    <w:right w:val="nil"/>
                  </w:tcBorders>
                  <w:shd w:val="clear" w:color="auto" w:fill="auto"/>
                  <w:noWrap/>
                  <w:vAlign w:val="bottom"/>
                  <w:hideMark/>
                </w:tcPr>
                <w:p w14:paraId="193CD994" w14:textId="77777777" w:rsidR="009357A3" w:rsidRPr="00327EEE" w:rsidRDefault="009357A3" w:rsidP="009357A3">
                  <w:pPr>
                    <w:spacing w:after="0" w:line="240" w:lineRule="auto"/>
                    <w:rPr>
                      <w:color w:val="2F5496" w:themeColor="accent5" w:themeShade="BF"/>
                      <w:sz w:val="20"/>
                    </w:rPr>
                  </w:pPr>
                  <w:r w:rsidRPr="00327EEE">
                    <w:rPr>
                      <w:color w:val="2F5496" w:themeColor="accent5" w:themeShade="BF"/>
                      <w:sz w:val="20"/>
                    </w:rPr>
                    <w:t>Vydanie úradného výpisu (duplikátu) matričného dokladu</w:t>
                  </w:r>
                </w:p>
              </w:tc>
              <w:tc>
                <w:tcPr>
                  <w:tcW w:w="2045" w:type="dxa"/>
                  <w:gridSpan w:val="2"/>
                  <w:tcBorders>
                    <w:top w:val="single" w:sz="4" w:space="0" w:color="0070C0"/>
                    <w:left w:val="nil"/>
                    <w:bottom w:val="nil"/>
                    <w:right w:val="nil"/>
                  </w:tcBorders>
                  <w:shd w:val="clear" w:color="auto" w:fill="auto"/>
                  <w:noWrap/>
                  <w:vAlign w:val="bottom"/>
                  <w:hideMark/>
                </w:tcPr>
                <w:p w14:paraId="4E73BC76" w14:textId="77777777" w:rsidR="009357A3" w:rsidRPr="00327EEE" w:rsidRDefault="009357A3" w:rsidP="009357A3">
                  <w:pPr>
                    <w:spacing w:after="0" w:line="240" w:lineRule="auto"/>
                    <w:jc w:val="center"/>
                    <w:rPr>
                      <w:color w:val="2F5496" w:themeColor="accent5" w:themeShade="BF"/>
                      <w:sz w:val="20"/>
                    </w:rPr>
                  </w:pPr>
                  <w:r w:rsidRPr="00327EEE">
                    <w:rPr>
                      <w:color w:val="2F5496" w:themeColor="accent5" w:themeShade="BF"/>
                      <w:sz w:val="20"/>
                    </w:rPr>
                    <w:t>888</w:t>
                  </w:r>
                </w:p>
              </w:tc>
            </w:tr>
            <w:tr w:rsidR="009357A3" w:rsidRPr="00327EEE" w14:paraId="1804DCF2" w14:textId="77777777" w:rsidTr="00B07233">
              <w:trPr>
                <w:trHeight w:val="270"/>
              </w:trPr>
              <w:tc>
                <w:tcPr>
                  <w:tcW w:w="6816" w:type="dxa"/>
                  <w:tcBorders>
                    <w:top w:val="nil"/>
                    <w:left w:val="nil"/>
                    <w:bottom w:val="nil"/>
                    <w:right w:val="nil"/>
                  </w:tcBorders>
                  <w:shd w:val="clear" w:color="auto" w:fill="auto"/>
                  <w:noWrap/>
                  <w:vAlign w:val="bottom"/>
                  <w:hideMark/>
                </w:tcPr>
                <w:p w14:paraId="4B50BE7A" w14:textId="77777777" w:rsidR="009357A3" w:rsidRPr="00327EEE" w:rsidRDefault="009357A3" w:rsidP="009357A3">
                  <w:pPr>
                    <w:spacing w:after="0" w:line="240" w:lineRule="auto"/>
                    <w:rPr>
                      <w:color w:val="2F5496" w:themeColor="accent5" w:themeShade="BF"/>
                      <w:sz w:val="20"/>
                    </w:rPr>
                  </w:pPr>
                  <w:r w:rsidRPr="00327EEE">
                    <w:rPr>
                      <w:color w:val="2F5496" w:themeColor="accent5" w:themeShade="BF"/>
                      <w:sz w:val="20"/>
                    </w:rPr>
                    <w:t>Podanie žiadosti o zmenu mena, priezviska - okresný úrad</w:t>
                  </w:r>
                </w:p>
              </w:tc>
              <w:tc>
                <w:tcPr>
                  <w:tcW w:w="2045" w:type="dxa"/>
                  <w:gridSpan w:val="2"/>
                  <w:tcBorders>
                    <w:top w:val="nil"/>
                    <w:left w:val="nil"/>
                    <w:bottom w:val="nil"/>
                    <w:right w:val="nil"/>
                  </w:tcBorders>
                  <w:shd w:val="clear" w:color="auto" w:fill="auto"/>
                  <w:noWrap/>
                  <w:vAlign w:val="bottom"/>
                  <w:hideMark/>
                </w:tcPr>
                <w:p w14:paraId="73A83BA3" w14:textId="77777777" w:rsidR="009357A3" w:rsidRPr="00327EEE" w:rsidRDefault="009357A3" w:rsidP="009357A3">
                  <w:pPr>
                    <w:spacing w:after="0" w:line="240" w:lineRule="auto"/>
                    <w:jc w:val="center"/>
                    <w:rPr>
                      <w:color w:val="2F5496" w:themeColor="accent5" w:themeShade="BF"/>
                      <w:sz w:val="20"/>
                    </w:rPr>
                  </w:pPr>
                  <w:r w:rsidRPr="00327EEE">
                    <w:rPr>
                      <w:color w:val="2F5496" w:themeColor="accent5" w:themeShade="BF"/>
                      <w:sz w:val="20"/>
                    </w:rPr>
                    <w:t>44</w:t>
                  </w:r>
                </w:p>
              </w:tc>
            </w:tr>
            <w:tr w:rsidR="009357A3" w:rsidRPr="00327EEE" w14:paraId="3E4D26E4" w14:textId="77777777" w:rsidTr="00B07233">
              <w:trPr>
                <w:trHeight w:val="270"/>
              </w:trPr>
              <w:tc>
                <w:tcPr>
                  <w:tcW w:w="6816" w:type="dxa"/>
                  <w:tcBorders>
                    <w:top w:val="nil"/>
                    <w:left w:val="nil"/>
                    <w:right w:val="nil"/>
                  </w:tcBorders>
                  <w:shd w:val="clear" w:color="auto" w:fill="auto"/>
                  <w:noWrap/>
                  <w:vAlign w:val="bottom"/>
                  <w:hideMark/>
                </w:tcPr>
                <w:p w14:paraId="0D9CE5CA" w14:textId="77777777" w:rsidR="009357A3" w:rsidRPr="00327EEE" w:rsidRDefault="009357A3" w:rsidP="009357A3">
                  <w:pPr>
                    <w:spacing w:after="0" w:line="240" w:lineRule="auto"/>
                    <w:rPr>
                      <w:color w:val="2F5496" w:themeColor="accent5" w:themeShade="BF"/>
                      <w:sz w:val="20"/>
                    </w:rPr>
                  </w:pPr>
                  <w:r w:rsidRPr="00327EEE">
                    <w:rPr>
                      <w:color w:val="2F5496" w:themeColor="accent5" w:themeShade="BF"/>
                      <w:sz w:val="20"/>
                    </w:rPr>
                    <w:t>Vyhotovenie potvrdenia o údajoch zapísaných v matričnej knihe</w:t>
                  </w:r>
                </w:p>
              </w:tc>
              <w:tc>
                <w:tcPr>
                  <w:tcW w:w="2045" w:type="dxa"/>
                  <w:gridSpan w:val="2"/>
                  <w:tcBorders>
                    <w:top w:val="nil"/>
                    <w:left w:val="nil"/>
                    <w:right w:val="nil"/>
                  </w:tcBorders>
                  <w:shd w:val="clear" w:color="auto" w:fill="auto"/>
                  <w:noWrap/>
                  <w:vAlign w:val="bottom"/>
                  <w:hideMark/>
                </w:tcPr>
                <w:p w14:paraId="572840DC" w14:textId="77777777" w:rsidR="009357A3" w:rsidRPr="00327EEE" w:rsidRDefault="009357A3" w:rsidP="009357A3">
                  <w:pPr>
                    <w:spacing w:after="0" w:line="240" w:lineRule="auto"/>
                    <w:jc w:val="center"/>
                    <w:rPr>
                      <w:color w:val="2F5496" w:themeColor="accent5" w:themeShade="BF"/>
                      <w:sz w:val="20"/>
                    </w:rPr>
                  </w:pPr>
                  <w:r w:rsidRPr="00327EEE">
                    <w:rPr>
                      <w:color w:val="2F5496" w:themeColor="accent5" w:themeShade="BF"/>
                      <w:sz w:val="20"/>
                    </w:rPr>
                    <w:t>25</w:t>
                  </w:r>
                </w:p>
              </w:tc>
            </w:tr>
            <w:tr w:rsidR="009357A3" w:rsidRPr="00327EEE" w14:paraId="2D584597" w14:textId="77777777" w:rsidTr="00B07233">
              <w:trPr>
                <w:trHeight w:val="270"/>
              </w:trPr>
              <w:tc>
                <w:tcPr>
                  <w:tcW w:w="6816" w:type="dxa"/>
                  <w:tcBorders>
                    <w:top w:val="nil"/>
                    <w:left w:val="nil"/>
                    <w:bottom w:val="single" w:sz="4" w:space="0" w:color="0070C0"/>
                    <w:right w:val="nil"/>
                  </w:tcBorders>
                  <w:shd w:val="clear" w:color="auto" w:fill="auto"/>
                  <w:noWrap/>
                  <w:vAlign w:val="bottom"/>
                  <w:hideMark/>
                </w:tcPr>
                <w:p w14:paraId="30D9D30B" w14:textId="77777777" w:rsidR="009357A3" w:rsidRPr="00327EEE" w:rsidRDefault="009357A3" w:rsidP="009357A3">
                  <w:pPr>
                    <w:spacing w:after="0" w:line="240" w:lineRule="auto"/>
                    <w:rPr>
                      <w:color w:val="2F5496" w:themeColor="accent5" w:themeShade="BF"/>
                      <w:sz w:val="20"/>
                    </w:rPr>
                  </w:pPr>
                  <w:r w:rsidRPr="00327EEE">
                    <w:rPr>
                      <w:color w:val="2F5496" w:themeColor="accent5" w:themeShade="BF"/>
                      <w:sz w:val="20"/>
                    </w:rPr>
                    <w:t>Podanie žiadosti o opravy, zmeny zápisov a dodatočných zápisov matričných udalostí</w:t>
                  </w:r>
                </w:p>
              </w:tc>
              <w:tc>
                <w:tcPr>
                  <w:tcW w:w="2045" w:type="dxa"/>
                  <w:gridSpan w:val="2"/>
                  <w:tcBorders>
                    <w:top w:val="nil"/>
                    <w:left w:val="nil"/>
                    <w:bottom w:val="single" w:sz="4" w:space="0" w:color="0070C0"/>
                    <w:right w:val="nil"/>
                  </w:tcBorders>
                  <w:shd w:val="clear" w:color="auto" w:fill="auto"/>
                  <w:noWrap/>
                  <w:vAlign w:val="bottom"/>
                  <w:hideMark/>
                </w:tcPr>
                <w:p w14:paraId="2F821B26" w14:textId="77777777" w:rsidR="009357A3" w:rsidRPr="00327EEE" w:rsidRDefault="009357A3" w:rsidP="009357A3">
                  <w:pPr>
                    <w:spacing w:after="0" w:line="240" w:lineRule="auto"/>
                    <w:jc w:val="center"/>
                    <w:rPr>
                      <w:color w:val="2F5496" w:themeColor="accent5" w:themeShade="BF"/>
                      <w:sz w:val="20"/>
                    </w:rPr>
                  </w:pPr>
                  <w:r w:rsidRPr="00327EEE">
                    <w:rPr>
                      <w:color w:val="2F5496" w:themeColor="accent5" w:themeShade="BF"/>
                      <w:sz w:val="20"/>
                    </w:rPr>
                    <w:t>17</w:t>
                  </w:r>
                </w:p>
              </w:tc>
            </w:tr>
            <w:tr w:rsidR="009357A3" w:rsidRPr="00327EEE" w14:paraId="79F04E25" w14:textId="77777777" w:rsidTr="00B07233">
              <w:trPr>
                <w:trHeight w:val="246"/>
              </w:trPr>
              <w:tc>
                <w:tcPr>
                  <w:tcW w:w="8862" w:type="dxa"/>
                  <w:gridSpan w:val="3"/>
                  <w:tcBorders>
                    <w:top w:val="single" w:sz="4" w:space="0" w:color="0070C0"/>
                    <w:left w:val="nil"/>
                    <w:bottom w:val="nil"/>
                    <w:right w:val="nil"/>
                  </w:tcBorders>
                  <w:shd w:val="clear" w:color="auto" w:fill="auto"/>
                  <w:noWrap/>
                  <w:hideMark/>
                </w:tcPr>
                <w:p w14:paraId="2E7281F5" w14:textId="77777777" w:rsidR="009357A3" w:rsidRPr="00327EEE" w:rsidRDefault="009357A3" w:rsidP="009357A3">
                  <w:pPr>
                    <w:spacing w:after="120" w:line="240" w:lineRule="auto"/>
                    <w:jc w:val="right"/>
                    <w:rPr>
                      <w:i/>
                      <w:color w:val="2F5496" w:themeColor="accent5" w:themeShade="BF"/>
                      <w:sz w:val="18"/>
                    </w:rPr>
                  </w:pPr>
                  <w:r w:rsidRPr="00327EEE">
                    <w:rPr>
                      <w:i/>
                      <w:color w:val="2F5496" w:themeColor="accent5" w:themeShade="BF"/>
                      <w:sz w:val="18"/>
                    </w:rPr>
                    <w:t xml:space="preserve">Zdroj: </w:t>
                  </w:r>
                  <w:r>
                    <w:rPr>
                      <w:i/>
                      <w:color w:val="2F5496" w:themeColor="accent5" w:themeShade="BF"/>
                      <w:sz w:val="18"/>
                    </w:rPr>
                    <w:t>Implementačná správa</w:t>
                  </w:r>
                  <w:r w:rsidRPr="00327EEE">
                    <w:rPr>
                      <w:i/>
                      <w:color w:val="2F5496" w:themeColor="accent5" w:themeShade="BF"/>
                      <w:sz w:val="18"/>
                    </w:rPr>
                    <w:t xml:space="preserve"> </w:t>
                  </w:r>
                </w:p>
              </w:tc>
            </w:tr>
          </w:tbl>
          <w:p w14:paraId="12F2DFD9" w14:textId="77777777" w:rsidR="009357A3" w:rsidRPr="00A115E4" w:rsidRDefault="009357A3" w:rsidP="00B07233">
            <w:pPr>
              <w:spacing w:before="120" w:after="120"/>
              <w:rPr>
                <w:i/>
                <w:highlight w:val="yellow"/>
              </w:rPr>
            </w:pPr>
          </w:p>
        </w:tc>
      </w:tr>
    </w:tbl>
    <w:p w14:paraId="43A27AEB" w14:textId="77777777" w:rsidR="00EB2EBB" w:rsidRDefault="00B12C81" w:rsidP="001E3AD2">
      <w:pPr>
        <w:spacing w:before="240"/>
      </w:pPr>
      <w:bookmarkStart w:id="74" w:name="_Toc35602770"/>
      <w:r>
        <w:rPr>
          <w:rStyle w:val="Nadpis3Char"/>
        </w:rPr>
        <w:lastRenderedPageBreak/>
        <w:t>Príprava štúdie uskutočniteľnosti pre relevantné alternatívy</w:t>
      </w:r>
      <w:bookmarkEnd w:id="74"/>
      <w:r w:rsidR="00205E16" w:rsidRPr="00765192">
        <w:rPr>
          <w:b/>
        </w:rPr>
        <w:t>.</w:t>
      </w:r>
      <w:r w:rsidR="00EB2EBB" w:rsidRPr="00EB2EBB">
        <w:t xml:space="preserve"> </w:t>
      </w:r>
      <w:r w:rsidR="00EB2EBB" w:rsidRPr="00765192">
        <w:t xml:space="preserve">V štúdii uskutočniteľnosti a CBA sú detailne rozpracovávané prínosy a náklady projektu a jednotlivých funkcionalít navrhovaného riešenia. Dôraz je kladený na preukázanie, ktorá alternatíva pri najnižších nákladoch prináša najvyššie prínosy. Pri príprave štúdie uskutočniteľnosti komunikuje predkladateľ s trhom s cieľom pripraviť podklady tak, aby si vytvoril predstavu, ktoré časti je možné realizovať samostatne, ktoré požiadavky považujú dodávatelia za rizikové a majú najvyšší dopad na výslednú cenu a aby mali potenciálny uchádzači jasnú predstavu o tom, aké riešenie má byť vytvorené. </w:t>
      </w:r>
      <w:r w:rsidR="00EB2EBB">
        <w:t>Výsledný rozpočet je najlepším možným odhadom nákladov, nie hornou hranicou, za ktoré je možné projekt realizovať.</w:t>
      </w:r>
    </w:p>
    <w:p w14:paraId="4B5270D9" w14:textId="77777777" w:rsidR="00450D4E" w:rsidRPr="00450D4E" w:rsidRDefault="00971344" w:rsidP="00450D4E">
      <w:bookmarkStart w:id="75" w:name="_Toc35602771"/>
      <w:r w:rsidRPr="001E3AD2">
        <w:rPr>
          <w:rStyle w:val="Nadpis3Char"/>
        </w:rPr>
        <w:t>Zadefinovať</w:t>
      </w:r>
      <w:r w:rsidR="00450D4E" w:rsidRPr="001E3AD2">
        <w:rPr>
          <w:rStyle w:val="Nadpis3Char"/>
        </w:rPr>
        <w:t xml:space="preserve"> mechanizmus na </w:t>
      </w:r>
      <w:r w:rsidR="001E3AD2" w:rsidRPr="001E3AD2">
        <w:rPr>
          <w:rStyle w:val="Nadpis3Char"/>
        </w:rPr>
        <w:t>sledovanie</w:t>
      </w:r>
      <w:r w:rsidR="00450D4E" w:rsidRPr="001E3AD2">
        <w:rPr>
          <w:rStyle w:val="Nadpis3Char"/>
        </w:rPr>
        <w:t xml:space="preserve"> </w:t>
      </w:r>
      <w:r w:rsidR="00F307D4">
        <w:rPr>
          <w:rStyle w:val="Nadpis3Char"/>
        </w:rPr>
        <w:t xml:space="preserve">a vynucovanie </w:t>
      </w:r>
      <w:r w:rsidR="00450D4E" w:rsidRPr="001E3AD2">
        <w:rPr>
          <w:rStyle w:val="Nadpis3Char"/>
        </w:rPr>
        <w:t>očakávaných prínosov</w:t>
      </w:r>
      <w:bookmarkEnd w:id="75"/>
      <w:r w:rsidR="00450D4E">
        <w:rPr>
          <w:b/>
        </w:rPr>
        <w:t xml:space="preserve">. </w:t>
      </w:r>
      <w:r>
        <w:t xml:space="preserve">Na to aby prínosy z digitalizácie verejnej správy nezostali len na papieri je potrebné už počas prípravy projektu zadefinovať mechanizmus, ktorým majú byť po spustení projektu prínosy </w:t>
      </w:r>
      <w:r w:rsidR="001E3AD2">
        <w:t>sledované</w:t>
      </w:r>
      <w:r w:rsidR="00F307D4">
        <w:t xml:space="preserve"> vynucované</w:t>
      </w:r>
      <w:r>
        <w:t>. Pre sledovanie počtu podaní a ušetreného času verejnosti je potrebné zadefinovať miesto, kde bude možné monitorovať dosiahnuté prínosy konkrétnych služieb</w:t>
      </w:r>
      <w:r w:rsidR="00F307D4">
        <w:t xml:space="preserve"> a osoby zodpovedné za ich dosiahnutie</w:t>
      </w:r>
      <w:r>
        <w:t xml:space="preserve">. Pre sledovanie úspory materiálových </w:t>
      </w:r>
      <w:r w:rsidR="00725630">
        <w:t xml:space="preserve">a personálnych </w:t>
      </w:r>
      <w:r>
        <w:t xml:space="preserve">nákladov na strane štátu </w:t>
      </w:r>
      <w:r w:rsidR="00725630">
        <w:t>je potrebné vytvoriť rozpočtový podklad</w:t>
      </w:r>
      <w:r w:rsidR="00F307D4">
        <w:t xml:space="preserve"> pre MF SR</w:t>
      </w:r>
      <w:r w:rsidR="00725630">
        <w:t xml:space="preserve">, v ktorom bude </w:t>
      </w:r>
      <w:r w:rsidR="00F307D4">
        <w:t>po rokoch zachytené</w:t>
      </w:r>
      <w:r w:rsidR="00725630">
        <w:t>, ako bude deklarovaná úspora premietnutá po spustení systému do rozpočtu úradu.</w:t>
      </w:r>
    </w:p>
    <w:p w14:paraId="34C008C1" w14:textId="3F1FB8EB" w:rsidR="005B7DB4" w:rsidRPr="004F73BA" w:rsidRDefault="005B7DB4">
      <w:pPr>
        <w:rPr>
          <w:rStyle w:val="Nadpis3Char"/>
          <w:b w:val="0"/>
        </w:rPr>
      </w:pPr>
      <w:bookmarkStart w:id="76" w:name="_Toc35602772"/>
      <w:r w:rsidRPr="001E3AD2">
        <w:rPr>
          <w:rStyle w:val="Nadpis3Char"/>
        </w:rPr>
        <w:t xml:space="preserve">Príprava verejného obstarávania a porovnanie </w:t>
      </w:r>
      <w:r w:rsidR="00D8064A">
        <w:rPr>
          <w:rStyle w:val="Nadpis3Char"/>
        </w:rPr>
        <w:t xml:space="preserve">jeho </w:t>
      </w:r>
      <w:r w:rsidRPr="001E3AD2">
        <w:rPr>
          <w:rStyle w:val="Nadpis3Char"/>
        </w:rPr>
        <w:t>výsledkov s očakávaniami</w:t>
      </w:r>
      <w:bookmarkEnd w:id="76"/>
      <w:r w:rsidRPr="00450D4E">
        <w:rPr>
          <w:b/>
        </w:rPr>
        <w:t xml:space="preserve">. </w:t>
      </w:r>
      <w:r w:rsidRPr="00765192">
        <w:t xml:space="preserve">Všeobecne zaužívanou praxou pri príprave </w:t>
      </w:r>
      <w:r w:rsidR="00D8064A">
        <w:t>IT</w:t>
      </w:r>
      <w:r w:rsidRPr="00765192">
        <w:t xml:space="preserve"> projektov je zostavenie rozpočtu projektu ako odhad hornej hranice nákladov, za ktoré je možné projekt realizovať</w:t>
      </w:r>
      <w:r w:rsidR="00D8064A">
        <w:t xml:space="preserve"> s očakávaniami, že potrebný softvér bude potrebné vyvinúť</w:t>
      </w:r>
      <w:r w:rsidRPr="00765192">
        <w:t xml:space="preserve">. Očakávané zníženie na úroveň </w:t>
      </w:r>
      <w:r w:rsidR="002A78E9">
        <w:t>trhových</w:t>
      </w:r>
      <w:r w:rsidR="002A78E9" w:rsidRPr="00765192">
        <w:t xml:space="preserve"> </w:t>
      </w:r>
      <w:r w:rsidRPr="00765192">
        <w:t>cien</w:t>
      </w:r>
      <w:r w:rsidR="00D8064A">
        <w:t>, alebo ponúknutie už existujúcich riešení,</w:t>
      </w:r>
      <w:r w:rsidRPr="00765192">
        <w:t xml:space="preserve"> má priniesť verejné obstarávanie. Najmä pri takomto postupe je potrebné vopred zadefinovať </w:t>
      </w:r>
      <w:r w:rsidR="00D8064A">
        <w:t>očakávania na výsledky VO</w:t>
      </w:r>
      <w:r w:rsidRPr="00765192">
        <w:t xml:space="preserve"> a pred podpisom zmluvy porovnať, či </w:t>
      </w:r>
      <w:r>
        <w:t>reálne výsledky obstarávania splnili pôvodné očakávania (napr. dosiahnutie úspory, počet zapojených subjektov</w:t>
      </w:r>
      <w:r w:rsidR="002F3364">
        <w:t>, alebo rozsah ponúknutých softvérových riešení</w:t>
      </w:r>
      <w:r>
        <w:t>)</w:t>
      </w:r>
      <w:r w:rsidR="00D278FD">
        <w:t>.</w:t>
      </w:r>
      <w:r w:rsidR="004E6F0B">
        <w:t xml:space="preserve"> </w:t>
      </w:r>
    </w:p>
    <w:p w14:paraId="461C985F" w14:textId="77777777" w:rsidR="00832E56" w:rsidRDefault="00530041" w:rsidP="00160503">
      <w:r>
        <w:rPr>
          <w:b/>
        </w:rPr>
        <w:t xml:space="preserve">Odovzdanie dokumentácie k informačnému systému a integráciám. </w:t>
      </w:r>
      <w:r>
        <w:t xml:space="preserve">Bez dostatočnej dokumentácie informačného systému sa zvyšuje riziko vendor lock-in, keď aj napriek vlastníctvu autorských práv nebude vedieť systém upravovať iný dodávateľ ako ten, ktorý ho vytvoril.  Bez </w:t>
      </w:r>
      <w:r w:rsidR="00AE1FDD">
        <w:t xml:space="preserve">jasného opisu integračných rozhraní a testovacích dát sa zvyšujú náklady na prepájanie informačných systémov. </w:t>
      </w:r>
      <w:r w:rsidR="00816A9C">
        <w:t>Pri každej akceptácií realizovaných úprav IS</w:t>
      </w:r>
      <w:r w:rsidR="00AE1FDD">
        <w:t xml:space="preserve"> je potrebné, aby obstarávateľ okrem autorských práv získal kompletnú dokumentáciu a opis integračných rozhraní.</w:t>
      </w:r>
    </w:p>
    <w:p w14:paraId="520E608F" w14:textId="77777777" w:rsidR="00037A70" w:rsidRPr="00EA43F7" w:rsidRDefault="00037A70" w:rsidP="00D644C7">
      <w:pPr>
        <w:pStyle w:val="Odsekzoznamu"/>
        <w:numPr>
          <w:ilvl w:val="0"/>
          <w:numId w:val="8"/>
        </w:numPr>
        <w:spacing w:before="240"/>
        <w:rPr>
          <w:b/>
        </w:rPr>
      </w:pPr>
      <w:r w:rsidRPr="00D05D84">
        <w:rPr>
          <w:b/>
        </w:rPr>
        <w:t>Opatrenie:</w:t>
      </w:r>
      <w:r>
        <w:rPr>
          <w:b/>
        </w:rPr>
        <w:t xml:space="preserve"> </w:t>
      </w:r>
      <w:r w:rsidR="00D644C7" w:rsidRPr="00D644C7">
        <w:rPr>
          <w:b/>
        </w:rPr>
        <w:t>Zaktualizovať metodický pokyn k príprave štúdie uskutočniteľnosti IT projektov.</w:t>
      </w:r>
    </w:p>
    <w:p w14:paraId="0C9B24F2" w14:textId="77777777" w:rsidR="00DD0061" w:rsidRDefault="00DD0061" w:rsidP="00FF57B7">
      <w:pPr>
        <w:pStyle w:val="Nadpis3"/>
        <w:numPr>
          <w:ilvl w:val="1"/>
          <w:numId w:val="1"/>
        </w:numPr>
      </w:pPr>
      <w:bookmarkStart w:id="77" w:name="_Toc24957623"/>
      <w:bookmarkStart w:id="78" w:name="_Toc24957793"/>
      <w:bookmarkStart w:id="79" w:name="_Toc24957962"/>
      <w:bookmarkStart w:id="80" w:name="_Toc24958131"/>
      <w:bookmarkStart w:id="81" w:name="_Toc24958298"/>
      <w:bookmarkStart w:id="82" w:name="_Toc35602773"/>
      <w:bookmarkEnd w:id="77"/>
      <w:bookmarkEnd w:id="78"/>
      <w:bookmarkEnd w:id="79"/>
      <w:bookmarkEnd w:id="80"/>
      <w:bookmarkEnd w:id="81"/>
      <w:r>
        <w:t xml:space="preserve">Princípy pre </w:t>
      </w:r>
      <w:r w:rsidR="00A9376F">
        <w:t xml:space="preserve">vývoj </w:t>
      </w:r>
      <w:r>
        <w:t xml:space="preserve">nových </w:t>
      </w:r>
      <w:r w:rsidR="00A9376F">
        <w:t>a</w:t>
      </w:r>
      <w:r w:rsidR="00037A70">
        <w:t> </w:t>
      </w:r>
      <w:r w:rsidR="00A9376F">
        <w:t>rozvoj</w:t>
      </w:r>
      <w:r w:rsidR="00037A70">
        <w:t xml:space="preserve"> existujúcich</w:t>
      </w:r>
      <w:r w:rsidR="00A9376F">
        <w:t xml:space="preserve"> informačných systémov</w:t>
      </w:r>
      <w:bookmarkEnd w:id="82"/>
    </w:p>
    <w:p w14:paraId="36E506F8" w14:textId="1670F5EE" w:rsidR="00DD0061" w:rsidRDefault="00DD0061" w:rsidP="00DD351B">
      <w:pPr>
        <w:spacing w:before="120" w:after="120"/>
      </w:pPr>
      <w:bookmarkStart w:id="83" w:name="_Toc35602774"/>
      <w:r w:rsidRPr="001E3AD2">
        <w:rPr>
          <w:rStyle w:val="Nadpis3Char"/>
        </w:rPr>
        <w:t xml:space="preserve">Projekty </w:t>
      </w:r>
      <w:r w:rsidR="00000DA9">
        <w:rPr>
          <w:rStyle w:val="Nadpis3Char"/>
        </w:rPr>
        <w:t>deliť na menšie časti</w:t>
      </w:r>
      <w:bookmarkEnd w:id="83"/>
      <w:r w:rsidRPr="00A115E4">
        <w:t>, ktoré je možné obstarať a nasadiť samostatne.</w:t>
      </w:r>
      <w:r w:rsidRPr="00CC5285">
        <w:rPr>
          <w:b/>
        </w:rPr>
        <w:t xml:space="preserve"> </w:t>
      </w:r>
      <w:r w:rsidRPr="00765192">
        <w:t xml:space="preserve">V súlade s dobrou praxou je v NKIVS definovaný cieľ zvýšiť podiel investičných projektov s nákladmi do 5 mil. eur na 75 %. </w:t>
      </w:r>
      <w:r w:rsidR="00000DA9">
        <w:t>Podľa informácie o plnení NKIVS</w:t>
      </w:r>
      <w:r w:rsidRPr="00765192">
        <w:t xml:space="preserve"> </w:t>
      </w:r>
      <w:r w:rsidR="00000DA9">
        <w:t>cieľ nie je plnený,</w:t>
      </w:r>
      <w:r w:rsidRPr="00765192">
        <w:t xml:space="preserve"> medzi rokmi 2017 a</w:t>
      </w:r>
      <w:r w:rsidR="00000DA9">
        <w:t> </w:t>
      </w:r>
      <w:r w:rsidRPr="00765192">
        <w:t>2018</w:t>
      </w:r>
      <w:r w:rsidR="00000DA9">
        <w:t xml:space="preserve"> klesol</w:t>
      </w:r>
      <w:r w:rsidRPr="00765192">
        <w:t xml:space="preserve"> podiel zo 42 % na 32 %.  S nárastom rozpočtu</w:t>
      </w:r>
      <w:r w:rsidR="00A25158">
        <w:t xml:space="preserve"> </w:t>
      </w:r>
      <w:r w:rsidR="00BD6044">
        <w:t>I</w:t>
      </w:r>
      <w:r w:rsidRPr="00765192">
        <w:t>T projektu klesá šanca, že jeho implementácia bude úspešná</w:t>
      </w:r>
      <w:r w:rsidRPr="00765192">
        <w:rPr>
          <w:rStyle w:val="Odkaznapoznmkupodiarou"/>
        </w:rPr>
        <w:footnoteReference w:id="27"/>
      </w:r>
      <w:r w:rsidRPr="00765192">
        <w:t xml:space="preserve">  a prínosy budú zodpovedať pôvodným očakávaniam</w:t>
      </w:r>
      <w:r w:rsidRPr="00765192">
        <w:rPr>
          <w:rStyle w:val="Odkaznapoznmkupodiarou"/>
        </w:rPr>
        <w:footnoteReference w:id="28"/>
      </w:r>
      <w:r w:rsidRPr="00765192">
        <w:t xml:space="preserve">. Podiel úspešných verejných IT projektov, ktoré boli dokončené na čas, v rámci stanoveného </w:t>
      </w:r>
      <w:r w:rsidRPr="00765192">
        <w:lastRenderedPageBreak/>
        <w:t>rozpočtu a cieľov, je pri menších projektoch s rozpočtom do 1 mil. eur (57%) výrazne vyššia, ako pri veľkých projektoch s rozpočtom nad 5 mil. eur (13%)</w:t>
      </w:r>
      <w:r w:rsidRPr="00765192">
        <w:rPr>
          <w:rStyle w:val="Odkaznapoznmkupodiarou"/>
        </w:rPr>
        <w:footnoteReference w:id="29"/>
      </w:r>
      <w:r w:rsidRPr="00765192">
        <w:t>. Je potrebné zaviesť opatrenia, aby boli projekty s rozpočtom nad 5 mil. eur rozdeľované na menšie časti, ktoré je možné obstarať a nasadiť samostatne a znížiť tak riziko, že výsledky nebudú zodpovedať očakávaniam.</w:t>
      </w:r>
    </w:p>
    <w:p w14:paraId="0B4934A2" w14:textId="77777777" w:rsidR="00450D4E" w:rsidRDefault="00450D4E" w:rsidP="00450D4E">
      <w:r w:rsidRPr="00A115E4">
        <w:t xml:space="preserve">Rozdeliť dodávky na menšie funkčné celky, ktoré môžu byť dodávané priebežne. </w:t>
      </w:r>
      <w:r w:rsidRPr="00A71E86">
        <w:t>Navrhované funkcionality sú rozdelené do modulov, ktoré môžu byť vytvorené</w:t>
      </w:r>
      <w:r w:rsidRPr="00765192">
        <w:t xml:space="preserve"> a prevádzkované samostatne. Cieľom je pripraviť realizáciu informačného systému tak, aby namiesto skokového nasadenia po vytvorení celého riešenia bolo možné postupne nasadzovať a odlaďovať jeho deliče časť rožnými dodávateľmi. </w:t>
      </w:r>
    </w:p>
    <w:p w14:paraId="1274EAD8" w14:textId="77777777" w:rsidR="00602E6F" w:rsidRDefault="00602E6F" w:rsidP="00450D4E">
      <w:r>
        <w:t xml:space="preserve">Príkladom delenia zákaziek na menšie časti </w:t>
      </w:r>
      <w:r w:rsidR="00556CDE">
        <w:t xml:space="preserve">a priebežného zvyšovania nákladovej efektívnosti </w:t>
      </w:r>
      <w:r>
        <w:t>z UK</w:t>
      </w:r>
      <w:r>
        <w:rPr>
          <w:rStyle w:val="Odkaznapoznmkupodiarou"/>
        </w:rPr>
        <w:footnoteReference w:id="30"/>
      </w:r>
      <w:r>
        <w:t xml:space="preserve"> je oddelenie úloh dodávateľa</w:t>
      </w:r>
      <w:r w:rsidR="00556CDE">
        <w:t xml:space="preserve"> a prevádzkovateľa</w:t>
      </w:r>
      <w:r>
        <w:t xml:space="preserve"> </w:t>
      </w:r>
      <w:r w:rsidR="00556CDE">
        <w:t>informačného</w:t>
      </w:r>
      <w:r>
        <w:t xml:space="preserve"> systémov,</w:t>
      </w:r>
      <w:r w:rsidR="00556CDE">
        <w:t xml:space="preserve"> prechod od dlhodobých kontraktov s jedným dodávateľom na viacero kratších kontraktov s viacerými dodávateľmi</w:t>
      </w:r>
      <w:r>
        <w:t xml:space="preserve"> </w:t>
      </w:r>
      <w:r w:rsidR="00556CDE">
        <w:t xml:space="preserve">alebo delenie komunikácia s trhom pre dosiahnutie čo najlepšieho rozdelenia služieb. </w:t>
      </w:r>
    </w:p>
    <w:p w14:paraId="2A621897" w14:textId="6E8C560F" w:rsidR="004476C4" w:rsidRPr="00765192" w:rsidRDefault="00DD5544" w:rsidP="008E0061">
      <w:pPr>
        <w:pStyle w:val="Odsekzoznamu"/>
        <w:numPr>
          <w:ilvl w:val="0"/>
          <w:numId w:val="8"/>
        </w:numPr>
        <w:spacing w:before="120"/>
      </w:pPr>
      <w:r>
        <w:rPr>
          <w:b/>
        </w:rPr>
        <w:t xml:space="preserve">Opatrenie: </w:t>
      </w:r>
      <w:r w:rsidR="008E0061" w:rsidRPr="008E0061">
        <w:rPr>
          <w:b/>
        </w:rPr>
        <w:t>Stanoviť pravidlá na delenie IT projektov na čiastkové plnenia, ktoré budú obstarané a dodané samostatne.</w:t>
      </w:r>
    </w:p>
    <w:p w14:paraId="10563492" w14:textId="7338CCDE" w:rsidR="00DD0061" w:rsidRDefault="00B702A7" w:rsidP="00DD0061">
      <w:pPr>
        <w:spacing w:before="120"/>
      </w:pPr>
      <w:bookmarkStart w:id="84" w:name="_Toc35602775"/>
      <w:r>
        <w:rPr>
          <w:rStyle w:val="Nadpis3Char"/>
        </w:rPr>
        <w:t>Do návrhu zahrnúť v čo najväčšej miere softvér, ktorý už štát vlastní, alebo ho netreba vyvíjať</w:t>
      </w:r>
      <w:r w:rsidR="00BD6044">
        <w:rPr>
          <w:rStyle w:val="Nadpis3Char"/>
        </w:rPr>
        <w:t xml:space="preserve"> (napr. OSS, SaaS)</w:t>
      </w:r>
      <w:bookmarkEnd w:id="84"/>
      <w:r w:rsidR="00BD6044" w:rsidRPr="00CC5285">
        <w:rPr>
          <w:b/>
        </w:rPr>
        <w:t>.</w:t>
      </w:r>
      <w:r w:rsidR="00DD0061" w:rsidRPr="00CC5285">
        <w:rPr>
          <w:b/>
        </w:rPr>
        <w:t xml:space="preserve"> </w:t>
      </w:r>
      <w:r w:rsidR="00DD0061">
        <w:t xml:space="preserve">Vývoj softvéru na mieru je </w:t>
      </w:r>
      <w:r w:rsidR="007371A8">
        <w:t>najväčšou nákladovou</w:t>
      </w:r>
      <w:r w:rsidR="00DD0061">
        <w:t xml:space="preserve"> položkou</w:t>
      </w:r>
      <w:r w:rsidR="00066AC3">
        <w:t xml:space="preserve"> v</w:t>
      </w:r>
      <w:r w:rsidR="00DD0061">
        <w:t xml:space="preserve"> IT </w:t>
      </w:r>
      <w:r w:rsidR="00066AC3">
        <w:t>projektoch</w:t>
      </w:r>
      <w:r w:rsidR="007371A8">
        <w:t>. V OP II projektoch, ktoré majú byť realizované počas najbližších 2 rokov, tvorí 71 % rozpočtu (206 mil. eur)</w:t>
      </w:r>
      <w:r w:rsidR="00DD0061">
        <w:t xml:space="preserve">. Náklady je možné znížiť prispôsobením </w:t>
      </w:r>
      <w:r w:rsidR="00D97544">
        <w:t xml:space="preserve">požiadaviek a návrhu </w:t>
      </w:r>
      <w:r w:rsidR="00DD0061">
        <w:t>tak, aby bolo možné v čo najväčšej miere využiť už existujúce riešenia</w:t>
      </w:r>
      <w:r w:rsidR="00BD6044">
        <w:t xml:space="preserve"> ako sú open source systémy a software ako služba.</w:t>
      </w:r>
      <w:r w:rsidR="00DD0061">
        <w:t>. Súčasnou praxou pri príprave projektov je zostavenie rozpočtu na scenár, kedy je potrebné všetok softvér vyvinúť, poskytnutie existujúcich riešení a zníženie ceny sa očakáva vo verejnom obstarávaní. Aj v prípade záujmu nie je dostupný zoznam existujúcich modulov informačných systémov, ktoré je možné prepoužiť, s ich dokumentáciou. Pri príprave projektu je potrebné definovať požadované funkcionality tak,</w:t>
      </w:r>
      <w:r w:rsidR="001E6A36">
        <w:t xml:space="preserve"> </w:t>
      </w:r>
      <w:r w:rsidR="00DD0061">
        <w:t xml:space="preserve">aby bola minimalizovaná potreba vývoja na mieru. </w:t>
      </w:r>
    </w:p>
    <w:p w14:paraId="562B851A" w14:textId="453B3B60" w:rsidR="00010E97" w:rsidRPr="00010E97" w:rsidRDefault="00010E97" w:rsidP="00DD0061">
      <w:pPr>
        <w:spacing w:before="120"/>
      </w:pPr>
      <w:bookmarkStart w:id="85" w:name="_Toc35602776"/>
      <w:r w:rsidRPr="00A115E4">
        <w:rPr>
          <w:rStyle w:val="Nadpis3Char"/>
        </w:rPr>
        <w:t>Zadefinovať správny rozsah navrhovaného riešenia</w:t>
      </w:r>
      <w:r w:rsidR="00902169">
        <w:rPr>
          <w:rStyle w:val="Nadpis3Char"/>
        </w:rPr>
        <w:t xml:space="preserve"> s nediskriminačnými požiadavkami</w:t>
      </w:r>
      <w:r w:rsidRPr="00A115E4">
        <w:rPr>
          <w:rStyle w:val="Nadpis3Char"/>
        </w:rPr>
        <w:t>.</w:t>
      </w:r>
      <w:bookmarkEnd w:id="85"/>
      <w:r>
        <w:rPr>
          <w:b/>
        </w:rPr>
        <w:t xml:space="preserve"> </w:t>
      </w:r>
      <w:r>
        <w:t xml:space="preserve">Definovanie špecifických funkčných požiadaviek môže vylučovať softvér a hardvér bežne dostupný na trhu s výrazne nižšími jednotkovými cenami. Špecifické požiadavky navyše nemusia generovať dostatočné prínosy na to, aby bolo ich zahrnutie do informačného systému opodstatnené vzhľadom na vyvolané náklady. Pri definovaní a výbere riešenia je potrebné porovnať </w:t>
      </w:r>
      <w:r w:rsidR="00CD164D">
        <w:t xml:space="preserve">požadovanú </w:t>
      </w:r>
      <w:r>
        <w:t>funkčnosť a parametre s funkčnosťou a parametrami bežne dostupnými na trhu.</w:t>
      </w:r>
      <w:r w:rsidR="00902169">
        <w:t xml:space="preserve"> V prípade, že špecifické funkčné požiadavky vylučujú použitie bežne dostupného softvéru je potrebné zanalyzovať, či je ich zahrnutie opodstatnené. </w:t>
      </w:r>
      <w:r>
        <w:t xml:space="preserve"> Nákup nadštandardného hardvéru a softvéru alebo vývoj unikátnej funkcionality je opodstatnený len v prípade, že je možné jednoznačne preukázať ich ekonomickú efektívnosť. V prípade, že ekonomická efektívnosť nie je preukázateľná, je potrebné upraviť rozsah a funkcionality navrhovaného riešenia. </w:t>
      </w:r>
    </w:p>
    <w:tbl>
      <w:tblPr>
        <w:tblStyle w:val="Tabukasmriekou6farebnzvraznenie5"/>
        <w:tblpPr w:leftFromText="141" w:rightFromText="141" w:vertAnchor="text" w:horzAnchor="margin" w:tblpY="-53"/>
        <w:tblW w:w="0" w:type="auto"/>
        <w:tblLook w:val="0420" w:firstRow="1" w:lastRow="0" w:firstColumn="0" w:lastColumn="0" w:noHBand="0" w:noVBand="1"/>
      </w:tblPr>
      <w:tblGrid>
        <w:gridCol w:w="9062"/>
      </w:tblGrid>
      <w:tr w:rsidR="00205E16" w:rsidRPr="00765192" w14:paraId="72A11E25" w14:textId="77777777" w:rsidTr="00FF57B7">
        <w:trPr>
          <w:cnfStyle w:val="100000000000" w:firstRow="1" w:lastRow="0" w:firstColumn="0" w:lastColumn="0" w:oddVBand="0" w:evenVBand="0" w:oddHBand="0" w:evenHBand="0" w:firstRowFirstColumn="0" w:firstRowLastColumn="0" w:lastRowFirstColumn="0" w:lastRowLastColumn="0"/>
        </w:trPr>
        <w:tc>
          <w:tcPr>
            <w:tcW w:w="9062" w:type="dxa"/>
          </w:tcPr>
          <w:p w14:paraId="5E9E1BE6" w14:textId="77777777" w:rsidR="00205E16" w:rsidRPr="00765192" w:rsidRDefault="00205E16" w:rsidP="00FF57B7">
            <w:pPr>
              <w:rPr>
                <w:sz w:val="20"/>
              </w:rPr>
            </w:pPr>
            <w:r>
              <w:rPr>
                <w:sz w:val="20"/>
              </w:rPr>
              <w:t>Box: Testovacia platforma projektu DEI (eSmart)</w:t>
            </w:r>
          </w:p>
        </w:tc>
      </w:tr>
      <w:tr w:rsidR="00205E16" w:rsidRPr="00765192" w14:paraId="035C2475" w14:textId="77777777" w:rsidTr="00FF57B7">
        <w:trPr>
          <w:cnfStyle w:val="000000100000" w:firstRow="0" w:lastRow="0" w:firstColumn="0" w:lastColumn="0" w:oddVBand="0" w:evenVBand="0" w:oddHBand="1" w:evenHBand="0" w:firstRowFirstColumn="0" w:firstRowLastColumn="0" w:lastRowFirstColumn="0" w:lastRowLastColumn="0"/>
          <w:trHeight w:val="1227"/>
        </w:trPr>
        <w:tc>
          <w:tcPr>
            <w:tcW w:w="9062" w:type="dxa"/>
          </w:tcPr>
          <w:p w14:paraId="2A0E583F" w14:textId="77777777" w:rsidR="00205E16" w:rsidRPr="00765192" w:rsidRDefault="00205E16" w:rsidP="00FF57B7">
            <w:pPr>
              <w:spacing w:before="120" w:after="120"/>
              <w:rPr>
                <w:sz w:val="20"/>
              </w:rPr>
            </w:pPr>
            <w:r>
              <w:rPr>
                <w:sz w:val="20"/>
              </w:rPr>
              <w:t xml:space="preserve">V rozpočte projektu </w:t>
            </w:r>
            <w:r w:rsidRPr="00FB5C50">
              <w:rPr>
                <w:sz w:val="20"/>
              </w:rPr>
              <w:t>Digitálny ekosystém inklúzie</w:t>
            </w:r>
            <w:r>
              <w:rPr>
                <w:sz w:val="20"/>
              </w:rPr>
              <w:t xml:space="preserve"> (dnes eSmart) je zahrnuté vytvorenie unikátnej testovacej a certifikačnej platformy s investičnými nákladmi 6 mil. eur. Požadovaná funkcionalita tzv. kognitívneho testovania, ktorá vylučuje bežne dostupne testovacie platformy s výrazne nižšími nákladmi, nebola dostatočne zdôvodnená</w:t>
            </w:r>
            <w:r w:rsidR="00A93886">
              <w:rPr>
                <w:rStyle w:val="Odkaznapoznmkupodiarou"/>
                <w:sz w:val="20"/>
              </w:rPr>
              <w:footnoteReference w:id="31"/>
            </w:r>
            <w:r>
              <w:rPr>
                <w:sz w:val="20"/>
              </w:rPr>
              <w:t xml:space="preserve">. Využiteľnosť existujúcich platforiem nebola overená v pilotnej fáze projektu. Nie je tak možné vylúčiť, že kvôli stanoveniu neštandardných požiadaviek na funkcionality a nedostatočnému zmapovaniu produktov dostupných na trhu je v rozpočte zahrnutý vývoj platformy, ktorej funkcionality mohli byť pri výrazne nižších nákladoch zabezpečené bežne dostupným softvérom.     </w:t>
            </w:r>
          </w:p>
        </w:tc>
      </w:tr>
    </w:tbl>
    <w:p w14:paraId="00EF5F7E" w14:textId="77777777" w:rsidR="00A24E30" w:rsidRDefault="00A24E30" w:rsidP="00A24E30">
      <w:pPr>
        <w:spacing w:before="120"/>
      </w:pPr>
      <w:bookmarkStart w:id="86" w:name="_Toc35602777"/>
      <w:r w:rsidRPr="00A115E4">
        <w:rPr>
          <w:rStyle w:val="Nadpis3Char"/>
        </w:rPr>
        <w:t>Už počas prípravy projektu vyslať jasný signál, aké ceny obstarávateľ očakáva.</w:t>
      </w:r>
      <w:bookmarkEnd w:id="86"/>
      <w:r>
        <w:rPr>
          <w:b/>
        </w:rPr>
        <w:t xml:space="preserve"> </w:t>
      </w:r>
      <w:r>
        <w:t xml:space="preserve">Bežnou praxou pri IT projektoch je vo fáze prípravy štúdie uskutočniteľnosti a verejného obstarávania zostaviť rozpočet ako odhad hornej hranice, za ktorú je možné projekt realizovať. Už v tejto fáze je nutné, aby obstarávateľ vyslal jasný signál, aké ceny očakáva. Pre zostavenie rozpočtu, ktorý najlepšie zodpovedá aktuálnej situácii na trhu, je potrebné už počas </w:t>
      </w:r>
      <w:r>
        <w:lastRenderedPageBreak/>
        <w:t xml:space="preserve">prípravy projektu aplikovať očakávané zľavy z cenníkových cien hardvéru a softvéru a ceny IT služieb (napr. programátorské práce) nastaviť podľa aktuálnej situácie na trhu a referenčných cien. </w:t>
      </w:r>
    </w:p>
    <w:p w14:paraId="7A2F2715" w14:textId="77777777" w:rsidR="00AE1FDD" w:rsidRDefault="00DE3CB1" w:rsidP="00A24E30">
      <w:pPr>
        <w:spacing w:before="120"/>
      </w:pPr>
      <w:bookmarkStart w:id="87" w:name="_Toc35602778"/>
      <w:r w:rsidRPr="00A115E4">
        <w:rPr>
          <w:rStyle w:val="Nadpis3Char"/>
        </w:rPr>
        <w:t>Budovanie otvorených IT služieb cez štandardizované rozhrania</w:t>
      </w:r>
      <w:r w:rsidR="00AE1FDD" w:rsidRPr="00A115E4">
        <w:rPr>
          <w:rStyle w:val="Nadpis3Char"/>
        </w:rPr>
        <w:t>.</w:t>
      </w:r>
      <w:bookmarkEnd w:id="87"/>
      <w:r w:rsidR="00AE1FDD">
        <w:rPr>
          <w:b/>
        </w:rPr>
        <w:t xml:space="preserve"> </w:t>
      </w:r>
      <w:r w:rsidR="00AE1FDD">
        <w:t>Pred ukončením projektu je potrebné, aby obstarávateľ okrem autorských práv získal kompletnú dokumentáciu k informačnému systému a integračným rozhraniam v štandardizovanej podobe. Rozsah dokumentácie, ktorý má byť dodaný, dnes nie je štandardizovaný. Zvyšuje sa tak potenciálne riziko</w:t>
      </w:r>
      <w:r w:rsidR="0007703E">
        <w:t xml:space="preserve"> </w:t>
      </w:r>
      <w:r w:rsidR="00AE1FDD">
        <w:t>vendor lock-in</w:t>
      </w:r>
      <w:r w:rsidR="0007703E">
        <w:t>u</w:t>
      </w:r>
      <w:r w:rsidR="00AE1FDD">
        <w:t xml:space="preserve"> voči dodávateľovi, ktorý systém vytvoril a zvýšenia nákladov dodatočných integrácií. Na zníženie rizika je potrebné definovať štandardnú dokumentáciu ktorá má byť odovzdaná pri vytvorení IS a realizácií zmenových požiadaviek a definovať štandardnú dokumentáciu integračných rozhraní spolu s testovacími dátami. </w:t>
      </w:r>
    </w:p>
    <w:p w14:paraId="7DFB4750" w14:textId="77777777" w:rsidR="00AE1FDD" w:rsidRPr="00AE1FDD" w:rsidRDefault="00AE1FDD" w:rsidP="00D644C7">
      <w:pPr>
        <w:pStyle w:val="Odsekzoznamu"/>
        <w:numPr>
          <w:ilvl w:val="0"/>
          <w:numId w:val="8"/>
        </w:numPr>
        <w:spacing w:before="120"/>
      </w:pPr>
      <w:r>
        <w:rPr>
          <w:b/>
        </w:rPr>
        <w:t xml:space="preserve">Opatrenie: </w:t>
      </w:r>
      <w:r w:rsidR="00D644C7" w:rsidRPr="00D644C7">
        <w:rPr>
          <w:b/>
        </w:rPr>
        <w:t>Publikovať na webe všetky manažérske a špecializované produkty zmenových požiadaviek podľa pravidiel definovaných vo vyhláške o projektovom riadení v IT.</w:t>
      </w:r>
    </w:p>
    <w:p w14:paraId="2BEBC904" w14:textId="77777777" w:rsidR="00A022A1" w:rsidRDefault="0059256C" w:rsidP="00A115E4">
      <w:pPr>
        <w:pStyle w:val="Nadpis2"/>
        <w:numPr>
          <w:ilvl w:val="0"/>
          <w:numId w:val="1"/>
        </w:numPr>
        <w:ind w:left="0" w:firstLine="0"/>
      </w:pPr>
      <w:bookmarkStart w:id="88" w:name="_Toc25161021"/>
      <w:bookmarkStart w:id="89" w:name="_Toc25161123"/>
      <w:bookmarkStart w:id="90" w:name="_Toc25161478"/>
      <w:bookmarkStart w:id="91" w:name="_Toc25162879"/>
      <w:bookmarkStart w:id="92" w:name="_Toc25161022"/>
      <w:bookmarkStart w:id="93" w:name="_Toc25161124"/>
      <w:bookmarkStart w:id="94" w:name="_Toc25161479"/>
      <w:bookmarkStart w:id="95" w:name="_Toc25162880"/>
      <w:bookmarkStart w:id="96" w:name="_Toc25161023"/>
      <w:bookmarkStart w:id="97" w:name="_Toc25161125"/>
      <w:bookmarkStart w:id="98" w:name="_Toc25161480"/>
      <w:bookmarkStart w:id="99" w:name="_Toc25162881"/>
      <w:bookmarkStart w:id="100" w:name="_Toc25161024"/>
      <w:bookmarkStart w:id="101" w:name="_Toc25161126"/>
      <w:bookmarkStart w:id="102" w:name="_Toc25161481"/>
      <w:bookmarkStart w:id="103" w:name="_Toc25162882"/>
      <w:bookmarkStart w:id="104" w:name="_Toc25161025"/>
      <w:bookmarkStart w:id="105" w:name="_Toc25161127"/>
      <w:bookmarkStart w:id="106" w:name="_Toc25161482"/>
      <w:bookmarkStart w:id="107" w:name="_Toc25162883"/>
      <w:bookmarkStart w:id="108" w:name="_Toc25161026"/>
      <w:bookmarkStart w:id="109" w:name="_Toc25161128"/>
      <w:bookmarkStart w:id="110" w:name="_Toc25161483"/>
      <w:bookmarkStart w:id="111" w:name="_Toc25162884"/>
      <w:bookmarkStart w:id="112" w:name="_Toc25161027"/>
      <w:bookmarkStart w:id="113" w:name="_Toc25161129"/>
      <w:bookmarkStart w:id="114" w:name="_Toc25161484"/>
      <w:bookmarkStart w:id="115" w:name="_Toc25162885"/>
      <w:bookmarkStart w:id="116" w:name="_Toc25161034"/>
      <w:bookmarkStart w:id="117" w:name="_Toc25161136"/>
      <w:bookmarkStart w:id="118" w:name="_Toc25161491"/>
      <w:bookmarkStart w:id="119" w:name="_Toc25162892"/>
      <w:bookmarkStart w:id="120" w:name="_Toc25161035"/>
      <w:bookmarkStart w:id="121" w:name="_Toc25161137"/>
      <w:bookmarkStart w:id="122" w:name="_Toc25161492"/>
      <w:bookmarkStart w:id="123" w:name="_Toc25162893"/>
      <w:bookmarkStart w:id="124" w:name="_Toc35602779"/>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765192">
        <w:t>Prevádzkové úspory</w:t>
      </w:r>
      <w:bookmarkEnd w:id="124"/>
    </w:p>
    <w:p w14:paraId="0F8B6929" w14:textId="77777777" w:rsidR="00B815CC" w:rsidRDefault="0059256C" w:rsidP="00A115E4">
      <w:pPr>
        <w:spacing w:before="120" w:after="120"/>
      </w:pPr>
      <w:r w:rsidRPr="00765192">
        <w:rPr>
          <w:b/>
        </w:rPr>
        <w:t>Predpokladáme, že z</w:t>
      </w:r>
      <w:r w:rsidR="00D97544">
        <w:rPr>
          <w:b/>
        </w:rPr>
        <w:t>a</w:t>
      </w:r>
      <w:r w:rsidRPr="00765192">
        <w:rPr>
          <w:b/>
        </w:rPr>
        <w:t xml:space="preserve">meraním sa na 8 nižšie uvedených priorít a implementáciou nadväzujúcich opatrení je možné ročne usporiť viac ako </w:t>
      </w:r>
      <w:r w:rsidR="002B24D5">
        <w:rPr>
          <w:b/>
        </w:rPr>
        <w:t>48-95</w:t>
      </w:r>
      <w:r w:rsidR="002B24D5" w:rsidRPr="00765192">
        <w:rPr>
          <w:b/>
        </w:rPr>
        <w:t xml:space="preserve"> </w:t>
      </w:r>
      <w:r w:rsidRPr="00765192">
        <w:rPr>
          <w:b/>
        </w:rPr>
        <w:t>mil. eur IT nákladov</w:t>
      </w:r>
      <w:r w:rsidRPr="00765192">
        <w:t xml:space="preserve">. </w:t>
      </w:r>
      <w:r w:rsidR="002B24D5">
        <w:t>Úspory zo zavedenia IT finančného riadenia a ďalšie úsporné opatrenia</w:t>
      </w:r>
      <w:r w:rsidR="004C7850" w:rsidRPr="00765192">
        <w:t xml:space="preserve"> nie sú navzájom exkluzívne</w:t>
      </w:r>
      <w:r w:rsidR="00B815CC">
        <w:t>, celkovú úsporu nie je možné priamo sčítať</w:t>
      </w:r>
      <w:r w:rsidR="004C7850">
        <w:t xml:space="preserve">. </w:t>
      </w:r>
    </w:p>
    <w:p w14:paraId="724E010A" w14:textId="77777777" w:rsidR="002B24D5" w:rsidRDefault="002B24D5" w:rsidP="0059256C">
      <w:r>
        <w:t xml:space="preserve">Strednodobým opatrením na systematické optimalizovanie IT výdavkov je zavedenie IT finančného riadenia. </w:t>
      </w:r>
      <w:r w:rsidRPr="002B24D5">
        <w:t>Zahraničná prax ukazuje, že zavedenie analytického sledovania IT výdavkov a manažérskej zodpovednosti za ich výšku (IT finančné riaden</w:t>
      </w:r>
      <w:r>
        <w:t>ie) pomáha do</w:t>
      </w:r>
      <w:r w:rsidRPr="002B24D5">
        <w:t xml:space="preserve"> 2-4 rokov od implementácie znížiť výdavky o 10-20 % (48-95 mil. eur) bez dopadu na kvalitu podporovaných biznis služieb. Lepšie sledovanie IT výdavkov v jednotnej štruktúre umožní  ich porovnanie medzi úradmi aj medzinárodne. Zavedenie manažérskej zodpovednosti za ich výšku je mechanizmus, ako preniesť identifikovanú úsporu do rozpočtu.</w:t>
      </w:r>
    </w:p>
    <w:p w14:paraId="358AD0D9" w14:textId="3A60A41F" w:rsidR="002B24D5" w:rsidRDefault="002B24D5" w:rsidP="0059256C">
      <w:pPr>
        <w:spacing w:after="0"/>
      </w:pPr>
      <w:r w:rsidRPr="002B24D5">
        <w:t>Implementáciou ďalších opatrení je možné znížiť IT výdavky o</w:t>
      </w:r>
      <w:r w:rsidR="00B7422E">
        <w:t> 34,2-70,4</w:t>
      </w:r>
      <w:r w:rsidR="00390C9D">
        <w:t xml:space="preserve"> </w:t>
      </w:r>
      <w:r w:rsidR="00771A5C">
        <w:t>mil. eur</w:t>
      </w:r>
      <w:r w:rsidRPr="002B24D5">
        <w:t xml:space="preserve"> už v najbližších rokoch. IT finančné riadenie je strednodobý nástroj na zavedenie systematického riadenia IT výdavkov. Počas jeho zavádzania je možné už v najbližších rokoch implementovať ďalšie opatrenia na znižovanie výdavkov s efektom už v najbližších rokoch. Najmä stanovenie cenových limitov na nákup tovarov a služieb a prehodnotenie zmlúv na prevádzku a rozvoj informačných systémov</w:t>
      </w:r>
      <w:r w:rsidR="0020554F">
        <w:t>.</w:t>
      </w:r>
    </w:p>
    <w:p w14:paraId="39AD7754" w14:textId="77777777" w:rsidR="001C3886" w:rsidRPr="00CD5AE3" w:rsidRDefault="001C3886" w:rsidP="001C3886">
      <w:pPr>
        <w:rPr>
          <w:bCs/>
        </w:rPr>
      </w:pPr>
      <w:r>
        <w:rPr>
          <w:bCs/>
        </w:rPr>
        <w:t xml:space="preserve">Dosiahnutie niektorých úspor je podmienené vynaložením kapitálových investícií na vybraných kľúčových rezortoch, ktoré bude potrebné v rámci prípravy programového rozpočtu aj zo strany Ministerstva financií a ÚPVII prioritizovať. Konkrétne ide o centralizáciu podporných činností, ktorá je podmienená vhodnou infraštruktúrou (tenký klient, pripojenie, SW vybavenie pre IT oddelenia). Ďalej aj úspory z efektívnej prevádzky vládneho cloudu v časti migrácie do vládneho cloudu môžu nastať až po zrealizovaní migrácie informačných systémov (väčšina systémov nie je cloud ready a je nutná ich úprava na aplikačnej úrovni). Revízia však obsahuje mnohé úspory podmienené organizačno-procesnými zmenami, ktoré je možné zaviesť jednoduchšie a v kratšom čase. </w:t>
      </w:r>
    </w:p>
    <w:p w14:paraId="6A90A042" w14:textId="59215283" w:rsidR="0059256C" w:rsidRPr="00765192" w:rsidRDefault="0059256C" w:rsidP="0059256C">
      <w:pPr>
        <w:spacing w:after="0"/>
        <w:rPr>
          <w:b/>
        </w:rPr>
      </w:pPr>
      <w:r w:rsidRPr="00765192">
        <w:rPr>
          <w:b/>
        </w:rPr>
        <w:t xml:space="preserve">Tabuľka </w:t>
      </w:r>
      <w:r w:rsidR="009B4960">
        <w:rPr>
          <w:b/>
        </w:rPr>
        <w:t>6</w:t>
      </w:r>
      <w:r w:rsidRPr="00765192">
        <w:rPr>
          <w:b/>
        </w:rPr>
        <w:t>: Predpokladaná úspora IT nákladov podľa prioritných oblastí</w:t>
      </w:r>
    </w:p>
    <w:tbl>
      <w:tblPr>
        <w:tblStyle w:val="Mriekatabuky"/>
        <w:tblW w:w="9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5896"/>
        <w:gridCol w:w="2381"/>
      </w:tblGrid>
      <w:tr w:rsidR="0059256C" w:rsidRPr="00765192" w14:paraId="586CA356" w14:textId="77777777" w:rsidTr="006952D3">
        <w:tc>
          <w:tcPr>
            <w:tcW w:w="768" w:type="dxa"/>
            <w:tcBorders>
              <w:top w:val="single" w:sz="4" w:space="0" w:color="auto"/>
              <w:bottom w:val="single" w:sz="4" w:space="0" w:color="auto"/>
            </w:tcBorders>
          </w:tcPr>
          <w:p w14:paraId="4961053A" w14:textId="77777777" w:rsidR="0059256C" w:rsidRPr="00765192" w:rsidRDefault="0059256C" w:rsidP="001D543F">
            <w:pPr>
              <w:rPr>
                <w:b/>
              </w:rPr>
            </w:pPr>
            <w:r w:rsidRPr="00765192">
              <w:rPr>
                <w:b/>
              </w:rPr>
              <w:t>Číslo</w:t>
            </w:r>
          </w:p>
        </w:tc>
        <w:tc>
          <w:tcPr>
            <w:tcW w:w="5896" w:type="dxa"/>
            <w:tcBorders>
              <w:top w:val="single" w:sz="4" w:space="0" w:color="auto"/>
              <w:bottom w:val="single" w:sz="4" w:space="0" w:color="auto"/>
            </w:tcBorders>
          </w:tcPr>
          <w:p w14:paraId="2A126893" w14:textId="77777777" w:rsidR="0059256C" w:rsidRPr="00765192" w:rsidRDefault="0059256C" w:rsidP="001D543F">
            <w:pPr>
              <w:rPr>
                <w:b/>
              </w:rPr>
            </w:pPr>
            <w:r w:rsidRPr="00765192">
              <w:rPr>
                <w:b/>
              </w:rPr>
              <w:t>Priorita</w:t>
            </w:r>
          </w:p>
        </w:tc>
        <w:tc>
          <w:tcPr>
            <w:tcW w:w="2381" w:type="dxa"/>
            <w:tcBorders>
              <w:top w:val="single" w:sz="4" w:space="0" w:color="auto"/>
              <w:bottom w:val="single" w:sz="4" w:space="0" w:color="auto"/>
            </w:tcBorders>
          </w:tcPr>
          <w:p w14:paraId="1F429576" w14:textId="77777777" w:rsidR="0059256C" w:rsidRPr="00765192" w:rsidRDefault="0059256C" w:rsidP="00AF39FB">
            <w:pPr>
              <w:jc w:val="center"/>
              <w:rPr>
                <w:b/>
              </w:rPr>
            </w:pPr>
            <w:r w:rsidRPr="00765192">
              <w:rPr>
                <w:b/>
              </w:rPr>
              <w:t>Úspora</w:t>
            </w:r>
          </w:p>
        </w:tc>
      </w:tr>
      <w:tr w:rsidR="0059256C" w:rsidRPr="00765192" w14:paraId="5F0B2C1A" w14:textId="77777777" w:rsidTr="006952D3">
        <w:tc>
          <w:tcPr>
            <w:tcW w:w="768" w:type="dxa"/>
            <w:tcBorders>
              <w:top w:val="single" w:sz="4" w:space="0" w:color="auto"/>
            </w:tcBorders>
          </w:tcPr>
          <w:p w14:paraId="5AC3016B" w14:textId="77777777" w:rsidR="0059256C" w:rsidRPr="00765192" w:rsidRDefault="002351AD" w:rsidP="00963849">
            <w:r>
              <w:t>6</w:t>
            </w:r>
            <w:r w:rsidR="00C060EC">
              <w:t>.</w:t>
            </w:r>
            <w:r w:rsidR="00F20936">
              <w:t>1</w:t>
            </w:r>
          </w:p>
        </w:tc>
        <w:tc>
          <w:tcPr>
            <w:tcW w:w="5896" w:type="dxa"/>
            <w:tcBorders>
              <w:top w:val="single" w:sz="4" w:space="0" w:color="auto"/>
            </w:tcBorders>
          </w:tcPr>
          <w:p w14:paraId="061A4449" w14:textId="77777777" w:rsidR="0059256C" w:rsidRPr="00765192" w:rsidRDefault="0059256C" w:rsidP="001B47AD">
            <w:r w:rsidRPr="00765192">
              <w:t xml:space="preserve">Zavedenie </w:t>
            </w:r>
            <w:r w:rsidR="0068730A">
              <w:t>IT finančného riadenia</w:t>
            </w:r>
          </w:p>
        </w:tc>
        <w:tc>
          <w:tcPr>
            <w:tcW w:w="2381" w:type="dxa"/>
            <w:tcBorders>
              <w:top w:val="single" w:sz="4" w:space="0" w:color="auto"/>
            </w:tcBorders>
          </w:tcPr>
          <w:p w14:paraId="38BA52E7" w14:textId="77777777" w:rsidR="0059256C" w:rsidRPr="00765192" w:rsidRDefault="001F521B" w:rsidP="003526CD">
            <w:pPr>
              <w:jc w:val="center"/>
            </w:pPr>
            <w:r w:rsidRPr="00765192">
              <w:t>4</w:t>
            </w:r>
            <w:r>
              <w:t>8</w:t>
            </w:r>
            <w:r w:rsidR="0059256C" w:rsidRPr="00765192">
              <w:t>-</w:t>
            </w:r>
            <w:r>
              <w:t>9</w:t>
            </w:r>
            <w:r w:rsidR="00DF0304">
              <w:t>5</w:t>
            </w:r>
            <w:r w:rsidRPr="00765192">
              <w:t xml:space="preserve"> </w:t>
            </w:r>
            <w:r w:rsidR="0059256C" w:rsidRPr="00765192">
              <w:t>mil. eur</w:t>
            </w:r>
          </w:p>
        </w:tc>
      </w:tr>
      <w:tr w:rsidR="0059256C" w:rsidRPr="00765192" w14:paraId="0DA6EA72" w14:textId="77777777" w:rsidTr="006952D3">
        <w:tc>
          <w:tcPr>
            <w:tcW w:w="768" w:type="dxa"/>
          </w:tcPr>
          <w:p w14:paraId="4AA7C686" w14:textId="77777777" w:rsidR="0059256C" w:rsidRPr="008C5034" w:rsidRDefault="002351AD">
            <w:pPr>
              <w:rPr>
                <w:i/>
              </w:rPr>
            </w:pPr>
            <w:r>
              <w:rPr>
                <w:i/>
              </w:rPr>
              <w:t>6</w:t>
            </w:r>
            <w:r w:rsidR="0059256C" w:rsidRPr="008C5034">
              <w:rPr>
                <w:i/>
              </w:rPr>
              <w:t>.</w:t>
            </w:r>
            <w:r w:rsidR="00F20936">
              <w:rPr>
                <w:i/>
              </w:rPr>
              <w:t>2</w:t>
            </w:r>
          </w:p>
        </w:tc>
        <w:tc>
          <w:tcPr>
            <w:tcW w:w="5896" w:type="dxa"/>
          </w:tcPr>
          <w:p w14:paraId="2177DDCB" w14:textId="77777777" w:rsidR="0059256C" w:rsidRPr="008C5034" w:rsidRDefault="0059256C" w:rsidP="001D543F">
            <w:pPr>
              <w:rPr>
                <w:i/>
              </w:rPr>
            </w:pPr>
            <w:r w:rsidRPr="008C5034">
              <w:rPr>
                <w:i/>
              </w:rPr>
              <w:t>Benchmarking – cenové limity pre tovary a služby</w:t>
            </w:r>
          </w:p>
        </w:tc>
        <w:tc>
          <w:tcPr>
            <w:tcW w:w="2381" w:type="dxa"/>
          </w:tcPr>
          <w:p w14:paraId="0E8489CB" w14:textId="74FDBBD4" w:rsidR="0059256C" w:rsidRPr="008C5034" w:rsidRDefault="006952D3" w:rsidP="00553EF2">
            <w:pPr>
              <w:jc w:val="center"/>
              <w:rPr>
                <w:i/>
              </w:rPr>
            </w:pPr>
            <w:r>
              <w:rPr>
                <w:i/>
              </w:rPr>
              <w:t>7,1 – 30,3</w:t>
            </w:r>
            <w:r w:rsidR="00390C9D">
              <w:rPr>
                <w:i/>
              </w:rPr>
              <w:t xml:space="preserve"> </w:t>
            </w:r>
            <w:r w:rsidR="0059256C" w:rsidRPr="008C5034">
              <w:rPr>
                <w:i/>
              </w:rPr>
              <w:t>mil. eur</w:t>
            </w:r>
          </w:p>
        </w:tc>
      </w:tr>
      <w:tr w:rsidR="00661C70" w:rsidRPr="00765192" w14:paraId="0D2D63DD" w14:textId="77777777" w:rsidTr="006952D3">
        <w:tc>
          <w:tcPr>
            <w:tcW w:w="768" w:type="dxa"/>
          </w:tcPr>
          <w:p w14:paraId="577CC5A5" w14:textId="77777777" w:rsidR="00661C70" w:rsidRPr="008C5034" w:rsidRDefault="00661C70">
            <w:pPr>
              <w:rPr>
                <w:i/>
              </w:rPr>
            </w:pPr>
            <w:r>
              <w:rPr>
                <w:i/>
              </w:rPr>
              <w:t>6</w:t>
            </w:r>
            <w:r w:rsidRPr="008C5034">
              <w:rPr>
                <w:i/>
              </w:rPr>
              <w:t>.</w:t>
            </w:r>
            <w:r>
              <w:rPr>
                <w:i/>
              </w:rPr>
              <w:t>3</w:t>
            </w:r>
          </w:p>
        </w:tc>
        <w:tc>
          <w:tcPr>
            <w:tcW w:w="5896" w:type="dxa"/>
          </w:tcPr>
          <w:p w14:paraId="68B7278D" w14:textId="77777777" w:rsidR="00661C70" w:rsidRPr="008C5034" w:rsidRDefault="00661C70" w:rsidP="001D543F">
            <w:pPr>
              <w:rPr>
                <w:i/>
              </w:rPr>
            </w:pPr>
            <w:r w:rsidRPr="008C5034">
              <w:rPr>
                <w:i/>
              </w:rPr>
              <w:t>Nastavenie správnej úrovne SLA</w:t>
            </w:r>
          </w:p>
        </w:tc>
        <w:tc>
          <w:tcPr>
            <w:tcW w:w="2381" w:type="dxa"/>
            <w:vMerge w:val="restart"/>
          </w:tcPr>
          <w:p w14:paraId="5575398B" w14:textId="77777777" w:rsidR="00661C70" w:rsidRPr="008C5034" w:rsidRDefault="00ED1D75" w:rsidP="00AF39FB">
            <w:pPr>
              <w:jc w:val="center"/>
              <w:rPr>
                <w:i/>
              </w:rPr>
            </w:pPr>
            <w:r w:rsidRPr="00ED1D75">
              <w:rPr>
                <w:i/>
              </w:rPr>
              <w:t>Úspora bude vyčíslená pri hodnotení zmlúv</w:t>
            </w:r>
          </w:p>
        </w:tc>
      </w:tr>
      <w:tr w:rsidR="00661C70" w:rsidRPr="00765192" w14:paraId="797FE590" w14:textId="77777777" w:rsidTr="006952D3">
        <w:tc>
          <w:tcPr>
            <w:tcW w:w="768" w:type="dxa"/>
          </w:tcPr>
          <w:p w14:paraId="215CCB03" w14:textId="77777777" w:rsidR="00661C70" w:rsidRPr="008C5034" w:rsidRDefault="00661C70">
            <w:pPr>
              <w:rPr>
                <w:i/>
              </w:rPr>
            </w:pPr>
            <w:r>
              <w:rPr>
                <w:i/>
              </w:rPr>
              <w:t>6.4</w:t>
            </w:r>
          </w:p>
        </w:tc>
        <w:tc>
          <w:tcPr>
            <w:tcW w:w="5896" w:type="dxa"/>
          </w:tcPr>
          <w:p w14:paraId="7FE4EEA1" w14:textId="77777777" w:rsidR="00661C70" w:rsidRPr="008C5034" w:rsidRDefault="00661C70" w:rsidP="001D543F">
            <w:pPr>
              <w:rPr>
                <w:i/>
              </w:rPr>
            </w:pPr>
            <w:r w:rsidRPr="002351AD">
              <w:rPr>
                <w:i/>
              </w:rPr>
              <w:t>Riadiť a vyhodnocovať ekonomickú efektívnosť zmenových požiadaviek</w:t>
            </w:r>
          </w:p>
        </w:tc>
        <w:tc>
          <w:tcPr>
            <w:tcW w:w="2381" w:type="dxa"/>
            <w:vMerge/>
          </w:tcPr>
          <w:p w14:paraId="0CA38DB4" w14:textId="77777777" w:rsidR="00661C70" w:rsidRPr="008C5034" w:rsidRDefault="00661C70" w:rsidP="00AF39FB">
            <w:pPr>
              <w:jc w:val="center"/>
              <w:rPr>
                <w:i/>
              </w:rPr>
            </w:pPr>
          </w:p>
        </w:tc>
      </w:tr>
      <w:tr w:rsidR="0059256C" w:rsidRPr="00765192" w14:paraId="0404C140" w14:textId="77777777" w:rsidTr="006952D3">
        <w:tc>
          <w:tcPr>
            <w:tcW w:w="768" w:type="dxa"/>
            <w:vAlign w:val="center"/>
          </w:tcPr>
          <w:p w14:paraId="3A96C7D7" w14:textId="77777777" w:rsidR="0059256C" w:rsidRPr="008C5034" w:rsidRDefault="002351AD" w:rsidP="0037129E">
            <w:pPr>
              <w:jc w:val="left"/>
              <w:rPr>
                <w:i/>
              </w:rPr>
            </w:pPr>
            <w:r>
              <w:rPr>
                <w:i/>
              </w:rPr>
              <w:t>6</w:t>
            </w:r>
            <w:r w:rsidR="00570FBE" w:rsidRPr="008C5034">
              <w:rPr>
                <w:i/>
              </w:rPr>
              <w:t>.</w:t>
            </w:r>
            <w:r w:rsidR="00F20936">
              <w:rPr>
                <w:i/>
              </w:rPr>
              <w:t>5</w:t>
            </w:r>
          </w:p>
        </w:tc>
        <w:tc>
          <w:tcPr>
            <w:tcW w:w="5896" w:type="dxa"/>
            <w:vAlign w:val="center"/>
          </w:tcPr>
          <w:p w14:paraId="457D46C4" w14:textId="77777777" w:rsidR="0059256C" w:rsidRPr="008C5034" w:rsidRDefault="0059256C" w:rsidP="0037129E">
            <w:pPr>
              <w:jc w:val="left"/>
              <w:rPr>
                <w:i/>
              </w:rPr>
            </w:pPr>
            <w:r w:rsidRPr="008C5034">
              <w:rPr>
                <w:i/>
              </w:rPr>
              <w:t>Bezpečnosť</w:t>
            </w:r>
          </w:p>
        </w:tc>
        <w:tc>
          <w:tcPr>
            <w:tcW w:w="2381" w:type="dxa"/>
          </w:tcPr>
          <w:p w14:paraId="7210A7DD" w14:textId="77777777" w:rsidR="0059256C" w:rsidRPr="008C5034" w:rsidRDefault="00661C70" w:rsidP="00AF39FB">
            <w:pPr>
              <w:jc w:val="center"/>
              <w:rPr>
                <w:i/>
              </w:rPr>
            </w:pPr>
            <w:r>
              <w:rPr>
                <w:i/>
              </w:rPr>
              <w:t>Kvantifikácia po vyčíslení výdavkov na bezpečnosť</w:t>
            </w:r>
          </w:p>
        </w:tc>
      </w:tr>
      <w:tr w:rsidR="0059256C" w:rsidRPr="00765192" w14:paraId="259DDE5D" w14:textId="77777777" w:rsidTr="006952D3">
        <w:tc>
          <w:tcPr>
            <w:tcW w:w="768" w:type="dxa"/>
          </w:tcPr>
          <w:p w14:paraId="45766062" w14:textId="77777777" w:rsidR="0059256C" w:rsidRPr="008C5034" w:rsidRDefault="002351AD">
            <w:pPr>
              <w:rPr>
                <w:i/>
              </w:rPr>
            </w:pPr>
            <w:r>
              <w:rPr>
                <w:i/>
              </w:rPr>
              <w:t>6</w:t>
            </w:r>
            <w:r w:rsidR="00570FBE" w:rsidRPr="008C5034">
              <w:rPr>
                <w:i/>
              </w:rPr>
              <w:t>.</w:t>
            </w:r>
            <w:r w:rsidR="00F20936">
              <w:rPr>
                <w:i/>
              </w:rPr>
              <w:t>6</w:t>
            </w:r>
          </w:p>
        </w:tc>
        <w:tc>
          <w:tcPr>
            <w:tcW w:w="5896" w:type="dxa"/>
          </w:tcPr>
          <w:p w14:paraId="695C68EA" w14:textId="77777777" w:rsidR="0059256C" w:rsidRPr="008C5034" w:rsidRDefault="0059256C" w:rsidP="001D543F">
            <w:pPr>
              <w:rPr>
                <w:i/>
              </w:rPr>
            </w:pPr>
            <w:r w:rsidRPr="008C5034">
              <w:rPr>
                <w:i/>
              </w:rPr>
              <w:t>Nákup softvérových licencií</w:t>
            </w:r>
          </w:p>
        </w:tc>
        <w:tc>
          <w:tcPr>
            <w:tcW w:w="2381" w:type="dxa"/>
          </w:tcPr>
          <w:p w14:paraId="1931C6A1" w14:textId="77777777" w:rsidR="0059256C" w:rsidRPr="008C5034" w:rsidRDefault="00562F95" w:rsidP="00AF39FB">
            <w:pPr>
              <w:jc w:val="center"/>
              <w:rPr>
                <w:i/>
              </w:rPr>
            </w:pPr>
            <w:r>
              <w:rPr>
                <w:i/>
              </w:rPr>
              <w:t>5,2-5,6 mil. eur</w:t>
            </w:r>
          </w:p>
        </w:tc>
      </w:tr>
      <w:tr w:rsidR="0059256C" w:rsidRPr="00765192" w14:paraId="01A8E334" w14:textId="77777777" w:rsidTr="006952D3">
        <w:tc>
          <w:tcPr>
            <w:tcW w:w="768" w:type="dxa"/>
          </w:tcPr>
          <w:p w14:paraId="34686164" w14:textId="77777777" w:rsidR="0059256C" w:rsidRPr="008C5034" w:rsidRDefault="002351AD">
            <w:pPr>
              <w:rPr>
                <w:i/>
              </w:rPr>
            </w:pPr>
            <w:r>
              <w:rPr>
                <w:i/>
              </w:rPr>
              <w:t>6</w:t>
            </w:r>
            <w:r w:rsidR="00570FBE" w:rsidRPr="008C5034">
              <w:rPr>
                <w:i/>
              </w:rPr>
              <w:t>.</w:t>
            </w:r>
            <w:r w:rsidR="00F20936">
              <w:rPr>
                <w:i/>
              </w:rPr>
              <w:t>7</w:t>
            </w:r>
          </w:p>
        </w:tc>
        <w:tc>
          <w:tcPr>
            <w:tcW w:w="5896" w:type="dxa"/>
          </w:tcPr>
          <w:p w14:paraId="236CF75F" w14:textId="77777777" w:rsidR="0059256C" w:rsidRPr="008C5034" w:rsidRDefault="0059256C" w:rsidP="001D543F">
            <w:pPr>
              <w:rPr>
                <w:i/>
              </w:rPr>
            </w:pPr>
            <w:r w:rsidRPr="008C5034">
              <w:rPr>
                <w:i/>
              </w:rPr>
              <w:t>Centralizácia podporných činností</w:t>
            </w:r>
          </w:p>
        </w:tc>
        <w:tc>
          <w:tcPr>
            <w:tcW w:w="2381" w:type="dxa"/>
          </w:tcPr>
          <w:p w14:paraId="265ABA46" w14:textId="28851F64" w:rsidR="0059256C" w:rsidRPr="008C5034" w:rsidRDefault="00B7422E" w:rsidP="00526055">
            <w:pPr>
              <w:jc w:val="center"/>
              <w:rPr>
                <w:i/>
              </w:rPr>
            </w:pPr>
            <w:r>
              <w:rPr>
                <w:i/>
              </w:rPr>
              <w:t>1,6-3,0</w:t>
            </w:r>
            <w:r w:rsidR="0059256C" w:rsidRPr="008C5034">
              <w:rPr>
                <w:i/>
              </w:rPr>
              <w:t xml:space="preserve"> mil. eur</w:t>
            </w:r>
          </w:p>
        </w:tc>
      </w:tr>
      <w:tr w:rsidR="0059256C" w:rsidRPr="00765192" w14:paraId="1D092A5B" w14:textId="77777777" w:rsidTr="006952D3">
        <w:tc>
          <w:tcPr>
            <w:tcW w:w="768" w:type="dxa"/>
          </w:tcPr>
          <w:p w14:paraId="4720F837" w14:textId="77777777" w:rsidR="0059256C" w:rsidRPr="008C5034" w:rsidRDefault="002351AD">
            <w:pPr>
              <w:rPr>
                <w:i/>
              </w:rPr>
            </w:pPr>
            <w:r>
              <w:rPr>
                <w:i/>
              </w:rPr>
              <w:t>6</w:t>
            </w:r>
            <w:r w:rsidR="00570FBE" w:rsidRPr="008C5034">
              <w:rPr>
                <w:i/>
              </w:rPr>
              <w:t>.</w:t>
            </w:r>
            <w:r w:rsidR="00F20936">
              <w:rPr>
                <w:i/>
              </w:rPr>
              <w:t>8</w:t>
            </w:r>
          </w:p>
        </w:tc>
        <w:tc>
          <w:tcPr>
            <w:tcW w:w="5896" w:type="dxa"/>
          </w:tcPr>
          <w:p w14:paraId="56DF23E8" w14:textId="77777777" w:rsidR="0059256C" w:rsidRPr="008C5034" w:rsidRDefault="009D4E45" w:rsidP="001D543F">
            <w:pPr>
              <w:rPr>
                <w:i/>
              </w:rPr>
            </w:pPr>
            <w:r w:rsidRPr="008C5034">
              <w:rPr>
                <w:i/>
              </w:rPr>
              <w:t>Zmena modelu nákupu telekomunikačných služieb</w:t>
            </w:r>
          </w:p>
        </w:tc>
        <w:tc>
          <w:tcPr>
            <w:tcW w:w="2381" w:type="dxa"/>
          </w:tcPr>
          <w:p w14:paraId="49715CFD" w14:textId="567BA948" w:rsidR="0059256C" w:rsidRPr="008C5034" w:rsidRDefault="007613CB" w:rsidP="00AF39FB">
            <w:pPr>
              <w:jc w:val="center"/>
              <w:rPr>
                <w:i/>
              </w:rPr>
            </w:pPr>
            <w:r>
              <w:rPr>
                <w:i/>
              </w:rPr>
              <w:t>1,5-4</w:t>
            </w:r>
            <w:r w:rsidR="0059256C" w:rsidRPr="008C5034">
              <w:rPr>
                <w:i/>
              </w:rPr>
              <w:t>,4 mil. eur</w:t>
            </w:r>
          </w:p>
        </w:tc>
      </w:tr>
      <w:tr w:rsidR="007E77BF" w:rsidRPr="00765192" w14:paraId="01CDF7E2" w14:textId="77777777" w:rsidTr="006952D3">
        <w:tc>
          <w:tcPr>
            <w:tcW w:w="768" w:type="dxa"/>
            <w:tcBorders>
              <w:bottom w:val="single" w:sz="4" w:space="0" w:color="auto"/>
            </w:tcBorders>
          </w:tcPr>
          <w:p w14:paraId="03AAB3BD" w14:textId="77777777" w:rsidR="007E77BF" w:rsidRPr="00CF7FC7" w:rsidDel="00570FBE" w:rsidRDefault="002351AD">
            <w:pPr>
              <w:rPr>
                <w:i/>
              </w:rPr>
            </w:pPr>
            <w:r>
              <w:rPr>
                <w:i/>
              </w:rPr>
              <w:t>6</w:t>
            </w:r>
            <w:r w:rsidR="007E77BF">
              <w:rPr>
                <w:i/>
              </w:rPr>
              <w:t>.</w:t>
            </w:r>
            <w:r w:rsidR="00F20936">
              <w:rPr>
                <w:i/>
              </w:rPr>
              <w:t>9</w:t>
            </w:r>
          </w:p>
        </w:tc>
        <w:tc>
          <w:tcPr>
            <w:tcW w:w="5896" w:type="dxa"/>
            <w:tcBorders>
              <w:bottom w:val="single" w:sz="4" w:space="0" w:color="auto"/>
            </w:tcBorders>
          </w:tcPr>
          <w:p w14:paraId="46BE027F" w14:textId="77777777" w:rsidR="007E77BF" w:rsidRPr="00CF7FC7" w:rsidRDefault="007E77BF" w:rsidP="001D543F">
            <w:pPr>
              <w:rPr>
                <w:i/>
              </w:rPr>
            </w:pPr>
            <w:r>
              <w:rPr>
                <w:i/>
              </w:rPr>
              <w:t>Efektívna prevádzka vládneho cloudu</w:t>
            </w:r>
          </w:p>
        </w:tc>
        <w:tc>
          <w:tcPr>
            <w:tcW w:w="2381" w:type="dxa"/>
            <w:tcBorders>
              <w:bottom w:val="single" w:sz="4" w:space="0" w:color="auto"/>
            </w:tcBorders>
          </w:tcPr>
          <w:p w14:paraId="02729BC1" w14:textId="3E95D349" w:rsidR="007E77BF" w:rsidRPr="00CF7FC7" w:rsidRDefault="0068381C">
            <w:pPr>
              <w:jc w:val="center"/>
              <w:rPr>
                <w:i/>
              </w:rPr>
            </w:pPr>
            <w:r>
              <w:rPr>
                <w:i/>
              </w:rPr>
              <w:t>18,8-27,1</w:t>
            </w:r>
            <w:r w:rsidR="00771A5C">
              <w:rPr>
                <w:i/>
              </w:rPr>
              <w:t xml:space="preserve"> mil. eur</w:t>
            </w:r>
          </w:p>
        </w:tc>
      </w:tr>
    </w:tbl>
    <w:p w14:paraId="175B3DFC" w14:textId="77777777" w:rsidR="001C3886" w:rsidRDefault="001C3886">
      <w:pPr>
        <w:jc w:val="left"/>
        <w:rPr>
          <w:b/>
        </w:rPr>
      </w:pPr>
      <w:r>
        <w:br w:type="page"/>
      </w:r>
    </w:p>
    <w:p w14:paraId="55AB587E" w14:textId="36D1529E" w:rsidR="0059256C" w:rsidRPr="00765192" w:rsidRDefault="00C060EC" w:rsidP="00A115E4">
      <w:pPr>
        <w:pStyle w:val="Nadpis3"/>
        <w:numPr>
          <w:ilvl w:val="1"/>
          <w:numId w:val="1"/>
        </w:numPr>
        <w:spacing w:before="120" w:after="120"/>
      </w:pPr>
      <w:bookmarkStart w:id="125" w:name="_Toc35602780"/>
      <w:r w:rsidRPr="00765192">
        <w:lastRenderedPageBreak/>
        <w:t xml:space="preserve">Zavedenie </w:t>
      </w:r>
      <w:r>
        <w:t>IT finančného riadenia</w:t>
      </w:r>
      <w:bookmarkEnd w:id="125"/>
    </w:p>
    <w:p w14:paraId="7F935890" w14:textId="41B9D2CF" w:rsidR="00DA1061" w:rsidRDefault="0059256C" w:rsidP="0059256C">
      <w:r w:rsidRPr="00765192">
        <w:rPr>
          <w:b/>
        </w:rPr>
        <w:t>Zavedenie IT finančného riadenia pomáha znížiť celkové IT náklady o 10-20 % (</w:t>
      </w:r>
      <w:r w:rsidR="001F521B" w:rsidRPr="00765192">
        <w:rPr>
          <w:b/>
        </w:rPr>
        <w:t>4</w:t>
      </w:r>
      <w:r w:rsidR="001F521B">
        <w:rPr>
          <w:b/>
        </w:rPr>
        <w:t>8</w:t>
      </w:r>
      <w:r w:rsidRPr="00765192">
        <w:rPr>
          <w:b/>
        </w:rPr>
        <w:t>-</w:t>
      </w:r>
      <w:r w:rsidR="001F521B">
        <w:rPr>
          <w:b/>
        </w:rPr>
        <w:t>95</w:t>
      </w:r>
      <w:r w:rsidRPr="00765192">
        <w:rPr>
          <w:b/>
        </w:rPr>
        <w:t xml:space="preserve"> mil. eur) bez obmedzenia kvality biznis služieb.</w:t>
      </w:r>
      <w:r w:rsidRPr="00765192">
        <w:t xml:space="preserve"> Svetová prax zo štátnej správy ukazuje, že zavedenie IT finančného riadenia</w:t>
      </w:r>
      <w:r w:rsidR="00570FBE">
        <w:t xml:space="preserve"> a definovanie zodpovednosti za výšku výdavkov</w:t>
      </w:r>
      <w:r w:rsidRPr="00765192">
        <w:t xml:space="preserve"> pomáha dosiahnuť ročné zníženie spotreby IT služieb alebo ich nákladovú optimalizáciu v priebehu 2 až 4 rokov </w:t>
      </w:r>
      <w:r w:rsidR="001677F1">
        <w:t xml:space="preserve">po implementácii </w:t>
      </w:r>
      <w:r w:rsidRPr="00765192">
        <w:t>bez obmedzenia kvality biznis služieb.</w:t>
      </w:r>
    </w:p>
    <w:p w14:paraId="4145FA89" w14:textId="0E717583" w:rsidR="00DE1AC7" w:rsidRPr="0037129E" w:rsidRDefault="00DE1AC7" w:rsidP="0037129E">
      <w:pPr>
        <w:spacing w:after="0"/>
        <w:rPr>
          <w:b/>
        </w:rPr>
      </w:pPr>
      <w:r>
        <w:rPr>
          <w:b/>
        </w:rPr>
        <w:t xml:space="preserve">Tabuľka </w:t>
      </w:r>
      <w:r w:rsidR="009B4960">
        <w:rPr>
          <w:b/>
        </w:rPr>
        <w:t>7</w:t>
      </w:r>
      <w:r>
        <w:rPr>
          <w:b/>
        </w:rPr>
        <w:t xml:space="preserve">: </w:t>
      </w:r>
      <w:r w:rsidR="00272646">
        <w:rPr>
          <w:b/>
        </w:rPr>
        <w:t>Potenciálna úspora</w:t>
      </w:r>
      <w:r>
        <w:rPr>
          <w:b/>
        </w:rPr>
        <w:t xml:space="preserve"> zo zavedenie IT finančného riadenia (mil. eur)</w:t>
      </w:r>
    </w:p>
    <w:tbl>
      <w:tblPr>
        <w:tblW w:w="9063" w:type="dxa"/>
        <w:tblLook w:val="04A0" w:firstRow="1" w:lastRow="0" w:firstColumn="1" w:lastColumn="0" w:noHBand="0" w:noVBand="1"/>
      </w:tblPr>
      <w:tblGrid>
        <w:gridCol w:w="6123"/>
        <w:gridCol w:w="668"/>
        <w:gridCol w:w="668"/>
        <w:gridCol w:w="668"/>
        <w:gridCol w:w="888"/>
        <w:gridCol w:w="48"/>
      </w:tblGrid>
      <w:tr w:rsidR="00DE1AC7" w:rsidRPr="00DE1AC7" w14:paraId="5AF4D16B" w14:textId="77777777" w:rsidTr="0037129E">
        <w:trPr>
          <w:gridAfter w:val="1"/>
          <w:wAfter w:w="48" w:type="dxa"/>
          <w:trHeight w:val="63"/>
        </w:trPr>
        <w:tc>
          <w:tcPr>
            <w:tcW w:w="6123" w:type="dxa"/>
            <w:tcBorders>
              <w:top w:val="single" w:sz="4" w:space="0" w:color="auto"/>
              <w:left w:val="nil"/>
              <w:bottom w:val="single" w:sz="4" w:space="0" w:color="auto"/>
              <w:right w:val="nil"/>
            </w:tcBorders>
            <w:shd w:val="clear" w:color="auto" w:fill="auto"/>
            <w:noWrap/>
            <w:vAlign w:val="bottom"/>
            <w:hideMark/>
          </w:tcPr>
          <w:p w14:paraId="0558FC5D" w14:textId="77777777" w:rsidR="00DE1AC7" w:rsidRPr="0037129E" w:rsidRDefault="00DE1AC7" w:rsidP="0037129E">
            <w:pPr>
              <w:spacing w:after="100" w:afterAutospacing="1" w:line="240" w:lineRule="auto"/>
              <w:jc w:val="left"/>
              <w:rPr>
                <w:rFonts w:eastAsia="Times New Roman" w:cs="Calibri"/>
                <w:b/>
                <w:bCs/>
                <w:color w:val="000000"/>
                <w:lang w:eastAsia="en-GB"/>
              </w:rPr>
            </w:pPr>
            <w:r w:rsidRPr="0037129E">
              <w:rPr>
                <w:rFonts w:eastAsia="Times New Roman" w:cs="Calibri"/>
                <w:b/>
                <w:bCs/>
                <w:color w:val="000000"/>
                <w:lang w:eastAsia="en-GB"/>
              </w:rPr>
              <w:t>Položka</w:t>
            </w:r>
          </w:p>
        </w:tc>
        <w:tc>
          <w:tcPr>
            <w:tcW w:w="668" w:type="dxa"/>
            <w:tcBorders>
              <w:top w:val="single" w:sz="4" w:space="0" w:color="auto"/>
              <w:left w:val="nil"/>
              <w:bottom w:val="single" w:sz="4" w:space="0" w:color="auto"/>
              <w:right w:val="nil"/>
            </w:tcBorders>
            <w:shd w:val="clear" w:color="auto" w:fill="auto"/>
            <w:noWrap/>
            <w:vAlign w:val="bottom"/>
            <w:hideMark/>
          </w:tcPr>
          <w:p w14:paraId="41D6321C" w14:textId="77777777" w:rsidR="00DE1AC7" w:rsidRPr="0037129E" w:rsidRDefault="00DE1AC7" w:rsidP="0037129E">
            <w:pPr>
              <w:spacing w:after="100" w:afterAutospacing="1" w:line="240" w:lineRule="auto"/>
              <w:jc w:val="center"/>
              <w:rPr>
                <w:rFonts w:eastAsia="Times New Roman" w:cs="Calibri"/>
                <w:b/>
                <w:bCs/>
                <w:color w:val="000000"/>
                <w:lang w:eastAsia="en-GB"/>
              </w:rPr>
            </w:pPr>
            <w:r w:rsidRPr="0037129E">
              <w:rPr>
                <w:rFonts w:eastAsia="Times New Roman" w:cs="Calibri"/>
                <w:b/>
                <w:bCs/>
                <w:color w:val="000000"/>
                <w:lang w:eastAsia="en-GB"/>
              </w:rPr>
              <w:t>2017</w:t>
            </w:r>
          </w:p>
        </w:tc>
        <w:tc>
          <w:tcPr>
            <w:tcW w:w="668" w:type="dxa"/>
            <w:tcBorders>
              <w:top w:val="single" w:sz="4" w:space="0" w:color="auto"/>
              <w:left w:val="nil"/>
              <w:bottom w:val="single" w:sz="4" w:space="0" w:color="auto"/>
              <w:right w:val="nil"/>
            </w:tcBorders>
            <w:shd w:val="clear" w:color="auto" w:fill="auto"/>
            <w:noWrap/>
            <w:vAlign w:val="bottom"/>
            <w:hideMark/>
          </w:tcPr>
          <w:p w14:paraId="514D2A19" w14:textId="77777777" w:rsidR="00DE1AC7" w:rsidRPr="0037129E" w:rsidRDefault="00DE1AC7" w:rsidP="0037129E">
            <w:pPr>
              <w:spacing w:after="100" w:afterAutospacing="1" w:line="240" w:lineRule="auto"/>
              <w:jc w:val="center"/>
              <w:rPr>
                <w:rFonts w:eastAsia="Times New Roman" w:cs="Calibri"/>
                <w:b/>
                <w:bCs/>
                <w:color w:val="000000"/>
                <w:lang w:eastAsia="en-GB"/>
              </w:rPr>
            </w:pPr>
            <w:r w:rsidRPr="0037129E">
              <w:rPr>
                <w:rFonts w:eastAsia="Times New Roman" w:cs="Calibri"/>
                <w:b/>
                <w:bCs/>
                <w:color w:val="000000"/>
                <w:lang w:eastAsia="en-GB"/>
              </w:rPr>
              <w:t>2018</w:t>
            </w:r>
          </w:p>
        </w:tc>
        <w:tc>
          <w:tcPr>
            <w:tcW w:w="668" w:type="dxa"/>
            <w:tcBorders>
              <w:top w:val="single" w:sz="4" w:space="0" w:color="auto"/>
              <w:left w:val="nil"/>
              <w:bottom w:val="single" w:sz="4" w:space="0" w:color="auto"/>
              <w:right w:val="nil"/>
            </w:tcBorders>
            <w:shd w:val="clear" w:color="auto" w:fill="auto"/>
            <w:noWrap/>
            <w:vAlign w:val="bottom"/>
            <w:hideMark/>
          </w:tcPr>
          <w:p w14:paraId="1854D754" w14:textId="77777777" w:rsidR="00DE1AC7" w:rsidRPr="0037129E" w:rsidRDefault="00DE1AC7" w:rsidP="0037129E">
            <w:pPr>
              <w:spacing w:after="100" w:afterAutospacing="1" w:line="240" w:lineRule="auto"/>
              <w:jc w:val="center"/>
              <w:rPr>
                <w:rFonts w:eastAsia="Times New Roman" w:cs="Calibri"/>
                <w:b/>
                <w:bCs/>
                <w:color w:val="000000"/>
                <w:lang w:eastAsia="en-GB"/>
              </w:rPr>
            </w:pPr>
            <w:r w:rsidRPr="0037129E">
              <w:rPr>
                <w:rFonts w:eastAsia="Times New Roman" w:cs="Calibri"/>
                <w:b/>
                <w:bCs/>
                <w:color w:val="000000"/>
                <w:lang w:eastAsia="en-GB"/>
              </w:rPr>
              <w:t>2019</w:t>
            </w:r>
          </w:p>
        </w:tc>
        <w:tc>
          <w:tcPr>
            <w:tcW w:w="888" w:type="dxa"/>
            <w:tcBorders>
              <w:top w:val="single" w:sz="4" w:space="0" w:color="auto"/>
              <w:left w:val="nil"/>
              <w:bottom w:val="single" w:sz="4" w:space="0" w:color="auto"/>
              <w:right w:val="nil"/>
            </w:tcBorders>
            <w:shd w:val="clear" w:color="auto" w:fill="auto"/>
            <w:noWrap/>
            <w:vAlign w:val="bottom"/>
            <w:hideMark/>
          </w:tcPr>
          <w:p w14:paraId="09D5679E" w14:textId="77777777" w:rsidR="00DE1AC7" w:rsidRPr="0037129E" w:rsidRDefault="00DE1AC7" w:rsidP="0037129E">
            <w:pPr>
              <w:spacing w:after="100" w:afterAutospacing="1" w:line="240" w:lineRule="auto"/>
              <w:jc w:val="center"/>
              <w:rPr>
                <w:rFonts w:eastAsia="Times New Roman" w:cs="Calibri"/>
                <w:b/>
                <w:bCs/>
                <w:color w:val="000000"/>
                <w:lang w:eastAsia="en-GB"/>
              </w:rPr>
            </w:pPr>
            <w:r w:rsidRPr="0037129E">
              <w:rPr>
                <w:rFonts w:eastAsia="Times New Roman" w:cs="Calibri"/>
                <w:b/>
                <w:bCs/>
                <w:color w:val="000000"/>
                <w:lang w:eastAsia="en-GB"/>
              </w:rPr>
              <w:t>Priemer</w:t>
            </w:r>
          </w:p>
        </w:tc>
      </w:tr>
      <w:tr w:rsidR="00DE1AC7" w:rsidRPr="00DE1AC7" w14:paraId="760CCCC0" w14:textId="77777777" w:rsidTr="0037129E">
        <w:trPr>
          <w:gridAfter w:val="1"/>
          <w:wAfter w:w="48" w:type="dxa"/>
          <w:trHeight w:val="63"/>
        </w:trPr>
        <w:tc>
          <w:tcPr>
            <w:tcW w:w="6123" w:type="dxa"/>
            <w:tcBorders>
              <w:top w:val="nil"/>
              <w:left w:val="nil"/>
              <w:bottom w:val="nil"/>
              <w:right w:val="nil"/>
            </w:tcBorders>
            <w:shd w:val="clear" w:color="auto" w:fill="auto"/>
            <w:noWrap/>
            <w:vAlign w:val="bottom"/>
            <w:hideMark/>
          </w:tcPr>
          <w:p w14:paraId="7D12D879" w14:textId="79A91621" w:rsidR="00DE1AC7" w:rsidRPr="0037129E" w:rsidRDefault="00DE1AC7" w:rsidP="0037129E">
            <w:pPr>
              <w:spacing w:after="100" w:afterAutospacing="1" w:line="240" w:lineRule="auto"/>
              <w:jc w:val="left"/>
              <w:rPr>
                <w:rFonts w:eastAsia="Times New Roman" w:cs="Calibri"/>
                <w:color w:val="000000"/>
                <w:lang w:eastAsia="en-GB"/>
              </w:rPr>
            </w:pPr>
            <w:r w:rsidRPr="0037129E">
              <w:rPr>
                <w:rFonts w:eastAsia="Times New Roman" w:cs="Calibri"/>
                <w:color w:val="000000"/>
                <w:lang w:eastAsia="en-GB"/>
              </w:rPr>
              <w:t xml:space="preserve">Celková výška IT výdavkov </w:t>
            </w:r>
            <w:r>
              <w:rPr>
                <w:rFonts w:eastAsia="Times New Roman" w:cs="Calibri"/>
                <w:color w:val="000000"/>
                <w:lang w:eastAsia="en-GB"/>
              </w:rPr>
              <w:t>ústredných orgánov štátnej správy</w:t>
            </w:r>
          </w:p>
        </w:tc>
        <w:tc>
          <w:tcPr>
            <w:tcW w:w="668" w:type="dxa"/>
            <w:tcBorders>
              <w:top w:val="nil"/>
              <w:left w:val="nil"/>
              <w:bottom w:val="nil"/>
              <w:right w:val="nil"/>
            </w:tcBorders>
            <w:shd w:val="clear" w:color="auto" w:fill="auto"/>
            <w:noWrap/>
            <w:vAlign w:val="bottom"/>
            <w:hideMark/>
          </w:tcPr>
          <w:p w14:paraId="57079BA8" w14:textId="77777777" w:rsidR="00DE1AC7" w:rsidRPr="0037129E" w:rsidRDefault="00DE1AC7" w:rsidP="0037129E">
            <w:pPr>
              <w:spacing w:after="100" w:afterAutospacing="1" w:line="240" w:lineRule="auto"/>
              <w:jc w:val="center"/>
              <w:rPr>
                <w:rFonts w:eastAsia="Times New Roman" w:cs="Calibri"/>
                <w:color w:val="000000"/>
                <w:lang w:eastAsia="en-GB"/>
              </w:rPr>
            </w:pPr>
            <w:r w:rsidRPr="0037129E">
              <w:rPr>
                <w:rFonts w:eastAsia="Times New Roman" w:cs="Calibri"/>
                <w:color w:val="000000"/>
                <w:lang w:eastAsia="en-GB"/>
              </w:rPr>
              <w:t>425,7</w:t>
            </w:r>
          </w:p>
        </w:tc>
        <w:tc>
          <w:tcPr>
            <w:tcW w:w="668" w:type="dxa"/>
            <w:tcBorders>
              <w:top w:val="nil"/>
              <w:left w:val="nil"/>
              <w:bottom w:val="nil"/>
              <w:right w:val="nil"/>
            </w:tcBorders>
            <w:shd w:val="clear" w:color="auto" w:fill="auto"/>
            <w:noWrap/>
            <w:vAlign w:val="bottom"/>
            <w:hideMark/>
          </w:tcPr>
          <w:p w14:paraId="59EB660E" w14:textId="77777777" w:rsidR="00DE1AC7" w:rsidRPr="0037129E" w:rsidRDefault="00DE1AC7" w:rsidP="0037129E">
            <w:pPr>
              <w:spacing w:after="100" w:afterAutospacing="1" w:line="240" w:lineRule="auto"/>
              <w:jc w:val="center"/>
              <w:rPr>
                <w:rFonts w:eastAsia="Times New Roman" w:cs="Calibri"/>
                <w:color w:val="000000"/>
                <w:lang w:eastAsia="en-GB"/>
              </w:rPr>
            </w:pPr>
            <w:r w:rsidRPr="0037129E">
              <w:rPr>
                <w:rFonts w:eastAsia="Times New Roman" w:cs="Calibri"/>
                <w:color w:val="000000"/>
                <w:lang w:eastAsia="en-GB"/>
              </w:rPr>
              <w:t>511,4</w:t>
            </w:r>
          </w:p>
        </w:tc>
        <w:tc>
          <w:tcPr>
            <w:tcW w:w="668" w:type="dxa"/>
            <w:tcBorders>
              <w:top w:val="nil"/>
              <w:left w:val="nil"/>
              <w:bottom w:val="nil"/>
              <w:right w:val="nil"/>
            </w:tcBorders>
            <w:shd w:val="clear" w:color="auto" w:fill="auto"/>
            <w:noWrap/>
            <w:vAlign w:val="bottom"/>
            <w:hideMark/>
          </w:tcPr>
          <w:p w14:paraId="36B701C0" w14:textId="77777777" w:rsidR="00DE1AC7" w:rsidRPr="0037129E" w:rsidRDefault="00DE1AC7" w:rsidP="0037129E">
            <w:pPr>
              <w:spacing w:after="100" w:afterAutospacing="1" w:line="240" w:lineRule="auto"/>
              <w:jc w:val="center"/>
              <w:rPr>
                <w:rFonts w:eastAsia="Times New Roman" w:cs="Calibri"/>
                <w:color w:val="000000"/>
                <w:lang w:eastAsia="en-GB"/>
              </w:rPr>
            </w:pPr>
            <w:r w:rsidRPr="0037129E">
              <w:rPr>
                <w:rFonts w:eastAsia="Times New Roman" w:cs="Calibri"/>
                <w:color w:val="000000"/>
                <w:lang w:eastAsia="en-GB"/>
              </w:rPr>
              <w:t>510,6</w:t>
            </w:r>
          </w:p>
        </w:tc>
        <w:tc>
          <w:tcPr>
            <w:tcW w:w="888" w:type="dxa"/>
            <w:tcBorders>
              <w:top w:val="nil"/>
              <w:left w:val="nil"/>
              <w:bottom w:val="nil"/>
              <w:right w:val="nil"/>
            </w:tcBorders>
            <w:shd w:val="clear" w:color="auto" w:fill="auto"/>
            <w:noWrap/>
            <w:vAlign w:val="bottom"/>
            <w:hideMark/>
          </w:tcPr>
          <w:p w14:paraId="25CAF459" w14:textId="77777777" w:rsidR="00DE1AC7" w:rsidRPr="0037129E" w:rsidRDefault="00DE1AC7" w:rsidP="0037129E">
            <w:pPr>
              <w:spacing w:after="100" w:afterAutospacing="1" w:line="240" w:lineRule="auto"/>
              <w:jc w:val="center"/>
              <w:rPr>
                <w:rFonts w:eastAsia="Times New Roman" w:cs="Calibri"/>
                <w:color w:val="000000"/>
                <w:lang w:eastAsia="en-GB"/>
              </w:rPr>
            </w:pPr>
            <w:r w:rsidRPr="0037129E">
              <w:rPr>
                <w:rFonts w:eastAsia="Times New Roman" w:cs="Calibri"/>
                <w:color w:val="000000"/>
                <w:lang w:eastAsia="en-GB"/>
              </w:rPr>
              <w:t>482,6</w:t>
            </w:r>
          </w:p>
        </w:tc>
      </w:tr>
      <w:tr w:rsidR="00DE1AC7" w:rsidRPr="00DE1AC7" w14:paraId="5B6080EA" w14:textId="77777777" w:rsidTr="0037129E">
        <w:trPr>
          <w:gridAfter w:val="1"/>
          <w:wAfter w:w="48" w:type="dxa"/>
          <w:trHeight w:val="73"/>
        </w:trPr>
        <w:tc>
          <w:tcPr>
            <w:tcW w:w="6123" w:type="dxa"/>
            <w:tcBorders>
              <w:top w:val="nil"/>
              <w:left w:val="nil"/>
              <w:bottom w:val="nil"/>
              <w:right w:val="nil"/>
            </w:tcBorders>
            <w:shd w:val="clear" w:color="auto" w:fill="auto"/>
            <w:noWrap/>
            <w:vAlign w:val="bottom"/>
            <w:hideMark/>
          </w:tcPr>
          <w:p w14:paraId="6417DA75" w14:textId="77777777" w:rsidR="00DE1AC7" w:rsidRPr="0037129E" w:rsidRDefault="00DE1AC7" w:rsidP="0037129E">
            <w:pPr>
              <w:spacing w:after="100" w:afterAutospacing="1" w:line="240" w:lineRule="auto"/>
              <w:jc w:val="left"/>
              <w:rPr>
                <w:rFonts w:eastAsia="Times New Roman" w:cs="Calibri"/>
                <w:color w:val="000000"/>
                <w:lang w:eastAsia="en-GB"/>
              </w:rPr>
            </w:pPr>
            <w:r w:rsidRPr="0037129E">
              <w:rPr>
                <w:rFonts w:eastAsia="Times New Roman" w:cs="Calibri"/>
                <w:color w:val="000000"/>
                <w:lang w:eastAsia="en-GB"/>
              </w:rPr>
              <w:t>Úspora 10 %</w:t>
            </w:r>
          </w:p>
        </w:tc>
        <w:tc>
          <w:tcPr>
            <w:tcW w:w="668" w:type="dxa"/>
            <w:tcBorders>
              <w:top w:val="nil"/>
              <w:left w:val="nil"/>
              <w:bottom w:val="nil"/>
              <w:right w:val="nil"/>
            </w:tcBorders>
            <w:shd w:val="clear" w:color="auto" w:fill="auto"/>
            <w:noWrap/>
            <w:vAlign w:val="bottom"/>
            <w:hideMark/>
          </w:tcPr>
          <w:p w14:paraId="0224AC53" w14:textId="77777777" w:rsidR="00DE1AC7" w:rsidRPr="0037129E" w:rsidRDefault="00DE1AC7" w:rsidP="0037129E">
            <w:pPr>
              <w:spacing w:after="100" w:afterAutospacing="1" w:line="240" w:lineRule="auto"/>
              <w:jc w:val="center"/>
              <w:rPr>
                <w:rFonts w:eastAsia="Times New Roman" w:cs="Calibri"/>
                <w:color w:val="000000"/>
                <w:lang w:eastAsia="en-GB"/>
              </w:rPr>
            </w:pPr>
            <w:r w:rsidRPr="0037129E">
              <w:rPr>
                <w:rFonts w:eastAsia="Times New Roman" w:cs="Calibri"/>
                <w:color w:val="000000"/>
                <w:lang w:eastAsia="en-GB"/>
              </w:rPr>
              <w:t>42,6</w:t>
            </w:r>
          </w:p>
        </w:tc>
        <w:tc>
          <w:tcPr>
            <w:tcW w:w="668" w:type="dxa"/>
            <w:tcBorders>
              <w:top w:val="nil"/>
              <w:left w:val="nil"/>
              <w:bottom w:val="nil"/>
              <w:right w:val="nil"/>
            </w:tcBorders>
            <w:shd w:val="clear" w:color="auto" w:fill="auto"/>
            <w:noWrap/>
            <w:vAlign w:val="bottom"/>
            <w:hideMark/>
          </w:tcPr>
          <w:p w14:paraId="53F39C41" w14:textId="77777777" w:rsidR="00DE1AC7" w:rsidRPr="0037129E" w:rsidRDefault="00DE1AC7" w:rsidP="0037129E">
            <w:pPr>
              <w:spacing w:after="100" w:afterAutospacing="1" w:line="240" w:lineRule="auto"/>
              <w:jc w:val="center"/>
              <w:rPr>
                <w:rFonts w:eastAsia="Times New Roman" w:cs="Calibri"/>
                <w:color w:val="000000"/>
                <w:lang w:eastAsia="en-GB"/>
              </w:rPr>
            </w:pPr>
            <w:r w:rsidRPr="0037129E">
              <w:rPr>
                <w:rFonts w:eastAsia="Times New Roman" w:cs="Calibri"/>
                <w:color w:val="000000"/>
                <w:lang w:eastAsia="en-GB"/>
              </w:rPr>
              <w:t>51,1</w:t>
            </w:r>
          </w:p>
        </w:tc>
        <w:tc>
          <w:tcPr>
            <w:tcW w:w="668" w:type="dxa"/>
            <w:tcBorders>
              <w:top w:val="nil"/>
              <w:left w:val="nil"/>
              <w:bottom w:val="nil"/>
              <w:right w:val="nil"/>
            </w:tcBorders>
            <w:shd w:val="clear" w:color="auto" w:fill="auto"/>
            <w:noWrap/>
            <w:vAlign w:val="bottom"/>
            <w:hideMark/>
          </w:tcPr>
          <w:p w14:paraId="43BE5AFB" w14:textId="77777777" w:rsidR="00DE1AC7" w:rsidRPr="0037129E" w:rsidRDefault="00DE1AC7" w:rsidP="0037129E">
            <w:pPr>
              <w:spacing w:after="100" w:afterAutospacing="1" w:line="240" w:lineRule="auto"/>
              <w:jc w:val="center"/>
              <w:rPr>
                <w:rFonts w:eastAsia="Times New Roman" w:cs="Calibri"/>
                <w:color w:val="000000"/>
                <w:lang w:eastAsia="en-GB"/>
              </w:rPr>
            </w:pPr>
            <w:r w:rsidRPr="0037129E">
              <w:rPr>
                <w:rFonts w:eastAsia="Times New Roman" w:cs="Calibri"/>
                <w:color w:val="000000"/>
                <w:lang w:eastAsia="en-GB"/>
              </w:rPr>
              <w:t>51,1</w:t>
            </w:r>
          </w:p>
        </w:tc>
        <w:tc>
          <w:tcPr>
            <w:tcW w:w="888" w:type="dxa"/>
            <w:tcBorders>
              <w:top w:val="nil"/>
              <w:left w:val="nil"/>
              <w:bottom w:val="nil"/>
              <w:right w:val="nil"/>
            </w:tcBorders>
            <w:shd w:val="clear" w:color="auto" w:fill="auto"/>
            <w:noWrap/>
            <w:vAlign w:val="bottom"/>
            <w:hideMark/>
          </w:tcPr>
          <w:p w14:paraId="78B53934" w14:textId="77777777" w:rsidR="00DE1AC7" w:rsidRPr="0037129E" w:rsidRDefault="00DE1AC7" w:rsidP="0037129E">
            <w:pPr>
              <w:spacing w:after="100" w:afterAutospacing="1" w:line="240" w:lineRule="auto"/>
              <w:jc w:val="center"/>
              <w:rPr>
                <w:rFonts w:eastAsia="Times New Roman" w:cs="Calibri"/>
                <w:color w:val="000000"/>
                <w:lang w:eastAsia="en-GB"/>
              </w:rPr>
            </w:pPr>
            <w:r w:rsidRPr="0037129E">
              <w:rPr>
                <w:rFonts w:eastAsia="Times New Roman" w:cs="Calibri"/>
                <w:color w:val="000000"/>
                <w:lang w:eastAsia="en-GB"/>
              </w:rPr>
              <w:t>48,3</w:t>
            </w:r>
          </w:p>
        </w:tc>
      </w:tr>
      <w:tr w:rsidR="00DE1AC7" w:rsidRPr="00DE1AC7" w14:paraId="077BD21B" w14:textId="77777777" w:rsidTr="0037129E">
        <w:trPr>
          <w:gridAfter w:val="1"/>
          <w:wAfter w:w="48" w:type="dxa"/>
          <w:trHeight w:val="73"/>
        </w:trPr>
        <w:tc>
          <w:tcPr>
            <w:tcW w:w="6123" w:type="dxa"/>
            <w:tcBorders>
              <w:top w:val="nil"/>
              <w:left w:val="nil"/>
              <w:bottom w:val="single" w:sz="4" w:space="0" w:color="auto"/>
              <w:right w:val="nil"/>
            </w:tcBorders>
            <w:shd w:val="clear" w:color="auto" w:fill="auto"/>
            <w:noWrap/>
            <w:vAlign w:val="bottom"/>
            <w:hideMark/>
          </w:tcPr>
          <w:p w14:paraId="203E891F" w14:textId="77777777" w:rsidR="00DE1AC7" w:rsidRPr="0037129E" w:rsidRDefault="00DE1AC7" w:rsidP="0037129E">
            <w:pPr>
              <w:spacing w:after="100" w:afterAutospacing="1" w:line="240" w:lineRule="auto"/>
              <w:jc w:val="left"/>
              <w:rPr>
                <w:rFonts w:eastAsia="Times New Roman" w:cs="Calibri"/>
                <w:color w:val="000000"/>
                <w:lang w:eastAsia="en-GB"/>
              </w:rPr>
            </w:pPr>
            <w:r w:rsidRPr="0037129E">
              <w:rPr>
                <w:rFonts w:eastAsia="Times New Roman" w:cs="Calibri"/>
                <w:color w:val="000000"/>
                <w:lang w:eastAsia="en-GB"/>
              </w:rPr>
              <w:t>Úspora 20 %</w:t>
            </w:r>
          </w:p>
        </w:tc>
        <w:tc>
          <w:tcPr>
            <w:tcW w:w="668" w:type="dxa"/>
            <w:tcBorders>
              <w:top w:val="nil"/>
              <w:left w:val="nil"/>
              <w:bottom w:val="single" w:sz="4" w:space="0" w:color="auto"/>
              <w:right w:val="nil"/>
            </w:tcBorders>
            <w:shd w:val="clear" w:color="auto" w:fill="auto"/>
            <w:noWrap/>
            <w:vAlign w:val="bottom"/>
            <w:hideMark/>
          </w:tcPr>
          <w:p w14:paraId="1A1F2442" w14:textId="77777777" w:rsidR="00DE1AC7" w:rsidRPr="0037129E" w:rsidRDefault="00DE1AC7" w:rsidP="0037129E">
            <w:pPr>
              <w:spacing w:after="100" w:afterAutospacing="1" w:line="240" w:lineRule="auto"/>
              <w:jc w:val="center"/>
              <w:rPr>
                <w:rFonts w:eastAsia="Times New Roman" w:cs="Calibri"/>
                <w:color w:val="000000"/>
                <w:lang w:eastAsia="en-GB"/>
              </w:rPr>
            </w:pPr>
            <w:r w:rsidRPr="0037129E">
              <w:rPr>
                <w:rFonts w:eastAsia="Times New Roman" w:cs="Calibri"/>
                <w:color w:val="000000"/>
                <w:lang w:eastAsia="en-GB"/>
              </w:rPr>
              <w:t>85,1</w:t>
            </w:r>
          </w:p>
        </w:tc>
        <w:tc>
          <w:tcPr>
            <w:tcW w:w="668" w:type="dxa"/>
            <w:tcBorders>
              <w:top w:val="nil"/>
              <w:left w:val="nil"/>
              <w:bottom w:val="single" w:sz="4" w:space="0" w:color="auto"/>
              <w:right w:val="nil"/>
            </w:tcBorders>
            <w:shd w:val="clear" w:color="auto" w:fill="auto"/>
            <w:noWrap/>
            <w:vAlign w:val="bottom"/>
            <w:hideMark/>
          </w:tcPr>
          <w:p w14:paraId="37BEC215" w14:textId="77777777" w:rsidR="00DE1AC7" w:rsidRPr="0037129E" w:rsidRDefault="00DE1AC7" w:rsidP="0037129E">
            <w:pPr>
              <w:spacing w:after="100" w:afterAutospacing="1" w:line="240" w:lineRule="auto"/>
              <w:jc w:val="center"/>
              <w:rPr>
                <w:rFonts w:eastAsia="Times New Roman" w:cs="Calibri"/>
                <w:color w:val="000000"/>
                <w:lang w:eastAsia="en-GB"/>
              </w:rPr>
            </w:pPr>
            <w:r w:rsidRPr="0037129E">
              <w:rPr>
                <w:rFonts w:eastAsia="Times New Roman" w:cs="Calibri"/>
                <w:color w:val="000000"/>
                <w:lang w:eastAsia="en-GB"/>
              </w:rPr>
              <w:t>102,3</w:t>
            </w:r>
          </w:p>
        </w:tc>
        <w:tc>
          <w:tcPr>
            <w:tcW w:w="668" w:type="dxa"/>
            <w:tcBorders>
              <w:top w:val="nil"/>
              <w:left w:val="nil"/>
              <w:bottom w:val="single" w:sz="4" w:space="0" w:color="auto"/>
              <w:right w:val="nil"/>
            </w:tcBorders>
            <w:shd w:val="clear" w:color="auto" w:fill="auto"/>
            <w:noWrap/>
            <w:vAlign w:val="bottom"/>
            <w:hideMark/>
          </w:tcPr>
          <w:p w14:paraId="2C286BC2" w14:textId="77777777" w:rsidR="00DE1AC7" w:rsidRPr="0037129E" w:rsidRDefault="00DE1AC7" w:rsidP="0037129E">
            <w:pPr>
              <w:spacing w:after="100" w:afterAutospacing="1" w:line="240" w:lineRule="auto"/>
              <w:jc w:val="center"/>
              <w:rPr>
                <w:rFonts w:eastAsia="Times New Roman" w:cs="Calibri"/>
                <w:color w:val="000000"/>
                <w:lang w:eastAsia="en-GB"/>
              </w:rPr>
            </w:pPr>
            <w:r w:rsidRPr="0037129E">
              <w:rPr>
                <w:rFonts w:eastAsia="Times New Roman" w:cs="Calibri"/>
                <w:color w:val="000000"/>
                <w:lang w:eastAsia="en-GB"/>
              </w:rPr>
              <w:t>102,1</w:t>
            </w:r>
          </w:p>
        </w:tc>
        <w:tc>
          <w:tcPr>
            <w:tcW w:w="888" w:type="dxa"/>
            <w:tcBorders>
              <w:top w:val="nil"/>
              <w:left w:val="nil"/>
              <w:bottom w:val="single" w:sz="4" w:space="0" w:color="auto"/>
              <w:right w:val="nil"/>
            </w:tcBorders>
            <w:shd w:val="clear" w:color="auto" w:fill="auto"/>
            <w:noWrap/>
            <w:vAlign w:val="bottom"/>
            <w:hideMark/>
          </w:tcPr>
          <w:p w14:paraId="25BAB9EF" w14:textId="77777777" w:rsidR="00DE1AC7" w:rsidRPr="0037129E" w:rsidRDefault="00DE1AC7" w:rsidP="0037129E">
            <w:pPr>
              <w:spacing w:after="100" w:afterAutospacing="1" w:line="240" w:lineRule="auto"/>
              <w:jc w:val="center"/>
              <w:rPr>
                <w:rFonts w:eastAsia="Times New Roman" w:cs="Calibri"/>
                <w:color w:val="000000"/>
                <w:lang w:eastAsia="en-GB"/>
              </w:rPr>
            </w:pPr>
            <w:r w:rsidRPr="0037129E">
              <w:rPr>
                <w:rFonts w:eastAsia="Times New Roman" w:cs="Calibri"/>
                <w:color w:val="000000"/>
                <w:lang w:eastAsia="en-GB"/>
              </w:rPr>
              <w:t>96,5</w:t>
            </w:r>
          </w:p>
        </w:tc>
      </w:tr>
      <w:tr w:rsidR="00DE1AC7" w:rsidRPr="00DE1AC7" w14:paraId="6444CD23" w14:textId="77777777" w:rsidTr="0037129E">
        <w:trPr>
          <w:trHeight w:val="406"/>
        </w:trPr>
        <w:tc>
          <w:tcPr>
            <w:tcW w:w="9063" w:type="dxa"/>
            <w:gridSpan w:val="6"/>
            <w:tcBorders>
              <w:top w:val="single" w:sz="4" w:space="0" w:color="auto"/>
              <w:left w:val="nil"/>
              <w:bottom w:val="nil"/>
              <w:right w:val="nil"/>
            </w:tcBorders>
            <w:shd w:val="clear" w:color="auto" w:fill="auto"/>
            <w:noWrap/>
            <w:hideMark/>
          </w:tcPr>
          <w:p w14:paraId="343805D7" w14:textId="77777777" w:rsidR="00DE1AC7" w:rsidRPr="0037129E" w:rsidRDefault="00DE1AC7" w:rsidP="0037129E">
            <w:pPr>
              <w:spacing w:after="100" w:afterAutospacing="1" w:line="240" w:lineRule="auto"/>
              <w:jc w:val="right"/>
              <w:rPr>
                <w:rFonts w:eastAsia="Times New Roman" w:cs="Calibri"/>
                <w:i/>
                <w:iCs/>
                <w:color w:val="000000"/>
                <w:sz w:val="18"/>
                <w:szCs w:val="18"/>
                <w:lang w:eastAsia="en-GB"/>
              </w:rPr>
            </w:pPr>
            <w:r w:rsidRPr="0037129E">
              <w:rPr>
                <w:rFonts w:eastAsia="Times New Roman" w:cs="Calibri"/>
                <w:i/>
                <w:iCs/>
                <w:color w:val="000000"/>
                <w:sz w:val="18"/>
                <w:szCs w:val="18"/>
                <w:lang w:eastAsia="en-GB"/>
              </w:rPr>
              <w:t>Zdroj: RIS, Spracovanie ÚHP</w:t>
            </w:r>
          </w:p>
        </w:tc>
      </w:tr>
    </w:tbl>
    <w:p w14:paraId="5B1D1DC8" w14:textId="77777777" w:rsidR="003A6EC3" w:rsidRPr="00765192" w:rsidRDefault="003A6EC3" w:rsidP="003A6EC3">
      <w:r>
        <w:t>Odhad potenciálnej úspory vychádza zo štúdie zavedenia IT finančného manažmentu a riadenia IT služieb</w:t>
      </w:r>
      <w:r w:rsidRPr="00B354BE">
        <w:t xml:space="preserve"> </w:t>
      </w:r>
      <w:r>
        <w:t>v 50 veľkých súkromných spoločnostiach</w:t>
      </w:r>
      <w:r>
        <w:rPr>
          <w:rStyle w:val="Odkaznapoznmkupodiarou"/>
        </w:rPr>
        <w:footnoteReference w:id="32"/>
      </w:r>
      <w:r>
        <w:t>, podľa ktorej dosiahli úspory 10-20 % a z príkladu zavedenia IT finančného manažmentu v štátnej servisnej organizácii americkej vlády</w:t>
      </w:r>
      <w:r>
        <w:rPr>
          <w:rStyle w:val="Odkaznapoznmkupodiarou"/>
        </w:rPr>
        <w:footnoteReference w:id="33"/>
      </w:r>
      <w:r>
        <w:t>, kde po zavedení v rokoch 2013-2015 klesli ročné náklady na IT služby o 17 %.</w:t>
      </w:r>
    </w:p>
    <w:p w14:paraId="1876FFFC" w14:textId="77777777" w:rsidR="0059256C" w:rsidRDefault="0059256C" w:rsidP="0059256C">
      <w:r w:rsidRPr="00765192">
        <w:rPr>
          <w:b/>
        </w:rPr>
        <w:t xml:space="preserve">Systém sledovania IT výdavkov v súčasnosti neodzrkadľuje štruktúru poskytovaných IT služieb, neumožňuje porovnávať ich jednotkové ceny a vytvárať tlak na znižovanie nákladov. </w:t>
      </w:r>
      <w:r w:rsidRPr="00765192">
        <w:t xml:space="preserve">V súčasnosti sú IT výdavky sledované na úrovni jednotlivých informačných systémov podľa </w:t>
      </w:r>
      <w:r>
        <w:t>ekonomickej klasifikácie</w:t>
      </w:r>
      <w:r w:rsidRPr="00765192">
        <w:t xml:space="preserve">, čo neodzrkadľuje štruktúru </w:t>
      </w:r>
      <w:r>
        <w:t xml:space="preserve">a náklady </w:t>
      </w:r>
      <w:r w:rsidRPr="00765192">
        <w:t xml:space="preserve">poskytovaných IT služieb. Analytický pohľad na IT výdavky prostredníctvom štandardných služieb umožní porovnávanie ich jednotkových cien a spotrebovaného množstva naprieč organizáciami. </w:t>
      </w:r>
    </w:p>
    <w:p w14:paraId="28473692" w14:textId="77777777" w:rsidR="0059256C" w:rsidRPr="00A87D7D" w:rsidRDefault="0059256C" w:rsidP="0059256C">
      <w:r>
        <w:t>Prvým krokom k zavedeniu analytického sledovania IT výdavkov je už rozpracované sledovanie nákladov v medzirezortnom programe a sprístupnenie v MetaIS. Na dosiahnutie plných benefitov je potrebné jeho dopracovanie a rozšírenie o:</w:t>
      </w:r>
    </w:p>
    <w:p w14:paraId="4F055894" w14:textId="77777777" w:rsidR="0059256C" w:rsidRDefault="0059256C" w:rsidP="0059256C">
      <w:pPr>
        <w:pStyle w:val="Odsekzoznamu"/>
        <w:numPr>
          <w:ilvl w:val="0"/>
          <w:numId w:val="2"/>
        </w:numPr>
      </w:pPr>
      <w:r>
        <w:rPr>
          <w:b/>
        </w:rPr>
        <w:t>Sledovanie</w:t>
      </w:r>
      <w:r w:rsidRPr="00BB20F1">
        <w:rPr>
          <w:b/>
        </w:rPr>
        <w:t xml:space="preserve"> nákladov na jedno podanie v MetaIS, ktoré umožní stanoviť hraničné hodnoty nákladov IT systémov. </w:t>
      </w:r>
      <w:r w:rsidRPr="00765192">
        <w:t xml:space="preserve">MetaIS už dnes poskytuje nástroje na sledovanie počtu podaní na úrovni aplikačných a koncových služieb informačných systémov a nákladov na úrovni informačných systémov.  </w:t>
      </w:r>
      <w:r w:rsidR="00C07D66">
        <w:t>Zber údajov nie je plne automatizovaný</w:t>
      </w:r>
      <w:r w:rsidRPr="00765192">
        <w:t xml:space="preserve">, ich kvalita je nízka. Po dopracovaní systematického zberu údajov bude možné spracovať základné porovnanie nákladov jednotlivých IS na spracovanie podania a stanovenie hraničných nákladových hodnôt.  </w:t>
      </w:r>
    </w:p>
    <w:p w14:paraId="4F6ACAF9" w14:textId="3BA64FCB" w:rsidR="00C07D66" w:rsidRPr="00C07D66" w:rsidRDefault="0059256C" w:rsidP="003A6EC3">
      <w:pPr>
        <w:pStyle w:val="Odsekzoznamu"/>
        <w:numPr>
          <w:ilvl w:val="0"/>
          <w:numId w:val="2"/>
        </w:numPr>
      </w:pPr>
      <w:r>
        <w:rPr>
          <w:b/>
        </w:rPr>
        <w:t>Pilotný projekt sledovania IT nákladov na úrovni služieb.</w:t>
      </w:r>
      <w:r>
        <w:t xml:space="preserve"> </w:t>
      </w:r>
      <w:r w:rsidRPr="00A87D7D">
        <w:t>Porovnávanie jednotkových cien služieb a ich spotreby medzi organizáciami vyžaduje štandardizáciu ich označovania a vytvorenie nákladového modelu, ktorý umožní priradiť náklady na rozvoj a prevádzku informačných systémov k  jednotlivým službám.</w:t>
      </w:r>
      <w:r>
        <w:t xml:space="preserve"> V pilotnom projekte je potrebné pre vybrané biznis službách definovať IT služby, ktoré sú potrebné pre ich výkon, ich rozdelenie do štandardných kategórií, definovať hlavné IT nákladové položky a nákladový model, podľa ktorého budú alokované.</w:t>
      </w:r>
    </w:p>
    <w:p w14:paraId="4EF97F2F" w14:textId="77777777" w:rsidR="0059256C" w:rsidRDefault="0059256C" w:rsidP="0059256C">
      <w:pPr>
        <w:pStyle w:val="Odsekzoznamu"/>
        <w:numPr>
          <w:ilvl w:val="0"/>
          <w:numId w:val="2"/>
        </w:numPr>
      </w:pPr>
      <w:r>
        <w:rPr>
          <w:b/>
        </w:rPr>
        <w:t>Rozšírenie analytického sledovania na všetky služby.</w:t>
      </w:r>
      <w:r>
        <w:t xml:space="preserve"> Nákladový model je po pilotnom overení potrebné rozšíriť na všetky poskytované IT služby. </w:t>
      </w:r>
    </w:p>
    <w:p w14:paraId="549107EA" w14:textId="77777777" w:rsidR="0059256C" w:rsidRDefault="0059256C" w:rsidP="0059256C">
      <w:pPr>
        <w:pStyle w:val="Odsekzoznamu"/>
        <w:numPr>
          <w:ilvl w:val="0"/>
          <w:numId w:val="2"/>
        </w:numPr>
      </w:pPr>
      <w:r w:rsidRPr="009D4E45">
        <w:rPr>
          <w:b/>
        </w:rPr>
        <w:t xml:space="preserve">Zahrnutie ne-IT nákladov. </w:t>
      </w:r>
      <w:r>
        <w:t>Celkové náklady na poskytovanie IT služieb zahŕňajú okrem priamych IT nákladov (napr. nákup hardvéru a softvéru, poskytovanie podpory, zmenové požiadavky) aj ďalšie ne-IT náklady (napr. vzdelávanie, konzultačné služby). Pre úplný obraz o nákladoch poskytovaných IT služieb je potrebné rozšíriť nákladový model aj o ne-IT náklady.</w:t>
      </w:r>
    </w:p>
    <w:p w14:paraId="31B5CF79" w14:textId="77777777" w:rsidR="009B4960" w:rsidRPr="00765192" w:rsidRDefault="009B4960" w:rsidP="009B4960">
      <w:pPr>
        <w:pStyle w:val="Odsekzoznamu"/>
      </w:pPr>
    </w:p>
    <w:tbl>
      <w:tblPr>
        <w:tblStyle w:val="Tabukasmriekou6farebnzvraznenie5"/>
        <w:tblW w:w="0" w:type="auto"/>
        <w:tblLook w:val="0420" w:firstRow="1" w:lastRow="0" w:firstColumn="0" w:lastColumn="0" w:noHBand="0" w:noVBand="1"/>
      </w:tblPr>
      <w:tblGrid>
        <w:gridCol w:w="9062"/>
      </w:tblGrid>
      <w:tr w:rsidR="0059256C" w:rsidRPr="00765192" w14:paraId="4821859A" w14:textId="77777777" w:rsidTr="001D543F">
        <w:trPr>
          <w:cnfStyle w:val="100000000000" w:firstRow="1" w:lastRow="0" w:firstColumn="0" w:lastColumn="0" w:oddVBand="0" w:evenVBand="0" w:oddHBand="0" w:evenHBand="0" w:firstRowFirstColumn="0" w:firstRowLastColumn="0" w:lastRowFirstColumn="0" w:lastRowLastColumn="0"/>
        </w:trPr>
        <w:tc>
          <w:tcPr>
            <w:tcW w:w="9072" w:type="dxa"/>
          </w:tcPr>
          <w:p w14:paraId="5AE96DAE" w14:textId="77777777" w:rsidR="0059256C" w:rsidRPr="00765192" w:rsidRDefault="0059256C" w:rsidP="001D543F">
            <w:pPr>
              <w:rPr>
                <w:sz w:val="20"/>
              </w:rPr>
            </w:pPr>
            <w:r w:rsidRPr="00765192">
              <w:rPr>
                <w:sz w:val="20"/>
              </w:rPr>
              <w:lastRenderedPageBreak/>
              <w:t>Príklad: IT finančný manažment a analytické sledovanie výdavkov v USA</w:t>
            </w:r>
            <w:r w:rsidRPr="00765192">
              <w:rPr>
                <w:rStyle w:val="Odkaznapoznmkupodiarou"/>
              </w:rPr>
              <w:footnoteReference w:id="34"/>
            </w:r>
          </w:p>
        </w:tc>
      </w:tr>
      <w:tr w:rsidR="0059256C" w:rsidRPr="00765192" w14:paraId="672AEABC" w14:textId="77777777" w:rsidTr="001D543F">
        <w:trPr>
          <w:cnfStyle w:val="000000100000" w:firstRow="0" w:lastRow="0" w:firstColumn="0" w:lastColumn="0" w:oddVBand="0" w:evenVBand="0" w:oddHBand="1" w:evenHBand="0" w:firstRowFirstColumn="0" w:firstRowLastColumn="0" w:lastRowFirstColumn="0" w:lastRowLastColumn="0"/>
          <w:trHeight w:val="1227"/>
        </w:trPr>
        <w:tc>
          <w:tcPr>
            <w:tcW w:w="9072" w:type="dxa"/>
          </w:tcPr>
          <w:p w14:paraId="490F332C" w14:textId="77777777" w:rsidR="0059256C" w:rsidRPr="00765192" w:rsidRDefault="0059256C" w:rsidP="001D543F">
            <w:pPr>
              <w:spacing w:before="120" w:after="120"/>
              <w:rPr>
                <w:sz w:val="20"/>
              </w:rPr>
            </w:pPr>
            <w:r w:rsidRPr="00765192">
              <w:rPr>
                <w:sz w:val="20"/>
              </w:rPr>
              <w:t>Zavedením IT finančného manažmentu v štátnej servisnej organizácii americkej vlády došlo medzi rokmi 2013-2015 k zníženiu celkových ročných nákladov na poskytovanie IT služieb o 17%. Úspora plynula najmä z opatrení, ktoré odstraňovali duplicitné technológie a kontrakty alebo konsolidovali dátové centrá, bez dopadu na kvalitu poskytovaných služieb. Pre dosiahnutie úspory bolo kľúčové transparentné sledovanie IT výdavkov naprieč organizáciami.</w:t>
            </w:r>
          </w:p>
        </w:tc>
      </w:tr>
    </w:tbl>
    <w:p w14:paraId="747C20A2" w14:textId="77777777" w:rsidR="001C5C9E" w:rsidRDefault="00F346A5" w:rsidP="00D644C7">
      <w:pPr>
        <w:pStyle w:val="Odsekzoznamu"/>
        <w:numPr>
          <w:ilvl w:val="0"/>
          <w:numId w:val="11"/>
        </w:numPr>
        <w:spacing w:before="120"/>
        <w:rPr>
          <w:b/>
        </w:rPr>
      </w:pPr>
      <w:r w:rsidRPr="00F346A5">
        <w:rPr>
          <w:b/>
        </w:rPr>
        <w:t>Opatrenie:</w:t>
      </w:r>
      <w:r>
        <w:rPr>
          <w:b/>
        </w:rPr>
        <w:t xml:space="preserve"> </w:t>
      </w:r>
      <w:r w:rsidR="00D644C7" w:rsidRPr="00D644C7">
        <w:rPr>
          <w:b/>
        </w:rPr>
        <w:t>Zaviesť rámec na kontrolu IT výdavkov.</w:t>
      </w:r>
    </w:p>
    <w:p w14:paraId="58FCEE19" w14:textId="77777777" w:rsidR="00F346A5" w:rsidRDefault="001C5C9E" w:rsidP="00D644C7">
      <w:pPr>
        <w:pStyle w:val="Odsekzoznamu"/>
        <w:numPr>
          <w:ilvl w:val="0"/>
          <w:numId w:val="11"/>
        </w:numPr>
        <w:spacing w:before="120"/>
        <w:rPr>
          <w:b/>
        </w:rPr>
      </w:pPr>
      <w:r>
        <w:rPr>
          <w:b/>
        </w:rPr>
        <w:t xml:space="preserve">Opatrenie: </w:t>
      </w:r>
      <w:r w:rsidR="00D644C7" w:rsidRPr="00D644C7">
        <w:rPr>
          <w:b/>
        </w:rPr>
        <w:t>V pilotnom projekte vytvoriť štruktúru údajov a nákladový model na vyhodnocovanie celkových  a jednotkových nákladov individuálnych vybraných IT služieb.</w:t>
      </w:r>
    </w:p>
    <w:p w14:paraId="7A4709AC" w14:textId="77777777" w:rsidR="00A8134F" w:rsidRDefault="00570FBE" w:rsidP="00D644C7">
      <w:pPr>
        <w:pStyle w:val="Odsekzoznamu"/>
        <w:numPr>
          <w:ilvl w:val="0"/>
          <w:numId w:val="11"/>
        </w:numPr>
        <w:spacing w:before="120"/>
        <w:rPr>
          <w:b/>
        </w:rPr>
      </w:pPr>
      <w:r>
        <w:rPr>
          <w:b/>
        </w:rPr>
        <w:t xml:space="preserve">Opatrenie: </w:t>
      </w:r>
      <w:r w:rsidR="00D644C7" w:rsidRPr="00D644C7">
        <w:rPr>
          <w:b/>
        </w:rPr>
        <w:t>Spracovať implementačný plán na rozšírenie sledovania IT výdavkov na všetky rozpočtové kapitoly.</w:t>
      </w:r>
    </w:p>
    <w:p w14:paraId="124B0E76" w14:textId="77777777" w:rsidR="0059256C" w:rsidRPr="00765192" w:rsidRDefault="0059256C" w:rsidP="00A115E4">
      <w:pPr>
        <w:pStyle w:val="Nadpis3"/>
        <w:numPr>
          <w:ilvl w:val="1"/>
          <w:numId w:val="1"/>
        </w:numPr>
      </w:pPr>
      <w:bookmarkStart w:id="126" w:name="_Toc31112791"/>
      <w:bookmarkStart w:id="127" w:name="_Toc31113784"/>
      <w:bookmarkStart w:id="128" w:name="_Toc31438984"/>
      <w:bookmarkStart w:id="129" w:name="_Toc31441171"/>
      <w:bookmarkStart w:id="130" w:name="_Toc24957634"/>
      <w:bookmarkStart w:id="131" w:name="_Toc24957804"/>
      <w:bookmarkStart w:id="132" w:name="_Toc24957973"/>
      <w:bookmarkStart w:id="133" w:name="_Toc24958142"/>
      <w:bookmarkStart w:id="134" w:name="_Toc24958309"/>
      <w:bookmarkStart w:id="135" w:name="_Toc24957635"/>
      <w:bookmarkStart w:id="136" w:name="_Toc24957805"/>
      <w:bookmarkStart w:id="137" w:name="_Toc24957974"/>
      <w:bookmarkStart w:id="138" w:name="_Toc24958143"/>
      <w:bookmarkStart w:id="139" w:name="_Toc24958310"/>
      <w:bookmarkStart w:id="140" w:name="_Toc35602781"/>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765192">
        <w:t>Benchmarking – cenové limity pre tovary a služby</w:t>
      </w:r>
      <w:bookmarkEnd w:id="140"/>
    </w:p>
    <w:p w14:paraId="6C7DB9E0" w14:textId="3F4B845B" w:rsidR="00E75514" w:rsidRDefault="00877002" w:rsidP="0059256C">
      <w:pPr>
        <w:spacing w:before="120"/>
      </w:pPr>
      <w:r>
        <w:rPr>
          <w:b/>
        </w:rPr>
        <w:t xml:space="preserve">Stanovením </w:t>
      </w:r>
      <w:r w:rsidR="0085133F">
        <w:rPr>
          <w:b/>
        </w:rPr>
        <w:t xml:space="preserve">cenových limitov na sadzby </w:t>
      </w:r>
      <w:r w:rsidR="00AF310D">
        <w:rPr>
          <w:b/>
        </w:rPr>
        <w:t xml:space="preserve">externých </w:t>
      </w:r>
      <w:r w:rsidR="0085133F">
        <w:rPr>
          <w:b/>
        </w:rPr>
        <w:t xml:space="preserve">IT špecialistov je možné znížiť ročné </w:t>
      </w:r>
      <w:r w:rsidR="00CD2131">
        <w:rPr>
          <w:b/>
        </w:rPr>
        <w:t>náklady na vývoj softvéru o</w:t>
      </w:r>
      <w:r w:rsidR="00653708">
        <w:rPr>
          <w:b/>
        </w:rPr>
        <w:t> 8-</w:t>
      </w:r>
      <w:r w:rsidR="00CD2131">
        <w:rPr>
          <w:b/>
        </w:rPr>
        <w:t>34% (</w:t>
      </w:r>
      <w:r w:rsidR="00653708">
        <w:rPr>
          <w:b/>
        </w:rPr>
        <w:t xml:space="preserve">7,1 - </w:t>
      </w:r>
      <w:r w:rsidR="00CD2131">
        <w:rPr>
          <w:b/>
        </w:rPr>
        <w:t>30,</w:t>
      </w:r>
      <w:r w:rsidR="00653708">
        <w:rPr>
          <w:b/>
        </w:rPr>
        <w:t>3</w:t>
      </w:r>
      <w:r w:rsidR="00CD2131">
        <w:rPr>
          <w:b/>
        </w:rPr>
        <w:t xml:space="preserve"> mil. eur). </w:t>
      </w:r>
      <w:r w:rsidR="00AF310D">
        <w:t xml:space="preserve">V </w:t>
      </w:r>
      <w:r w:rsidR="00CD2131">
        <w:t xml:space="preserve">33 IT </w:t>
      </w:r>
      <w:r w:rsidR="00AF310D">
        <w:t>projektoch</w:t>
      </w:r>
      <w:r w:rsidR="00CD2131">
        <w:t xml:space="preserve"> realizovaných prostredníctvom OP II je </w:t>
      </w:r>
      <w:r w:rsidR="00AF310D">
        <w:t xml:space="preserve">podľa analýzy ÚHP </w:t>
      </w:r>
      <w:r w:rsidR="00CD2131">
        <w:t>55 % investičných nákladov alokovaných na externý vývoj softvéru</w:t>
      </w:r>
      <w:r w:rsidR="00AF310D">
        <w:t xml:space="preserve"> za vyššie</w:t>
      </w:r>
      <w:r w:rsidR="00AF310D" w:rsidRPr="00AF310D">
        <w:t xml:space="preserve"> </w:t>
      </w:r>
      <w:r w:rsidR="00AF310D">
        <w:t>sadzby, ako sú bežné na trhu</w:t>
      </w:r>
      <w:r w:rsidR="00CD2131">
        <w:t xml:space="preserve">. </w:t>
      </w:r>
      <w:r w:rsidR="00AF310D">
        <w:t>P</w:t>
      </w:r>
      <w:r w:rsidR="009043D0">
        <w:t>riemerná referenčná cena z už podpísaných zmlúv</w:t>
      </w:r>
      <w:r w:rsidR="00AF310D">
        <w:t xml:space="preserve"> na nákup služieb externých IT špecialistov</w:t>
      </w:r>
      <w:r w:rsidR="009043D0">
        <w:t xml:space="preserve"> </w:t>
      </w:r>
      <w:r w:rsidR="00AF310D">
        <w:t xml:space="preserve">je </w:t>
      </w:r>
      <w:r w:rsidR="009043D0">
        <w:t xml:space="preserve">výrazne </w:t>
      </w:r>
      <w:r w:rsidR="00AF310D">
        <w:t>nižšia</w:t>
      </w:r>
      <w:r w:rsidR="009043D0">
        <w:t xml:space="preserve"> ako limity stanovené príručkou pre projekty OP II. Stále zároveň platí, že referenčné sadzby sú </w:t>
      </w:r>
      <w:r w:rsidR="00AF310D">
        <w:t xml:space="preserve">na slovenskom trhu </w:t>
      </w:r>
      <w:r w:rsidR="009043D0">
        <w:t xml:space="preserve">výrazne vyššie, ako pri štátnych IT zmluvách v ČR. </w:t>
      </w:r>
    </w:p>
    <w:p w14:paraId="6B607333" w14:textId="382F9114" w:rsidR="00E75514" w:rsidRDefault="00D56CBD" w:rsidP="0059256C">
      <w:pPr>
        <w:spacing w:before="120"/>
      </w:pPr>
      <w:r>
        <w:t xml:space="preserve">Odhad úspory vychádza z porovnania sadzieb v OP II projektoch s cenami bežnými na slovenskom a českom trhu a prepočítaní na celkové IT investičné </w:t>
      </w:r>
      <w:r w:rsidR="00447CE3">
        <w:t>výdavky</w:t>
      </w:r>
      <w:r>
        <w:t>. Počas prípravy viacerých projektov boli jednotkové ceny už znížené na referenčnú úroveň lokálneho trhu, pri aplikovaní na všetky projekt je priestor na zníženie o </w:t>
      </w:r>
      <w:r w:rsidR="00447CE3">
        <w:t>ď</w:t>
      </w:r>
      <w:r>
        <w:t>alších 8 %. Potenciálna úspora zo zníženia cien na úroveň ČR je 34 % nákladov na externý vývoj softvéru</w:t>
      </w:r>
      <w:r w:rsidR="00FC5933">
        <w:t xml:space="preserve"> (detail príloha č. 2)</w:t>
      </w:r>
      <w:r>
        <w:t>.</w:t>
      </w:r>
    </w:p>
    <w:p w14:paraId="68139A9A" w14:textId="401EC6D8" w:rsidR="00653708" w:rsidRPr="0037129E" w:rsidRDefault="00653708" w:rsidP="0037129E">
      <w:pPr>
        <w:spacing w:before="120" w:after="0"/>
        <w:rPr>
          <w:b/>
        </w:rPr>
      </w:pPr>
      <w:r>
        <w:rPr>
          <w:b/>
        </w:rPr>
        <w:t xml:space="preserve">Tabuľka </w:t>
      </w:r>
      <w:r w:rsidR="009B4960">
        <w:rPr>
          <w:b/>
        </w:rPr>
        <w:t>8</w:t>
      </w:r>
      <w:r>
        <w:rPr>
          <w:b/>
        </w:rPr>
        <w:t>: Úspora zo stanovenia cenových limitov na sadzby externých IT špecialistov (mil. eur)</w:t>
      </w:r>
    </w:p>
    <w:tbl>
      <w:tblPr>
        <w:tblW w:w="8987" w:type="dxa"/>
        <w:tblLook w:val="04A0" w:firstRow="1" w:lastRow="0" w:firstColumn="1" w:lastColumn="0" w:noHBand="0" w:noVBand="1"/>
      </w:tblPr>
      <w:tblGrid>
        <w:gridCol w:w="4536"/>
        <w:gridCol w:w="1134"/>
        <w:gridCol w:w="851"/>
        <w:gridCol w:w="850"/>
        <w:gridCol w:w="1616"/>
      </w:tblGrid>
      <w:tr w:rsidR="00D56CBD" w:rsidRPr="00D56CBD" w14:paraId="15198636" w14:textId="77777777" w:rsidTr="0037129E">
        <w:trPr>
          <w:trHeight w:val="262"/>
        </w:trPr>
        <w:tc>
          <w:tcPr>
            <w:tcW w:w="4536" w:type="dxa"/>
            <w:tcBorders>
              <w:top w:val="single" w:sz="4" w:space="0" w:color="auto"/>
              <w:left w:val="nil"/>
              <w:bottom w:val="single" w:sz="4" w:space="0" w:color="auto"/>
              <w:right w:val="nil"/>
            </w:tcBorders>
            <w:shd w:val="clear" w:color="auto" w:fill="auto"/>
            <w:noWrap/>
            <w:vAlign w:val="bottom"/>
            <w:hideMark/>
          </w:tcPr>
          <w:p w14:paraId="12EF610B" w14:textId="77777777" w:rsidR="00D56CBD" w:rsidRPr="0037129E" w:rsidRDefault="00D56CBD" w:rsidP="00D56CBD">
            <w:pPr>
              <w:spacing w:after="0" w:line="240" w:lineRule="auto"/>
              <w:jc w:val="left"/>
              <w:rPr>
                <w:rFonts w:eastAsia="Times New Roman" w:cs="Calibri"/>
                <w:b/>
                <w:bCs/>
                <w:color w:val="000000"/>
                <w:lang w:eastAsia="en-GB"/>
              </w:rPr>
            </w:pPr>
            <w:r w:rsidRPr="0037129E">
              <w:rPr>
                <w:rFonts w:eastAsia="Times New Roman" w:cs="Calibri"/>
                <w:b/>
                <w:bCs/>
                <w:color w:val="000000"/>
                <w:lang w:eastAsia="en-GB"/>
              </w:rPr>
              <w:t>Položka</w:t>
            </w:r>
          </w:p>
        </w:tc>
        <w:tc>
          <w:tcPr>
            <w:tcW w:w="1134" w:type="dxa"/>
            <w:tcBorders>
              <w:top w:val="single" w:sz="4" w:space="0" w:color="auto"/>
              <w:left w:val="nil"/>
              <w:bottom w:val="single" w:sz="4" w:space="0" w:color="auto"/>
              <w:right w:val="nil"/>
            </w:tcBorders>
            <w:shd w:val="clear" w:color="auto" w:fill="auto"/>
            <w:noWrap/>
            <w:vAlign w:val="bottom"/>
            <w:hideMark/>
          </w:tcPr>
          <w:p w14:paraId="046AA982" w14:textId="77777777" w:rsidR="00D56CBD" w:rsidRPr="0037129E" w:rsidRDefault="00D56CBD" w:rsidP="00D56CBD">
            <w:pPr>
              <w:spacing w:after="0" w:line="240" w:lineRule="auto"/>
              <w:jc w:val="center"/>
              <w:rPr>
                <w:rFonts w:eastAsia="Times New Roman" w:cs="Calibri"/>
                <w:b/>
                <w:bCs/>
                <w:color w:val="000000"/>
                <w:lang w:eastAsia="en-GB"/>
              </w:rPr>
            </w:pPr>
            <w:r w:rsidRPr="0037129E">
              <w:rPr>
                <w:rFonts w:eastAsia="Times New Roman" w:cs="Calibri"/>
                <w:b/>
                <w:bCs/>
                <w:color w:val="000000"/>
                <w:lang w:eastAsia="en-GB"/>
              </w:rPr>
              <w:t>2017</w:t>
            </w:r>
          </w:p>
        </w:tc>
        <w:tc>
          <w:tcPr>
            <w:tcW w:w="851" w:type="dxa"/>
            <w:tcBorders>
              <w:top w:val="single" w:sz="4" w:space="0" w:color="auto"/>
              <w:left w:val="nil"/>
              <w:bottom w:val="single" w:sz="4" w:space="0" w:color="auto"/>
              <w:right w:val="nil"/>
            </w:tcBorders>
            <w:shd w:val="clear" w:color="auto" w:fill="auto"/>
            <w:noWrap/>
            <w:vAlign w:val="bottom"/>
            <w:hideMark/>
          </w:tcPr>
          <w:p w14:paraId="0AF590C9" w14:textId="77777777" w:rsidR="00D56CBD" w:rsidRPr="0037129E" w:rsidRDefault="00D56CBD" w:rsidP="00D56CBD">
            <w:pPr>
              <w:spacing w:after="0" w:line="240" w:lineRule="auto"/>
              <w:jc w:val="center"/>
              <w:rPr>
                <w:rFonts w:eastAsia="Times New Roman" w:cs="Calibri"/>
                <w:b/>
                <w:bCs/>
                <w:color w:val="000000"/>
                <w:lang w:eastAsia="en-GB"/>
              </w:rPr>
            </w:pPr>
            <w:r w:rsidRPr="0037129E">
              <w:rPr>
                <w:rFonts w:eastAsia="Times New Roman" w:cs="Calibri"/>
                <w:b/>
                <w:bCs/>
                <w:color w:val="000000"/>
                <w:lang w:eastAsia="en-GB"/>
              </w:rPr>
              <w:t>2018</w:t>
            </w:r>
          </w:p>
        </w:tc>
        <w:tc>
          <w:tcPr>
            <w:tcW w:w="850" w:type="dxa"/>
            <w:tcBorders>
              <w:top w:val="single" w:sz="4" w:space="0" w:color="auto"/>
              <w:left w:val="nil"/>
              <w:bottom w:val="single" w:sz="4" w:space="0" w:color="auto"/>
              <w:right w:val="nil"/>
            </w:tcBorders>
            <w:shd w:val="clear" w:color="auto" w:fill="auto"/>
            <w:noWrap/>
            <w:vAlign w:val="bottom"/>
            <w:hideMark/>
          </w:tcPr>
          <w:p w14:paraId="09C0171C" w14:textId="77777777" w:rsidR="00D56CBD" w:rsidRPr="0037129E" w:rsidRDefault="00D56CBD" w:rsidP="00D56CBD">
            <w:pPr>
              <w:spacing w:after="0" w:line="240" w:lineRule="auto"/>
              <w:jc w:val="center"/>
              <w:rPr>
                <w:rFonts w:eastAsia="Times New Roman" w:cs="Calibri"/>
                <w:b/>
                <w:bCs/>
                <w:color w:val="000000"/>
                <w:lang w:eastAsia="en-GB"/>
              </w:rPr>
            </w:pPr>
            <w:r w:rsidRPr="0037129E">
              <w:rPr>
                <w:rFonts w:eastAsia="Times New Roman" w:cs="Calibri"/>
                <w:b/>
                <w:bCs/>
                <w:color w:val="000000"/>
                <w:lang w:eastAsia="en-GB"/>
              </w:rPr>
              <w:t>2019</w:t>
            </w:r>
          </w:p>
        </w:tc>
        <w:tc>
          <w:tcPr>
            <w:tcW w:w="1616" w:type="dxa"/>
            <w:tcBorders>
              <w:top w:val="single" w:sz="4" w:space="0" w:color="auto"/>
              <w:left w:val="nil"/>
              <w:bottom w:val="single" w:sz="4" w:space="0" w:color="auto"/>
              <w:right w:val="nil"/>
            </w:tcBorders>
            <w:shd w:val="clear" w:color="auto" w:fill="auto"/>
            <w:noWrap/>
            <w:vAlign w:val="bottom"/>
            <w:hideMark/>
          </w:tcPr>
          <w:p w14:paraId="29434778" w14:textId="6BCA622A" w:rsidR="00D56CBD" w:rsidRPr="0037129E" w:rsidRDefault="00D56CBD" w:rsidP="00D56CBD">
            <w:pPr>
              <w:spacing w:after="0" w:line="240" w:lineRule="auto"/>
              <w:jc w:val="center"/>
              <w:rPr>
                <w:rFonts w:eastAsia="Times New Roman" w:cs="Calibri"/>
                <w:b/>
                <w:bCs/>
                <w:color w:val="000000"/>
                <w:lang w:eastAsia="en-GB"/>
              </w:rPr>
            </w:pPr>
            <w:r w:rsidRPr="0037129E">
              <w:rPr>
                <w:rFonts w:eastAsia="Times New Roman" w:cs="Calibri"/>
                <w:b/>
                <w:bCs/>
                <w:color w:val="000000"/>
                <w:lang w:eastAsia="en-GB"/>
              </w:rPr>
              <w:t>Priemer</w:t>
            </w:r>
            <w:r>
              <w:rPr>
                <w:rFonts w:eastAsia="Times New Roman" w:cs="Calibri"/>
                <w:b/>
                <w:bCs/>
                <w:color w:val="000000"/>
                <w:lang w:eastAsia="en-GB"/>
              </w:rPr>
              <w:t xml:space="preserve"> 2017-19</w:t>
            </w:r>
          </w:p>
        </w:tc>
      </w:tr>
      <w:tr w:rsidR="00D56CBD" w:rsidRPr="00D56CBD" w14:paraId="718700CE" w14:textId="77777777" w:rsidTr="0037129E">
        <w:trPr>
          <w:trHeight w:val="262"/>
        </w:trPr>
        <w:tc>
          <w:tcPr>
            <w:tcW w:w="4536" w:type="dxa"/>
            <w:tcBorders>
              <w:top w:val="nil"/>
              <w:left w:val="nil"/>
              <w:bottom w:val="nil"/>
              <w:right w:val="nil"/>
            </w:tcBorders>
            <w:shd w:val="clear" w:color="auto" w:fill="auto"/>
            <w:noWrap/>
            <w:vAlign w:val="bottom"/>
            <w:hideMark/>
          </w:tcPr>
          <w:p w14:paraId="0F3E8143" w14:textId="77777777" w:rsidR="00D56CBD" w:rsidRPr="0037129E" w:rsidRDefault="00D56CBD" w:rsidP="00D56CBD">
            <w:pPr>
              <w:spacing w:after="0" w:line="240" w:lineRule="auto"/>
              <w:jc w:val="left"/>
              <w:rPr>
                <w:rFonts w:eastAsia="Times New Roman" w:cs="Calibri"/>
                <w:color w:val="000000"/>
                <w:lang w:eastAsia="en-GB"/>
              </w:rPr>
            </w:pPr>
            <w:r w:rsidRPr="0037129E">
              <w:rPr>
                <w:rFonts w:eastAsia="Times New Roman" w:cs="Calibri"/>
                <w:color w:val="000000"/>
                <w:lang w:eastAsia="en-GB"/>
              </w:rPr>
              <w:t>Investičné IT výdavky</w:t>
            </w:r>
          </w:p>
        </w:tc>
        <w:tc>
          <w:tcPr>
            <w:tcW w:w="1134" w:type="dxa"/>
            <w:tcBorders>
              <w:top w:val="nil"/>
              <w:left w:val="nil"/>
              <w:bottom w:val="nil"/>
              <w:right w:val="nil"/>
            </w:tcBorders>
            <w:shd w:val="clear" w:color="auto" w:fill="auto"/>
            <w:noWrap/>
            <w:vAlign w:val="bottom"/>
            <w:hideMark/>
          </w:tcPr>
          <w:p w14:paraId="6BF1B14B" w14:textId="06D48FFB" w:rsidR="00D56CBD" w:rsidRPr="0037129E" w:rsidRDefault="00D56CBD" w:rsidP="00D56CBD">
            <w:pPr>
              <w:spacing w:after="0" w:line="240" w:lineRule="auto"/>
              <w:jc w:val="center"/>
              <w:rPr>
                <w:rFonts w:eastAsia="Times New Roman" w:cs="Calibri"/>
                <w:color w:val="000000"/>
                <w:lang w:eastAsia="en-GB"/>
              </w:rPr>
            </w:pPr>
            <w:r w:rsidRPr="005E6F16">
              <w:rPr>
                <w:rFonts w:eastAsia="Times New Roman" w:cs="Calibri"/>
                <w:color w:val="000000"/>
                <w:lang w:eastAsia="en-GB"/>
              </w:rPr>
              <w:t>125,</w:t>
            </w:r>
            <w:r w:rsidRPr="0037129E">
              <w:rPr>
                <w:rFonts w:eastAsia="Times New Roman" w:cs="Calibri"/>
                <w:color w:val="000000"/>
                <w:lang w:eastAsia="en-GB"/>
              </w:rPr>
              <w:t>2</w:t>
            </w:r>
          </w:p>
        </w:tc>
        <w:tc>
          <w:tcPr>
            <w:tcW w:w="851" w:type="dxa"/>
            <w:tcBorders>
              <w:top w:val="nil"/>
              <w:left w:val="nil"/>
              <w:bottom w:val="nil"/>
              <w:right w:val="nil"/>
            </w:tcBorders>
            <w:shd w:val="clear" w:color="auto" w:fill="auto"/>
            <w:noWrap/>
            <w:vAlign w:val="bottom"/>
            <w:hideMark/>
          </w:tcPr>
          <w:p w14:paraId="322B6ECD" w14:textId="296DF048" w:rsidR="00D56CBD" w:rsidRPr="0037129E" w:rsidRDefault="00D56CBD" w:rsidP="00D56CBD">
            <w:pPr>
              <w:spacing w:after="0" w:line="240" w:lineRule="auto"/>
              <w:jc w:val="center"/>
              <w:rPr>
                <w:rFonts w:eastAsia="Times New Roman" w:cs="Calibri"/>
                <w:color w:val="000000"/>
                <w:lang w:eastAsia="en-GB"/>
              </w:rPr>
            </w:pPr>
            <w:r w:rsidRPr="005E6F16">
              <w:rPr>
                <w:rFonts w:eastAsia="Times New Roman" w:cs="Calibri"/>
                <w:color w:val="000000"/>
                <w:lang w:eastAsia="en-GB"/>
              </w:rPr>
              <w:t>189,</w:t>
            </w:r>
            <w:r w:rsidRPr="0037129E">
              <w:rPr>
                <w:rFonts w:eastAsia="Times New Roman" w:cs="Calibri"/>
                <w:color w:val="000000"/>
                <w:lang w:eastAsia="en-GB"/>
              </w:rPr>
              <w:t>4</w:t>
            </w:r>
          </w:p>
        </w:tc>
        <w:tc>
          <w:tcPr>
            <w:tcW w:w="850" w:type="dxa"/>
            <w:tcBorders>
              <w:top w:val="nil"/>
              <w:left w:val="nil"/>
              <w:bottom w:val="nil"/>
              <w:right w:val="nil"/>
            </w:tcBorders>
            <w:shd w:val="clear" w:color="auto" w:fill="auto"/>
            <w:noWrap/>
            <w:vAlign w:val="bottom"/>
            <w:hideMark/>
          </w:tcPr>
          <w:p w14:paraId="47467F52" w14:textId="455A2341" w:rsidR="00D56CBD" w:rsidRPr="0037129E" w:rsidRDefault="00D56CBD" w:rsidP="00D56CBD">
            <w:pPr>
              <w:spacing w:after="0" w:line="240" w:lineRule="auto"/>
              <w:jc w:val="center"/>
              <w:rPr>
                <w:rFonts w:eastAsia="Times New Roman" w:cs="Calibri"/>
                <w:color w:val="000000"/>
                <w:lang w:eastAsia="en-GB"/>
              </w:rPr>
            </w:pPr>
            <w:r w:rsidRPr="005E6F16">
              <w:rPr>
                <w:rFonts w:eastAsia="Times New Roman" w:cs="Calibri"/>
                <w:color w:val="000000"/>
                <w:lang w:eastAsia="en-GB"/>
              </w:rPr>
              <w:t>172,</w:t>
            </w:r>
            <w:r w:rsidRPr="0037129E">
              <w:rPr>
                <w:rFonts w:eastAsia="Times New Roman" w:cs="Calibri"/>
                <w:color w:val="000000"/>
                <w:lang w:eastAsia="en-GB"/>
              </w:rPr>
              <w:t>2</w:t>
            </w:r>
          </w:p>
        </w:tc>
        <w:tc>
          <w:tcPr>
            <w:tcW w:w="1616" w:type="dxa"/>
            <w:tcBorders>
              <w:top w:val="nil"/>
              <w:left w:val="nil"/>
              <w:bottom w:val="nil"/>
              <w:right w:val="nil"/>
            </w:tcBorders>
            <w:shd w:val="clear" w:color="auto" w:fill="auto"/>
            <w:noWrap/>
            <w:vAlign w:val="bottom"/>
            <w:hideMark/>
          </w:tcPr>
          <w:p w14:paraId="768F4640" w14:textId="4503998A" w:rsidR="00D56CBD" w:rsidRPr="0037129E" w:rsidRDefault="00D56CBD" w:rsidP="00D56CBD">
            <w:pPr>
              <w:spacing w:after="0" w:line="240" w:lineRule="auto"/>
              <w:jc w:val="center"/>
              <w:rPr>
                <w:rFonts w:eastAsia="Times New Roman" w:cs="Calibri"/>
                <w:color w:val="000000"/>
                <w:lang w:eastAsia="en-GB"/>
              </w:rPr>
            </w:pPr>
            <w:r w:rsidRPr="005E6F16">
              <w:rPr>
                <w:rFonts w:eastAsia="Times New Roman" w:cs="Calibri"/>
                <w:color w:val="000000"/>
                <w:lang w:eastAsia="en-GB"/>
              </w:rPr>
              <w:t>162,</w:t>
            </w:r>
            <w:r w:rsidRPr="0037129E">
              <w:rPr>
                <w:rFonts w:eastAsia="Times New Roman" w:cs="Calibri"/>
                <w:color w:val="000000"/>
                <w:lang w:eastAsia="en-GB"/>
              </w:rPr>
              <w:t>2</w:t>
            </w:r>
          </w:p>
        </w:tc>
      </w:tr>
      <w:tr w:rsidR="00D56CBD" w:rsidRPr="00D56CBD" w14:paraId="3BB56146" w14:textId="77777777" w:rsidTr="0037129E">
        <w:trPr>
          <w:trHeight w:val="262"/>
        </w:trPr>
        <w:tc>
          <w:tcPr>
            <w:tcW w:w="4536" w:type="dxa"/>
            <w:tcBorders>
              <w:top w:val="nil"/>
              <w:left w:val="nil"/>
              <w:bottom w:val="nil"/>
              <w:right w:val="nil"/>
            </w:tcBorders>
            <w:shd w:val="clear" w:color="auto" w:fill="auto"/>
            <w:noWrap/>
            <w:vAlign w:val="bottom"/>
            <w:hideMark/>
          </w:tcPr>
          <w:p w14:paraId="6336CCE7" w14:textId="480470DD" w:rsidR="00D56CBD" w:rsidRPr="0037129E" w:rsidRDefault="00D56CBD" w:rsidP="005E6F16">
            <w:pPr>
              <w:spacing w:after="0" w:line="240" w:lineRule="auto"/>
              <w:jc w:val="left"/>
              <w:rPr>
                <w:rFonts w:eastAsia="Times New Roman" w:cs="Calibri"/>
                <w:color w:val="000000"/>
                <w:lang w:eastAsia="en-GB"/>
              </w:rPr>
            </w:pPr>
            <w:r>
              <w:rPr>
                <w:rFonts w:eastAsia="Times New Roman" w:cs="Calibri"/>
                <w:color w:val="000000"/>
                <w:lang w:eastAsia="en-GB"/>
              </w:rPr>
              <w:t>Odhad výdavkov na vývoj (55 % celkových výdavkov)</w:t>
            </w:r>
          </w:p>
        </w:tc>
        <w:tc>
          <w:tcPr>
            <w:tcW w:w="1134" w:type="dxa"/>
            <w:tcBorders>
              <w:top w:val="nil"/>
              <w:left w:val="nil"/>
              <w:bottom w:val="nil"/>
              <w:right w:val="nil"/>
            </w:tcBorders>
            <w:shd w:val="clear" w:color="auto" w:fill="auto"/>
            <w:noWrap/>
            <w:vAlign w:val="bottom"/>
            <w:hideMark/>
          </w:tcPr>
          <w:p w14:paraId="485FB3AD" w14:textId="6FAD7D19" w:rsidR="00D56CBD" w:rsidRPr="0037129E" w:rsidRDefault="00D56CBD" w:rsidP="00D56CBD">
            <w:pPr>
              <w:spacing w:after="0" w:line="240" w:lineRule="auto"/>
              <w:jc w:val="center"/>
              <w:rPr>
                <w:rFonts w:eastAsia="Times New Roman" w:cs="Calibri"/>
                <w:color w:val="000000"/>
                <w:lang w:eastAsia="en-GB"/>
              </w:rPr>
            </w:pPr>
            <w:r w:rsidRPr="005E6F16">
              <w:rPr>
                <w:rFonts w:eastAsia="Times New Roman" w:cs="Calibri"/>
                <w:color w:val="000000"/>
                <w:lang w:eastAsia="en-GB"/>
              </w:rPr>
              <w:t>68,</w:t>
            </w:r>
            <w:r w:rsidRPr="0037129E">
              <w:rPr>
                <w:rFonts w:eastAsia="Times New Roman" w:cs="Calibri"/>
                <w:color w:val="000000"/>
                <w:lang w:eastAsia="en-GB"/>
              </w:rPr>
              <w:t>8</w:t>
            </w:r>
          </w:p>
        </w:tc>
        <w:tc>
          <w:tcPr>
            <w:tcW w:w="851" w:type="dxa"/>
            <w:tcBorders>
              <w:top w:val="nil"/>
              <w:left w:val="nil"/>
              <w:bottom w:val="nil"/>
              <w:right w:val="nil"/>
            </w:tcBorders>
            <w:shd w:val="clear" w:color="auto" w:fill="auto"/>
            <w:noWrap/>
            <w:vAlign w:val="bottom"/>
            <w:hideMark/>
          </w:tcPr>
          <w:p w14:paraId="1A7CD40F" w14:textId="3523BED4" w:rsidR="00D56CBD" w:rsidRPr="0037129E" w:rsidRDefault="00D56CBD" w:rsidP="00D56CBD">
            <w:pPr>
              <w:spacing w:after="0" w:line="240" w:lineRule="auto"/>
              <w:jc w:val="center"/>
              <w:rPr>
                <w:rFonts w:eastAsia="Times New Roman" w:cs="Calibri"/>
                <w:color w:val="000000"/>
                <w:lang w:eastAsia="en-GB"/>
              </w:rPr>
            </w:pPr>
            <w:r w:rsidRPr="005E6F16">
              <w:rPr>
                <w:rFonts w:eastAsia="Times New Roman" w:cs="Calibri"/>
                <w:color w:val="000000"/>
                <w:lang w:eastAsia="en-GB"/>
              </w:rPr>
              <w:t>104,</w:t>
            </w:r>
            <w:r w:rsidRPr="0037129E">
              <w:rPr>
                <w:rFonts w:eastAsia="Times New Roman" w:cs="Calibri"/>
                <w:color w:val="000000"/>
                <w:lang w:eastAsia="en-GB"/>
              </w:rPr>
              <w:t>1</w:t>
            </w:r>
          </w:p>
        </w:tc>
        <w:tc>
          <w:tcPr>
            <w:tcW w:w="850" w:type="dxa"/>
            <w:tcBorders>
              <w:top w:val="nil"/>
              <w:left w:val="nil"/>
              <w:bottom w:val="nil"/>
              <w:right w:val="nil"/>
            </w:tcBorders>
            <w:shd w:val="clear" w:color="auto" w:fill="auto"/>
            <w:noWrap/>
            <w:vAlign w:val="bottom"/>
            <w:hideMark/>
          </w:tcPr>
          <w:p w14:paraId="41DFFF9E" w14:textId="6ADD985A" w:rsidR="00D56CBD" w:rsidRPr="0037129E" w:rsidRDefault="00D56CBD" w:rsidP="00D56CBD">
            <w:pPr>
              <w:spacing w:after="0" w:line="240" w:lineRule="auto"/>
              <w:jc w:val="center"/>
              <w:rPr>
                <w:rFonts w:eastAsia="Times New Roman" w:cs="Calibri"/>
                <w:color w:val="000000"/>
                <w:lang w:eastAsia="en-GB"/>
              </w:rPr>
            </w:pPr>
            <w:r w:rsidRPr="005E6F16">
              <w:rPr>
                <w:rFonts w:eastAsia="Times New Roman" w:cs="Calibri"/>
                <w:color w:val="000000"/>
                <w:lang w:eastAsia="en-GB"/>
              </w:rPr>
              <w:t>94,</w:t>
            </w:r>
            <w:r w:rsidRPr="0037129E">
              <w:rPr>
                <w:rFonts w:eastAsia="Times New Roman" w:cs="Calibri"/>
                <w:color w:val="000000"/>
                <w:lang w:eastAsia="en-GB"/>
              </w:rPr>
              <w:t>7</w:t>
            </w:r>
          </w:p>
        </w:tc>
        <w:tc>
          <w:tcPr>
            <w:tcW w:w="1616" w:type="dxa"/>
            <w:tcBorders>
              <w:top w:val="nil"/>
              <w:left w:val="nil"/>
              <w:bottom w:val="nil"/>
              <w:right w:val="nil"/>
            </w:tcBorders>
            <w:shd w:val="clear" w:color="auto" w:fill="auto"/>
            <w:noWrap/>
            <w:vAlign w:val="bottom"/>
            <w:hideMark/>
          </w:tcPr>
          <w:p w14:paraId="495E24C4" w14:textId="7129577F" w:rsidR="00D56CBD" w:rsidRPr="0037129E" w:rsidRDefault="00D56CBD" w:rsidP="00D56CBD">
            <w:pPr>
              <w:spacing w:after="0" w:line="240" w:lineRule="auto"/>
              <w:jc w:val="center"/>
              <w:rPr>
                <w:rFonts w:eastAsia="Times New Roman" w:cs="Calibri"/>
                <w:color w:val="000000"/>
                <w:lang w:eastAsia="en-GB"/>
              </w:rPr>
            </w:pPr>
            <w:r w:rsidRPr="0037129E">
              <w:rPr>
                <w:rFonts w:eastAsia="Times New Roman" w:cs="Calibri"/>
                <w:color w:val="000000"/>
                <w:lang w:eastAsia="en-GB"/>
              </w:rPr>
              <w:t>89</w:t>
            </w:r>
            <w:r w:rsidRPr="005E6F16">
              <w:rPr>
                <w:rFonts w:eastAsia="Times New Roman" w:cs="Calibri"/>
                <w:color w:val="000000"/>
                <w:lang w:eastAsia="en-GB"/>
              </w:rPr>
              <w:t>,</w:t>
            </w:r>
            <w:r w:rsidRPr="0037129E">
              <w:rPr>
                <w:rFonts w:eastAsia="Times New Roman" w:cs="Calibri"/>
                <w:color w:val="000000"/>
                <w:lang w:eastAsia="en-GB"/>
              </w:rPr>
              <w:t>2</w:t>
            </w:r>
          </w:p>
        </w:tc>
      </w:tr>
      <w:tr w:rsidR="00D56CBD" w:rsidRPr="00D56CBD" w14:paraId="69BA2805" w14:textId="77777777" w:rsidTr="0037129E">
        <w:trPr>
          <w:trHeight w:val="262"/>
        </w:trPr>
        <w:tc>
          <w:tcPr>
            <w:tcW w:w="4536" w:type="dxa"/>
            <w:tcBorders>
              <w:top w:val="nil"/>
              <w:left w:val="nil"/>
              <w:bottom w:val="nil"/>
              <w:right w:val="nil"/>
            </w:tcBorders>
            <w:shd w:val="clear" w:color="auto" w:fill="auto"/>
            <w:noWrap/>
            <w:vAlign w:val="bottom"/>
            <w:hideMark/>
          </w:tcPr>
          <w:p w14:paraId="38618DC0" w14:textId="77777777" w:rsidR="00D56CBD" w:rsidRPr="0037129E" w:rsidRDefault="00D56CBD" w:rsidP="00D56CBD">
            <w:pPr>
              <w:spacing w:after="0" w:line="240" w:lineRule="auto"/>
              <w:jc w:val="left"/>
              <w:rPr>
                <w:rFonts w:eastAsia="Times New Roman" w:cs="Calibri"/>
                <w:color w:val="000000"/>
                <w:lang w:eastAsia="en-GB"/>
              </w:rPr>
            </w:pPr>
            <w:r w:rsidRPr="0037129E">
              <w:rPr>
                <w:rFonts w:eastAsia="Times New Roman" w:cs="Calibri"/>
                <w:color w:val="000000"/>
                <w:lang w:eastAsia="en-GB"/>
              </w:rPr>
              <w:t>Úspora 8 % pri SK referenčnej sadzbe</w:t>
            </w:r>
          </w:p>
        </w:tc>
        <w:tc>
          <w:tcPr>
            <w:tcW w:w="1134" w:type="dxa"/>
            <w:tcBorders>
              <w:top w:val="nil"/>
              <w:left w:val="nil"/>
              <w:bottom w:val="nil"/>
              <w:right w:val="nil"/>
            </w:tcBorders>
            <w:shd w:val="clear" w:color="auto" w:fill="auto"/>
            <w:noWrap/>
            <w:vAlign w:val="bottom"/>
            <w:hideMark/>
          </w:tcPr>
          <w:p w14:paraId="1187D7FE" w14:textId="7327145A" w:rsidR="00D56CBD" w:rsidRPr="0037129E" w:rsidRDefault="00D56CBD" w:rsidP="00D56CBD">
            <w:pPr>
              <w:spacing w:after="0" w:line="240" w:lineRule="auto"/>
              <w:jc w:val="center"/>
              <w:rPr>
                <w:rFonts w:eastAsia="Times New Roman" w:cs="Calibri"/>
                <w:color w:val="000000"/>
                <w:lang w:eastAsia="en-GB"/>
              </w:rPr>
            </w:pPr>
            <w:r w:rsidRPr="005E6F16">
              <w:rPr>
                <w:rFonts w:eastAsia="Times New Roman" w:cs="Calibri"/>
                <w:color w:val="000000"/>
                <w:lang w:eastAsia="en-GB"/>
              </w:rPr>
              <w:t>5,</w:t>
            </w:r>
            <w:r w:rsidRPr="0037129E">
              <w:rPr>
                <w:rFonts w:eastAsia="Times New Roman" w:cs="Calibri"/>
                <w:color w:val="000000"/>
                <w:lang w:eastAsia="en-GB"/>
              </w:rPr>
              <w:t>5</w:t>
            </w:r>
          </w:p>
        </w:tc>
        <w:tc>
          <w:tcPr>
            <w:tcW w:w="851" w:type="dxa"/>
            <w:tcBorders>
              <w:top w:val="nil"/>
              <w:left w:val="nil"/>
              <w:bottom w:val="nil"/>
              <w:right w:val="nil"/>
            </w:tcBorders>
            <w:shd w:val="clear" w:color="auto" w:fill="auto"/>
            <w:noWrap/>
            <w:vAlign w:val="bottom"/>
            <w:hideMark/>
          </w:tcPr>
          <w:p w14:paraId="2375EB90" w14:textId="7780BEFD" w:rsidR="00D56CBD" w:rsidRPr="0037129E" w:rsidRDefault="00D56CBD" w:rsidP="00D56CBD">
            <w:pPr>
              <w:spacing w:after="0" w:line="240" w:lineRule="auto"/>
              <w:jc w:val="center"/>
              <w:rPr>
                <w:rFonts w:eastAsia="Times New Roman" w:cs="Calibri"/>
                <w:color w:val="000000"/>
                <w:lang w:eastAsia="en-GB"/>
              </w:rPr>
            </w:pPr>
            <w:r w:rsidRPr="005E6F16">
              <w:rPr>
                <w:rFonts w:eastAsia="Times New Roman" w:cs="Calibri"/>
                <w:color w:val="000000"/>
                <w:lang w:eastAsia="en-GB"/>
              </w:rPr>
              <w:t>8,</w:t>
            </w:r>
            <w:r w:rsidRPr="0037129E">
              <w:rPr>
                <w:rFonts w:eastAsia="Times New Roman" w:cs="Calibri"/>
                <w:color w:val="000000"/>
                <w:lang w:eastAsia="en-GB"/>
              </w:rPr>
              <w:t>3</w:t>
            </w:r>
          </w:p>
        </w:tc>
        <w:tc>
          <w:tcPr>
            <w:tcW w:w="850" w:type="dxa"/>
            <w:tcBorders>
              <w:top w:val="nil"/>
              <w:left w:val="nil"/>
              <w:bottom w:val="nil"/>
              <w:right w:val="nil"/>
            </w:tcBorders>
            <w:shd w:val="clear" w:color="auto" w:fill="auto"/>
            <w:noWrap/>
            <w:vAlign w:val="bottom"/>
            <w:hideMark/>
          </w:tcPr>
          <w:p w14:paraId="7DDAC74E" w14:textId="4876AF3D" w:rsidR="00D56CBD" w:rsidRPr="0037129E" w:rsidRDefault="00D56CBD" w:rsidP="00D56CBD">
            <w:pPr>
              <w:spacing w:after="0" w:line="240" w:lineRule="auto"/>
              <w:jc w:val="center"/>
              <w:rPr>
                <w:rFonts w:eastAsia="Times New Roman" w:cs="Calibri"/>
                <w:color w:val="000000"/>
                <w:lang w:eastAsia="en-GB"/>
              </w:rPr>
            </w:pPr>
            <w:r w:rsidRPr="005E6F16">
              <w:rPr>
                <w:rFonts w:eastAsia="Times New Roman" w:cs="Calibri"/>
                <w:color w:val="000000"/>
                <w:lang w:eastAsia="en-GB"/>
              </w:rPr>
              <w:t>7,</w:t>
            </w:r>
            <w:r w:rsidRPr="0037129E">
              <w:rPr>
                <w:rFonts w:eastAsia="Times New Roman" w:cs="Calibri"/>
                <w:color w:val="000000"/>
                <w:lang w:eastAsia="en-GB"/>
              </w:rPr>
              <w:t>6</w:t>
            </w:r>
          </w:p>
        </w:tc>
        <w:tc>
          <w:tcPr>
            <w:tcW w:w="1616" w:type="dxa"/>
            <w:tcBorders>
              <w:top w:val="nil"/>
              <w:left w:val="nil"/>
              <w:bottom w:val="nil"/>
              <w:right w:val="nil"/>
            </w:tcBorders>
            <w:shd w:val="clear" w:color="auto" w:fill="auto"/>
            <w:noWrap/>
            <w:vAlign w:val="bottom"/>
            <w:hideMark/>
          </w:tcPr>
          <w:p w14:paraId="4D1CECED" w14:textId="79F427F2" w:rsidR="00D56CBD" w:rsidRPr="0037129E" w:rsidRDefault="00D56CBD" w:rsidP="00D56CBD">
            <w:pPr>
              <w:spacing w:after="0" w:line="240" w:lineRule="auto"/>
              <w:jc w:val="center"/>
              <w:rPr>
                <w:rFonts w:eastAsia="Times New Roman" w:cs="Calibri"/>
                <w:color w:val="000000"/>
                <w:lang w:eastAsia="en-GB"/>
              </w:rPr>
            </w:pPr>
            <w:r w:rsidRPr="005E6F16">
              <w:rPr>
                <w:rFonts w:eastAsia="Times New Roman" w:cs="Calibri"/>
                <w:color w:val="000000"/>
                <w:lang w:eastAsia="en-GB"/>
              </w:rPr>
              <w:t>7,</w:t>
            </w:r>
            <w:r w:rsidRPr="0037129E">
              <w:rPr>
                <w:rFonts w:eastAsia="Times New Roman" w:cs="Calibri"/>
                <w:color w:val="000000"/>
                <w:lang w:eastAsia="en-GB"/>
              </w:rPr>
              <w:t>1</w:t>
            </w:r>
          </w:p>
        </w:tc>
      </w:tr>
      <w:tr w:rsidR="00653708" w:rsidRPr="00D56CBD" w14:paraId="50FFADB8" w14:textId="77777777" w:rsidTr="0037129E">
        <w:trPr>
          <w:trHeight w:val="262"/>
        </w:trPr>
        <w:tc>
          <w:tcPr>
            <w:tcW w:w="4536" w:type="dxa"/>
            <w:tcBorders>
              <w:top w:val="nil"/>
              <w:left w:val="nil"/>
              <w:bottom w:val="single" w:sz="4" w:space="0" w:color="auto"/>
              <w:right w:val="nil"/>
            </w:tcBorders>
            <w:shd w:val="clear" w:color="auto" w:fill="auto"/>
            <w:noWrap/>
            <w:vAlign w:val="bottom"/>
            <w:hideMark/>
          </w:tcPr>
          <w:p w14:paraId="259E458C" w14:textId="38929E19" w:rsidR="00D56CBD" w:rsidRPr="0037129E" w:rsidRDefault="00D56CBD" w:rsidP="00D56CBD">
            <w:pPr>
              <w:spacing w:after="0" w:line="240" w:lineRule="auto"/>
              <w:jc w:val="left"/>
              <w:rPr>
                <w:rFonts w:eastAsia="Times New Roman" w:cs="Calibri"/>
                <w:color w:val="000000"/>
                <w:lang w:eastAsia="en-GB"/>
              </w:rPr>
            </w:pPr>
            <w:r w:rsidRPr="0037129E">
              <w:rPr>
                <w:rFonts w:eastAsia="Times New Roman" w:cs="Calibri"/>
                <w:color w:val="000000"/>
                <w:lang w:eastAsia="en-GB"/>
              </w:rPr>
              <w:t>Úspor</w:t>
            </w:r>
            <w:r w:rsidR="00653708">
              <w:rPr>
                <w:rFonts w:eastAsia="Times New Roman" w:cs="Calibri"/>
                <w:color w:val="000000"/>
                <w:lang w:eastAsia="en-GB"/>
              </w:rPr>
              <w:t>a</w:t>
            </w:r>
            <w:r w:rsidRPr="0037129E">
              <w:rPr>
                <w:rFonts w:eastAsia="Times New Roman" w:cs="Calibri"/>
                <w:color w:val="000000"/>
                <w:lang w:eastAsia="en-GB"/>
              </w:rPr>
              <w:t xml:space="preserve"> 34 % pri CZ referenčnej sadzbe</w:t>
            </w:r>
          </w:p>
        </w:tc>
        <w:tc>
          <w:tcPr>
            <w:tcW w:w="1134" w:type="dxa"/>
            <w:tcBorders>
              <w:top w:val="nil"/>
              <w:left w:val="nil"/>
              <w:bottom w:val="single" w:sz="4" w:space="0" w:color="auto"/>
              <w:right w:val="nil"/>
            </w:tcBorders>
            <w:shd w:val="clear" w:color="auto" w:fill="auto"/>
            <w:noWrap/>
            <w:vAlign w:val="bottom"/>
            <w:hideMark/>
          </w:tcPr>
          <w:p w14:paraId="43DEDDC2" w14:textId="31503352" w:rsidR="00D56CBD" w:rsidRPr="0037129E" w:rsidRDefault="00D56CBD" w:rsidP="005E6F16">
            <w:pPr>
              <w:spacing w:after="0" w:line="240" w:lineRule="auto"/>
              <w:jc w:val="center"/>
              <w:rPr>
                <w:rFonts w:eastAsia="Times New Roman" w:cs="Calibri"/>
                <w:color w:val="000000"/>
                <w:lang w:eastAsia="en-GB"/>
              </w:rPr>
            </w:pPr>
            <w:r w:rsidRPr="0037129E">
              <w:rPr>
                <w:rFonts w:eastAsia="Times New Roman" w:cs="Calibri"/>
                <w:color w:val="000000"/>
                <w:lang w:eastAsia="en-GB"/>
              </w:rPr>
              <w:t>23</w:t>
            </w:r>
            <w:r>
              <w:rPr>
                <w:rFonts w:eastAsia="Times New Roman" w:cs="Calibri"/>
                <w:color w:val="000000"/>
                <w:lang w:eastAsia="en-GB"/>
              </w:rPr>
              <w:t>,</w:t>
            </w:r>
            <w:r w:rsidRPr="0037129E">
              <w:rPr>
                <w:rFonts w:eastAsia="Times New Roman" w:cs="Calibri"/>
                <w:color w:val="000000"/>
                <w:lang w:eastAsia="en-GB"/>
              </w:rPr>
              <w:t>4</w:t>
            </w:r>
          </w:p>
        </w:tc>
        <w:tc>
          <w:tcPr>
            <w:tcW w:w="851" w:type="dxa"/>
            <w:tcBorders>
              <w:top w:val="nil"/>
              <w:left w:val="nil"/>
              <w:bottom w:val="single" w:sz="4" w:space="0" w:color="auto"/>
              <w:right w:val="nil"/>
            </w:tcBorders>
            <w:shd w:val="clear" w:color="auto" w:fill="auto"/>
            <w:noWrap/>
            <w:vAlign w:val="bottom"/>
            <w:hideMark/>
          </w:tcPr>
          <w:p w14:paraId="57EE2368" w14:textId="2A65BFCA" w:rsidR="00D56CBD" w:rsidRPr="0037129E" w:rsidRDefault="00D56CBD" w:rsidP="00D56CBD">
            <w:pPr>
              <w:spacing w:after="0" w:line="240" w:lineRule="auto"/>
              <w:jc w:val="center"/>
              <w:rPr>
                <w:rFonts w:eastAsia="Times New Roman" w:cs="Calibri"/>
                <w:color w:val="000000"/>
                <w:lang w:eastAsia="en-GB"/>
              </w:rPr>
            </w:pPr>
            <w:r w:rsidRPr="0037129E">
              <w:rPr>
                <w:rFonts w:eastAsia="Times New Roman" w:cs="Calibri"/>
                <w:color w:val="000000"/>
                <w:lang w:eastAsia="en-GB"/>
              </w:rPr>
              <w:t>3</w:t>
            </w:r>
            <w:r w:rsidRPr="005E6F16">
              <w:rPr>
                <w:rFonts w:eastAsia="Times New Roman" w:cs="Calibri"/>
                <w:color w:val="000000"/>
                <w:lang w:eastAsia="en-GB"/>
              </w:rPr>
              <w:t>5,</w:t>
            </w:r>
            <w:r w:rsidRPr="0037129E">
              <w:rPr>
                <w:rFonts w:eastAsia="Times New Roman" w:cs="Calibri"/>
                <w:color w:val="000000"/>
                <w:lang w:eastAsia="en-GB"/>
              </w:rPr>
              <w:t>4</w:t>
            </w:r>
          </w:p>
        </w:tc>
        <w:tc>
          <w:tcPr>
            <w:tcW w:w="850" w:type="dxa"/>
            <w:tcBorders>
              <w:top w:val="nil"/>
              <w:left w:val="nil"/>
              <w:bottom w:val="single" w:sz="4" w:space="0" w:color="auto"/>
              <w:right w:val="nil"/>
            </w:tcBorders>
            <w:shd w:val="clear" w:color="auto" w:fill="auto"/>
            <w:noWrap/>
            <w:vAlign w:val="bottom"/>
            <w:hideMark/>
          </w:tcPr>
          <w:p w14:paraId="65D13501" w14:textId="4C820EC4" w:rsidR="00D56CBD" w:rsidRPr="0037129E" w:rsidRDefault="00D56CBD" w:rsidP="00D56CBD">
            <w:pPr>
              <w:spacing w:after="0" w:line="240" w:lineRule="auto"/>
              <w:jc w:val="center"/>
              <w:rPr>
                <w:rFonts w:eastAsia="Times New Roman" w:cs="Calibri"/>
                <w:color w:val="000000"/>
                <w:lang w:eastAsia="en-GB"/>
              </w:rPr>
            </w:pPr>
            <w:r w:rsidRPr="005E6F16">
              <w:rPr>
                <w:rFonts w:eastAsia="Times New Roman" w:cs="Calibri"/>
                <w:color w:val="000000"/>
                <w:lang w:eastAsia="en-GB"/>
              </w:rPr>
              <w:t>32,</w:t>
            </w:r>
            <w:r w:rsidRPr="0037129E">
              <w:rPr>
                <w:rFonts w:eastAsia="Times New Roman" w:cs="Calibri"/>
                <w:color w:val="000000"/>
                <w:lang w:eastAsia="en-GB"/>
              </w:rPr>
              <w:t>2</w:t>
            </w:r>
          </w:p>
        </w:tc>
        <w:tc>
          <w:tcPr>
            <w:tcW w:w="1616" w:type="dxa"/>
            <w:tcBorders>
              <w:top w:val="nil"/>
              <w:left w:val="nil"/>
              <w:bottom w:val="single" w:sz="4" w:space="0" w:color="auto"/>
              <w:right w:val="nil"/>
            </w:tcBorders>
            <w:shd w:val="clear" w:color="auto" w:fill="auto"/>
            <w:noWrap/>
            <w:vAlign w:val="bottom"/>
            <w:hideMark/>
          </w:tcPr>
          <w:p w14:paraId="25EB5A9B" w14:textId="6411604D" w:rsidR="00D56CBD" w:rsidRPr="0037129E" w:rsidRDefault="00D56CBD" w:rsidP="00D56CBD">
            <w:pPr>
              <w:spacing w:after="0" w:line="240" w:lineRule="auto"/>
              <w:jc w:val="center"/>
              <w:rPr>
                <w:rFonts w:eastAsia="Times New Roman" w:cs="Calibri"/>
                <w:color w:val="000000"/>
                <w:lang w:eastAsia="en-GB"/>
              </w:rPr>
            </w:pPr>
            <w:r w:rsidRPr="005E6F16">
              <w:rPr>
                <w:rFonts w:eastAsia="Times New Roman" w:cs="Calibri"/>
                <w:color w:val="000000"/>
                <w:lang w:eastAsia="en-GB"/>
              </w:rPr>
              <w:t>30,</w:t>
            </w:r>
            <w:r w:rsidRPr="0037129E">
              <w:rPr>
                <w:rFonts w:eastAsia="Times New Roman" w:cs="Calibri"/>
                <w:color w:val="000000"/>
                <w:lang w:eastAsia="en-GB"/>
              </w:rPr>
              <w:t>3</w:t>
            </w:r>
          </w:p>
        </w:tc>
      </w:tr>
      <w:tr w:rsidR="00653708" w:rsidRPr="00653708" w14:paraId="0D1415C5" w14:textId="77777777" w:rsidTr="0037129E">
        <w:trPr>
          <w:trHeight w:val="262"/>
        </w:trPr>
        <w:tc>
          <w:tcPr>
            <w:tcW w:w="8987" w:type="dxa"/>
            <w:gridSpan w:val="5"/>
            <w:tcBorders>
              <w:top w:val="single" w:sz="4" w:space="0" w:color="auto"/>
              <w:left w:val="nil"/>
              <w:right w:val="nil"/>
            </w:tcBorders>
            <w:shd w:val="clear" w:color="auto" w:fill="auto"/>
            <w:noWrap/>
          </w:tcPr>
          <w:p w14:paraId="4A006AF5" w14:textId="0F7EC33A" w:rsidR="00653708" w:rsidRPr="0037129E" w:rsidRDefault="00653708" w:rsidP="0037129E">
            <w:pPr>
              <w:spacing w:after="0" w:line="240" w:lineRule="auto"/>
              <w:jc w:val="right"/>
              <w:rPr>
                <w:rFonts w:eastAsia="Times New Roman" w:cs="Calibri"/>
                <w:i/>
                <w:color w:val="000000"/>
                <w:sz w:val="18"/>
                <w:lang w:eastAsia="en-GB"/>
              </w:rPr>
            </w:pPr>
            <w:r w:rsidRPr="0037129E">
              <w:rPr>
                <w:rFonts w:eastAsia="Times New Roman" w:cs="Calibri"/>
                <w:i/>
                <w:color w:val="000000"/>
                <w:sz w:val="18"/>
                <w:lang w:eastAsia="en-GB"/>
              </w:rPr>
              <w:t>Zdroj: ŠU Projektov, CRZ, MV ČR, Spracovanie ÚHP</w:t>
            </w:r>
          </w:p>
        </w:tc>
      </w:tr>
    </w:tbl>
    <w:tbl>
      <w:tblPr>
        <w:tblStyle w:val="Tabukasmriekou6farebnzvraznenie5"/>
        <w:tblW w:w="0" w:type="auto"/>
        <w:tblLook w:val="0420" w:firstRow="1" w:lastRow="0" w:firstColumn="0" w:lastColumn="0" w:noHBand="0" w:noVBand="1"/>
      </w:tblPr>
      <w:tblGrid>
        <w:gridCol w:w="9062"/>
      </w:tblGrid>
      <w:tr w:rsidR="009043D0" w:rsidRPr="00765192" w14:paraId="2EDD8D8B" w14:textId="77777777" w:rsidTr="00E75514">
        <w:trPr>
          <w:cnfStyle w:val="100000000000" w:firstRow="1" w:lastRow="0" w:firstColumn="0" w:lastColumn="0" w:oddVBand="0" w:evenVBand="0" w:oddHBand="0" w:evenHBand="0" w:firstRowFirstColumn="0" w:firstRowLastColumn="0" w:lastRowFirstColumn="0" w:lastRowLastColumn="0"/>
        </w:trPr>
        <w:tc>
          <w:tcPr>
            <w:tcW w:w="9062" w:type="dxa"/>
          </w:tcPr>
          <w:p w14:paraId="32DEF804" w14:textId="77777777" w:rsidR="009043D0" w:rsidRPr="00765192" w:rsidRDefault="009043D0" w:rsidP="008A24D6">
            <w:pPr>
              <w:rPr>
                <w:sz w:val="20"/>
              </w:rPr>
            </w:pPr>
            <w:r w:rsidRPr="00765192">
              <w:rPr>
                <w:sz w:val="20"/>
              </w:rPr>
              <w:t>Box: Porovnanie obvyklých cien ICT prác a limitov príručky OP II</w:t>
            </w:r>
          </w:p>
        </w:tc>
      </w:tr>
      <w:tr w:rsidR="009043D0" w:rsidRPr="00765192" w14:paraId="0C824AE1" w14:textId="77777777" w:rsidTr="00E75514">
        <w:trPr>
          <w:cnfStyle w:val="000000100000" w:firstRow="0" w:lastRow="0" w:firstColumn="0" w:lastColumn="0" w:oddVBand="0" w:evenVBand="0" w:oddHBand="1" w:evenHBand="0" w:firstRowFirstColumn="0" w:firstRowLastColumn="0" w:lastRowFirstColumn="0" w:lastRowLastColumn="0"/>
          <w:trHeight w:val="263"/>
        </w:trPr>
        <w:tc>
          <w:tcPr>
            <w:tcW w:w="9062" w:type="dxa"/>
          </w:tcPr>
          <w:p w14:paraId="048BCA0B" w14:textId="77777777" w:rsidR="009043D0" w:rsidRPr="00765192" w:rsidRDefault="009043D0" w:rsidP="0037129E">
            <w:pPr>
              <w:spacing w:after="120"/>
              <w:rPr>
                <w:sz w:val="20"/>
              </w:rPr>
            </w:pPr>
            <w:r w:rsidRPr="00765192">
              <w:rPr>
                <w:sz w:val="20"/>
              </w:rPr>
              <w:t>Príručka oprávnenosti výdavkov PO 7 OP II definuje hornú hranicu výdavkov za 1 človekodeň IT prác na úrovni, ktorá je v priemere o 30 % vyššia, ako priemerná cena prác podľa prieskumu ÚHP už uzatvorených zmlúv.  Zároveň je priemerná cena, za ktorú služby nakupuje slovenský verejný sektor, v priemere o 45% vyššia ako ceny v ČR. Stanovením cenových limitov na nákup ICT služieb a ich priebežnou aktualizáciou je možné dosiahnuť výraznú úsporu jednotkových cien. Príkladom je MV ČR, ktoré za účelom stanovenia referenčných cien pre odhad predpokladanej hodnoty zákazky v oblasti ICT každého pol roka vydáva „Prehlaď obvyklých cien ICT prác</w:t>
            </w:r>
            <w:r w:rsidRPr="00765192">
              <w:rPr>
                <w:rStyle w:val="Odkaznapoznmkupodiarou"/>
                <w:sz w:val="20"/>
              </w:rPr>
              <w:footnoteReference w:id="35"/>
            </w:r>
            <w:r w:rsidRPr="00765192">
              <w:rPr>
                <w:sz w:val="20"/>
              </w:rPr>
              <w:t xml:space="preserve">“. </w:t>
            </w:r>
          </w:p>
          <w:p w14:paraId="01D2B27C" w14:textId="7A3EE11A" w:rsidR="009043D0" w:rsidRPr="00765192" w:rsidRDefault="009043D0" w:rsidP="0037129E">
            <w:pPr>
              <w:rPr>
                <w:sz w:val="20"/>
              </w:rPr>
            </w:pPr>
            <w:r w:rsidRPr="00765192">
              <w:rPr>
                <w:sz w:val="20"/>
              </w:rPr>
              <w:t xml:space="preserve">Tabuľka </w:t>
            </w:r>
            <w:r w:rsidR="009B4960">
              <w:rPr>
                <w:sz w:val="20"/>
              </w:rPr>
              <w:t>9</w:t>
            </w:r>
            <w:r w:rsidRPr="00765192">
              <w:rPr>
                <w:sz w:val="20"/>
              </w:rPr>
              <w:t>: Porovnanie jednotkových cien IT prác v SR a ČR</w:t>
            </w:r>
          </w:p>
          <w:tbl>
            <w:tblPr>
              <w:tblW w:w="8754" w:type="dxa"/>
              <w:tblCellMar>
                <w:left w:w="70" w:type="dxa"/>
                <w:right w:w="70" w:type="dxa"/>
              </w:tblCellMar>
              <w:tblLook w:val="04A0" w:firstRow="1" w:lastRow="0" w:firstColumn="1" w:lastColumn="0" w:noHBand="0" w:noVBand="1"/>
            </w:tblPr>
            <w:tblGrid>
              <w:gridCol w:w="2557"/>
              <w:gridCol w:w="2080"/>
              <w:gridCol w:w="1062"/>
              <w:gridCol w:w="3055"/>
            </w:tblGrid>
            <w:tr w:rsidR="009043D0" w:rsidRPr="003526CD" w14:paraId="35161E7F" w14:textId="77777777" w:rsidTr="00E75514">
              <w:trPr>
                <w:trHeight w:val="60"/>
              </w:trPr>
              <w:tc>
                <w:tcPr>
                  <w:tcW w:w="2557" w:type="dxa"/>
                  <w:tcBorders>
                    <w:top w:val="single" w:sz="8" w:space="0" w:color="4472C4"/>
                    <w:left w:val="nil"/>
                    <w:bottom w:val="single" w:sz="8" w:space="0" w:color="4472C4"/>
                    <w:right w:val="nil"/>
                  </w:tcBorders>
                  <w:shd w:val="clear" w:color="auto" w:fill="auto"/>
                  <w:noWrap/>
                  <w:vAlign w:val="center"/>
                  <w:hideMark/>
                </w:tcPr>
                <w:p w14:paraId="0B15F227" w14:textId="77777777" w:rsidR="009043D0" w:rsidRPr="003526CD" w:rsidRDefault="009043D0" w:rsidP="008A24D6">
                  <w:pPr>
                    <w:spacing w:after="0" w:line="240" w:lineRule="auto"/>
                    <w:jc w:val="left"/>
                    <w:rPr>
                      <w:rFonts w:eastAsia="Times New Roman" w:cs="Times New Roman"/>
                      <w:b/>
                      <w:bCs/>
                      <w:color w:val="4472C4"/>
                      <w:sz w:val="20"/>
                      <w:szCs w:val="20"/>
                      <w:lang w:eastAsia="sk-SK"/>
                    </w:rPr>
                  </w:pPr>
                  <w:r w:rsidRPr="003526CD">
                    <w:rPr>
                      <w:rFonts w:eastAsia="Times New Roman" w:cs="Times New Roman"/>
                      <w:b/>
                      <w:bCs/>
                      <w:color w:val="4472C4"/>
                      <w:sz w:val="20"/>
                      <w:szCs w:val="20"/>
                      <w:lang w:eastAsia="sk-SK"/>
                    </w:rPr>
                    <w:t>Pozícia</w:t>
                  </w:r>
                </w:p>
              </w:tc>
              <w:tc>
                <w:tcPr>
                  <w:tcW w:w="2080" w:type="dxa"/>
                  <w:tcBorders>
                    <w:top w:val="single" w:sz="8" w:space="0" w:color="4472C4"/>
                    <w:left w:val="nil"/>
                    <w:bottom w:val="single" w:sz="8" w:space="0" w:color="4472C4"/>
                    <w:right w:val="nil"/>
                  </w:tcBorders>
                  <w:shd w:val="clear" w:color="auto" w:fill="auto"/>
                  <w:noWrap/>
                  <w:vAlign w:val="center"/>
                  <w:hideMark/>
                </w:tcPr>
                <w:p w14:paraId="63F77100" w14:textId="77777777" w:rsidR="009043D0" w:rsidRPr="003526CD" w:rsidRDefault="009043D0" w:rsidP="003A6EC3">
                  <w:pPr>
                    <w:spacing w:after="0" w:line="240" w:lineRule="auto"/>
                    <w:jc w:val="center"/>
                    <w:rPr>
                      <w:rFonts w:eastAsia="Times New Roman" w:cs="Times New Roman"/>
                      <w:b/>
                      <w:bCs/>
                      <w:color w:val="4472C4"/>
                      <w:sz w:val="20"/>
                      <w:szCs w:val="20"/>
                      <w:lang w:eastAsia="sk-SK"/>
                    </w:rPr>
                  </w:pPr>
                  <w:r w:rsidRPr="003526CD">
                    <w:rPr>
                      <w:rFonts w:eastAsia="Times New Roman" w:cs="Times New Roman"/>
                      <w:b/>
                      <w:bCs/>
                      <w:color w:val="4472C4"/>
                      <w:sz w:val="20"/>
                      <w:szCs w:val="20"/>
                      <w:lang w:eastAsia="sk-SK"/>
                    </w:rPr>
                    <w:t>Medián SK</w:t>
                  </w:r>
                </w:p>
              </w:tc>
              <w:tc>
                <w:tcPr>
                  <w:tcW w:w="1062" w:type="dxa"/>
                  <w:tcBorders>
                    <w:top w:val="single" w:sz="8" w:space="0" w:color="4472C4"/>
                    <w:left w:val="nil"/>
                    <w:bottom w:val="single" w:sz="8" w:space="0" w:color="4472C4"/>
                    <w:right w:val="nil"/>
                  </w:tcBorders>
                  <w:shd w:val="clear" w:color="auto" w:fill="auto"/>
                  <w:noWrap/>
                  <w:vAlign w:val="center"/>
                  <w:hideMark/>
                </w:tcPr>
                <w:p w14:paraId="26B6EBA0" w14:textId="77777777" w:rsidR="009043D0" w:rsidRPr="003526CD" w:rsidRDefault="009043D0" w:rsidP="003A6EC3">
                  <w:pPr>
                    <w:spacing w:after="0" w:line="240" w:lineRule="auto"/>
                    <w:jc w:val="center"/>
                    <w:rPr>
                      <w:rFonts w:eastAsia="Times New Roman" w:cs="Times New Roman"/>
                      <w:b/>
                      <w:bCs/>
                      <w:color w:val="4472C4"/>
                      <w:sz w:val="20"/>
                      <w:szCs w:val="20"/>
                      <w:lang w:eastAsia="sk-SK"/>
                    </w:rPr>
                  </w:pPr>
                  <w:r w:rsidRPr="003526CD">
                    <w:rPr>
                      <w:rFonts w:eastAsia="Times New Roman" w:cs="Times New Roman"/>
                      <w:b/>
                      <w:bCs/>
                      <w:color w:val="4472C4"/>
                      <w:sz w:val="20"/>
                      <w:szCs w:val="20"/>
                      <w:lang w:eastAsia="sk-SK"/>
                    </w:rPr>
                    <w:t>Medián CZ</w:t>
                  </w:r>
                </w:p>
              </w:tc>
              <w:tc>
                <w:tcPr>
                  <w:tcW w:w="3055" w:type="dxa"/>
                  <w:tcBorders>
                    <w:top w:val="single" w:sz="8" w:space="0" w:color="4472C4"/>
                    <w:left w:val="nil"/>
                    <w:bottom w:val="single" w:sz="8" w:space="0" w:color="4472C4"/>
                    <w:right w:val="nil"/>
                  </w:tcBorders>
                  <w:shd w:val="clear" w:color="auto" w:fill="auto"/>
                  <w:vAlign w:val="center"/>
                  <w:hideMark/>
                </w:tcPr>
                <w:p w14:paraId="527A337D" w14:textId="77777777" w:rsidR="009043D0" w:rsidRPr="003526CD" w:rsidRDefault="009043D0" w:rsidP="003A6EC3">
                  <w:pPr>
                    <w:spacing w:after="0" w:line="240" w:lineRule="auto"/>
                    <w:jc w:val="center"/>
                    <w:rPr>
                      <w:rFonts w:eastAsia="Times New Roman" w:cs="Times New Roman"/>
                      <w:b/>
                      <w:bCs/>
                      <w:color w:val="4472C4"/>
                      <w:sz w:val="20"/>
                      <w:szCs w:val="20"/>
                      <w:lang w:eastAsia="sk-SK"/>
                    </w:rPr>
                  </w:pPr>
                  <w:r w:rsidRPr="003526CD">
                    <w:rPr>
                      <w:rFonts w:eastAsia="Times New Roman" w:cs="Times New Roman"/>
                      <w:b/>
                      <w:bCs/>
                      <w:color w:val="4472C4"/>
                      <w:sz w:val="20"/>
                      <w:szCs w:val="20"/>
                      <w:lang w:eastAsia="sk-SK"/>
                    </w:rPr>
                    <w:t>Príručka OP II (horná hranica)</w:t>
                  </w:r>
                </w:p>
              </w:tc>
            </w:tr>
            <w:tr w:rsidR="009043D0" w:rsidRPr="003526CD" w14:paraId="2F0EF373" w14:textId="77777777" w:rsidTr="00E75514">
              <w:trPr>
                <w:trHeight w:val="219"/>
              </w:trPr>
              <w:tc>
                <w:tcPr>
                  <w:tcW w:w="2557" w:type="dxa"/>
                  <w:tcBorders>
                    <w:top w:val="nil"/>
                    <w:left w:val="nil"/>
                    <w:bottom w:val="nil"/>
                    <w:right w:val="nil"/>
                  </w:tcBorders>
                  <w:shd w:val="clear" w:color="auto" w:fill="auto"/>
                  <w:noWrap/>
                  <w:vAlign w:val="center"/>
                  <w:hideMark/>
                </w:tcPr>
                <w:p w14:paraId="2C9CD10B" w14:textId="77777777" w:rsidR="009043D0" w:rsidRPr="003526CD" w:rsidRDefault="009043D0" w:rsidP="008A24D6">
                  <w:pPr>
                    <w:spacing w:after="0" w:line="240" w:lineRule="auto"/>
                    <w:jc w:val="left"/>
                    <w:rPr>
                      <w:rFonts w:eastAsia="Times New Roman" w:cs="Times New Roman"/>
                      <w:color w:val="4472C4"/>
                      <w:sz w:val="20"/>
                      <w:szCs w:val="20"/>
                      <w:lang w:eastAsia="sk-SK"/>
                    </w:rPr>
                  </w:pPr>
                  <w:r w:rsidRPr="003526CD">
                    <w:rPr>
                      <w:rFonts w:eastAsia="Times New Roman" w:cs="Times New Roman"/>
                      <w:color w:val="4472C4"/>
                      <w:sz w:val="20"/>
                      <w:szCs w:val="20"/>
                      <w:lang w:eastAsia="sk-SK"/>
                    </w:rPr>
                    <w:t>Administrátor</w:t>
                  </w:r>
                </w:p>
              </w:tc>
              <w:tc>
                <w:tcPr>
                  <w:tcW w:w="2080" w:type="dxa"/>
                  <w:tcBorders>
                    <w:top w:val="nil"/>
                    <w:left w:val="nil"/>
                    <w:bottom w:val="nil"/>
                    <w:right w:val="nil"/>
                  </w:tcBorders>
                  <w:shd w:val="clear" w:color="auto" w:fill="auto"/>
                  <w:noWrap/>
                  <w:vAlign w:val="center"/>
                  <w:hideMark/>
                </w:tcPr>
                <w:p w14:paraId="170C63D9"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608</w:t>
                  </w:r>
                </w:p>
              </w:tc>
              <w:tc>
                <w:tcPr>
                  <w:tcW w:w="1062" w:type="dxa"/>
                  <w:tcBorders>
                    <w:top w:val="nil"/>
                    <w:left w:val="nil"/>
                    <w:bottom w:val="nil"/>
                    <w:right w:val="nil"/>
                  </w:tcBorders>
                  <w:shd w:val="clear" w:color="auto" w:fill="auto"/>
                  <w:noWrap/>
                  <w:vAlign w:val="center"/>
                  <w:hideMark/>
                </w:tcPr>
                <w:p w14:paraId="515F2EEF"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Pr>
                      <w:rFonts w:eastAsia="Times New Roman" w:cs="Times New Roman"/>
                      <w:color w:val="4472C4"/>
                      <w:sz w:val="20"/>
                      <w:szCs w:val="20"/>
                      <w:lang w:eastAsia="sk-SK"/>
                    </w:rPr>
                    <w:t>401</w:t>
                  </w:r>
                </w:p>
              </w:tc>
              <w:tc>
                <w:tcPr>
                  <w:tcW w:w="3055" w:type="dxa"/>
                  <w:tcBorders>
                    <w:top w:val="nil"/>
                    <w:left w:val="nil"/>
                    <w:bottom w:val="nil"/>
                    <w:right w:val="nil"/>
                  </w:tcBorders>
                  <w:shd w:val="clear" w:color="auto" w:fill="auto"/>
                  <w:noWrap/>
                  <w:vAlign w:val="bottom"/>
                  <w:hideMark/>
                </w:tcPr>
                <w:p w14:paraId="4B985C04" w14:textId="77777777" w:rsidR="009043D0" w:rsidRPr="003526CD" w:rsidRDefault="009043D0" w:rsidP="003A6EC3">
                  <w:pPr>
                    <w:spacing w:after="0" w:line="240" w:lineRule="auto"/>
                    <w:jc w:val="center"/>
                    <w:rPr>
                      <w:rFonts w:eastAsia="Times New Roman" w:cs="Times New Roman"/>
                      <w:color w:val="4472C4"/>
                      <w:sz w:val="20"/>
                      <w:szCs w:val="20"/>
                      <w:lang w:eastAsia="sk-SK"/>
                    </w:rPr>
                  </w:pPr>
                </w:p>
              </w:tc>
            </w:tr>
            <w:tr w:rsidR="009043D0" w:rsidRPr="003526CD" w14:paraId="1A16E30E" w14:textId="77777777" w:rsidTr="00E75514">
              <w:trPr>
                <w:trHeight w:val="219"/>
              </w:trPr>
              <w:tc>
                <w:tcPr>
                  <w:tcW w:w="2557" w:type="dxa"/>
                  <w:tcBorders>
                    <w:top w:val="nil"/>
                    <w:left w:val="nil"/>
                    <w:bottom w:val="nil"/>
                    <w:right w:val="nil"/>
                  </w:tcBorders>
                  <w:shd w:val="clear" w:color="auto" w:fill="auto"/>
                  <w:noWrap/>
                  <w:vAlign w:val="center"/>
                  <w:hideMark/>
                </w:tcPr>
                <w:p w14:paraId="6B9E4F20" w14:textId="77777777" w:rsidR="009043D0" w:rsidRPr="003526CD" w:rsidRDefault="009043D0" w:rsidP="008A24D6">
                  <w:pPr>
                    <w:spacing w:after="0" w:line="240" w:lineRule="auto"/>
                    <w:jc w:val="left"/>
                    <w:rPr>
                      <w:rFonts w:eastAsia="Times New Roman" w:cs="Times New Roman"/>
                      <w:color w:val="4472C4"/>
                      <w:sz w:val="20"/>
                      <w:szCs w:val="20"/>
                      <w:lang w:eastAsia="sk-SK"/>
                    </w:rPr>
                  </w:pPr>
                  <w:r w:rsidRPr="003526CD">
                    <w:rPr>
                      <w:rFonts w:eastAsia="Times New Roman" w:cs="Times New Roman"/>
                      <w:color w:val="4472C4"/>
                      <w:sz w:val="20"/>
                      <w:szCs w:val="20"/>
                      <w:lang w:eastAsia="sk-SK"/>
                    </w:rPr>
                    <w:t>Analytik</w:t>
                  </w:r>
                </w:p>
              </w:tc>
              <w:tc>
                <w:tcPr>
                  <w:tcW w:w="2080" w:type="dxa"/>
                  <w:tcBorders>
                    <w:top w:val="nil"/>
                    <w:left w:val="nil"/>
                    <w:bottom w:val="nil"/>
                    <w:right w:val="nil"/>
                  </w:tcBorders>
                  <w:shd w:val="clear" w:color="auto" w:fill="auto"/>
                  <w:noWrap/>
                  <w:vAlign w:val="center"/>
                  <w:hideMark/>
                </w:tcPr>
                <w:p w14:paraId="334E825A"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660</w:t>
                  </w:r>
                </w:p>
              </w:tc>
              <w:tc>
                <w:tcPr>
                  <w:tcW w:w="1062" w:type="dxa"/>
                  <w:tcBorders>
                    <w:top w:val="nil"/>
                    <w:left w:val="nil"/>
                    <w:bottom w:val="nil"/>
                    <w:right w:val="nil"/>
                  </w:tcBorders>
                  <w:shd w:val="clear" w:color="auto" w:fill="auto"/>
                  <w:noWrap/>
                  <w:vAlign w:val="center"/>
                  <w:hideMark/>
                </w:tcPr>
                <w:p w14:paraId="65EB76C2"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Pr>
                      <w:rFonts w:eastAsia="Times New Roman" w:cs="Times New Roman"/>
                      <w:color w:val="4472C4"/>
                      <w:sz w:val="20"/>
                      <w:szCs w:val="20"/>
                      <w:lang w:eastAsia="sk-SK"/>
                    </w:rPr>
                    <w:t>501</w:t>
                  </w:r>
                </w:p>
              </w:tc>
              <w:tc>
                <w:tcPr>
                  <w:tcW w:w="3055" w:type="dxa"/>
                  <w:tcBorders>
                    <w:top w:val="nil"/>
                    <w:left w:val="nil"/>
                    <w:bottom w:val="nil"/>
                    <w:right w:val="nil"/>
                  </w:tcBorders>
                  <w:shd w:val="clear" w:color="auto" w:fill="auto"/>
                  <w:noWrap/>
                  <w:vAlign w:val="center"/>
                  <w:hideMark/>
                </w:tcPr>
                <w:p w14:paraId="1537D5EF"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888</w:t>
                  </w:r>
                </w:p>
              </w:tc>
            </w:tr>
            <w:tr w:rsidR="009043D0" w:rsidRPr="003526CD" w14:paraId="2E935C23" w14:textId="77777777" w:rsidTr="00E75514">
              <w:trPr>
                <w:trHeight w:val="219"/>
              </w:trPr>
              <w:tc>
                <w:tcPr>
                  <w:tcW w:w="2557" w:type="dxa"/>
                  <w:tcBorders>
                    <w:top w:val="nil"/>
                    <w:left w:val="nil"/>
                    <w:bottom w:val="nil"/>
                    <w:right w:val="nil"/>
                  </w:tcBorders>
                  <w:shd w:val="clear" w:color="auto" w:fill="auto"/>
                  <w:noWrap/>
                  <w:vAlign w:val="center"/>
                  <w:hideMark/>
                </w:tcPr>
                <w:p w14:paraId="7B115085" w14:textId="77777777" w:rsidR="009043D0" w:rsidRPr="003526CD" w:rsidRDefault="009043D0" w:rsidP="008A24D6">
                  <w:pPr>
                    <w:spacing w:after="0" w:line="240" w:lineRule="auto"/>
                    <w:jc w:val="left"/>
                    <w:rPr>
                      <w:rFonts w:eastAsia="Times New Roman" w:cs="Times New Roman"/>
                      <w:color w:val="4472C4"/>
                      <w:sz w:val="20"/>
                      <w:szCs w:val="20"/>
                      <w:lang w:eastAsia="sk-SK"/>
                    </w:rPr>
                  </w:pPr>
                  <w:r w:rsidRPr="003526CD">
                    <w:rPr>
                      <w:rFonts w:eastAsia="Times New Roman" w:cs="Times New Roman"/>
                      <w:color w:val="4472C4"/>
                      <w:sz w:val="20"/>
                      <w:szCs w:val="20"/>
                      <w:lang w:eastAsia="sk-SK"/>
                    </w:rPr>
                    <w:t>Architekt</w:t>
                  </w:r>
                </w:p>
              </w:tc>
              <w:tc>
                <w:tcPr>
                  <w:tcW w:w="2080" w:type="dxa"/>
                  <w:tcBorders>
                    <w:top w:val="nil"/>
                    <w:left w:val="nil"/>
                    <w:bottom w:val="nil"/>
                    <w:right w:val="nil"/>
                  </w:tcBorders>
                  <w:shd w:val="clear" w:color="auto" w:fill="auto"/>
                  <w:noWrap/>
                  <w:vAlign w:val="center"/>
                  <w:hideMark/>
                </w:tcPr>
                <w:p w14:paraId="624B069C"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Pr>
                      <w:rFonts w:eastAsia="Times New Roman" w:cs="Times New Roman"/>
                      <w:color w:val="4472C4"/>
                      <w:sz w:val="20"/>
                      <w:szCs w:val="20"/>
                      <w:lang w:eastAsia="sk-SK"/>
                    </w:rPr>
                    <w:t>768</w:t>
                  </w:r>
                </w:p>
              </w:tc>
              <w:tc>
                <w:tcPr>
                  <w:tcW w:w="1062" w:type="dxa"/>
                  <w:tcBorders>
                    <w:top w:val="nil"/>
                    <w:left w:val="nil"/>
                    <w:bottom w:val="nil"/>
                    <w:right w:val="nil"/>
                  </w:tcBorders>
                  <w:shd w:val="clear" w:color="auto" w:fill="auto"/>
                  <w:noWrap/>
                  <w:vAlign w:val="center"/>
                  <w:hideMark/>
                </w:tcPr>
                <w:p w14:paraId="73497818"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Pr>
                      <w:rFonts w:eastAsia="Times New Roman" w:cs="Times New Roman"/>
                      <w:color w:val="4472C4"/>
                      <w:sz w:val="20"/>
                      <w:szCs w:val="20"/>
                      <w:lang w:eastAsia="sk-SK"/>
                    </w:rPr>
                    <w:t>511</w:t>
                  </w:r>
                </w:p>
              </w:tc>
              <w:tc>
                <w:tcPr>
                  <w:tcW w:w="3055" w:type="dxa"/>
                  <w:tcBorders>
                    <w:top w:val="nil"/>
                    <w:left w:val="nil"/>
                    <w:bottom w:val="nil"/>
                    <w:right w:val="nil"/>
                  </w:tcBorders>
                  <w:shd w:val="clear" w:color="auto" w:fill="auto"/>
                  <w:noWrap/>
                  <w:vAlign w:val="center"/>
                  <w:hideMark/>
                </w:tcPr>
                <w:p w14:paraId="6491205C"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1 092</w:t>
                  </w:r>
                </w:p>
              </w:tc>
            </w:tr>
            <w:tr w:rsidR="009043D0" w:rsidRPr="003526CD" w14:paraId="403F32F8" w14:textId="77777777" w:rsidTr="00E75514">
              <w:trPr>
                <w:trHeight w:val="219"/>
              </w:trPr>
              <w:tc>
                <w:tcPr>
                  <w:tcW w:w="2557" w:type="dxa"/>
                  <w:tcBorders>
                    <w:top w:val="nil"/>
                    <w:left w:val="nil"/>
                    <w:bottom w:val="nil"/>
                    <w:right w:val="nil"/>
                  </w:tcBorders>
                  <w:shd w:val="clear" w:color="auto" w:fill="auto"/>
                  <w:noWrap/>
                  <w:vAlign w:val="center"/>
                  <w:hideMark/>
                </w:tcPr>
                <w:p w14:paraId="66428813" w14:textId="77777777" w:rsidR="009043D0" w:rsidRPr="003526CD" w:rsidRDefault="009043D0" w:rsidP="008A24D6">
                  <w:pPr>
                    <w:spacing w:after="0" w:line="240" w:lineRule="auto"/>
                    <w:jc w:val="left"/>
                    <w:rPr>
                      <w:rFonts w:eastAsia="Times New Roman" w:cs="Times New Roman"/>
                      <w:color w:val="4472C4"/>
                      <w:sz w:val="20"/>
                      <w:szCs w:val="20"/>
                      <w:lang w:eastAsia="sk-SK"/>
                    </w:rPr>
                  </w:pPr>
                  <w:r w:rsidRPr="003526CD">
                    <w:rPr>
                      <w:rFonts w:eastAsia="Times New Roman" w:cs="Times New Roman"/>
                      <w:color w:val="4472C4"/>
                      <w:sz w:val="20"/>
                      <w:szCs w:val="20"/>
                      <w:lang w:eastAsia="sk-SK"/>
                    </w:rPr>
                    <w:t>Iné</w:t>
                  </w:r>
                </w:p>
              </w:tc>
              <w:tc>
                <w:tcPr>
                  <w:tcW w:w="2080" w:type="dxa"/>
                  <w:tcBorders>
                    <w:top w:val="nil"/>
                    <w:left w:val="nil"/>
                    <w:bottom w:val="nil"/>
                    <w:right w:val="nil"/>
                  </w:tcBorders>
                  <w:shd w:val="clear" w:color="auto" w:fill="auto"/>
                  <w:noWrap/>
                  <w:vAlign w:val="center"/>
                  <w:hideMark/>
                </w:tcPr>
                <w:p w14:paraId="216B272F"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6</w:t>
                  </w:r>
                  <w:r>
                    <w:rPr>
                      <w:rFonts w:eastAsia="Times New Roman" w:cs="Times New Roman"/>
                      <w:color w:val="4472C4"/>
                      <w:sz w:val="20"/>
                      <w:szCs w:val="20"/>
                      <w:lang w:eastAsia="sk-SK"/>
                    </w:rPr>
                    <w:t>96</w:t>
                  </w:r>
                </w:p>
              </w:tc>
              <w:tc>
                <w:tcPr>
                  <w:tcW w:w="1062" w:type="dxa"/>
                  <w:tcBorders>
                    <w:top w:val="nil"/>
                    <w:left w:val="nil"/>
                    <w:bottom w:val="nil"/>
                    <w:right w:val="nil"/>
                  </w:tcBorders>
                  <w:shd w:val="clear" w:color="auto" w:fill="auto"/>
                  <w:noWrap/>
                  <w:vAlign w:val="bottom"/>
                  <w:hideMark/>
                </w:tcPr>
                <w:p w14:paraId="26CAE73B" w14:textId="77777777" w:rsidR="009043D0" w:rsidRPr="003526CD" w:rsidRDefault="009043D0" w:rsidP="003A6EC3">
                  <w:pPr>
                    <w:spacing w:after="0" w:line="240" w:lineRule="auto"/>
                    <w:jc w:val="center"/>
                    <w:rPr>
                      <w:rFonts w:eastAsia="Times New Roman" w:cs="Times New Roman"/>
                      <w:color w:val="4472C4"/>
                      <w:sz w:val="20"/>
                      <w:szCs w:val="20"/>
                      <w:lang w:eastAsia="sk-SK"/>
                    </w:rPr>
                  </w:pPr>
                </w:p>
              </w:tc>
              <w:tc>
                <w:tcPr>
                  <w:tcW w:w="3055" w:type="dxa"/>
                  <w:tcBorders>
                    <w:top w:val="nil"/>
                    <w:left w:val="nil"/>
                    <w:bottom w:val="nil"/>
                    <w:right w:val="nil"/>
                  </w:tcBorders>
                  <w:shd w:val="clear" w:color="auto" w:fill="auto"/>
                  <w:noWrap/>
                  <w:vAlign w:val="center"/>
                  <w:hideMark/>
                </w:tcPr>
                <w:p w14:paraId="51157BE7"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684</w:t>
                  </w:r>
                </w:p>
              </w:tc>
            </w:tr>
            <w:tr w:rsidR="009043D0" w:rsidRPr="003526CD" w14:paraId="6B41E85B" w14:textId="77777777" w:rsidTr="00E75514">
              <w:trPr>
                <w:trHeight w:val="219"/>
              </w:trPr>
              <w:tc>
                <w:tcPr>
                  <w:tcW w:w="2557" w:type="dxa"/>
                  <w:tcBorders>
                    <w:top w:val="nil"/>
                    <w:left w:val="nil"/>
                    <w:bottom w:val="nil"/>
                    <w:right w:val="nil"/>
                  </w:tcBorders>
                  <w:shd w:val="clear" w:color="auto" w:fill="auto"/>
                  <w:noWrap/>
                  <w:vAlign w:val="center"/>
                  <w:hideMark/>
                </w:tcPr>
                <w:p w14:paraId="53933D11" w14:textId="77777777" w:rsidR="009043D0" w:rsidRPr="003526CD" w:rsidRDefault="009043D0" w:rsidP="008A24D6">
                  <w:pPr>
                    <w:spacing w:after="0" w:line="240" w:lineRule="auto"/>
                    <w:jc w:val="left"/>
                    <w:rPr>
                      <w:rFonts w:eastAsia="Times New Roman" w:cs="Times New Roman"/>
                      <w:color w:val="4472C4"/>
                      <w:sz w:val="20"/>
                      <w:szCs w:val="20"/>
                      <w:lang w:eastAsia="sk-SK"/>
                    </w:rPr>
                  </w:pPr>
                  <w:r w:rsidRPr="003526CD">
                    <w:rPr>
                      <w:rFonts w:eastAsia="Times New Roman" w:cs="Times New Roman"/>
                      <w:color w:val="4472C4"/>
                      <w:sz w:val="20"/>
                      <w:szCs w:val="20"/>
                      <w:lang w:eastAsia="sk-SK"/>
                    </w:rPr>
                    <w:t>Podpora</w:t>
                  </w:r>
                </w:p>
              </w:tc>
              <w:tc>
                <w:tcPr>
                  <w:tcW w:w="2080" w:type="dxa"/>
                  <w:tcBorders>
                    <w:top w:val="nil"/>
                    <w:left w:val="nil"/>
                    <w:bottom w:val="nil"/>
                    <w:right w:val="nil"/>
                  </w:tcBorders>
                  <w:shd w:val="clear" w:color="auto" w:fill="auto"/>
                  <w:noWrap/>
                  <w:vAlign w:val="center"/>
                  <w:hideMark/>
                </w:tcPr>
                <w:p w14:paraId="529AA15F"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619</w:t>
                  </w:r>
                </w:p>
              </w:tc>
              <w:tc>
                <w:tcPr>
                  <w:tcW w:w="1062" w:type="dxa"/>
                  <w:tcBorders>
                    <w:top w:val="nil"/>
                    <w:left w:val="nil"/>
                    <w:bottom w:val="nil"/>
                    <w:right w:val="nil"/>
                  </w:tcBorders>
                  <w:shd w:val="clear" w:color="auto" w:fill="auto"/>
                  <w:noWrap/>
                  <w:vAlign w:val="center"/>
                  <w:hideMark/>
                </w:tcPr>
                <w:p w14:paraId="112D9E71"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Pr>
                      <w:rFonts w:eastAsia="Times New Roman" w:cs="Times New Roman"/>
                      <w:color w:val="4472C4"/>
                      <w:sz w:val="20"/>
                      <w:szCs w:val="20"/>
                      <w:lang w:eastAsia="sk-SK"/>
                    </w:rPr>
                    <w:t>439</w:t>
                  </w:r>
                </w:p>
              </w:tc>
              <w:tc>
                <w:tcPr>
                  <w:tcW w:w="3055" w:type="dxa"/>
                  <w:tcBorders>
                    <w:top w:val="nil"/>
                    <w:left w:val="nil"/>
                    <w:bottom w:val="nil"/>
                    <w:right w:val="nil"/>
                  </w:tcBorders>
                  <w:shd w:val="clear" w:color="auto" w:fill="auto"/>
                  <w:noWrap/>
                  <w:vAlign w:val="bottom"/>
                  <w:hideMark/>
                </w:tcPr>
                <w:p w14:paraId="1E24223B" w14:textId="77777777" w:rsidR="009043D0" w:rsidRPr="003526CD" w:rsidRDefault="009043D0" w:rsidP="003A6EC3">
                  <w:pPr>
                    <w:spacing w:after="0" w:line="240" w:lineRule="auto"/>
                    <w:jc w:val="center"/>
                    <w:rPr>
                      <w:rFonts w:eastAsia="Times New Roman" w:cs="Times New Roman"/>
                      <w:color w:val="4472C4"/>
                      <w:sz w:val="20"/>
                      <w:szCs w:val="20"/>
                      <w:lang w:eastAsia="sk-SK"/>
                    </w:rPr>
                  </w:pPr>
                </w:p>
              </w:tc>
            </w:tr>
            <w:tr w:rsidR="009043D0" w:rsidRPr="003526CD" w14:paraId="4F360268" w14:textId="77777777" w:rsidTr="00E75514">
              <w:trPr>
                <w:trHeight w:val="219"/>
              </w:trPr>
              <w:tc>
                <w:tcPr>
                  <w:tcW w:w="2557" w:type="dxa"/>
                  <w:tcBorders>
                    <w:top w:val="nil"/>
                    <w:left w:val="nil"/>
                    <w:bottom w:val="nil"/>
                    <w:right w:val="nil"/>
                  </w:tcBorders>
                  <w:shd w:val="clear" w:color="auto" w:fill="auto"/>
                  <w:noWrap/>
                  <w:vAlign w:val="center"/>
                  <w:hideMark/>
                </w:tcPr>
                <w:p w14:paraId="5A7BCA5E" w14:textId="77777777" w:rsidR="009043D0" w:rsidRPr="003526CD" w:rsidRDefault="009043D0" w:rsidP="008A24D6">
                  <w:pPr>
                    <w:spacing w:after="0" w:line="240" w:lineRule="auto"/>
                    <w:jc w:val="left"/>
                    <w:rPr>
                      <w:rFonts w:eastAsia="Times New Roman" w:cs="Times New Roman"/>
                      <w:color w:val="4472C4"/>
                      <w:sz w:val="20"/>
                      <w:szCs w:val="20"/>
                      <w:lang w:eastAsia="sk-SK"/>
                    </w:rPr>
                  </w:pPr>
                  <w:r w:rsidRPr="003526CD">
                    <w:rPr>
                      <w:rFonts w:eastAsia="Times New Roman" w:cs="Times New Roman"/>
                      <w:color w:val="4472C4"/>
                      <w:sz w:val="20"/>
                      <w:szCs w:val="20"/>
                      <w:lang w:eastAsia="sk-SK"/>
                    </w:rPr>
                    <w:t>Programátor</w:t>
                  </w:r>
                </w:p>
              </w:tc>
              <w:tc>
                <w:tcPr>
                  <w:tcW w:w="2080" w:type="dxa"/>
                  <w:tcBorders>
                    <w:top w:val="nil"/>
                    <w:left w:val="nil"/>
                    <w:bottom w:val="nil"/>
                    <w:right w:val="nil"/>
                  </w:tcBorders>
                  <w:shd w:val="clear" w:color="auto" w:fill="auto"/>
                  <w:noWrap/>
                  <w:vAlign w:val="center"/>
                  <w:hideMark/>
                </w:tcPr>
                <w:p w14:paraId="5A0F53C9"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Pr>
                      <w:rFonts w:eastAsia="Times New Roman" w:cs="Times New Roman"/>
                      <w:color w:val="4472C4"/>
                      <w:sz w:val="20"/>
                      <w:szCs w:val="20"/>
                      <w:lang w:eastAsia="sk-SK"/>
                    </w:rPr>
                    <w:t>600</w:t>
                  </w:r>
                </w:p>
              </w:tc>
              <w:tc>
                <w:tcPr>
                  <w:tcW w:w="1062" w:type="dxa"/>
                  <w:tcBorders>
                    <w:top w:val="nil"/>
                    <w:left w:val="nil"/>
                    <w:bottom w:val="nil"/>
                    <w:right w:val="nil"/>
                  </w:tcBorders>
                  <w:shd w:val="clear" w:color="auto" w:fill="auto"/>
                  <w:noWrap/>
                  <w:vAlign w:val="center"/>
                  <w:hideMark/>
                </w:tcPr>
                <w:p w14:paraId="190E257B"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Pr>
                      <w:rFonts w:eastAsia="Times New Roman" w:cs="Times New Roman"/>
                      <w:color w:val="4472C4"/>
                      <w:sz w:val="20"/>
                      <w:szCs w:val="20"/>
                      <w:lang w:eastAsia="sk-SK"/>
                    </w:rPr>
                    <w:t>454</w:t>
                  </w:r>
                </w:p>
              </w:tc>
              <w:tc>
                <w:tcPr>
                  <w:tcW w:w="3055" w:type="dxa"/>
                  <w:tcBorders>
                    <w:top w:val="nil"/>
                    <w:left w:val="nil"/>
                    <w:bottom w:val="nil"/>
                    <w:right w:val="nil"/>
                  </w:tcBorders>
                  <w:shd w:val="clear" w:color="auto" w:fill="auto"/>
                  <w:noWrap/>
                  <w:vAlign w:val="center"/>
                  <w:hideMark/>
                </w:tcPr>
                <w:p w14:paraId="4EC0A2E5"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780</w:t>
                  </w:r>
                </w:p>
              </w:tc>
            </w:tr>
            <w:tr w:rsidR="009043D0" w:rsidRPr="003526CD" w14:paraId="6B8557AF" w14:textId="77777777" w:rsidTr="00E75514">
              <w:trPr>
                <w:trHeight w:val="219"/>
              </w:trPr>
              <w:tc>
                <w:tcPr>
                  <w:tcW w:w="2557" w:type="dxa"/>
                  <w:tcBorders>
                    <w:top w:val="nil"/>
                    <w:left w:val="nil"/>
                    <w:bottom w:val="nil"/>
                    <w:right w:val="nil"/>
                  </w:tcBorders>
                  <w:shd w:val="clear" w:color="auto" w:fill="auto"/>
                  <w:noWrap/>
                  <w:vAlign w:val="center"/>
                  <w:hideMark/>
                </w:tcPr>
                <w:p w14:paraId="66073A1A" w14:textId="77777777" w:rsidR="009043D0" w:rsidRPr="003526CD" w:rsidRDefault="009043D0" w:rsidP="008A24D6">
                  <w:pPr>
                    <w:spacing w:after="0" w:line="240" w:lineRule="auto"/>
                    <w:jc w:val="left"/>
                    <w:rPr>
                      <w:rFonts w:eastAsia="Times New Roman" w:cs="Times New Roman"/>
                      <w:color w:val="4472C4"/>
                      <w:sz w:val="20"/>
                      <w:szCs w:val="20"/>
                      <w:lang w:eastAsia="sk-SK"/>
                    </w:rPr>
                  </w:pPr>
                  <w:r w:rsidRPr="003526CD">
                    <w:rPr>
                      <w:rFonts w:eastAsia="Times New Roman" w:cs="Times New Roman"/>
                      <w:color w:val="4472C4"/>
                      <w:sz w:val="20"/>
                      <w:szCs w:val="20"/>
                      <w:lang w:eastAsia="sk-SK"/>
                    </w:rPr>
                    <w:t>Rutinné práce</w:t>
                  </w:r>
                </w:p>
              </w:tc>
              <w:tc>
                <w:tcPr>
                  <w:tcW w:w="2080" w:type="dxa"/>
                  <w:tcBorders>
                    <w:top w:val="nil"/>
                    <w:left w:val="nil"/>
                    <w:bottom w:val="nil"/>
                    <w:right w:val="nil"/>
                  </w:tcBorders>
                  <w:shd w:val="clear" w:color="auto" w:fill="auto"/>
                  <w:noWrap/>
                  <w:vAlign w:val="center"/>
                  <w:hideMark/>
                </w:tcPr>
                <w:p w14:paraId="3E4CEDFB"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524</w:t>
                  </w:r>
                </w:p>
              </w:tc>
              <w:tc>
                <w:tcPr>
                  <w:tcW w:w="1062" w:type="dxa"/>
                  <w:tcBorders>
                    <w:top w:val="nil"/>
                    <w:left w:val="nil"/>
                    <w:bottom w:val="nil"/>
                    <w:right w:val="nil"/>
                  </w:tcBorders>
                  <w:shd w:val="clear" w:color="auto" w:fill="auto"/>
                  <w:noWrap/>
                  <w:vAlign w:val="center"/>
                  <w:hideMark/>
                </w:tcPr>
                <w:p w14:paraId="28529DA9"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Pr>
                      <w:rFonts w:eastAsia="Times New Roman" w:cs="Times New Roman"/>
                      <w:color w:val="4472C4"/>
                      <w:sz w:val="20"/>
                      <w:szCs w:val="20"/>
                      <w:lang w:eastAsia="sk-SK"/>
                    </w:rPr>
                    <w:t>389</w:t>
                  </w:r>
                </w:p>
              </w:tc>
              <w:tc>
                <w:tcPr>
                  <w:tcW w:w="3055" w:type="dxa"/>
                  <w:tcBorders>
                    <w:top w:val="nil"/>
                    <w:left w:val="nil"/>
                    <w:bottom w:val="nil"/>
                    <w:right w:val="nil"/>
                  </w:tcBorders>
                  <w:shd w:val="clear" w:color="auto" w:fill="auto"/>
                  <w:noWrap/>
                  <w:vAlign w:val="bottom"/>
                  <w:hideMark/>
                </w:tcPr>
                <w:p w14:paraId="04773051" w14:textId="77777777" w:rsidR="009043D0" w:rsidRPr="003526CD" w:rsidRDefault="009043D0" w:rsidP="003A6EC3">
                  <w:pPr>
                    <w:spacing w:after="0" w:line="240" w:lineRule="auto"/>
                    <w:jc w:val="center"/>
                    <w:rPr>
                      <w:rFonts w:eastAsia="Times New Roman" w:cs="Times New Roman"/>
                      <w:color w:val="4472C4"/>
                      <w:sz w:val="20"/>
                      <w:szCs w:val="20"/>
                      <w:lang w:eastAsia="sk-SK"/>
                    </w:rPr>
                  </w:pPr>
                </w:p>
              </w:tc>
            </w:tr>
            <w:tr w:rsidR="009043D0" w:rsidRPr="003526CD" w14:paraId="6E2BD232" w14:textId="77777777" w:rsidTr="00E75514">
              <w:trPr>
                <w:trHeight w:val="219"/>
              </w:trPr>
              <w:tc>
                <w:tcPr>
                  <w:tcW w:w="2557" w:type="dxa"/>
                  <w:tcBorders>
                    <w:top w:val="nil"/>
                    <w:left w:val="nil"/>
                    <w:bottom w:val="nil"/>
                    <w:right w:val="nil"/>
                  </w:tcBorders>
                  <w:shd w:val="clear" w:color="auto" w:fill="auto"/>
                  <w:noWrap/>
                  <w:vAlign w:val="center"/>
                  <w:hideMark/>
                </w:tcPr>
                <w:p w14:paraId="7581C09E" w14:textId="77777777" w:rsidR="009043D0" w:rsidRPr="003526CD" w:rsidRDefault="009043D0" w:rsidP="008A24D6">
                  <w:pPr>
                    <w:spacing w:after="0" w:line="240" w:lineRule="auto"/>
                    <w:jc w:val="left"/>
                    <w:rPr>
                      <w:rFonts w:eastAsia="Times New Roman" w:cs="Times New Roman"/>
                      <w:color w:val="4472C4"/>
                      <w:sz w:val="20"/>
                      <w:szCs w:val="20"/>
                      <w:lang w:eastAsia="sk-SK"/>
                    </w:rPr>
                  </w:pPr>
                  <w:r w:rsidRPr="003526CD">
                    <w:rPr>
                      <w:rFonts w:eastAsia="Times New Roman" w:cs="Times New Roman"/>
                      <w:color w:val="4472C4"/>
                      <w:sz w:val="20"/>
                      <w:szCs w:val="20"/>
                      <w:lang w:eastAsia="sk-SK"/>
                    </w:rPr>
                    <w:t>Školiteľ</w:t>
                  </w:r>
                </w:p>
              </w:tc>
              <w:tc>
                <w:tcPr>
                  <w:tcW w:w="2080" w:type="dxa"/>
                  <w:tcBorders>
                    <w:top w:val="nil"/>
                    <w:left w:val="nil"/>
                    <w:bottom w:val="nil"/>
                    <w:right w:val="nil"/>
                  </w:tcBorders>
                  <w:shd w:val="clear" w:color="auto" w:fill="auto"/>
                  <w:noWrap/>
                  <w:vAlign w:val="center"/>
                  <w:hideMark/>
                </w:tcPr>
                <w:p w14:paraId="0DC76AE8"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576</w:t>
                  </w:r>
                </w:p>
              </w:tc>
              <w:tc>
                <w:tcPr>
                  <w:tcW w:w="1062" w:type="dxa"/>
                  <w:tcBorders>
                    <w:top w:val="nil"/>
                    <w:left w:val="nil"/>
                    <w:bottom w:val="nil"/>
                    <w:right w:val="nil"/>
                  </w:tcBorders>
                  <w:shd w:val="clear" w:color="auto" w:fill="auto"/>
                  <w:noWrap/>
                  <w:vAlign w:val="center"/>
                  <w:hideMark/>
                </w:tcPr>
                <w:p w14:paraId="365D0359"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Pr>
                      <w:rFonts w:eastAsia="Times New Roman" w:cs="Times New Roman"/>
                      <w:color w:val="4472C4"/>
                      <w:sz w:val="20"/>
                      <w:szCs w:val="20"/>
                      <w:lang w:eastAsia="sk-SK"/>
                    </w:rPr>
                    <w:t>466</w:t>
                  </w:r>
                </w:p>
              </w:tc>
              <w:tc>
                <w:tcPr>
                  <w:tcW w:w="3055" w:type="dxa"/>
                  <w:tcBorders>
                    <w:top w:val="nil"/>
                    <w:left w:val="nil"/>
                    <w:bottom w:val="nil"/>
                    <w:right w:val="nil"/>
                  </w:tcBorders>
                  <w:shd w:val="clear" w:color="auto" w:fill="auto"/>
                  <w:noWrap/>
                  <w:vAlign w:val="center"/>
                  <w:hideMark/>
                </w:tcPr>
                <w:p w14:paraId="29564899"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710</w:t>
                  </w:r>
                </w:p>
              </w:tc>
            </w:tr>
            <w:tr w:rsidR="009043D0" w:rsidRPr="003526CD" w14:paraId="7B79FE79" w14:textId="77777777" w:rsidTr="00E75514">
              <w:trPr>
                <w:trHeight w:val="219"/>
              </w:trPr>
              <w:tc>
                <w:tcPr>
                  <w:tcW w:w="2557" w:type="dxa"/>
                  <w:tcBorders>
                    <w:top w:val="nil"/>
                    <w:left w:val="nil"/>
                    <w:bottom w:val="nil"/>
                    <w:right w:val="nil"/>
                  </w:tcBorders>
                  <w:shd w:val="clear" w:color="auto" w:fill="auto"/>
                  <w:noWrap/>
                  <w:vAlign w:val="center"/>
                  <w:hideMark/>
                </w:tcPr>
                <w:p w14:paraId="222BC658" w14:textId="77777777" w:rsidR="009043D0" w:rsidRPr="003526CD" w:rsidRDefault="009043D0" w:rsidP="008A24D6">
                  <w:pPr>
                    <w:spacing w:after="0" w:line="240" w:lineRule="auto"/>
                    <w:jc w:val="left"/>
                    <w:rPr>
                      <w:rFonts w:eastAsia="Times New Roman" w:cs="Times New Roman"/>
                      <w:color w:val="4472C4"/>
                      <w:sz w:val="20"/>
                      <w:szCs w:val="20"/>
                      <w:lang w:eastAsia="sk-SK"/>
                    </w:rPr>
                  </w:pPr>
                  <w:r w:rsidRPr="003526CD">
                    <w:rPr>
                      <w:rFonts w:eastAsia="Times New Roman" w:cs="Times New Roman"/>
                      <w:color w:val="4472C4"/>
                      <w:sz w:val="20"/>
                      <w:szCs w:val="20"/>
                      <w:lang w:eastAsia="sk-SK"/>
                    </w:rPr>
                    <w:t>Špecialista</w:t>
                  </w:r>
                </w:p>
              </w:tc>
              <w:tc>
                <w:tcPr>
                  <w:tcW w:w="2080" w:type="dxa"/>
                  <w:tcBorders>
                    <w:top w:val="nil"/>
                    <w:left w:val="nil"/>
                    <w:bottom w:val="nil"/>
                    <w:right w:val="nil"/>
                  </w:tcBorders>
                  <w:shd w:val="clear" w:color="auto" w:fill="auto"/>
                  <w:noWrap/>
                  <w:vAlign w:val="center"/>
                  <w:hideMark/>
                </w:tcPr>
                <w:p w14:paraId="0464F351"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704</w:t>
                  </w:r>
                </w:p>
              </w:tc>
              <w:tc>
                <w:tcPr>
                  <w:tcW w:w="1062" w:type="dxa"/>
                  <w:tcBorders>
                    <w:top w:val="nil"/>
                    <w:left w:val="nil"/>
                    <w:bottom w:val="nil"/>
                    <w:right w:val="nil"/>
                  </w:tcBorders>
                  <w:shd w:val="clear" w:color="auto" w:fill="auto"/>
                  <w:noWrap/>
                  <w:vAlign w:val="center"/>
                  <w:hideMark/>
                </w:tcPr>
                <w:p w14:paraId="2FD719A2"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Pr>
                      <w:rFonts w:eastAsia="Times New Roman" w:cs="Times New Roman"/>
                      <w:color w:val="4472C4"/>
                      <w:sz w:val="20"/>
                      <w:szCs w:val="20"/>
                      <w:lang w:eastAsia="sk-SK"/>
                    </w:rPr>
                    <w:t>501</w:t>
                  </w:r>
                </w:p>
              </w:tc>
              <w:tc>
                <w:tcPr>
                  <w:tcW w:w="3055" w:type="dxa"/>
                  <w:tcBorders>
                    <w:top w:val="nil"/>
                    <w:left w:val="nil"/>
                    <w:bottom w:val="nil"/>
                    <w:right w:val="nil"/>
                  </w:tcBorders>
                  <w:shd w:val="clear" w:color="auto" w:fill="auto"/>
                  <w:noWrap/>
                  <w:vAlign w:val="center"/>
                  <w:hideMark/>
                </w:tcPr>
                <w:p w14:paraId="69FF1FF6"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1036</w:t>
                  </w:r>
                </w:p>
              </w:tc>
            </w:tr>
            <w:tr w:rsidR="009043D0" w:rsidRPr="003526CD" w14:paraId="681EBA04" w14:textId="77777777" w:rsidTr="00E75514">
              <w:trPr>
                <w:trHeight w:val="219"/>
              </w:trPr>
              <w:tc>
                <w:tcPr>
                  <w:tcW w:w="2557" w:type="dxa"/>
                  <w:tcBorders>
                    <w:top w:val="nil"/>
                    <w:left w:val="nil"/>
                    <w:bottom w:val="nil"/>
                    <w:right w:val="nil"/>
                  </w:tcBorders>
                  <w:shd w:val="clear" w:color="auto" w:fill="auto"/>
                  <w:noWrap/>
                  <w:vAlign w:val="center"/>
                  <w:hideMark/>
                </w:tcPr>
                <w:p w14:paraId="12246D8F" w14:textId="77777777" w:rsidR="009043D0" w:rsidRPr="003526CD" w:rsidRDefault="009043D0" w:rsidP="008A24D6">
                  <w:pPr>
                    <w:spacing w:after="0" w:line="240" w:lineRule="auto"/>
                    <w:jc w:val="left"/>
                    <w:rPr>
                      <w:rFonts w:eastAsia="Times New Roman" w:cs="Times New Roman"/>
                      <w:color w:val="4472C4"/>
                      <w:sz w:val="20"/>
                      <w:szCs w:val="20"/>
                      <w:lang w:eastAsia="sk-SK"/>
                    </w:rPr>
                  </w:pPr>
                  <w:r w:rsidRPr="003526CD">
                    <w:rPr>
                      <w:rFonts w:eastAsia="Times New Roman" w:cs="Times New Roman"/>
                      <w:color w:val="4472C4"/>
                      <w:sz w:val="20"/>
                      <w:szCs w:val="20"/>
                      <w:lang w:eastAsia="sk-SK"/>
                    </w:rPr>
                    <w:t>Technik</w:t>
                  </w:r>
                </w:p>
              </w:tc>
              <w:tc>
                <w:tcPr>
                  <w:tcW w:w="2080" w:type="dxa"/>
                  <w:tcBorders>
                    <w:top w:val="nil"/>
                    <w:left w:val="nil"/>
                    <w:bottom w:val="nil"/>
                    <w:right w:val="nil"/>
                  </w:tcBorders>
                  <w:shd w:val="clear" w:color="auto" w:fill="auto"/>
                  <w:noWrap/>
                  <w:vAlign w:val="center"/>
                  <w:hideMark/>
                </w:tcPr>
                <w:p w14:paraId="1A8BB555"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672</w:t>
                  </w:r>
                </w:p>
              </w:tc>
              <w:tc>
                <w:tcPr>
                  <w:tcW w:w="1062" w:type="dxa"/>
                  <w:tcBorders>
                    <w:top w:val="nil"/>
                    <w:left w:val="nil"/>
                    <w:bottom w:val="nil"/>
                    <w:right w:val="nil"/>
                  </w:tcBorders>
                  <w:shd w:val="clear" w:color="auto" w:fill="auto"/>
                  <w:noWrap/>
                  <w:vAlign w:val="center"/>
                  <w:hideMark/>
                </w:tcPr>
                <w:p w14:paraId="7CB8420F"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Pr>
                      <w:rFonts w:eastAsia="Times New Roman" w:cs="Times New Roman"/>
                      <w:color w:val="4472C4"/>
                      <w:sz w:val="20"/>
                      <w:szCs w:val="20"/>
                      <w:lang w:eastAsia="sk-SK"/>
                    </w:rPr>
                    <w:t>334</w:t>
                  </w:r>
                </w:p>
              </w:tc>
              <w:tc>
                <w:tcPr>
                  <w:tcW w:w="3055" w:type="dxa"/>
                  <w:tcBorders>
                    <w:top w:val="nil"/>
                    <w:left w:val="nil"/>
                    <w:bottom w:val="nil"/>
                    <w:right w:val="nil"/>
                  </w:tcBorders>
                  <w:shd w:val="clear" w:color="auto" w:fill="auto"/>
                  <w:noWrap/>
                  <w:vAlign w:val="bottom"/>
                  <w:hideMark/>
                </w:tcPr>
                <w:p w14:paraId="43CB44E4" w14:textId="77777777" w:rsidR="009043D0" w:rsidRPr="003526CD" w:rsidRDefault="009043D0" w:rsidP="003A6EC3">
                  <w:pPr>
                    <w:spacing w:after="0" w:line="240" w:lineRule="auto"/>
                    <w:jc w:val="center"/>
                    <w:rPr>
                      <w:rFonts w:eastAsia="Times New Roman" w:cs="Times New Roman"/>
                      <w:color w:val="4472C4"/>
                      <w:sz w:val="20"/>
                      <w:szCs w:val="20"/>
                      <w:lang w:eastAsia="sk-SK"/>
                    </w:rPr>
                  </w:pPr>
                </w:p>
              </w:tc>
            </w:tr>
            <w:tr w:rsidR="009043D0" w:rsidRPr="003526CD" w14:paraId="461B9D85" w14:textId="77777777" w:rsidTr="00E75514">
              <w:trPr>
                <w:trHeight w:val="219"/>
              </w:trPr>
              <w:tc>
                <w:tcPr>
                  <w:tcW w:w="2557" w:type="dxa"/>
                  <w:tcBorders>
                    <w:top w:val="nil"/>
                    <w:left w:val="nil"/>
                    <w:bottom w:val="nil"/>
                    <w:right w:val="nil"/>
                  </w:tcBorders>
                  <w:shd w:val="clear" w:color="auto" w:fill="auto"/>
                  <w:noWrap/>
                  <w:vAlign w:val="center"/>
                  <w:hideMark/>
                </w:tcPr>
                <w:p w14:paraId="7DD30776" w14:textId="77777777" w:rsidR="009043D0" w:rsidRPr="003526CD" w:rsidRDefault="009043D0" w:rsidP="008A24D6">
                  <w:pPr>
                    <w:spacing w:after="0" w:line="240" w:lineRule="auto"/>
                    <w:jc w:val="left"/>
                    <w:rPr>
                      <w:rFonts w:eastAsia="Times New Roman" w:cs="Times New Roman"/>
                      <w:color w:val="4472C4"/>
                      <w:sz w:val="20"/>
                      <w:szCs w:val="20"/>
                      <w:lang w:eastAsia="sk-SK"/>
                    </w:rPr>
                  </w:pPr>
                  <w:r w:rsidRPr="003526CD">
                    <w:rPr>
                      <w:rFonts w:eastAsia="Times New Roman" w:cs="Times New Roman"/>
                      <w:color w:val="4472C4"/>
                      <w:sz w:val="20"/>
                      <w:szCs w:val="20"/>
                      <w:lang w:eastAsia="sk-SK"/>
                    </w:rPr>
                    <w:lastRenderedPageBreak/>
                    <w:t>Tester</w:t>
                  </w:r>
                </w:p>
              </w:tc>
              <w:tc>
                <w:tcPr>
                  <w:tcW w:w="2080" w:type="dxa"/>
                  <w:tcBorders>
                    <w:top w:val="nil"/>
                    <w:left w:val="nil"/>
                    <w:bottom w:val="nil"/>
                    <w:right w:val="nil"/>
                  </w:tcBorders>
                  <w:shd w:val="clear" w:color="auto" w:fill="auto"/>
                  <w:noWrap/>
                  <w:vAlign w:val="center"/>
                  <w:hideMark/>
                </w:tcPr>
                <w:p w14:paraId="23D23C2B"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576</w:t>
                  </w:r>
                </w:p>
              </w:tc>
              <w:tc>
                <w:tcPr>
                  <w:tcW w:w="1062" w:type="dxa"/>
                  <w:tcBorders>
                    <w:top w:val="nil"/>
                    <w:left w:val="nil"/>
                    <w:bottom w:val="nil"/>
                    <w:right w:val="nil"/>
                  </w:tcBorders>
                  <w:shd w:val="clear" w:color="auto" w:fill="auto"/>
                  <w:noWrap/>
                  <w:vAlign w:val="center"/>
                  <w:hideMark/>
                </w:tcPr>
                <w:p w14:paraId="535B12AA"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Pr>
                      <w:rFonts w:eastAsia="Times New Roman" w:cs="Times New Roman"/>
                      <w:color w:val="4472C4"/>
                      <w:sz w:val="20"/>
                      <w:szCs w:val="20"/>
                      <w:lang w:eastAsia="sk-SK"/>
                    </w:rPr>
                    <w:t>377</w:t>
                  </w:r>
                </w:p>
              </w:tc>
              <w:tc>
                <w:tcPr>
                  <w:tcW w:w="3055" w:type="dxa"/>
                  <w:tcBorders>
                    <w:top w:val="nil"/>
                    <w:left w:val="nil"/>
                    <w:bottom w:val="nil"/>
                    <w:right w:val="nil"/>
                  </w:tcBorders>
                  <w:shd w:val="clear" w:color="auto" w:fill="auto"/>
                  <w:noWrap/>
                  <w:vAlign w:val="center"/>
                  <w:hideMark/>
                </w:tcPr>
                <w:p w14:paraId="67E7E3D0"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684</w:t>
                  </w:r>
                </w:p>
              </w:tc>
            </w:tr>
            <w:tr w:rsidR="009043D0" w:rsidRPr="003526CD" w14:paraId="29BB4902" w14:textId="77777777" w:rsidTr="00E75514">
              <w:trPr>
                <w:trHeight w:val="230"/>
              </w:trPr>
              <w:tc>
                <w:tcPr>
                  <w:tcW w:w="2557" w:type="dxa"/>
                  <w:tcBorders>
                    <w:top w:val="nil"/>
                    <w:left w:val="nil"/>
                    <w:bottom w:val="single" w:sz="8" w:space="0" w:color="4472C4"/>
                    <w:right w:val="nil"/>
                  </w:tcBorders>
                  <w:shd w:val="clear" w:color="auto" w:fill="auto"/>
                  <w:noWrap/>
                  <w:vAlign w:val="center"/>
                  <w:hideMark/>
                </w:tcPr>
                <w:p w14:paraId="2C76D3EE" w14:textId="77777777" w:rsidR="009043D0" w:rsidRPr="003526CD" w:rsidRDefault="009043D0" w:rsidP="008A24D6">
                  <w:pPr>
                    <w:spacing w:after="0" w:line="240" w:lineRule="auto"/>
                    <w:jc w:val="left"/>
                    <w:rPr>
                      <w:rFonts w:eastAsia="Times New Roman" w:cs="Times New Roman"/>
                      <w:color w:val="4472C4"/>
                      <w:sz w:val="20"/>
                      <w:szCs w:val="20"/>
                      <w:lang w:eastAsia="sk-SK"/>
                    </w:rPr>
                  </w:pPr>
                  <w:r w:rsidRPr="003526CD">
                    <w:rPr>
                      <w:rFonts w:eastAsia="Times New Roman" w:cs="Times New Roman"/>
                      <w:color w:val="4472C4"/>
                      <w:sz w:val="20"/>
                      <w:szCs w:val="20"/>
                      <w:lang w:eastAsia="sk-SK"/>
                    </w:rPr>
                    <w:t>Vedúci projektu</w:t>
                  </w:r>
                </w:p>
              </w:tc>
              <w:tc>
                <w:tcPr>
                  <w:tcW w:w="2080" w:type="dxa"/>
                  <w:tcBorders>
                    <w:top w:val="nil"/>
                    <w:left w:val="nil"/>
                    <w:bottom w:val="single" w:sz="8" w:space="0" w:color="4472C4"/>
                    <w:right w:val="nil"/>
                  </w:tcBorders>
                  <w:shd w:val="clear" w:color="auto" w:fill="auto"/>
                  <w:noWrap/>
                  <w:vAlign w:val="center"/>
                  <w:hideMark/>
                </w:tcPr>
                <w:p w14:paraId="65AD186B"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764</w:t>
                  </w:r>
                </w:p>
              </w:tc>
              <w:tc>
                <w:tcPr>
                  <w:tcW w:w="1062" w:type="dxa"/>
                  <w:tcBorders>
                    <w:top w:val="nil"/>
                    <w:left w:val="nil"/>
                    <w:bottom w:val="single" w:sz="8" w:space="0" w:color="4472C4"/>
                    <w:right w:val="nil"/>
                  </w:tcBorders>
                  <w:shd w:val="clear" w:color="auto" w:fill="auto"/>
                  <w:noWrap/>
                  <w:vAlign w:val="center"/>
                  <w:hideMark/>
                </w:tcPr>
                <w:p w14:paraId="3C8E9B3C"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Pr>
                      <w:rFonts w:eastAsia="Times New Roman" w:cs="Times New Roman"/>
                      <w:color w:val="4472C4"/>
                      <w:sz w:val="20"/>
                      <w:szCs w:val="20"/>
                      <w:lang w:eastAsia="sk-SK"/>
                    </w:rPr>
                    <w:t>555</w:t>
                  </w:r>
                </w:p>
              </w:tc>
              <w:tc>
                <w:tcPr>
                  <w:tcW w:w="3055" w:type="dxa"/>
                  <w:tcBorders>
                    <w:top w:val="nil"/>
                    <w:left w:val="nil"/>
                    <w:bottom w:val="single" w:sz="8" w:space="0" w:color="4472C4"/>
                    <w:right w:val="nil"/>
                  </w:tcBorders>
                  <w:shd w:val="clear" w:color="auto" w:fill="auto"/>
                  <w:noWrap/>
                  <w:vAlign w:val="center"/>
                  <w:hideMark/>
                </w:tcPr>
                <w:p w14:paraId="45E628E2" w14:textId="77777777" w:rsidR="009043D0" w:rsidRPr="003526CD" w:rsidRDefault="009043D0" w:rsidP="003A6EC3">
                  <w:pPr>
                    <w:spacing w:after="0" w:line="240" w:lineRule="auto"/>
                    <w:jc w:val="center"/>
                    <w:rPr>
                      <w:rFonts w:eastAsia="Times New Roman" w:cs="Times New Roman"/>
                      <w:color w:val="4472C4"/>
                      <w:sz w:val="20"/>
                      <w:szCs w:val="20"/>
                      <w:lang w:eastAsia="sk-SK"/>
                    </w:rPr>
                  </w:pPr>
                  <w:r w:rsidRPr="003526CD">
                    <w:rPr>
                      <w:rFonts w:eastAsia="Times New Roman" w:cs="Times New Roman"/>
                      <w:color w:val="4472C4"/>
                      <w:sz w:val="20"/>
                      <w:szCs w:val="20"/>
                      <w:lang w:eastAsia="sk-SK"/>
                    </w:rPr>
                    <w:t>1 068</w:t>
                  </w:r>
                </w:p>
              </w:tc>
            </w:tr>
            <w:tr w:rsidR="009043D0" w:rsidRPr="003526CD" w14:paraId="61CEC2CC" w14:textId="77777777" w:rsidTr="00E75514">
              <w:trPr>
                <w:trHeight w:val="230"/>
              </w:trPr>
              <w:tc>
                <w:tcPr>
                  <w:tcW w:w="2557" w:type="dxa"/>
                  <w:tcBorders>
                    <w:top w:val="nil"/>
                    <w:left w:val="nil"/>
                    <w:bottom w:val="single" w:sz="4" w:space="0" w:color="2E74B5" w:themeColor="accent1" w:themeShade="BF"/>
                    <w:right w:val="nil"/>
                  </w:tcBorders>
                  <w:shd w:val="clear" w:color="auto" w:fill="auto"/>
                  <w:noWrap/>
                  <w:vAlign w:val="center"/>
                  <w:hideMark/>
                </w:tcPr>
                <w:p w14:paraId="10ECA294" w14:textId="77777777" w:rsidR="009043D0" w:rsidRPr="003526CD" w:rsidRDefault="009043D0" w:rsidP="008A24D6">
                  <w:pPr>
                    <w:spacing w:after="0" w:line="240" w:lineRule="auto"/>
                    <w:jc w:val="left"/>
                    <w:rPr>
                      <w:rFonts w:eastAsia="Times New Roman" w:cs="Times New Roman"/>
                      <w:b/>
                      <w:bCs/>
                      <w:i/>
                      <w:iCs/>
                      <w:color w:val="4472C4"/>
                      <w:sz w:val="20"/>
                      <w:szCs w:val="20"/>
                      <w:lang w:eastAsia="sk-SK"/>
                    </w:rPr>
                  </w:pPr>
                  <w:r w:rsidRPr="003526CD">
                    <w:rPr>
                      <w:rFonts w:eastAsia="Times New Roman" w:cs="Times New Roman"/>
                      <w:b/>
                      <w:bCs/>
                      <w:i/>
                      <w:iCs/>
                      <w:color w:val="4472C4"/>
                      <w:sz w:val="20"/>
                      <w:szCs w:val="20"/>
                      <w:lang w:eastAsia="sk-SK"/>
                    </w:rPr>
                    <w:t>Spolu</w:t>
                  </w:r>
                </w:p>
              </w:tc>
              <w:tc>
                <w:tcPr>
                  <w:tcW w:w="2080" w:type="dxa"/>
                  <w:tcBorders>
                    <w:top w:val="nil"/>
                    <w:left w:val="nil"/>
                    <w:bottom w:val="single" w:sz="4" w:space="0" w:color="2E74B5" w:themeColor="accent1" w:themeShade="BF"/>
                    <w:right w:val="nil"/>
                  </w:tcBorders>
                  <w:shd w:val="clear" w:color="auto" w:fill="auto"/>
                  <w:noWrap/>
                  <w:vAlign w:val="center"/>
                  <w:hideMark/>
                </w:tcPr>
                <w:p w14:paraId="6125BADD" w14:textId="77777777" w:rsidR="009043D0" w:rsidRPr="003526CD" w:rsidRDefault="009043D0" w:rsidP="003A6EC3">
                  <w:pPr>
                    <w:spacing w:after="0" w:line="240" w:lineRule="auto"/>
                    <w:jc w:val="center"/>
                    <w:rPr>
                      <w:rFonts w:eastAsia="Times New Roman" w:cs="Times New Roman"/>
                      <w:b/>
                      <w:bCs/>
                      <w:color w:val="4472C4"/>
                      <w:sz w:val="20"/>
                      <w:szCs w:val="20"/>
                      <w:lang w:eastAsia="sk-SK"/>
                    </w:rPr>
                  </w:pPr>
                  <w:r w:rsidRPr="003526CD">
                    <w:rPr>
                      <w:rFonts w:eastAsia="Times New Roman" w:cs="Times New Roman"/>
                      <w:b/>
                      <w:bCs/>
                      <w:color w:val="4472C4"/>
                      <w:sz w:val="20"/>
                      <w:szCs w:val="20"/>
                      <w:lang w:eastAsia="sk-SK"/>
                    </w:rPr>
                    <w:t>672</w:t>
                  </w:r>
                </w:p>
              </w:tc>
              <w:tc>
                <w:tcPr>
                  <w:tcW w:w="1062" w:type="dxa"/>
                  <w:tcBorders>
                    <w:top w:val="nil"/>
                    <w:left w:val="nil"/>
                    <w:bottom w:val="single" w:sz="4" w:space="0" w:color="2E74B5" w:themeColor="accent1" w:themeShade="BF"/>
                    <w:right w:val="nil"/>
                  </w:tcBorders>
                  <w:shd w:val="clear" w:color="auto" w:fill="auto"/>
                  <w:noWrap/>
                  <w:vAlign w:val="center"/>
                  <w:hideMark/>
                </w:tcPr>
                <w:p w14:paraId="7F7EABD7" w14:textId="77777777" w:rsidR="009043D0" w:rsidRPr="003526CD" w:rsidRDefault="009043D0" w:rsidP="003A6EC3">
                  <w:pPr>
                    <w:spacing w:after="0" w:line="240" w:lineRule="auto"/>
                    <w:jc w:val="center"/>
                    <w:rPr>
                      <w:rFonts w:eastAsia="Times New Roman" w:cs="Times New Roman"/>
                      <w:b/>
                      <w:bCs/>
                      <w:color w:val="4472C4"/>
                      <w:sz w:val="20"/>
                      <w:szCs w:val="20"/>
                      <w:lang w:eastAsia="sk-SK"/>
                    </w:rPr>
                  </w:pPr>
                  <w:r>
                    <w:rPr>
                      <w:rFonts w:eastAsia="Times New Roman" w:cs="Times New Roman"/>
                      <w:b/>
                      <w:bCs/>
                      <w:color w:val="4472C4"/>
                      <w:sz w:val="20"/>
                      <w:szCs w:val="20"/>
                      <w:lang w:eastAsia="sk-SK"/>
                    </w:rPr>
                    <w:t>459</w:t>
                  </w:r>
                </w:p>
              </w:tc>
              <w:tc>
                <w:tcPr>
                  <w:tcW w:w="3055" w:type="dxa"/>
                  <w:tcBorders>
                    <w:top w:val="nil"/>
                    <w:left w:val="nil"/>
                    <w:bottom w:val="single" w:sz="4" w:space="0" w:color="2E74B5" w:themeColor="accent1" w:themeShade="BF"/>
                    <w:right w:val="nil"/>
                  </w:tcBorders>
                  <w:shd w:val="clear" w:color="auto" w:fill="auto"/>
                  <w:noWrap/>
                  <w:vAlign w:val="center"/>
                  <w:hideMark/>
                </w:tcPr>
                <w:p w14:paraId="3993451A" w14:textId="77777777" w:rsidR="009043D0" w:rsidRPr="003526CD" w:rsidRDefault="009043D0" w:rsidP="003A6EC3">
                  <w:pPr>
                    <w:spacing w:after="0" w:line="240" w:lineRule="auto"/>
                    <w:jc w:val="center"/>
                    <w:rPr>
                      <w:rFonts w:eastAsia="Times New Roman" w:cs="Times New Roman"/>
                      <w:b/>
                      <w:bCs/>
                      <w:color w:val="4472C4"/>
                      <w:sz w:val="20"/>
                      <w:szCs w:val="20"/>
                      <w:lang w:eastAsia="sk-SK"/>
                    </w:rPr>
                  </w:pPr>
                  <w:r w:rsidRPr="003526CD">
                    <w:rPr>
                      <w:rFonts w:eastAsia="Times New Roman" w:cs="Times New Roman"/>
                      <w:b/>
                      <w:bCs/>
                      <w:color w:val="4472C4"/>
                      <w:sz w:val="20"/>
                      <w:szCs w:val="20"/>
                      <w:lang w:eastAsia="sk-SK"/>
                    </w:rPr>
                    <w:t> </w:t>
                  </w:r>
                </w:p>
              </w:tc>
            </w:tr>
            <w:tr w:rsidR="009043D0" w:rsidRPr="00661C70" w14:paraId="1AF086E0" w14:textId="77777777" w:rsidTr="00E75514">
              <w:trPr>
                <w:trHeight w:val="230"/>
              </w:trPr>
              <w:tc>
                <w:tcPr>
                  <w:tcW w:w="8754" w:type="dxa"/>
                  <w:gridSpan w:val="4"/>
                  <w:tcBorders>
                    <w:top w:val="single" w:sz="4" w:space="0" w:color="2E74B5" w:themeColor="accent1" w:themeShade="BF"/>
                    <w:left w:val="nil"/>
                    <w:right w:val="nil"/>
                  </w:tcBorders>
                  <w:shd w:val="clear" w:color="auto" w:fill="auto"/>
                  <w:noWrap/>
                </w:tcPr>
                <w:p w14:paraId="5413E978" w14:textId="77777777" w:rsidR="009043D0" w:rsidRPr="000C0319" w:rsidRDefault="009043D0" w:rsidP="008A24D6">
                  <w:pPr>
                    <w:spacing w:after="0"/>
                    <w:jc w:val="right"/>
                    <w:rPr>
                      <w:rFonts w:eastAsia="Times New Roman" w:cs="Times New Roman"/>
                      <w:bCs/>
                      <w:i/>
                      <w:color w:val="4472C4"/>
                      <w:sz w:val="18"/>
                      <w:szCs w:val="20"/>
                      <w:lang w:eastAsia="sk-SK"/>
                    </w:rPr>
                  </w:pPr>
                  <w:r w:rsidRPr="000C0319">
                    <w:rPr>
                      <w:rFonts w:eastAsia="Times New Roman" w:cs="Times New Roman"/>
                      <w:bCs/>
                      <w:i/>
                      <w:color w:val="4472C4"/>
                      <w:sz w:val="18"/>
                      <w:szCs w:val="20"/>
                      <w:lang w:eastAsia="sk-SK"/>
                    </w:rPr>
                    <w:t>Zdroj:</w:t>
                  </w:r>
                  <w:r>
                    <w:rPr>
                      <w:rFonts w:eastAsia="Times New Roman" w:cs="Times New Roman"/>
                      <w:bCs/>
                      <w:i/>
                      <w:color w:val="4472C4"/>
                      <w:sz w:val="18"/>
                      <w:szCs w:val="20"/>
                      <w:lang w:eastAsia="sk-SK"/>
                    </w:rPr>
                    <w:t xml:space="preserve"> CRZ, </w:t>
                  </w:r>
                  <w:r w:rsidRPr="00661C70">
                    <w:rPr>
                      <w:rFonts w:eastAsia="Times New Roman" w:cs="Times New Roman"/>
                      <w:bCs/>
                      <w:i/>
                      <w:color w:val="4472C4"/>
                      <w:sz w:val="18"/>
                      <w:szCs w:val="20"/>
                      <w:lang w:eastAsia="sk-SK"/>
                    </w:rPr>
                    <w:t>Přehled obvyklých cen ICT prací</w:t>
                  </w:r>
                  <w:r>
                    <w:rPr>
                      <w:rFonts w:eastAsia="Times New Roman" w:cs="Times New Roman"/>
                      <w:bCs/>
                      <w:i/>
                      <w:color w:val="4472C4"/>
                      <w:sz w:val="18"/>
                      <w:szCs w:val="20"/>
                      <w:lang w:eastAsia="sk-SK"/>
                    </w:rPr>
                    <w:t xml:space="preserve"> (MV ČR), Spracovanie ÚHP</w:t>
                  </w:r>
                </w:p>
              </w:tc>
            </w:tr>
          </w:tbl>
          <w:p w14:paraId="1872F088" w14:textId="77777777" w:rsidR="009043D0" w:rsidRPr="00765192" w:rsidRDefault="009043D0" w:rsidP="008A24D6">
            <w:pPr>
              <w:rPr>
                <w:sz w:val="20"/>
              </w:rPr>
            </w:pPr>
          </w:p>
        </w:tc>
      </w:tr>
    </w:tbl>
    <w:p w14:paraId="19969393" w14:textId="0BC542AA" w:rsidR="0059256C" w:rsidRDefault="009043D0" w:rsidP="0059256C">
      <w:pPr>
        <w:spacing w:before="120"/>
      </w:pPr>
      <w:r>
        <w:rPr>
          <w:b/>
        </w:rPr>
        <w:lastRenderedPageBreak/>
        <w:t xml:space="preserve">Dodatočnú úsporu je možné dosiahnuť aplikovaním bežne poskytovaných zliav vo výške 10-30% pri nákupe hardvéru a softvéru. </w:t>
      </w:r>
      <w:r w:rsidR="0059256C" w:rsidRPr="00765192">
        <w:t>Náklady na nákup štandardného hardvéru a softvéru sú pri IT projektoch bežne rozpočtované podľa cenníkových cien</w:t>
      </w:r>
      <w:r w:rsidR="00902169">
        <w:t>.</w:t>
      </w:r>
      <w:r w:rsidR="0059256C" w:rsidRPr="00765192">
        <w:t xml:space="preserve"> </w:t>
      </w:r>
      <w:r w:rsidR="00670181">
        <w:t>Použitie cenníkových cien poskytuje odhad horného rámca nákladov. Reálne trhové ceny sú podľa analýzy ÚHP predkladaných IT projektov a vybraných zmlúv nižšie</w:t>
      </w:r>
      <w:r w:rsidR="008E2381">
        <w:t>. Z</w:t>
      </w:r>
      <w:r w:rsidR="00670181">
        <w:t>ľava sa najčastejšie pohybuje na úrovni 10-30 %</w:t>
      </w:r>
      <w:r w:rsidR="0059256C" w:rsidRPr="00765192">
        <w:t>.</w:t>
      </w:r>
      <w:r w:rsidR="00670181">
        <w:t xml:space="preserve"> </w:t>
      </w:r>
      <w:r w:rsidR="0059256C" w:rsidRPr="00765192">
        <w:t xml:space="preserve">Náklady na nákup služieb sú štandardne rozpočtované podľa historických zmlúv, ktoré nemusia odzrkadľovať súčasnú situáciu na trhu. </w:t>
      </w:r>
    </w:p>
    <w:tbl>
      <w:tblPr>
        <w:tblStyle w:val="Tabukasmriekou6farebnzvraznenie5"/>
        <w:tblW w:w="0" w:type="auto"/>
        <w:tblLook w:val="0420" w:firstRow="1" w:lastRow="0" w:firstColumn="0" w:lastColumn="0" w:noHBand="0" w:noVBand="1"/>
      </w:tblPr>
      <w:tblGrid>
        <w:gridCol w:w="9062"/>
      </w:tblGrid>
      <w:tr w:rsidR="00682172" w:rsidRPr="00765192" w14:paraId="0FEBA699" w14:textId="77777777" w:rsidTr="00682172">
        <w:trPr>
          <w:cnfStyle w:val="100000000000" w:firstRow="1" w:lastRow="0" w:firstColumn="0" w:lastColumn="0" w:oddVBand="0" w:evenVBand="0" w:oddHBand="0" w:evenHBand="0" w:firstRowFirstColumn="0" w:firstRowLastColumn="0" w:lastRowFirstColumn="0" w:lastRowLastColumn="0"/>
        </w:trPr>
        <w:tc>
          <w:tcPr>
            <w:tcW w:w="9062" w:type="dxa"/>
          </w:tcPr>
          <w:p w14:paraId="40A83450" w14:textId="77777777" w:rsidR="00682172" w:rsidRPr="00765192" w:rsidRDefault="00682172">
            <w:pPr>
              <w:rPr>
                <w:sz w:val="20"/>
              </w:rPr>
            </w:pPr>
            <w:r w:rsidRPr="00765192">
              <w:rPr>
                <w:sz w:val="20"/>
              </w:rPr>
              <w:t xml:space="preserve">Box: </w:t>
            </w:r>
            <w:r w:rsidR="0035209F">
              <w:rPr>
                <w:sz w:val="20"/>
              </w:rPr>
              <w:t xml:space="preserve">Zľavy z cenníkových cien hardvéru </w:t>
            </w:r>
          </w:p>
        </w:tc>
      </w:tr>
      <w:tr w:rsidR="00682172" w:rsidRPr="00765192" w14:paraId="7DCEBC88" w14:textId="77777777" w:rsidTr="0037129E">
        <w:trPr>
          <w:cnfStyle w:val="000000100000" w:firstRow="0" w:lastRow="0" w:firstColumn="0" w:lastColumn="0" w:oddVBand="0" w:evenVBand="0" w:oddHBand="1" w:evenHBand="0" w:firstRowFirstColumn="0" w:firstRowLastColumn="0" w:lastRowFirstColumn="0" w:lastRowLastColumn="0"/>
          <w:trHeight w:val="43"/>
        </w:trPr>
        <w:tc>
          <w:tcPr>
            <w:tcW w:w="9062" w:type="dxa"/>
          </w:tcPr>
          <w:p w14:paraId="5E6304A3" w14:textId="77777777" w:rsidR="00B03BA1" w:rsidRDefault="00682172" w:rsidP="0037129E">
            <w:pPr>
              <w:spacing w:before="120" w:after="120"/>
              <w:rPr>
                <w:sz w:val="20"/>
              </w:rPr>
            </w:pPr>
            <w:r>
              <w:rPr>
                <w:sz w:val="20"/>
              </w:rPr>
              <w:t xml:space="preserve">Pri nákupe hardvéru </w:t>
            </w:r>
            <w:r w:rsidR="00B03BA1">
              <w:rPr>
                <w:sz w:val="20"/>
              </w:rPr>
              <w:t>je prvotný odhad rozpočtu</w:t>
            </w:r>
            <w:r>
              <w:rPr>
                <w:sz w:val="20"/>
              </w:rPr>
              <w:t xml:space="preserve"> bežne zostaven</w:t>
            </w:r>
            <w:r w:rsidR="00B03BA1">
              <w:rPr>
                <w:sz w:val="20"/>
              </w:rPr>
              <w:t>ý</w:t>
            </w:r>
            <w:r>
              <w:rPr>
                <w:sz w:val="20"/>
              </w:rPr>
              <w:t xml:space="preserve"> podľa globálnych cenníkových cien</w:t>
            </w:r>
            <w:r w:rsidR="00B03BA1">
              <w:rPr>
                <w:sz w:val="20"/>
              </w:rPr>
              <w:t xml:space="preserve"> výrobcu</w:t>
            </w:r>
            <w:r>
              <w:rPr>
                <w:sz w:val="20"/>
              </w:rPr>
              <w:t xml:space="preserve">. </w:t>
            </w:r>
            <w:r w:rsidR="00B03BA1">
              <w:rPr>
                <w:sz w:val="20"/>
              </w:rPr>
              <w:t>Cenníková cena je spravidla nastavená pri uvedení výrobku na trh, predajca má možnosť neskôr ju prispôsobiť podľa veku zariadenia alebo aktuálnej situácie na trhu. Tomu je potrebné prispôsobiť aj odhad rozpočtu</w:t>
            </w:r>
            <w:r w:rsidR="001D1A5B">
              <w:rPr>
                <w:rStyle w:val="Odkaznapoznmkupodiarou"/>
                <w:sz w:val="20"/>
              </w:rPr>
              <w:footnoteReference w:id="36"/>
            </w:r>
            <w:r w:rsidR="00B03BA1">
              <w:rPr>
                <w:sz w:val="20"/>
              </w:rPr>
              <w:t>. Podľa analýzy ÚHP vybraných často nakupovaných produktov môže byť reálna cena na trhu výrazne nižšia, ako cenníkov</w:t>
            </w:r>
            <w:r w:rsidR="00FB1767">
              <w:rPr>
                <w:sz w:val="20"/>
              </w:rPr>
              <w:t>á cena. Príkladom sú vybrané nákup</w:t>
            </w:r>
            <w:r w:rsidR="00070EE9">
              <w:rPr>
                <w:sz w:val="20"/>
              </w:rPr>
              <w:t>y</w:t>
            </w:r>
            <w:r w:rsidR="00FB1767">
              <w:rPr>
                <w:sz w:val="20"/>
              </w:rPr>
              <w:t xml:space="preserve"> zariadení</w:t>
            </w:r>
            <w:r w:rsidR="00B03BA1">
              <w:rPr>
                <w:sz w:val="20"/>
              </w:rPr>
              <w:t xml:space="preserve"> CISCO</w:t>
            </w:r>
            <w:r w:rsidR="00070EE9">
              <w:rPr>
                <w:sz w:val="20"/>
              </w:rPr>
              <w:t>.</w:t>
            </w:r>
            <w:r w:rsidR="00B03BA1">
              <w:rPr>
                <w:sz w:val="20"/>
              </w:rPr>
              <w:t xml:space="preserve"> </w:t>
            </w:r>
            <w:r w:rsidR="00070EE9">
              <w:rPr>
                <w:sz w:val="20"/>
              </w:rPr>
              <w:t>Š</w:t>
            </w:r>
            <w:r w:rsidR="00B03BA1">
              <w:rPr>
                <w:sz w:val="20"/>
              </w:rPr>
              <w:t xml:space="preserve">tát </w:t>
            </w:r>
            <w:r w:rsidR="00070EE9">
              <w:rPr>
                <w:sz w:val="20"/>
              </w:rPr>
              <w:t xml:space="preserve">pri nich </w:t>
            </w:r>
            <w:r w:rsidR="00B03BA1">
              <w:rPr>
                <w:sz w:val="20"/>
              </w:rPr>
              <w:t xml:space="preserve">získal </w:t>
            </w:r>
            <w:r w:rsidR="00070EE9">
              <w:rPr>
                <w:sz w:val="20"/>
              </w:rPr>
              <w:t>v porovnaní s cenníkovými cenami zľavu 20-60 %. Maloobchodná cena, za ktorú boli produkty ponúkané v online obchodoch, bola ešte nižšia</w:t>
            </w:r>
            <w:r w:rsidR="00B03BA1">
              <w:rPr>
                <w:sz w:val="20"/>
              </w:rPr>
              <w:t xml:space="preserve">. </w:t>
            </w:r>
          </w:p>
          <w:p w14:paraId="17B5BEE1" w14:textId="70E59C6A" w:rsidR="00682172" w:rsidRPr="0037129E" w:rsidRDefault="00B03BA1" w:rsidP="0037129E">
            <w:pPr>
              <w:spacing w:before="120"/>
              <w:rPr>
                <w:b/>
                <w:sz w:val="20"/>
              </w:rPr>
            </w:pPr>
            <w:r w:rsidRPr="0037129E">
              <w:rPr>
                <w:b/>
                <w:sz w:val="20"/>
              </w:rPr>
              <w:t xml:space="preserve">Tabuľka </w:t>
            </w:r>
            <w:r w:rsidR="004E2A91">
              <w:rPr>
                <w:b/>
                <w:sz w:val="20"/>
              </w:rPr>
              <w:t>10</w:t>
            </w:r>
            <w:r w:rsidRPr="0037129E">
              <w:rPr>
                <w:b/>
                <w:sz w:val="20"/>
              </w:rPr>
              <w:t>: Zľavy z cenníkových cien vybraných CISCO zariadení</w:t>
            </w:r>
          </w:p>
          <w:tbl>
            <w:tblPr>
              <w:tblW w:w="8784" w:type="dxa"/>
              <w:tblCellMar>
                <w:left w:w="70" w:type="dxa"/>
                <w:right w:w="70" w:type="dxa"/>
              </w:tblCellMar>
              <w:tblLook w:val="04A0" w:firstRow="1" w:lastRow="0" w:firstColumn="1" w:lastColumn="0" w:noHBand="0" w:noVBand="1"/>
            </w:tblPr>
            <w:tblGrid>
              <w:gridCol w:w="1305"/>
              <w:gridCol w:w="1134"/>
              <w:gridCol w:w="2410"/>
              <w:gridCol w:w="2851"/>
              <w:gridCol w:w="1084"/>
            </w:tblGrid>
            <w:tr w:rsidR="00682172" w:rsidRPr="00682172" w14:paraId="6E3C5E61" w14:textId="77777777" w:rsidTr="0037129E">
              <w:trPr>
                <w:trHeight w:val="266"/>
              </w:trPr>
              <w:tc>
                <w:tcPr>
                  <w:tcW w:w="1305" w:type="dxa"/>
                  <w:tcBorders>
                    <w:top w:val="single" w:sz="4" w:space="0" w:color="4472C4" w:themeColor="accent5"/>
                    <w:left w:val="nil"/>
                    <w:bottom w:val="single" w:sz="4" w:space="0" w:color="4472C4" w:themeColor="accent5"/>
                    <w:right w:val="nil"/>
                  </w:tcBorders>
                  <w:shd w:val="clear" w:color="auto" w:fill="auto"/>
                  <w:noWrap/>
                  <w:vAlign w:val="center"/>
                  <w:hideMark/>
                </w:tcPr>
                <w:p w14:paraId="3268732A" w14:textId="77777777" w:rsidR="00682172" w:rsidRPr="0037129E" w:rsidRDefault="00682172">
                  <w:pPr>
                    <w:spacing w:after="0" w:line="240" w:lineRule="auto"/>
                    <w:jc w:val="left"/>
                    <w:rPr>
                      <w:b/>
                      <w:color w:val="2F5496" w:themeColor="accent5" w:themeShade="BF"/>
                      <w:sz w:val="20"/>
                    </w:rPr>
                  </w:pPr>
                  <w:r w:rsidRPr="0037129E">
                    <w:rPr>
                      <w:b/>
                      <w:color w:val="2F5496" w:themeColor="accent5" w:themeShade="BF"/>
                      <w:sz w:val="20"/>
                    </w:rPr>
                    <w:t>Typ zariadenia</w:t>
                  </w:r>
                </w:p>
              </w:tc>
              <w:tc>
                <w:tcPr>
                  <w:tcW w:w="1134" w:type="dxa"/>
                  <w:tcBorders>
                    <w:top w:val="single" w:sz="4" w:space="0" w:color="4472C4" w:themeColor="accent5"/>
                    <w:left w:val="nil"/>
                    <w:bottom w:val="single" w:sz="4" w:space="0" w:color="4472C4" w:themeColor="accent5"/>
                    <w:right w:val="nil"/>
                  </w:tcBorders>
                  <w:shd w:val="clear" w:color="auto" w:fill="auto"/>
                  <w:noWrap/>
                  <w:vAlign w:val="center"/>
                  <w:hideMark/>
                </w:tcPr>
                <w:p w14:paraId="6C16D94A" w14:textId="77777777" w:rsidR="00682172" w:rsidRPr="0037129E" w:rsidRDefault="00682172">
                  <w:pPr>
                    <w:spacing w:after="0" w:line="240" w:lineRule="auto"/>
                    <w:jc w:val="center"/>
                    <w:rPr>
                      <w:b/>
                      <w:color w:val="2F5496" w:themeColor="accent5" w:themeShade="BF"/>
                      <w:sz w:val="20"/>
                    </w:rPr>
                  </w:pPr>
                  <w:r w:rsidRPr="0037129E">
                    <w:rPr>
                      <w:b/>
                      <w:color w:val="2F5496" w:themeColor="accent5" w:themeShade="BF"/>
                      <w:sz w:val="20"/>
                    </w:rPr>
                    <w:t>Počet kusov</w:t>
                  </w:r>
                </w:p>
              </w:tc>
              <w:tc>
                <w:tcPr>
                  <w:tcW w:w="2410" w:type="dxa"/>
                  <w:tcBorders>
                    <w:top w:val="single" w:sz="4" w:space="0" w:color="4472C4" w:themeColor="accent5"/>
                    <w:left w:val="nil"/>
                    <w:bottom w:val="single" w:sz="4" w:space="0" w:color="4472C4" w:themeColor="accent5"/>
                    <w:right w:val="nil"/>
                  </w:tcBorders>
                  <w:shd w:val="clear" w:color="auto" w:fill="auto"/>
                  <w:noWrap/>
                  <w:vAlign w:val="center"/>
                  <w:hideMark/>
                </w:tcPr>
                <w:p w14:paraId="439ACD37" w14:textId="77777777" w:rsidR="00682172" w:rsidRPr="0037129E" w:rsidRDefault="00682172">
                  <w:pPr>
                    <w:spacing w:after="0" w:line="240" w:lineRule="auto"/>
                    <w:jc w:val="center"/>
                    <w:rPr>
                      <w:b/>
                      <w:color w:val="2F5496" w:themeColor="accent5" w:themeShade="BF"/>
                      <w:sz w:val="20"/>
                    </w:rPr>
                  </w:pPr>
                  <w:r w:rsidRPr="0037129E">
                    <w:rPr>
                      <w:b/>
                      <w:color w:val="2F5496" w:themeColor="accent5" w:themeShade="BF"/>
                      <w:sz w:val="20"/>
                    </w:rPr>
                    <w:t>Priemerná zľava VO</w:t>
                  </w:r>
                </w:p>
              </w:tc>
              <w:tc>
                <w:tcPr>
                  <w:tcW w:w="2851" w:type="dxa"/>
                  <w:tcBorders>
                    <w:top w:val="single" w:sz="4" w:space="0" w:color="4472C4" w:themeColor="accent5"/>
                    <w:left w:val="nil"/>
                    <w:bottom w:val="single" w:sz="4" w:space="0" w:color="4472C4" w:themeColor="accent5"/>
                    <w:right w:val="nil"/>
                  </w:tcBorders>
                  <w:shd w:val="clear" w:color="auto" w:fill="auto"/>
                  <w:noWrap/>
                  <w:vAlign w:val="center"/>
                  <w:hideMark/>
                </w:tcPr>
                <w:p w14:paraId="24BF8F06" w14:textId="77777777" w:rsidR="00682172" w:rsidRPr="0037129E" w:rsidRDefault="00682172">
                  <w:pPr>
                    <w:spacing w:after="0" w:line="240" w:lineRule="auto"/>
                    <w:jc w:val="center"/>
                    <w:rPr>
                      <w:b/>
                      <w:color w:val="2F5496" w:themeColor="accent5" w:themeShade="BF"/>
                      <w:sz w:val="20"/>
                    </w:rPr>
                  </w:pPr>
                  <w:r w:rsidRPr="0037129E">
                    <w:rPr>
                      <w:b/>
                      <w:color w:val="2F5496" w:themeColor="accent5" w:themeShade="BF"/>
                      <w:sz w:val="20"/>
                    </w:rPr>
                    <w:t xml:space="preserve">Priemerná </w:t>
                  </w:r>
                  <w:r>
                    <w:rPr>
                      <w:b/>
                      <w:color w:val="2F5496" w:themeColor="accent5" w:themeShade="BF"/>
                      <w:sz w:val="20"/>
                    </w:rPr>
                    <w:t>maloobchodná</w:t>
                  </w:r>
                  <w:r w:rsidRPr="0037129E">
                    <w:rPr>
                      <w:b/>
                      <w:color w:val="2F5496" w:themeColor="accent5" w:themeShade="BF"/>
                      <w:sz w:val="20"/>
                    </w:rPr>
                    <w:t xml:space="preserve"> zľava</w:t>
                  </w:r>
                </w:p>
              </w:tc>
              <w:tc>
                <w:tcPr>
                  <w:tcW w:w="1084" w:type="dxa"/>
                  <w:tcBorders>
                    <w:top w:val="single" w:sz="4" w:space="0" w:color="4472C4" w:themeColor="accent5"/>
                    <w:left w:val="nil"/>
                    <w:bottom w:val="single" w:sz="4" w:space="0" w:color="4472C4" w:themeColor="accent5"/>
                    <w:right w:val="nil"/>
                  </w:tcBorders>
                  <w:shd w:val="clear" w:color="auto" w:fill="auto"/>
                  <w:noWrap/>
                  <w:vAlign w:val="center"/>
                  <w:hideMark/>
                </w:tcPr>
                <w:p w14:paraId="63DE9D10" w14:textId="77777777" w:rsidR="00682172" w:rsidRPr="0037129E" w:rsidRDefault="00682172">
                  <w:pPr>
                    <w:spacing w:after="0" w:line="240" w:lineRule="auto"/>
                    <w:jc w:val="center"/>
                    <w:rPr>
                      <w:b/>
                      <w:color w:val="2F5496" w:themeColor="accent5" w:themeShade="BF"/>
                      <w:sz w:val="20"/>
                    </w:rPr>
                  </w:pPr>
                  <w:r w:rsidRPr="0037129E">
                    <w:rPr>
                      <w:b/>
                      <w:color w:val="2F5496" w:themeColor="accent5" w:themeShade="BF"/>
                      <w:sz w:val="20"/>
                    </w:rPr>
                    <w:t>Rozdiel p.b.</w:t>
                  </w:r>
                </w:p>
              </w:tc>
            </w:tr>
            <w:tr w:rsidR="00682172" w:rsidRPr="00682172" w14:paraId="2B027D59" w14:textId="77777777" w:rsidTr="0037129E">
              <w:trPr>
                <w:trHeight w:val="70"/>
              </w:trPr>
              <w:tc>
                <w:tcPr>
                  <w:tcW w:w="1305" w:type="dxa"/>
                  <w:tcBorders>
                    <w:top w:val="single" w:sz="4" w:space="0" w:color="4472C4" w:themeColor="accent5"/>
                    <w:left w:val="nil"/>
                    <w:bottom w:val="nil"/>
                    <w:right w:val="nil"/>
                  </w:tcBorders>
                  <w:shd w:val="clear" w:color="auto" w:fill="auto"/>
                  <w:noWrap/>
                  <w:vAlign w:val="center"/>
                  <w:hideMark/>
                </w:tcPr>
                <w:p w14:paraId="1CFD9AD6" w14:textId="77777777" w:rsidR="00682172" w:rsidRPr="0037129E" w:rsidRDefault="00682172">
                  <w:pPr>
                    <w:spacing w:after="0" w:line="240" w:lineRule="auto"/>
                    <w:jc w:val="left"/>
                    <w:rPr>
                      <w:color w:val="2F5496" w:themeColor="accent5" w:themeShade="BF"/>
                      <w:sz w:val="20"/>
                    </w:rPr>
                  </w:pPr>
                  <w:r w:rsidRPr="0037129E">
                    <w:rPr>
                      <w:color w:val="2F5496" w:themeColor="accent5" w:themeShade="BF"/>
                      <w:sz w:val="20"/>
                    </w:rPr>
                    <w:t>IP Telefón</w:t>
                  </w:r>
                </w:p>
              </w:tc>
              <w:tc>
                <w:tcPr>
                  <w:tcW w:w="1134" w:type="dxa"/>
                  <w:tcBorders>
                    <w:top w:val="single" w:sz="4" w:space="0" w:color="4472C4" w:themeColor="accent5"/>
                    <w:left w:val="nil"/>
                    <w:bottom w:val="nil"/>
                    <w:right w:val="nil"/>
                  </w:tcBorders>
                  <w:shd w:val="clear" w:color="auto" w:fill="auto"/>
                  <w:noWrap/>
                  <w:vAlign w:val="bottom"/>
                  <w:hideMark/>
                </w:tcPr>
                <w:p w14:paraId="4829D749"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1111</w:t>
                  </w:r>
                </w:p>
              </w:tc>
              <w:tc>
                <w:tcPr>
                  <w:tcW w:w="2410" w:type="dxa"/>
                  <w:tcBorders>
                    <w:top w:val="single" w:sz="4" w:space="0" w:color="4472C4" w:themeColor="accent5"/>
                    <w:left w:val="nil"/>
                    <w:bottom w:val="nil"/>
                    <w:right w:val="nil"/>
                  </w:tcBorders>
                  <w:shd w:val="clear" w:color="auto" w:fill="auto"/>
                  <w:noWrap/>
                  <w:vAlign w:val="bottom"/>
                  <w:hideMark/>
                </w:tcPr>
                <w:p w14:paraId="0834F9AB"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-59%</w:t>
                  </w:r>
                </w:p>
              </w:tc>
              <w:tc>
                <w:tcPr>
                  <w:tcW w:w="2851" w:type="dxa"/>
                  <w:tcBorders>
                    <w:top w:val="single" w:sz="4" w:space="0" w:color="4472C4" w:themeColor="accent5"/>
                    <w:left w:val="nil"/>
                    <w:bottom w:val="nil"/>
                    <w:right w:val="nil"/>
                  </w:tcBorders>
                  <w:shd w:val="clear" w:color="auto" w:fill="auto"/>
                  <w:noWrap/>
                  <w:vAlign w:val="bottom"/>
                  <w:hideMark/>
                </w:tcPr>
                <w:p w14:paraId="735AC90B"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-62%</w:t>
                  </w:r>
                </w:p>
              </w:tc>
              <w:tc>
                <w:tcPr>
                  <w:tcW w:w="1084" w:type="dxa"/>
                  <w:tcBorders>
                    <w:top w:val="single" w:sz="4" w:space="0" w:color="4472C4" w:themeColor="accent5"/>
                    <w:left w:val="nil"/>
                    <w:bottom w:val="nil"/>
                    <w:right w:val="nil"/>
                  </w:tcBorders>
                  <w:shd w:val="clear" w:color="auto" w:fill="auto"/>
                  <w:noWrap/>
                  <w:vAlign w:val="bottom"/>
                  <w:hideMark/>
                </w:tcPr>
                <w:p w14:paraId="7CDFA679"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-3%</w:t>
                  </w:r>
                </w:p>
              </w:tc>
            </w:tr>
            <w:tr w:rsidR="00682172" w:rsidRPr="00682172" w14:paraId="3228AA57" w14:textId="77777777" w:rsidTr="0037129E">
              <w:trPr>
                <w:trHeight w:val="80"/>
              </w:trPr>
              <w:tc>
                <w:tcPr>
                  <w:tcW w:w="1305" w:type="dxa"/>
                  <w:tcBorders>
                    <w:top w:val="nil"/>
                    <w:left w:val="nil"/>
                    <w:bottom w:val="nil"/>
                    <w:right w:val="nil"/>
                  </w:tcBorders>
                  <w:shd w:val="clear" w:color="auto" w:fill="auto"/>
                  <w:noWrap/>
                  <w:vAlign w:val="center"/>
                  <w:hideMark/>
                </w:tcPr>
                <w:p w14:paraId="198F8FE2" w14:textId="77777777" w:rsidR="00682172" w:rsidRPr="0037129E" w:rsidRDefault="00682172">
                  <w:pPr>
                    <w:spacing w:after="0" w:line="240" w:lineRule="auto"/>
                    <w:jc w:val="left"/>
                    <w:rPr>
                      <w:color w:val="2F5496" w:themeColor="accent5" w:themeShade="BF"/>
                      <w:sz w:val="20"/>
                    </w:rPr>
                  </w:pPr>
                  <w:r w:rsidRPr="0037129E">
                    <w:rPr>
                      <w:color w:val="2F5496" w:themeColor="accent5" w:themeShade="BF"/>
                      <w:sz w:val="20"/>
                    </w:rPr>
                    <w:t>Switch</w:t>
                  </w:r>
                </w:p>
              </w:tc>
              <w:tc>
                <w:tcPr>
                  <w:tcW w:w="1134" w:type="dxa"/>
                  <w:tcBorders>
                    <w:top w:val="nil"/>
                    <w:left w:val="nil"/>
                    <w:bottom w:val="nil"/>
                    <w:right w:val="nil"/>
                  </w:tcBorders>
                  <w:shd w:val="clear" w:color="auto" w:fill="auto"/>
                  <w:noWrap/>
                  <w:vAlign w:val="bottom"/>
                  <w:hideMark/>
                </w:tcPr>
                <w:p w14:paraId="338F8EB2"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469</w:t>
                  </w:r>
                </w:p>
              </w:tc>
              <w:tc>
                <w:tcPr>
                  <w:tcW w:w="2410" w:type="dxa"/>
                  <w:tcBorders>
                    <w:top w:val="nil"/>
                    <w:left w:val="nil"/>
                    <w:bottom w:val="nil"/>
                    <w:right w:val="nil"/>
                  </w:tcBorders>
                  <w:shd w:val="clear" w:color="auto" w:fill="auto"/>
                  <w:noWrap/>
                  <w:vAlign w:val="bottom"/>
                  <w:hideMark/>
                </w:tcPr>
                <w:p w14:paraId="256201FB"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-37%</w:t>
                  </w:r>
                </w:p>
              </w:tc>
              <w:tc>
                <w:tcPr>
                  <w:tcW w:w="2851" w:type="dxa"/>
                  <w:tcBorders>
                    <w:top w:val="nil"/>
                    <w:left w:val="nil"/>
                    <w:bottom w:val="nil"/>
                    <w:right w:val="nil"/>
                  </w:tcBorders>
                  <w:shd w:val="clear" w:color="auto" w:fill="auto"/>
                  <w:noWrap/>
                  <w:vAlign w:val="bottom"/>
                  <w:hideMark/>
                </w:tcPr>
                <w:p w14:paraId="3BF2C051"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-52%</w:t>
                  </w:r>
                </w:p>
              </w:tc>
              <w:tc>
                <w:tcPr>
                  <w:tcW w:w="1084" w:type="dxa"/>
                  <w:tcBorders>
                    <w:top w:val="nil"/>
                    <w:left w:val="nil"/>
                    <w:bottom w:val="nil"/>
                    <w:right w:val="nil"/>
                  </w:tcBorders>
                  <w:shd w:val="clear" w:color="auto" w:fill="auto"/>
                  <w:noWrap/>
                  <w:vAlign w:val="bottom"/>
                  <w:hideMark/>
                </w:tcPr>
                <w:p w14:paraId="6AC8BDDD"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-16%</w:t>
                  </w:r>
                </w:p>
              </w:tc>
            </w:tr>
            <w:tr w:rsidR="00682172" w:rsidRPr="00682172" w14:paraId="7E199D2E" w14:textId="77777777" w:rsidTr="0037129E">
              <w:trPr>
                <w:trHeight w:val="80"/>
              </w:trPr>
              <w:tc>
                <w:tcPr>
                  <w:tcW w:w="1305" w:type="dxa"/>
                  <w:tcBorders>
                    <w:top w:val="nil"/>
                    <w:left w:val="nil"/>
                    <w:bottom w:val="nil"/>
                    <w:right w:val="nil"/>
                  </w:tcBorders>
                  <w:shd w:val="clear" w:color="auto" w:fill="auto"/>
                  <w:noWrap/>
                  <w:vAlign w:val="center"/>
                  <w:hideMark/>
                </w:tcPr>
                <w:p w14:paraId="5D1BAA8A" w14:textId="77777777" w:rsidR="00682172" w:rsidRPr="0037129E" w:rsidRDefault="00682172">
                  <w:pPr>
                    <w:spacing w:after="0" w:line="240" w:lineRule="auto"/>
                    <w:jc w:val="left"/>
                    <w:rPr>
                      <w:color w:val="2F5496" w:themeColor="accent5" w:themeShade="BF"/>
                      <w:sz w:val="20"/>
                    </w:rPr>
                  </w:pPr>
                  <w:r w:rsidRPr="0037129E">
                    <w:rPr>
                      <w:color w:val="2F5496" w:themeColor="accent5" w:themeShade="BF"/>
                      <w:sz w:val="20"/>
                    </w:rPr>
                    <w:t>Access Point</w:t>
                  </w:r>
                </w:p>
              </w:tc>
              <w:tc>
                <w:tcPr>
                  <w:tcW w:w="1134" w:type="dxa"/>
                  <w:tcBorders>
                    <w:top w:val="nil"/>
                    <w:left w:val="nil"/>
                    <w:bottom w:val="nil"/>
                    <w:right w:val="nil"/>
                  </w:tcBorders>
                  <w:shd w:val="clear" w:color="auto" w:fill="auto"/>
                  <w:noWrap/>
                  <w:vAlign w:val="bottom"/>
                  <w:hideMark/>
                </w:tcPr>
                <w:p w14:paraId="096A4F4C"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291</w:t>
                  </w:r>
                </w:p>
              </w:tc>
              <w:tc>
                <w:tcPr>
                  <w:tcW w:w="2410" w:type="dxa"/>
                  <w:tcBorders>
                    <w:top w:val="nil"/>
                    <w:left w:val="nil"/>
                    <w:bottom w:val="nil"/>
                    <w:right w:val="nil"/>
                  </w:tcBorders>
                  <w:shd w:val="clear" w:color="auto" w:fill="auto"/>
                  <w:noWrap/>
                  <w:vAlign w:val="bottom"/>
                  <w:hideMark/>
                </w:tcPr>
                <w:p w14:paraId="4E70BDF2"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-46%</w:t>
                  </w:r>
                </w:p>
              </w:tc>
              <w:tc>
                <w:tcPr>
                  <w:tcW w:w="2851" w:type="dxa"/>
                  <w:tcBorders>
                    <w:top w:val="nil"/>
                    <w:left w:val="nil"/>
                    <w:bottom w:val="nil"/>
                    <w:right w:val="nil"/>
                  </w:tcBorders>
                  <w:shd w:val="clear" w:color="auto" w:fill="auto"/>
                  <w:noWrap/>
                  <w:vAlign w:val="bottom"/>
                  <w:hideMark/>
                </w:tcPr>
                <w:p w14:paraId="5633D49D"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-60%</w:t>
                  </w:r>
                </w:p>
              </w:tc>
              <w:tc>
                <w:tcPr>
                  <w:tcW w:w="1084" w:type="dxa"/>
                  <w:tcBorders>
                    <w:top w:val="nil"/>
                    <w:left w:val="nil"/>
                    <w:bottom w:val="nil"/>
                    <w:right w:val="nil"/>
                  </w:tcBorders>
                  <w:shd w:val="clear" w:color="auto" w:fill="auto"/>
                  <w:noWrap/>
                  <w:vAlign w:val="bottom"/>
                  <w:hideMark/>
                </w:tcPr>
                <w:p w14:paraId="1D7073DD"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-14%</w:t>
                  </w:r>
                </w:p>
              </w:tc>
            </w:tr>
            <w:tr w:rsidR="00682172" w:rsidRPr="00682172" w14:paraId="6E2983C5" w14:textId="77777777" w:rsidTr="0037129E">
              <w:trPr>
                <w:trHeight w:val="80"/>
              </w:trPr>
              <w:tc>
                <w:tcPr>
                  <w:tcW w:w="1305" w:type="dxa"/>
                  <w:tcBorders>
                    <w:top w:val="nil"/>
                    <w:left w:val="nil"/>
                    <w:bottom w:val="single" w:sz="4" w:space="0" w:color="4472C4" w:themeColor="accent5"/>
                    <w:right w:val="nil"/>
                  </w:tcBorders>
                  <w:shd w:val="clear" w:color="auto" w:fill="auto"/>
                  <w:noWrap/>
                  <w:vAlign w:val="center"/>
                  <w:hideMark/>
                </w:tcPr>
                <w:p w14:paraId="37AFDAE2" w14:textId="77777777" w:rsidR="00682172" w:rsidRPr="0037129E" w:rsidRDefault="00682172">
                  <w:pPr>
                    <w:spacing w:after="0" w:line="240" w:lineRule="auto"/>
                    <w:jc w:val="left"/>
                    <w:rPr>
                      <w:color w:val="2F5496" w:themeColor="accent5" w:themeShade="BF"/>
                      <w:sz w:val="20"/>
                    </w:rPr>
                  </w:pPr>
                  <w:r w:rsidRPr="0037129E">
                    <w:rPr>
                      <w:color w:val="2F5496" w:themeColor="accent5" w:themeShade="BF"/>
                      <w:sz w:val="20"/>
                    </w:rPr>
                    <w:t>Router</w:t>
                  </w:r>
                </w:p>
              </w:tc>
              <w:tc>
                <w:tcPr>
                  <w:tcW w:w="1134" w:type="dxa"/>
                  <w:tcBorders>
                    <w:top w:val="nil"/>
                    <w:left w:val="nil"/>
                    <w:bottom w:val="single" w:sz="4" w:space="0" w:color="4472C4" w:themeColor="accent5"/>
                    <w:right w:val="nil"/>
                  </w:tcBorders>
                  <w:shd w:val="clear" w:color="auto" w:fill="auto"/>
                  <w:noWrap/>
                  <w:vAlign w:val="bottom"/>
                  <w:hideMark/>
                </w:tcPr>
                <w:p w14:paraId="706CDC9A"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82</w:t>
                  </w:r>
                </w:p>
              </w:tc>
              <w:tc>
                <w:tcPr>
                  <w:tcW w:w="2410" w:type="dxa"/>
                  <w:tcBorders>
                    <w:top w:val="nil"/>
                    <w:left w:val="nil"/>
                    <w:bottom w:val="single" w:sz="4" w:space="0" w:color="4472C4" w:themeColor="accent5"/>
                    <w:right w:val="nil"/>
                  </w:tcBorders>
                  <w:shd w:val="clear" w:color="auto" w:fill="auto"/>
                  <w:noWrap/>
                  <w:vAlign w:val="bottom"/>
                  <w:hideMark/>
                </w:tcPr>
                <w:p w14:paraId="1B57EB3F"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-21%</w:t>
                  </w:r>
                </w:p>
              </w:tc>
              <w:tc>
                <w:tcPr>
                  <w:tcW w:w="2851" w:type="dxa"/>
                  <w:tcBorders>
                    <w:top w:val="nil"/>
                    <w:left w:val="nil"/>
                    <w:bottom w:val="single" w:sz="4" w:space="0" w:color="4472C4" w:themeColor="accent5"/>
                    <w:right w:val="nil"/>
                  </w:tcBorders>
                  <w:shd w:val="clear" w:color="auto" w:fill="auto"/>
                  <w:noWrap/>
                  <w:vAlign w:val="bottom"/>
                  <w:hideMark/>
                </w:tcPr>
                <w:p w14:paraId="16E88790"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-49%</w:t>
                  </w:r>
                </w:p>
              </w:tc>
              <w:tc>
                <w:tcPr>
                  <w:tcW w:w="1084" w:type="dxa"/>
                  <w:tcBorders>
                    <w:top w:val="nil"/>
                    <w:left w:val="nil"/>
                    <w:bottom w:val="single" w:sz="4" w:space="0" w:color="4472C4" w:themeColor="accent5"/>
                    <w:right w:val="nil"/>
                  </w:tcBorders>
                  <w:shd w:val="clear" w:color="auto" w:fill="auto"/>
                  <w:noWrap/>
                  <w:vAlign w:val="bottom"/>
                  <w:hideMark/>
                </w:tcPr>
                <w:p w14:paraId="71A55136" w14:textId="77777777" w:rsidR="00682172" w:rsidRPr="0037129E" w:rsidRDefault="00682172" w:rsidP="00682172">
                  <w:pPr>
                    <w:spacing w:after="0" w:line="240" w:lineRule="auto"/>
                    <w:jc w:val="center"/>
                    <w:rPr>
                      <w:color w:val="2F5496" w:themeColor="accent5" w:themeShade="BF"/>
                      <w:sz w:val="20"/>
                    </w:rPr>
                  </w:pPr>
                  <w:r w:rsidRPr="0037129E">
                    <w:rPr>
                      <w:color w:val="2F5496" w:themeColor="accent5" w:themeShade="BF"/>
                      <w:sz w:val="20"/>
                    </w:rPr>
                    <w:t>-28%</w:t>
                  </w:r>
                </w:p>
              </w:tc>
            </w:tr>
            <w:tr w:rsidR="00682172" w:rsidRPr="00682172" w14:paraId="2653F53C" w14:textId="77777777" w:rsidTr="0037129E">
              <w:trPr>
                <w:trHeight w:val="266"/>
              </w:trPr>
              <w:tc>
                <w:tcPr>
                  <w:tcW w:w="8784" w:type="dxa"/>
                  <w:gridSpan w:val="5"/>
                  <w:tcBorders>
                    <w:top w:val="single" w:sz="4" w:space="0" w:color="4472C4" w:themeColor="accent5"/>
                    <w:left w:val="nil"/>
                    <w:bottom w:val="nil"/>
                    <w:right w:val="nil"/>
                  </w:tcBorders>
                  <w:shd w:val="clear" w:color="auto" w:fill="auto"/>
                  <w:noWrap/>
                  <w:hideMark/>
                </w:tcPr>
                <w:p w14:paraId="49B0FFD9" w14:textId="77777777" w:rsidR="00682172" w:rsidRPr="0037129E" w:rsidRDefault="00682172" w:rsidP="00682172">
                  <w:pPr>
                    <w:spacing w:after="0" w:line="240" w:lineRule="auto"/>
                    <w:jc w:val="right"/>
                    <w:rPr>
                      <w:i/>
                      <w:color w:val="2F5496" w:themeColor="accent5" w:themeShade="BF"/>
                      <w:sz w:val="18"/>
                    </w:rPr>
                  </w:pPr>
                  <w:r w:rsidRPr="0037129E">
                    <w:rPr>
                      <w:i/>
                      <w:color w:val="2F5496" w:themeColor="accent5" w:themeShade="BF"/>
                      <w:sz w:val="18"/>
                    </w:rPr>
                    <w:t>Zdroj: CRZ, online cenníky, spracovanie ÚHP</w:t>
                  </w:r>
                </w:p>
              </w:tc>
            </w:tr>
          </w:tbl>
          <w:p w14:paraId="7DF3CA9F" w14:textId="77777777" w:rsidR="000F7432" w:rsidRDefault="00841258" w:rsidP="0037129E">
            <w:pPr>
              <w:spacing w:after="120"/>
              <w:rPr>
                <w:sz w:val="20"/>
              </w:rPr>
            </w:pPr>
            <w:r>
              <w:rPr>
                <w:sz w:val="20"/>
              </w:rPr>
              <w:t>Dôležitým faktorom pri</w:t>
            </w:r>
            <w:r w:rsidR="000F7432">
              <w:rPr>
                <w:sz w:val="20"/>
              </w:rPr>
              <w:t xml:space="preserve"> stanovení a</w:t>
            </w:r>
            <w:r>
              <w:rPr>
                <w:sz w:val="20"/>
              </w:rPr>
              <w:t xml:space="preserve"> </w:t>
            </w:r>
            <w:r w:rsidR="000F7432">
              <w:rPr>
                <w:sz w:val="20"/>
              </w:rPr>
              <w:t>porovnaní</w:t>
            </w:r>
            <w:r>
              <w:rPr>
                <w:sz w:val="20"/>
              </w:rPr>
              <w:t xml:space="preserve"> konečnej ceny hardvéru sú doplnkové služby, ktoré sú objednávané spolu so zariadením, a sú zahrnuté do jeho konečnej ceny. V konečnej cene môžu byť zahrnuté rôzne služby nadštandardnej podpory, licencie, alebo ďalšie rozšírenia. Príkladom je nákup sieťových zariadení pri modernizácii</w:t>
            </w:r>
            <w:r w:rsidRPr="00841258">
              <w:rPr>
                <w:sz w:val="20"/>
              </w:rPr>
              <w:t xml:space="preserve"> elektronickej komunikačnej siete ŽSR</w:t>
            </w:r>
            <w:r w:rsidR="000F7432">
              <w:rPr>
                <w:sz w:val="20"/>
              </w:rPr>
              <w:t>, kde rozšírená podpora tvorí 50 % ceny</w:t>
            </w:r>
            <w:r w:rsidR="00606E91">
              <w:rPr>
                <w:rStyle w:val="Odkaznapoznmkupodiarou"/>
                <w:sz w:val="20"/>
              </w:rPr>
              <w:footnoteReference w:id="37"/>
            </w:r>
            <w:r w:rsidR="000F7432">
              <w:rPr>
                <w:sz w:val="20"/>
              </w:rPr>
              <w:t>.</w:t>
            </w:r>
            <w:r w:rsidR="000F7432" w:rsidRPr="000F7432">
              <w:rPr>
                <w:sz w:val="20"/>
              </w:rPr>
              <w:t xml:space="preserve"> </w:t>
            </w:r>
          </w:p>
          <w:p w14:paraId="0CB12F13" w14:textId="77777777" w:rsidR="000F7432" w:rsidRDefault="000F7432">
            <w:pPr>
              <w:rPr>
                <w:sz w:val="20"/>
              </w:rPr>
            </w:pPr>
            <w:r w:rsidRPr="000F7432">
              <w:rPr>
                <w:sz w:val="20"/>
              </w:rPr>
              <w:t>Štúdia definuje</w:t>
            </w:r>
            <w:r>
              <w:rPr>
                <w:sz w:val="20"/>
              </w:rPr>
              <w:t xml:space="preserve"> </w:t>
            </w:r>
            <w:r w:rsidRPr="000F7432">
              <w:rPr>
                <w:sz w:val="20"/>
              </w:rPr>
              <w:t>4 úrovne dôležitosti</w:t>
            </w:r>
            <w:r w:rsidR="00606E91">
              <w:rPr>
                <w:sz w:val="20"/>
              </w:rPr>
              <w:t xml:space="preserve"> sieťových</w:t>
            </w:r>
            <w:r w:rsidRPr="000F7432">
              <w:rPr>
                <w:sz w:val="20"/>
              </w:rPr>
              <w:t xml:space="preserve"> lokalít (chrbtica siete, agregačná, pre-agregačná a prístupová vrstva). Rámcová zmluva,</w:t>
            </w:r>
            <w:r w:rsidR="00606E91">
              <w:rPr>
                <w:sz w:val="20"/>
              </w:rPr>
              <w:t xml:space="preserve"> </w:t>
            </w:r>
            <w:r w:rsidRPr="000F7432">
              <w:rPr>
                <w:sz w:val="20"/>
              </w:rPr>
              <w:t>prostredníctvom ktorej majú byť nakupované sieťové zariadenia, definuje jedinú úroveň externej podpory, ktorá</w:t>
            </w:r>
            <w:r>
              <w:rPr>
                <w:sz w:val="20"/>
              </w:rPr>
              <w:t xml:space="preserve"> </w:t>
            </w:r>
            <w:r w:rsidRPr="000F7432">
              <w:rPr>
                <w:sz w:val="20"/>
              </w:rPr>
              <w:t>zodpovedá kritickej infraštruktúre (napr. výmena zariadení do 4 hod. od poruchy).</w:t>
            </w:r>
            <w:r w:rsidR="00D8284B">
              <w:rPr>
                <w:sz w:val="20"/>
              </w:rPr>
              <w:t xml:space="preserve"> Štandardná maloobchodná cena, ktorá je nižšia v priemere o 55 %, zaháňa zákonom definovanú záruku s dobou vybavenia reklamácie do 30 dní. Okrem ceny zariadenia je potrebné zanalyzovať aj skutočnú potrebu </w:t>
            </w:r>
            <w:r w:rsidR="0035209F">
              <w:rPr>
                <w:sz w:val="20"/>
              </w:rPr>
              <w:t xml:space="preserve">a cenu </w:t>
            </w:r>
            <w:r w:rsidR="00D8284B">
              <w:rPr>
                <w:sz w:val="20"/>
              </w:rPr>
              <w:t>doplnkových služieb.</w:t>
            </w:r>
            <w:r w:rsidRPr="000F7432">
              <w:rPr>
                <w:sz w:val="20"/>
              </w:rPr>
              <w:t xml:space="preserve"> </w:t>
            </w:r>
            <w:r w:rsidR="00D8284B">
              <w:rPr>
                <w:sz w:val="20"/>
              </w:rPr>
              <w:t>Ceny hardvéru nie sú priamo porovnateľné, ak nie sú doplnkové služby nacenené samostatné a sú zahrnuté v cene zariadenia</w:t>
            </w:r>
            <w:r>
              <w:rPr>
                <w:sz w:val="20"/>
              </w:rPr>
              <w:t>.</w:t>
            </w:r>
            <w:r w:rsidR="00D8284B">
              <w:rPr>
                <w:sz w:val="20"/>
              </w:rPr>
              <w:t xml:space="preserve"> </w:t>
            </w:r>
            <w:r w:rsidR="0035209F">
              <w:rPr>
                <w:sz w:val="20"/>
              </w:rPr>
              <w:t>Ceny zariadení a doplnkových služieb a rozšírení je potrebné uvádzať individuálne.</w:t>
            </w:r>
          </w:p>
          <w:p w14:paraId="0467A261" w14:textId="77777777" w:rsidR="00D8284B" w:rsidRDefault="00D8284B">
            <w:pPr>
              <w:rPr>
                <w:sz w:val="20"/>
              </w:rPr>
            </w:pPr>
          </w:p>
          <w:p w14:paraId="16CD18BD" w14:textId="46056325" w:rsidR="000F7432" w:rsidRPr="0037129E" w:rsidRDefault="00D8284B">
            <w:pPr>
              <w:rPr>
                <w:b/>
                <w:sz w:val="20"/>
              </w:rPr>
            </w:pPr>
            <w:r w:rsidRPr="0037129E">
              <w:rPr>
                <w:b/>
                <w:sz w:val="20"/>
              </w:rPr>
              <w:t xml:space="preserve">Tabuľka </w:t>
            </w:r>
            <w:r w:rsidR="004E2A91">
              <w:rPr>
                <w:b/>
                <w:sz w:val="20"/>
              </w:rPr>
              <w:t>11</w:t>
            </w:r>
            <w:r w:rsidRPr="0037129E">
              <w:rPr>
                <w:b/>
                <w:sz w:val="20"/>
              </w:rPr>
              <w:t>: Porovnanie jednotkových cien prepínačov</w:t>
            </w:r>
            <w:r>
              <w:rPr>
                <w:b/>
                <w:sz w:val="20"/>
              </w:rPr>
              <w:t xml:space="preserve"> s rôznou úrovňou podpory</w:t>
            </w:r>
          </w:p>
          <w:tbl>
            <w:tblPr>
              <w:tblW w:w="8813" w:type="dxa"/>
              <w:tblCellMar>
                <w:left w:w="70" w:type="dxa"/>
                <w:right w:w="70" w:type="dxa"/>
              </w:tblCellMar>
              <w:tblLook w:val="04A0" w:firstRow="1" w:lastRow="0" w:firstColumn="1" w:lastColumn="0" w:noHBand="0" w:noVBand="1"/>
            </w:tblPr>
            <w:tblGrid>
              <w:gridCol w:w="1779"/>
              <w:gridCol w:w="2503"/>
              <w:gridCol w:w="3260"/>
              <w:gridCol w:w="1271"/>
            </w:tblGrid>
            <w:tr w:rsidR="00D8284B" w:rsidRPr="00D8284B" w14:paraId="20136EE6" w14:textId="77777777" w:rsidTr="0037129E">
              <w:trPr>
                <w:trHeight w:val="267"/>
              </w:trPr>
              <w:tc>
                <w:tcPr>
                  <w:tcW w:w="1779" w:type="dxa"/>
                  <w:tcBorders>
                    <w:top w:val="single" w:sz="4" w:space="0" w:color="4472C4" w:themeColor="accent5"/>
                    <w:left w:val="nil"/>
                    <w:bottom w:val="single" w:sz="4" w:space="0" w:color="4472C4" w:themeColor="accent5"/>
                    <w:right w:val="nil"/>
                  </w:tcBorders>
                  <w:shd w:val="clear" w:color="auto" w:fill="auto"/>
                  <w:noWrap/>
                  <w:vAlign w:val="bottom"/>
                  <w:hideMark/>
                </w:tcPr>
                <w:p w14:paraId="553AD8A9" w14:textId="77777777" w:rsidR="00D8284B" w:rsidRPr="0037129E" w:rsidRDefault="00D8284B" w:rsidP="00D8284B">
                  <w:pPr>
                    <w:spacing w:after="0" w:line="240" w:lineRule="auto"/>
                    <w:jc w:val="left"/>
                    <w:rPr>
                      <w:b/>
                      <w:color w:val="2F5496" w:themeColor="accent5" w:themeShade="BF"/>
                      <w:sz w:val="18"/>
                    </w:rPr>
                  </w:pPr>
                  <w:r w:rsidRPr="0037129E">
                    <w:rPr>
                      <w:b/>
                      <w:color w:val="2F5496" w:themeColor="accent5" w:themeShade="BF"/>
                      <w:sz w:val="18"/>
                    </w:rPr>
                    <w:t>Model</w:t>
                  </w:r>
                </w:p>
              </w:tc>
              <w:tc>
                <w:tcPr>
                  <w:tcW w:w="2503" w:type="dxa"/>
                  <w:tcBorders>
                    <w:top w:val="single" w:sz="4" w:space="0" w:color="4472C4" w:themeColor="accent5"/>
                    <w:left w:val="nil"/>
                    <w:bottom w:val="single" w:sz="4" w:space="0" w:color="4472C4" w:themeColor="accent5"/>
                    <w:right w:val="nil"/>
                  </w:tcBorders>
                  <w:shd w:val="clear" w:color="auto" w:fill="auto"/>
                  <w:noWrap/>
                  <w:vAlign w:val="bottom"/>
                  <w:hideMark/>
                </w:tcPr>
                <w:p w14:paraId="4D96A89B" w14:textId="77777777" w:rsidR="00D8284B" w:rsidRPr="0037129E" w:rsidRDefault="00D8284B" w:rsidP="00D8284B">
                  <w:pPr>
                    <w:spacing w:after="0" w:line="240" w:lineRule="auto"/>
                    <w:jc w:val="center"/>
                    <w:rPr>
                      <w:b/>
                      <w:color w:val="2F5496" w:themeColor="accent5" w:themeShade="BF"/>
                      <w:sz w:val="18"/>
                    </w:rPr>
                  </w:pPr>
                  <w:r w:rsidRPr="0037129E">
                    <w:rPr>
                      <w:b/>
                      <w:color w:val="2F5496" w:themeColor="accent5" w:themeShade="BF"/>
                      <w:sz w:val="18"/>
                    </w:rPr>
                    <w:t>Zmluvná cena (kritická podpora)</w:t>
                  </w:r>
                </w:p>
              </w:tc>
              <w:tc>
                <w:tcPr>
                  <w:tcW w:w="3260" w:type="dxa"/>
                  <w:tcBorders>
                    <w:top w:val="single" w:sz="4" w:space="0" w:color="4472C4" w:themeColor="accent5"/>
                    <w:left w:val="nil"/>
                    <w:bottom w:val="single" w:sz="4" w:space="0" w:color="4472C4" w:themeColor="accent5"/>
                    <w:right w:val="nil"/>
                  </w:tcBorders>
                  <w:shd w:val="clear" w:color="auto" w:fill="auto"/>
                  <w:noWrap/>
                  <w:vAlign w:val="bottom"/>
                  <w:hideMark/>
                </w:tcPr>
                <w:p w14:paraId="27CF1AA7" w14:textId="77777777" w:rsidR="00D8284B" w:rsidRPr="0037129E" w:rsidRDefault="00D8284B" w:rsidP="00D8284B">
                  <w:pPr>
                    <w:spacing w:after="0" w:line="240" w:lineRule="auto"/>
                    <w:jc w:val="center"/>
                    <w:rPr>
                      <w:b/>
                      <w:color w:val="2F5496" w:themeColor="accent5" w:themeShade="BF"/>
                      <w:sz w:val="18"/>
                    </w:rPr>
                  </w:pPr>
                  <w:r w:rsidRPr="0037129E">
                    <w:rPr>
                      <w:b/>
                      <w:color w:val="2F5496" w:themeColor="accent5" w:themeShade="BF"/>
                      <w:sz w:val="18"/>
                    </w:rPr>
                    <w:t>Maloobchodná cena (záručná podpora)</w:t>
                  </w:r>
                </w:p>
              </w:tc>
              <w:tc>
                <w:tcPr>
                  <w:tcW w:w="1271" w:type="dxa"/>
                  <w:tcBorders>
                    <w:top w:val="single" w:sz="4" w:space="0" w:color="4472C4" w:themeColor="accent5"/>
                    <w:left w:val="nil"/>
                    <w:bottom w:val="single" w:sz="4" w:space="0" w:color="4472C4" w:themeColor="accent5"/>
                    <w:right w:val="nil"/>
                  </w:tcBorders>
                  <w:shd w:val="clear" w:color="auto" w:fill="auto"/>
                  <w:noWrap/>
                  <w:vAlign w:val="bottom"/>
                  <w:hideMark/>
                </w:tcPr>
                <w:p w14:paraId="4F3E3210" w14:textId="77777777" w:rsidR="00D8284B" w:rsidRPr="0037129E" w:rsidRDefault="00D8284B" w:rsidP="00D8284B">
                  <w:pPr>
                    <w:spacing w:after="0" w:line="240" w:lineRule="auto"/>
                    <w:jc w:val="center"/>
                    <w:rPr>
                      <w:b/>
                      <w:color w:val="2F5496" w:themeColor="accent5" w:themeShade="BF"/>
                      <w:sz w:val="18"/>
                    </w:rPr>
                  </w:pPr>
                  <w:r w:rsidRPr="0037129E">
                    <w:rPr>
                      <w:b/>
                      <w:color w:val="2F5496" w:themeColor="accent5" w:themeShade="BF"/>
                      <w:sz w:val="18"/>
                    </w:rPr>
                    <w:t>Rozdiel</w:t>
                  </w:r>
                </w:p>
              </w:tc>
            </w:tr>
            <w:tr w:rsidR="00D8284B" w:rsidRPr="00D8284B" w14:paraId="5363B423" w14:textId="77777777" w:rsidTr="0037129E">
              <w:trPr>
                <w:trHeight w:val="267"/>
              </w:trPr>
              <w:tc>
                <w:tcPr>
                  <w:tcW w:w="1779" w:type="dxa"/>
                  <w:tcBorders>
                    <w:top w:val="single" w:sz="4" w:space="0" w:color="4472C4" w:themeColor="accent5"/>
                    <w:left w:val="nil"/>
                    <w:bottom w:val="nil"/>
                    <w:right w:val="nil"/>
                  </w:tcBorders>
                  <w:shd w:val="clear" w:color="auto" w:fill="auto"/>
                  <w:noWrap/>
                  <w:vAlign w:val="bottom"/>
                  <w:hideMark/>
                </w:tcPr>
                <w:p w14:paraId="2492344A" w14:textId="77777777" w:rsidR="00D8284B" w:rsidRPr="0037129E" w:rsidRDefault="00D8284B" w:rsidP="00D8284B">
                  <w:pPr>
                    <w:spacing w:after="0" w:line="240" w:lineRule="auto"/>
                    <w:jc w:val="left"/>
                    <w:rPr>
                      <w:color w:val="2F5496" w:themeColor="accent5" w:themeShade="BF"/>
                      <w:sz w:val="18"/>
                    </w:rPr>
                  </w:pPr>
                  <w:r w:rsidRPr="0037129E">
                    <w:rPr>
                      <w:color w:val="2F5496" w:themeColor="accent5" w:themeShade="BF"/>
                      <w:sz w:val="18"/>
                    </w:rPr>
                    <w:t>WS-C3650-24PD-S</w:t>
                  </w:r>
                </w:p>
              </w:tc>
              <w:tc>
                <w:tcPr>
                  <w:tcW w:w="2503" w:type="dxa"/>
                  <w:tcBorders>
                    <w:top w:val="single" w:sz="4" w:space="0" w:color="4472C4" w:themeColor="accent5"/>
                    <w:left w:val="nil"/>
                    <w:bottom w:val="nil"/>
                    <w:right w:val="nil"/>
                  </w:tcBorders>
                  <w:shd w:val="clear" w:color="auto" w:fill="auto"/>
                  <w:noWrap/>
                  <w:vAlign w:val="bottom"/>
                  <w:hideMark/>
                </w:tcPr>
                <w:p w14:paraId="17ECC058" w14:textId="77777777" w:rsidR="00D8284B" w:rsidRPr="0037129E" w:rsidRDefault="00D8284B" w:rsidP="00D8284B">
                  <w:pPr>
                    <w:spacing w:after="0" w:line="240" w:lineRule="auto"/>
                    <w:jc w:val="center"/>
                    <w:rPr>
                      <w:color w:val="2F5496" w:themeColor="accent5" w:themeShade="BF"/>
                      <w:sz w:val="18"/>
                    </w:rPr>
                  </w:pPr>
                  <w:r w:rsidRPr="0037129E">
                    <w:rPr>
                      <w:color w:val="2F5496" w:themeColor="accent5" w:themeShade="BF"/>
                      <w:sz w:val="18"/>
                    </w:rPr>
                    <w:t>13 970</w:t>
                  </w:r>
                </w:p>
              </w:tc>
              <w:tc>
                <w:tcPr>
                  <w:tcW w:w="3260" w:type="dxa"/>
                  <w:tcBorders>
                    <w:top w:val="single" w:sz="4" w:space="0" w:color="4472C4" w:themeColor="accent5"/>
                    <w:left w:val="nil"/>
                    <w:bottom w:val="nil"/>
                    <w:right w:val="nil"/>
                  </w:tcBorders>
                  <w:shd w:val="clear" w:color="auto" w:fill="auto"/>
                  <w:noWrap/>
                  <w:vAlign w:val="bottom"/>
                  <w:hideMark/>
                </w:tcPr>
                <w:p w14:paraId="709BB20E" w14:textId="77777777" w:rsidR="00D8284B" w:rsidRPr="0037129E" w:rsidRDefault="00D8284B" w:rsidP="00D8284B">
                  <w:pPr>
                    <w:spacing w:after="0" w:line="240" w:lineRule="auto"/>
                    <w:jc w:val="center"/>
                    <w:rPr>
                      <w:color w:val="2F5496" w:themeColor="accent5" w:themeShade="BF"/>
                      <w:sz w:val="18"/>
                    </w:rPr>
                  </w:pPr>
                  <w:r w:rsidRPr="0037129E">
                    <w:rPr>
                      <w:color w:val="2F5496" w:themeColor="accent5" w:themeShade="BF"/>
                      <w:sz w:val="18"/>
                    </w:rPr>
                    <w:t>7 313</w:t>
                  </w:r>
                </w:p>
              </w:tc>
              <w:tc>
                <w:tcPr>
                  <w:tcW w:w="1271" w:type="dxa"/>
                  <w:tcBorders>
                    <w:top w:val="single" w:sz="4" w:space="0" w:color="4472C4" w:themeColor="accent5"/>
                    <w:left w:val="nil"/>
                    <w:bottom w:val="nil"/>
                    <w:right w:val="nil"/>
                  </w:tcBorders>
                  <w:shd w:val="clear" w:color="auto" w:fill="auto"/>
                  <w:noWrap/>
                  <w:vAlign w:val="bottom"/>
                  <w:hideMark/>
                </w:tcPr>
                <w:p w14:paraId="200AA4DF" w14:textId="77777777" w:rsidR="00D8284B" w:rsidRPr="0037129E" w:rsidRDefault="00D8284B" w:rsidP="00D8284B">
                  <w:pPr>
                    <w:spacing w:after="0" w:line="240" w:lineRule="auto"/>
                    <w:jc w:val="center"/>
                    <w:rPr>
                      <w:color w:val="2F5496" w:themeColor="accent5" w:themeShade="BF"/>
                      <w:sz w:val="18"/>
                    </w:rPr>
                  </w:pPr>
                  <w:r w:rsidRPr="0037129E">
                    <w:rPr>
                      <w:color w:val="2F5496" w:themeColor="accent5" w:themeShade="BF"/>
                      <w:sz w:val="18"/>
                    </w:rPr>
                    <w:t>-48%</w:t>
                  </w:r>
                </w:p>
              </w:tc>
            </w:tr>
            <w:tr w:rsidR="00D8284B" w:rsidRPr="00D8284B" w14:paraId="0E7BCD0F" w14:textId="77777777" w:rsidTr="0037129E">
              <w:trPr>
                <w:trHeight w:val="267"/>
              </w:trPr>
              <w:tc>
                <w:tcPr>
                  <w:tcW w:w="1779" w:type="dxa"/>
                  <w:tcBorders>
                    <w:top w:val="nil"/>
                    <w:left w:val="nil"/>
                    <w:bottom w:val="nil"/>
                    <w:right w:val="nil"/>
                  </w:tcBorders>
                  <w:shd w:val="clear" w:color="auto" w:fill="auto"/>
                  <w:noWrap/>
                  <w:vAlign w:val="bottom"/>
                  <w:hideMark/>
                </w:tcPr>
                <w:p w14:paraId="3302743D" w14:textId="77777777" w:rsidR="00D8284B" w:rsidRPr="0037129E" w:rsidRDefault="00D8284B" w:rsidP="00D8284B">
                  <w:pPr>
                    <w:spacing w:after="0" w:line="240" w:lineRule="auto"/>
                    <w:jc w:val="left"/>
                    <w:rPr>
                      <w:color w:val="2F5496" w:themeColor="accent5" w:themeShade="BF"/>
                      <w:sz w:val="18"/>
                    </w:rPr>
                  </w:pPr>
                  <w:r w:rsidRPr="0037129E">
                    <w:rPr>
                      <w:color w:val="2F5496" w:themeColor="accent5" w:themeShade="BF"/>
                      <w:sz w:val="18"/>
                    </w:rPr>
                    <w:t>WS-C3560CX-12PC-S</w:t>
                  </w:r>
                </w:p>
              </w:tc>
              <w:tc>
                <w:tcPr>
                  <w:tcW w:w="2503" w:type="dxa"/>
                  <w:tcBorders>
                    <w:top w:val="nil"/>
                    <w:left w:val="nil"/>
                    <w:bottom w:val="nil"/>
                    <w:right w:val="nil"/>
                  </w:tcBorders>
                  <w:shd w:val="clear" w:color="auto" w:fill="auto"/>
                  <w:noWrap/>
                  <w:vAlign w:val="bottom"/>
                  <w:hideMark/>
                </w:tcPr>
                <w:p w14:paraId="0032139E" w14:textId="77777777" w:rsidR="00D8284B" w:rsidRPr="0037129E" w:rsidRDefault="00D8284B" w:rsidP="00D8284B">
                  <w:pPr>
                    <w:spacing w:after="0" w:line="240" w:lineRule="auto"/>
                    <w:jc w:val="center"/>
                    <w:rPr>
                      <w:color w:val="2F5496" w:themeColor="accent5" w:themeShade="BF"/>
                      <w:sz w:val="18"/>
                    </w:rPr>
                  </w:pPr>
                  <w:r w:rsidRPr="0037129E">
                    <w:rPr>
                      <w:color w:val="2F5496" w:themeColor="accent5" w:themeShade="BF"/>
                      <w:sz w:val="18"/>
                    </w:rPr>
                    <w:t>7 748</w:t>
                  </w:r>
                </w:p>
              </w:tc>
              <w:tc>
                <w:tcPr>
                  <w:tcW w:w="3260" w:type="dxa"/>
                  <w:tcBorders>
                    <w:top w:val="nil"/>
                    <w:left w:val="nil"/>
                    <w:bottom w:val="nil"/>
                    <w:right w:val="nil"/>
                  </w:tcBorders>
                  <w:shd w:val="clear" w:color="auto" w:fill="auto"/>
                  <w:noWrap/>
                  <w:vAlign w:val="bottom"/>
                  <w:hideMark/>
                </w:tcPr>
                <w:p w14:paraId="1C274481" w14:textId="77777777" w:rsidR="00D8284B" w:rsidRPr="0037129E" w:rsidRDefault="00D8284B" w:rsidP="00D8284B">
                  <w:pPr>
                    <w:spacing w:after="0" w:line="240" w:lineRule="auto"/>
                    <w:jc w:val="center"/>
                    <w:rPr>
                      <w:color w:val="2F5496" w:themeColor="accent5" w:themeShade="BF"/>
                      <w:sz w:val="18"/>
                    </w:rPr>
                  </w:pPr>
                  <w:r w:rsidRPr="0037129E">
                    <w:rPr>
                      <w:color w:val="2F5496" w:themeColor="accent5" w:themeShade="BF"/>
                      <w:sz w:val="18"/>
                    </w:rPr>
                    <w:t>3 652</w:t>
                  </w:r>
                </w:p>
              </w:tc>
              <w:tc>
                <w:tcPr>
                  <w:tcW w:w="1271" w:type="dxa"/>
                  <w:tcBorders>
                    <w:top w:val="nil"/>
                    <w:left w:val="nil"/>
                    <w:bottom w:val="nil"/>
                    <w:right w:val="nil"/>
                  </w:tcBorders>
                  <w:shd w:val="clear" w:color="auto" w:fill="auto"/>
                  <w:noWrap/>
                  <w:vAlign w:val="bottom"/>
                  <w:hideMark/>
                </w:tcPr>
                <w:p w14:paraId="297BD3DF" w14:textId="77777777" w:rsidR="00D8284B" w:rsidRPr="0037129E" w:rsidRDefault="00D8284B" w:rsidP="00D8284B">
                  <w:pPr>
                    <w:spacing w:after="0" w:line="240" w:lineRule="auto"/>
                    <w:jc w:val="center"/>
                    <w:rPr>
                      <w:color w:val="2F5496" w:themeColor="accent5" w:themeShade="BF"/>
                      <w:sz w:val="18"/>
                    </w:rPr>
                  </w:pPr>
                  <w:r w:rsidRPr="0037129E">
                    <w:rPr>
                      <w:color w:val="2F5496" w:themeColor="accent5" w:themeShade="BF"/>
                      <w:sz w:val="18"/>
                    </w:rPr>
                    <w:t>-53%</w:t>
                  </w:r>
                </w:p>
              </w:tc>
            </w:tr>
            <w:tr w:rsidR="00D8284B" w:rsidRPr="00D8284B" w14:paraId="3347FB47" w14:textId="77777777" w:rsidTr="0037129E">
              <w:trPr>
                <w:trHeight w:val="267"/>
              </w:trPr>
              <w:tc>
                <w:tcPr>
                  <w:tcW w:w="1779" w:type="dxa"/>
                  <w:tcBorders>
                    <w:top w:val="nil"/>
                    <w:left w:val="nil"/>
                    <w:right w:val="nil"/>
                  </w:tcBorders>
                  <w:shd w:val="clear" w:color="auto" w:fill="auto"/>
                  <w:noWrap/>
                  <w:vAlign w:val="bottom"/>
                  <w:hideMark/>
                </w:tcPr>
                <w:p w14:paraId="3E767105" w14:textId="77777777" w:rsidR="00D8284B" w:rsidRPr="0037129E" w:rsidRDefault="00D8284B" w:rsidP="00D8284B">
                  <w:pPr>
                    <w:spacing w:after="0" w:line="240" w:lineRule="auto"/>
                    <w:jc w:val="left"/>
                    <w:rPr>
                      <w:color w:val="2F5496" w:themeColor="accent5" w:themeShade="BF"/>
                      <w:sz w:val="18"/>
                    </w:rPr>
                  </w:pPr>
                  <w:r w:rsidRPr="0037129E">
                    <w:rPr>
                      <w:color w:val="2F5496" w:themeColor="accent5" w:themeShade="BF"/>
                      <w:sz w:val="18"/>
                    </w:rPr>
                    <w:t>WS-C3650-48FD-S</w:t>
                  </w:r>
                </w:p>
              </w:tc>
              <w:tc>
                <w:tcPr>
                  <w:tcW w:w="2503" w:type="dxa"/>
                  <w:tcBorders>
                    <w:top w:val="nil"/>
                    <w:left w:val="nil"/>
                    <w:right w:val="nil"/>
                  </w:tcBorders>
                  <w:shd w:val="clear" w:color="auto" w:fill="auto"/>
                  <w:noWrap/>
                  <w:vAlign w:val="bottom"/>
                  <w:hideMark/>
                </w:tcPr>
                <w:p w14:paraId="60DAABF9" w14:textId="77777777" w:rsidR="00D8284B" w:rsidRPr="0037129E" w:rsidRDefault="00D8284B" w:rsidP="00D8284B">
                  <w:pPr>
                    <w:spacing w:after="0" w:line="240" w:lineRule="auto"/>
                    <w:jc w:val="center"/>
                    <w:rPr>
                      <w:color w:val="2F5496" w:themeColor="accent5" w:themeShade="BF"/>
                      <w:sz w:val="18"/>
                    </w:rPr>
                  </w:pPr>
                  <w:r w:rsidRPr="0037129E">
                    <w:rPr>
                      <w:color w:val="2F5496" w:themeColor="accent5" w:themeShade="BF"/>
                      <w:sz w:val="18"/>
                    </w:rPr>
                    <w:t>2 532</w:t>
                  </w:r>
                </w:p>
              </w:tc>
              <w:tc>
                <w:tcPr>
                  <w:tcW w:w="3260" w:type="dxa"/>
                  <w:tcBorders>
                    <w:top w:val="nil"/>
                    <w:left w:val="nil"/>
                    <w:right w:val="nil"/>
                  </w:tcBorders>
                  <w:shd w:val="clear" w:color="auto" w:fill="auto"/>
                  <w:noWrap/>
                  <w:vAlign w:val="bottom"/>
                  <w:hideMark/>
                </w:tcPr>
                <w:p w14:paraId="40046385" w14:textId="77777777" w:rsidR="00D8284B" w:rsidRPr="0037129E" w:rsidRDefault="00D8284B" w:rsidP="00D8284B">
                  <w:pPr>
                    <w:spacing w:after="0" w:line="240" w:lineRule="auto"/>
                    <w:jc w:val="center"/>
                    <w:rPr>
                      <w:color w:val="2F5496" w:themeColor="accent5" w:themeShade="BF"/>
                      <w:sz w:val="18"/>
                    </w:rPr>
                  </w:pPr>
                  <w:r w:rsidRPr="0037129E">
                    <w:rPr>
                      <w:color w:val="2F5496" w:themeColor="accent5" w:themeShade="BF"/>
                      <w:sz w:val="18"/>
                    </w:rPr>
                    <w:t>910</w:t>
                  </w:r>
                </w:p>
              </w:tc>
              <w:tc>
                <w:tcPr>
                  <w:tcW w:w="1271" w:type="dxa"/>
                  <w:tcBorders>
                    <w:top w:val="nil"/>
                    <w:left w:val="nil"/>
                    <w:right w:val="nil"/>
                  </w:tcBorders>
                  <w:shd w:val="clear" w:color="auto" w:fill="auto"/>
                  <w:noWrap/>
                  <w:vAlign w:val="bottom"/>
                  <w:hideMark/>
                </w:tcPr>
                <w:p w14:paraId="036ACD05" w14:textId="77777777" w:rsidR="00D8284B" w:rsidRPr="0037129E" w:rsidRDefault="00D8284B" w:rsidP="00D8284B">
                  <w:pPr>
                    <w:spacing w:after="0" w:line="240" w:lineRule="auto"/>
                    <w:jc w:val="center"/>
                    <w:rPr>
                      <w:color w:val="2F5496" w:themeColor="accent5" w:themeShade="BF"/>
                      <w:sz w:val="18"/>
                    </w:rPr>
                  </w:pPr>
                  <w:r w:rsidRPr="0037129E">
                    <w:rPr>
                      <w:color w:val="2F5496" w:themeColor="accent5" w:themeShade="BF"/>
                      <w:sz w:val="18"/>
                    </w:rPr>
                    <w:t>-64%</w:t>
                  </w:r>
                </w:p>
              </w:tc>
            </w:tr>
            <w:tr w:rsidR="00D8284B" w:rsidRPr="00D8284B" w14:paraId="4C9D799E" w14:textId="77777777" w:rsidTr="0037129E">
              <w:trPr>
                <w:trHeight w:val="267"/>
              </w:trPr>
              <w:tc>
                <w:tcPr>
                  <w:tcW w:w="1779" w:type="dxa"/>
                  <w:tcBorders>
                    <w:top w:val="nil"/>
                    <w:left w:val="nil"/>
                    <w:bottom w:val="single" w:sz="4" w:space="0" w:color="4472C4" w:themeColor="accent5"/>
                    <w:right w:val="nil"/>
                  </w:tcBorders>
                  <w:shd w:val="clear" w:color="auto" w:fill="auto"/>
                  <w:noWrap/>
                  <w:vAlign w:val="bottom"/>
                  <w:hideMark/>
                </w:tcPr>
                <w:p w14:paraId="6B7FB10D" w14:textId="77777777" w:rsidR="00D8284B" w:rsidRPr="0037129E" w:rsidRDefault="00D8284B" w:rsidP="00D8284B">
                  <w:pPr>
                    <w:spacing w:after="0" w:line="240" w:lineRule="auto"/>
                    <w:jc w:val="left"/>
                    <w:rPr>
                      <w:color w:val="2F5496" w:themeColor="accent5" w:themeShade="BF"/>
                      <w:sz w:val="18"/>
                    </w:rPr>
                  </w:pPr>
                  <w:r w:rsidRPr="0037129E">
                    <w:rPr>
                      <w:color w:val="2F5496" w:themeColor="accent5" w:themeShade="BF"/>
                      <w:sz w:val="18"/>
                    </w:rPr>
                    <w:t>WS-C3560CX-8PC-S</w:t>
                  </w:r>
                </w:p>
              </w:tc>
              <w:tc>
                <w:tcPr>
                  <w:tcW w:w="2503" w:type="dxa"/>
                  <w:tcBorders>
                    <w:top w:val="nil"/>
                    <w:left w:val="nil"/>
                    <w:bottom w:val="single" w:sz="4" w:space="0" w:color="4472C4" w:themeColor="accent5"/>
                    <w:right w:val="nil"/>
                  </w:tcBorders>
                  <w:shd w:val="clear" w:color="auto" w:fill="auto"/>
                  <w:noWrap/>
                  <w:vAlign w:val="bottom"/>
                  <w:hideMark/>
                </w:tcPr>
                <w:p w14:paraId="1CB82CE5" w14:textId="77777777" w:rsidR="00D8284B" w:rsidRPr="0037129E" w:rsidRDefault="00D8284B" w:rsidP="00D8284B">
                  <w:pPr>
                    <w:spacing w:after="0" w:line="240" w:lineRule="auto"/>
                    <w:jc w:val="center"/>
                    <w:rPr>
                      <w:color w:val="2F5496" w:themeColor="accent5" w:themeShade="BF"/>
                      <w:sz w:val="18"/>
                    </w:rPr>
                  </w:pPr>
                  <w:r w:rsidRPr="0037129E">
                    <w:rPr>
                      <w:color w:val="2F5496" w:themeColor="accent5" w:themeShade="BF"/>
                      <w:sz w:val="18"/>
                    </w:rPr>
                    <w:t>2 063</w:t>
                  </w:r>
                </w:p>
              </w:tc>
              <w:tc>
                <w:tcPr>
                  <w:tcW w:w="3260" w:type="dxa"/>
                  <w:tcBorders>
                    <w:top w:val="nil"/>
                    <w:left w:val="nil"/>
                    <w:bottom w:val="single" w:sz="4" w:space="0" w:color="4472C4" w:themeColor="accent5"/>
                    <w:right w:val="nil"/>
                  </w:tcBorders>
                  <w:shd w:val="clear" w:color="auto" w:fill="auto"/>
                  <w:noWrap/>
                  <w:vAlign w:val="bottom"/>
                  <w:hideMark/>
                </w:tcPr>
                <w:p w14:paraId="609F19B1" w14:textId="77777777" w:rsidR="00D8284B" w:rsidRPr="0037129E" w:rsidRDefault="00D8284B" w:rsidP="00D8284B">
                  <w:pPr>
                    <w:spacing w:after="0" w:line="240" w:lineRule="auto"/>
                    <w:jc w:val="center"/>
                    <w:rPr>
                      <w:color w:val="2F5496" w:themeColor="accent5" w:themeShade="BF"/>
                      <w:sz w:val="18"/>
                    </w:rPr>
                  </w:pPr>
                  <w:r w:rsidRPr="0037129E">
                    <w:rPr>
                      <w:color w:val="2F5496" w:themeColor="accent5" w:themeShade="BF"/>
                      <w:sz w:val="18"/>
                    </w:rPr>
                    <w:t>917</w:t>
                  </w:r>
                </w:p>
              </w:tc>
              <w:tc>
                <w:tcPr>
                  <w:tcW w:w="1271" w:type="dxa"/>
                  <w:tcBorders>
                    <w:top w:val="nil"/>
                    <w:left w:val="nil"/>
                    <w:bottom w:val="single" w:sz="4" w:space="0" w:color="4472C4" w:themeColor="accent5"/>
                    <w:right w:val="nil"/>
                  </w:tcBorders>
                  <w:shd w:val="clear" w:color="auto" w:fill="auto"/>
                  <w:noWrap/>
                  <w:vAlign w:val="bottom"/>
                  <w:hideMark/>
                </w:tcPr>
                <w:p w14:paraId="52A98699" w14:textId="77777777" w:rsidR="00D8284B" w:rsidRPr="0037129E" w:rsidRDefault="00D8284B" w:rsidP="00D8284B">
                  <w:pPr>
                    <w:spacing w:after="0" w:line="240" w:lineRule="auto"/>
                    <w:jc w:val="center"/>
                    <w:rPr>
                      <w:color w:val="2F5496" w:themeColor="accent5" w:themeShade="BF"/>
                      <w:sz w:val="18"/>
                    </w:rPr>
                  </w:pPr>
                  <w:r w:rsidRPr="0037129E">
                    <w:rPr>
                      <w:color w:val="2F5496" w:themeColor="accent5" w:themeShade="BF"/>
                      <w:sz w:val="18"/>
                    </w:rPr>
                    <w:t>-56%</w:t>
                  </w:r>
                </w:p>
              </w:tc>
            </w:tr>
            <w:tr w:rsidR="0035209F" w:rsidRPr="00D8284B" w14:paraId="1421A48D" w14:textId="77777777" w:rsidTr="0037129E">
              <w:trPr>
                <w:trHeight w:val="267"/>
              </w:trPr>
              <w:tc>
                <w:tcPr>
                  <w:tcW w:w="8813" w:type="dxa"/>
                  <w:gridSpan w:val="4"/>
                  <w:tcBorders>
                    <w:top w:val="single" w:sz="4" w:space="0" w:color="4472C4" w:themeColor="accent5"/>
                    <w:left w:val="nil"/>
                  </w:tcBorders>
                  <w:shd w:val="clear" w:color="auto" w:fill="auto"/>
                  <w:noWrap/>
                </w:tcPr>
                <w:p w14:paraId="504F7AAA" w14:textId="77777777" w:rsidR="0035209F" w:rsidRPr="0037129E" w:rsidRDefault="0035209F" w:rsidP="0037129E">
                  <w:pPr>
                    <w:spacing w:after="0" w:line="240" w:lineRule="auto"/>
                    <w:jc w:val="right"/>
                    <w:rPr>
                      <w:i/>
                      <w:color w:val="2F5496" w:themeColor="accent5" w:themeShade="BF"/>
                      <w:sz w:val="18"/>
                    </w:rPr>
                  </w:pPr>
                  <w:r w:rsidRPr="0037129E">
                    <w:rPr>
                      <w:i/>
                      <w:color w:val="2F5496" w:themeColor="accent5" w:themeShade="BF"/>
                      <w:sz w:val="18"/>
                    </w:rPr>
                    <w:t>Zdroj: Hodnotenie projektu „Modernizácia elektronickej komunikačnej siete ŽSR</w:t>
                  </w:r>
                </w:p>
              </w:tc>
            </w:tr>
          </w:tbl>
          <w:p w14:paraId="69B27210" w14:textId="77777777" w:rsidR="00682172" w:rsidRPr="00765192" w:rsidRDefault="00682172">
            <w:pPr>
              <w:rPr>
                <w:sz w:val="20"/>
              </w:rPr>
            </w:pPr>
          </w:p>
        </w:tc>
      </w:tr>
    </w:tbl>
    <w:p w14:paraId="14414898" w14:textId="77777777" w:rsidR="0059256C" w:rsidRPr="00765192" w:rsidRDefault="0059256C" w:rsidP="0037129E">
      <w:pPr>
        <w:spacing w:before="120" w:after="120"/>
      </w:pPr>
      <w:r w:rsidRPr="00765192">
        <w:rPr>
          <w:b/>
        </w:rPr>
        <w:t xml:space="preserve">Nepresné odhady jednotkových cien môžu viesť k nereálnym očakávaniam a vyšším cenám, ako sú na trhu bežné. </w:t>
      </w:r>
      <w:r w:rsidRPr="00765192">
        <w:t>Porovnávanie umožňuje verejnému aj súkromnému sektoru využívať predchádzajúce skúsenosti a osvedčené postupy k čo najpresnejšiemu odhadu rozpočtu tak, aby sa minimalizovalo riziko, že štát pre seba nezíska najlepšie možné ceny. Považujeme za potrebné, aby obstarávatelia už počas prípravy vyslali jasný signál, aké ceny očakávajú.</w:t>
      </w:r>
    </w:p>
    <w:p w14:paraId="278AB6C7" w14:textId="77777777" w:rsidR="0059256C" w:rsidRDefault="0059256C" w:rsidP="0059256C">
      <w:r w:rsidRPr="00765192">
        <w:rPr>
          <w:b/>
        </w:rPr>
        <w:lastRenderedPageBreak/>
        <w:t xml:space="preserve">Na stanovenie referenčných cien je potrebné vytvoriť a pravidelne aktualizovať štandardizovanú databázu jednotkových cien. </w:t>
      </w:r>
      <w:r w:rsidRPr="00765192">
        <w:t>Pri porovnávaní cien z rôzných zdrojov (napr. centrálny register zmlúv a vestník verejného obstarávania), nie sú tovary a služby definované jednotne. Porovnateľnosť jednotkové cien komplikuje zahrnutie rôzných doplnkových služieb priamo do ceny tovaru, alebo rozdielna úroveň požadovaných služieb, ktorá nie je zachytená v označení (napr. senior a junior programátor). Pri vytváraní databázy je potrebné prostredníctvom zavedeni</w:t>
      </w:r>
      <w:r w:rsidR="00D97544">
        <w:t>a</w:t>
      </w:r>
      <w:r w:rsidRPr="00765192">
        <w:t xml:space="preserve"> záväzných číselníkov štandardizovať názvy a kódy položiek a zabezpečiť, aby nedochádzalo ku spájaniu viacerých tovarov a služieb do jednej položky. </w:t>
      </w:r>
    </w:p>
    <w:p w14:paraId="40442CB4" w14:textId="77777777" w:rsidR="00F346A5" w:rsidRPr="00F346A5" w:rsidRDefault="00F346A5" w:rsidP="00D644C7">
      <w:pPr>
        <w:pStyle w:val="Odsekzoznamu"/>
        <w:numPr>
          <w:ilvl w:val="0"/>
          <w:numId w:val="12"/>
        </w:numPr>
        <w:spacing w:before="120"/>
      </w:pPr>
      <w:r>
        <w:rPr>
          <w:b/>
        </w:rPr>
        <w:t xml:space="preserve">Opatrenie: </w:t>
      </w:r>
      <w:r w:rsidR="00D644C7" w:rsidRPr="00D644C7">
        <w:rPr>
          <w:b/>
        </w:rPr>
        <w:t>Vytvoriť jednotnú štruktúru, v ktorej majú byť definované všetky obstarávania IT tovarov a služieb.</w:t>
      </w:r>
    </w:p>
    <w:p w14:paraId="1273CBA3" w14:textId="77777777" w:rsidR="00395BDA" w:rsidRDefault="00F346A5" w:rsidP="00D644C7">
      <w:pPr>
        <w:pStyle w:val="Odsekzoznamu"/>
        <w:numPr>
          <w:ilvl w:val="0"/>
          <w:numId w:val="12"/>
        </w:numPr>
        <w:spacing w:before="120"/>
      </w:pPr>
      <w:r w:rsidRPr="001C2C81">
        <w:rPr>
          <w:b/>
        </w:rPr>
        <w:t xml:space="preserve">Opatrenie: </w:t>
      </w:r>
      <w:r w:rsidR="00D644C7" w:rsidRPr="00D644C7">
        <w:rPr>
          <w:b/>
        </w:rPr>
        <w:t>Vytvoriť a pravidelne aktualizovať databázu jednotkových cien IT prác, tovarov a služieb.</w:t>
      </w:r>
    </w:p>
    <w:p w14:paraId="7F57E24F" w14:textId="77777777" w:rsidR="0059256C" w:rsidRPr="00765192" w:rsidRDefault="0059256C" w:rsidP="00A115E4">
      <w:pPr>
        <w:pStyle w:val="Nadpis3"/>
        <w:numPr>
          <w:ilvl w:val="1"/>
          <w:numId w:val="1"/>
        </w:numPr>
      </w:pPr>
      <w:bookmarkStart w:id="141" w:name="_Toc35602782"/>
      <w:r w:rsidRPr="00765192">
        <w:t>Nastavenie správnej úrovne SLA</w:t>
      </w:r>
      <w:bookmarkEnd w:id="141"/>
    </w:p>
    <w:p w14:paraId="6991F672" w14:textId="77777777" w:rsidR="0059256C" w:rsidRDefault="002351AD" w:rsidP="002351AD">
      <w:r>
        <w:rPr>
          <w:b/>
        </w:rPr>
        <w:t>Štandardizovanie dostupnosti IT služieb podľa kategórii a pravidelné prehodnocovanie najväčších SLA zmlúv umožní systematicky znižovať náklady na prevádzku a rozvoj IS.</w:t>
      </w:r>
      <w:r w:rsidDel="002351AD">
        <w:rPr>
          <w:b/>
        </w:rPr>
        <w:t xml:space="preserve"> </w:t>
      </w:r>
      <w:r w:rsidR="0059256C" w:rsidRPr="00922D97">
        <w:t>Úroveň a množstvo služieb zahrnutých v SLA zmluvách nepredchádza dostatočným testom potrebnosti.</w:t>
      </w:r>
      <w:r w:rsidR="0059256C">
        <w:t xml:space="preserve"> Nedostatočná kontrola vedie k nastavovaniu vyššej úrovne dostupnosti, ako je potrebná pre výkon agendy. Na dosiahnutie úspory je potrebné </w:t>
      </w:r>
      <w:r w:rsidR="0059256C" w:rsidRPr="003C3DCE">
        <w:t>definovať kategórie služieb, požadovanú mieru ich dostupnosti a pravidlá ich zaraďovania.</w:t>
      </w:r>
    </w:p>
    <w:p w14:paraId="1FA85619" w14:textId="77777777" w:rsidR="003C3DCE" w:rsidRPr="00EA43F7" w:rsidRDefault="003C3DCE" w:rsidP="0059256C">
      <w:r>
        <w:rPr>
          <w:b/>
        </w:rPr>
        <w:t xml:space="preserve">Pri uzatváraní SLA zmluvy je potrebné vyhodnotiť viacero modelov podpory a dopad na cenu. </w:t>
      </w:r>
      <w:r>
        <w:t xml:space="preserve">Úroveň podpory požadovanú biznis vlastníkom IT služby je potrebné porovnať s reálnymi predpokladmi o využívaní služby (napr. podpora IT služby v režime 24x7 pre biznis služby poskytované v režime 8x5). Okrem času poskytovania podpory sú dôležitými faktormi požadované doby na reakciu na incident a jeho vyriešenie. Je potrebné overiť cenu podpory pri viacerých kombináciách úrovne a reakčnej doby a na základe </w:t>
      </w:r>
      <w:r w:rsidR="004F635D">
        <w:t xml:space="preserve">vopred stanovených </w:t>
      </w:r>
      <w:r>
        <w:t>objektívnych</w:t>
      </w:r>
      <w:r w:rsidR="004F635D">
        <w:t xml:space="preserve"> potrieb vybrať ten ktorý zabezpečí plynulý výkon agendy a nákladovú efektívnosť.</w:t>
      </w:r>
      <w:r>
        <w:t xml:space="preserve"> </w:t>
      </w:r>
    </w:p>
    <w:p w14:paraId="0617CD56" w14:textId="77777777" w:rsidR="00BD6044" w:rsidRDefault="00BD6044" w:rsidP="00BD6044">
      <w:r>
        <w:rPr>
          <w:b/>
        </w:rPr>
        <w:t xml:space="preserve">Kvôli chýbajúcim štandardom sú požiadavky na úroveň dostupnosti vyššie, ako je potrebné pre plynulý chod agendy. </w:t>
      </w:r>
      <w:r>
        <w:t xml:space="preserve">Bez dostatočnej koordinácie vznikajú požiadavky na dostupnosť IT služieb, ktoré nezodpovedajú reálnej dostupnosti podporovanej biznis agendy, alebo kritickosti.  </w:t>
      </w:r>
      <w:r w:rsidRPr="00765192">
        <w:t>Je potrebné, aby boli požiadavky na úroveň IT služieb (napr. prevádzka systému v režime 24x7) v súlade s režimom, v ktorom sú poskytované koncové biznis služby (napr. využitie systému len počas stránkových hodín úradu)</w:t>
      </w:r>
      <w:r>
        <w:t xml:space="preserve"> a zohľadnená kritickosť systému (napr. elektronické služby prihlasovania motorových vozidiel a spracovanie receptov v systéme eZdravie)</w:t>
      </w:r>
      <w:r w:rsidRPr="00765192">
        <w:t>.</w:t>
      </w:r>
      <w:r>
        <w:t xml:space="preserve"> Nástrojom na štandardizáciu IT podpory je definovanie kategórii IT služieb so štandardom dostupnosti a pravidiel pre ich zaraďovanie.  </w:t>
      </w:r>
    </w:p>
    <w:p w14:paraId="4D5B63DB" w14:textId="0B1E5137" w:rsidR="00044283" w:rsidRPr="0037129E" w:rsidRDefault="00044283" w:rsidP="00BD6044">
      <w:pPr>
        <w:rPr>
          <w:b/>
        </w:rPr>
      </w:pPr>
      <w:r>
        <w:rPr>
          <w:b/>
        </w:rPr>
        <w:t>Analýza nastavenia SLA zmlúv vyžaduje definovanie jednotnej štruktúry nákladov a </w:t>
      </w:r>
      <w:r w:rsidR="00F7675C">
        <w:rPr>
          <w:b/>
        </w:rPr>
        <w:t>výkonnostných</w:t>
      </w:r>
      <w:r>
        <w:rPr>
          <w:b/>
        </w:rPr>
        <w:t xml:space="preserve"> ukazovateľov. </w:t>
      </w:r>
      <w:r>
        <w:t>Rôzna štruktúra údajov v</w:t>
      </w:r>
      <w:r w:rsidR="00F7675C">
        <w:t xml:space="preserve"> zmluvách na prevádzku a rzovoj systémov </w:t>
      </w:r>
      <w:r>
        <w:t>komplikuje nákladové porovnanie služieb, ktoré si prevádzkovatelia objednávajú</w:t>
      </w:r>
      <w:r w:rsidR="00F7675C">
        <w:t xml:space="preserve"> k IS</w:t>
      </w:r>
      <w:r>
        <w:t>.</w:t>
      </w:r>
      <w:r w:rsidR="00F7675C">
        <w:t xml:space="preserve"> Bez porovnateľnej sady výkonnostných ukazovateľov nie je možné objektívne porovnať kvalitu služieb, ktorú prevádzkovatelia dostávajú. Náklady je potrebné v prvom rade rozdeliť na paušálne služby </w:t>
      </w:r>
      <w:r w:rsidR="00F7675C" w:rsidRPr="00765192">
        <w:t>za udržovanie funkčnosti</w:t>
      </w:r>
      <w:r w:rsidR="00F7675C">
        <w:t xml:space="preserve"> systému, </w:t>
      </w:r>
      <w:r w:rsidR="00F7675C" w:rsidRPr="00765192">
        <w:t>aplikačnú podporu (základné úpravy na vyžiadanie) a aplikačné zmeny (rozvoj IS)</w:t>
      </w:r>
      <w:r w:rsidR="00F7675C">
        <w:t xml:space="preserve">. Následne nové zmluvy štrukturovať </w:t>
      </w:r>
      <w:r w:rsidR="00F7675C" w:rsidRPr="00765192">
        <w:t>podľa katalógu servisných služieb tak, aby bolo možné naprieč IS porovnávať množstvo a jednotkové ceny spotrebovaných IT služieb</w:t>
      </w:r>
      <w:r w:rsidR="00F7675C">
        <w:t>. V zmluvách je potrebné definovať štandardné výkonnostné ukazovatele SLA zmlúv s cieľovými hodnotami (napr. doba na vyriešenie incidentu, podiel incidentov vyriešených v reakčnej dobe...), ktoré umožnia porovnávať cenu a kvalitu nakupovaných služieb.</w:t>
      </w:r>
    </w:p>
    <w:p w14:paraId="1E93CD4F" w14:textId="77777777" w:rsidR="009D4E45" w:rsidRDefault="0059256C" w:rsidP="0059256C">
      <w:r w:rsidRPr="00765192">
        <w:rPr>
          <w:b/>
        </w:rPr>
        <w:t xml:space="preserve">Na zníženie prevádzkových nákladov je potrebné pravidelne vyhodnocovať adekvátnosť SLA zmlúv a vykonať audit zmlúv najväčších IT systémov. </w:t>
      </w:r>
      <w:r w:rsidRPr="00765192">
        <w:t>Pri uzatvorení novej alebo predĺžení existujúcej SLA zmluvy je potrebné prehodnotiť úroveň objednávanej podpory prípravou viacerých nákladových scenárov a zanalyzovaním, ktorý najlepšie zodpovedá aktuálnym potrebám. Pri najväčších zmluvách je potrebné paralelne vykonať ich audit. Vzhľadom na neúplnosť údajov v RIS odporúčame pred zadefinovaním priorít vyžiadať od rezortov zoznam zmlúv a zaktualizovať zoznam IS, ktoré majú byť auditované.</w:t>
      </w:r>
    </w:p>
    <w:tbl>
      <w:tblPr>
        <w:tblStyle w:val="Tabukasmriekou6farebnzvraznenie5"/>
        <w:tblW w:w="0" w:type="auto"/>
        <w:tblLook w:val="0420" w:firstRow="1" w:lastRow="0" w:firstColumn="0" w:lastColumn="0" w:noHBand="0" w:noVBand="1"/>
      </w:tblPr>
      <w:tblGrid>
        <w:gridCol w:w="9062"/>
      </w:tblGrid>
      <w:tr w:rsidR="0059256C" w:rsidRPr="00765192" w14:paraId="2C5CF5D2" w14:textId="77777777" w:rsidTr="001D543F">
        <w:trPr>
          <w:cnfStyle w:val="100000000000" w:firstRow="1" w:lastRow="0" w:firstColumn="0" w:lastColumn="0" w:oddVBand="0" w:evenVBand="0" w:oddHBand="0" w:evenHBand="0" w:firstRowFirstColumn="0" w:firstRowLastColumn="0" w:lastRowFirstColumn="0" w:lastRowLastColumn="0"/>
        </w:trPr>
        <w:tc>
          <w:tcPr>
            <w:tcW w:w="9062" w:type="dxa"/>
          </w:tcPr>
          <w:p w14:paraId="27380D24" w14:textId="77777777" w:rsidR="0059256C" w:rsidRPr="00765192" w:rsidRDefault="0059256C" w:rsidP="001D543F">
            <w:pPr>
              <w:rPr>
                <w:sz w:val="20"/>
              </w:rPr>
            </w:pPr>
            <w:r>
              <w:rPr>
                <w:sz w:val="20"/>
              </w:rPr>
              <w:lastRenderedPageBreak/>
              <w:t>Box</w:t>
            </w:r>
            <w:r w:rsidRPr="00765192">
              <w:rPr>
                <w:sz w:val="20"/>
              </w:rPr>
              <w:t xml:space="preserve">: </w:t>
            </w:r>
            <w:r>
              <w:rPr>
                <w:sz w:val="20"/>
              </w:rPr>
              <w:t>Nahradenie IS</w:t>
            </w:r>
            <w:r w:rsidR="00CD164D">
              <w:rPr>
                <w:sz w:val="20"/>
              </w:rPr>
              <w:t>,</w:t>
            </w:r>
            <w:r>
              <w:rPr>
                <w:sz w:val="20"/>
              </w:rPr>
              <w:t xml:space="preserve"> ktorých ďalšia prevádzka a rozvoj nie sú ekonomicky návratné novým IS </w:t>
            </w:r>
            <w:r w:rsidRPr="00765192">
              <w:rPr>
                <w:sz w:val="20"/>
              </w:rPr>
              <w:t xml:space="preserve"> </w:t>
            </w:r>
          </w:p>
        </w:tc>
      </w:tr>
      <w:tr w:rsidR="0059256C" w:rsidRPr="00765192" w14:paraId="7708BC2E" w14:textId="77777777" w:rsidTr="00F346A5">
        <w:trPr>
          <w:cnfStyle w:val="000000100000" w:firstRow="0" w:lastRow="0" w:firstColumn="0" w:lastColumn="0" w:oddVBand="0" w:evenVBand="0" w:oddHBand="1" w:evenHBand="0" w:firstRowFirstColumn="0" w:firstRowLastColumn="0" w:lastRowFirstColumn="0" w:lastRowLastColumn="0"/>
          <w:trHeight w:val="674"/>
        </w:trPr>
        <w:tc>
          <w:tcPr>
            <w:tcW w:w="9062" w:type="dxa"/>
          </w:tcPr>
          <w:p w14:paraId="054F47AB" w14:textId="77777777" w:rsidR="0059256C" w:rsidRPr="000A1800" w:rsidRDefault="0059256C" w:rsidP="001D543F">
            <w:pPr>
              <w:spacing w:before="120" w:after="120"/>
              <w:rPr>
                <w:sz w:val="20"/>
              </w:rPr>
            </w:pPr>
            <w:r w:rsidRPr="000A1800">
              <w:rPr>
                <w:sz w:val="20"/>
              </w:rPr>
              <w:t>Náklady na prevádzku a rozvoj viacerých informačných systémov vo vlastníctve štátu sa zvýšili natoľko, že ich nahradenie novými modernými riešeniami môže počas najbližších 5-8 rokov priniesť zníženie celkových nákladov na vlastníctvo informačných systémov.</w:t>
            </w:r>
          </w:p>
          <w:p w14:paraId="4D7D1E72" w14:textId="77777777" w:rsidR="0059256C" w:rsidRPr="000A1800" w:rsidRDefault="0059256C" w:rsidP="001D543F">
            <w:pPr>
              <w:spacing w:before="120" w:after="120"/>
              <w:rPr>
                <w:sz w:val="20"/>
              </w:rPr>
            </w:pPr>
            <w:r w:rsidRPr="000A1800">
              <w:rPr>
                <w:sz w:val="20"/>
              </w:rPr>
              <w:t>Jedná sa najmä o staršie informačné systémy, pri ktorých ani otvorená súťaž nemusí priniesť výraznú úsporu nákladov. Pre viacero informačných systémov štát nedisponuje autorskými právami a dokumentáciou, alebo ich rozvoj a prevádzku dlhodobo zabezpečuje jeden dodávateľ, ktorý tak získava výraznú výhodu v technickom know-how pred ostatnými potenciálnymi uchádzačmi. Aj pri príprave otvorenej súťaže o novú zmluvu na prevádzku a rozvoj systému je v takejto situácii nízka šanca, že štát pre seba získa výraznejšiu úsporu.</w:t>
            </w:r>
          </w:p>
          <w:p w14:paraId="5405E583" w14:textId="77777777" w:rsidR="0059256C" w:rsidRDefault="0059256C" w:rsidP="001D543F">
            <w:pPr>
              <w:spacing w:before="120" w:after="120"/>
              <w:rPr>
                <w:sz w:val="20"/>
              </w:rPr>
            </w:pPr>
            <w:r w:rsidRPr="000A1800">
              <w:rPr>
                <w:sz w:val="20"/>
              </w:rPr>
              <w:t>Pre najväčšie informačné systémy je potrebné kvantifikovať celkové náklady na vlastníctvo a preskúmať možnosti ich zníženia. Cieľom je vyselektovať informačné systémy s najvyššími nákladmi na prevádzku a rozvoj. Na to je potrebné kvantifikovať celkové náklady vlastníctva počas najbližších 10 rokov a náklady na vlastníctvo nového systému a vybrať tie, ktorých ďalšia prevádzka nie je ekonomicky efektívna. Pri týchto systémoch je potrebné zanalyzovať možnosti zníženia prevádzkových nákladov prehodnotením existujúcich zmlúv a v prípade nedostatočného zníženia nákladov ich náhrada novými, efektívnejšími riešeniami.</w:t>
            </w:r>
          </w:p>
          <w:p w14:paraId="0142B43A" w14:textId="77777777" w:rsidR="0059256C" w:rsidRPr="00765192" w:rsidRDefault="0059256C" w:rsidP="001D543F">
            <w:pPr>
              <w:spacing w:before="120" w:after="120"/>
              <w:rPr>
                <w:sz w:val="20"/>
              </w:rPr>
            </w:pPr>
            <w:r>
              <w:rPr>
                <w:sz w:val="20"/>
              </w:rPr>
              <w:t xml:space="preserve">Príkladom je projekt „Modernizácia dávkových agend Sociálnej poisťovne (MODA SP)“, ktorého realizáciou má byť existujúci systém nahradený novým, s prevádzkovými nákladmi nižšími o 50 %.  Celkové náklady na vlastníctvo nového systému sú počas </w:t>
            </w:r>
            <w:r w:rsidR="00F346A5">
              <w:rPr>
                <w:sz w:val="20"/>
              </w:rPr>
              <w:t>10 rokov nižšie o 5,3 mil. eur.</w:t>
            </w:r>
          </w:p>
        </w:tc>
      </w:tr>
    </w:tbl>
    <w:p w14:paraId="252829E0" w14:textId="77777777" w:rsidR="00C731DC" w:rsidRDefault="00F346A5" w:rsidP="00D644C7">
      <w:pPr>
        <w:pStyle w:val="Odsekzoznamu"/>
        <w:numPr>
          <w:ilvl w:val="0"/>
          <w:numId w:val="13"/>
        </w:numPr>
        <w:spacing w:before="120"/>
        <w:rPr>
          <w:b/>
        </w:rPr>
      </w:pPr>
      <w:r w:rsidRPr="00C731DC">
        <w:rPr>
          <w:b/>
        </w:rPr>
        <w:t xml:space="preserve">Opatrenie: </w:t>
      </w:r>
      <w:r w:rsidR="00D644C7" w:rsidRPr="00D644C7">
        <w:rPr>
          <w:b/>
        </w:rPr>
        <w:t>Štandardizovať SLA zmluvy a v metodickom pokyne zadefinovať postup pre prípravu štúdie uskutočniteľnosti novej zmluvy na prevádzku alebo rozvoj IS.</w:t>
      </w:r>
    </w:p>
    <w:p w14:paraId="10DB2A74" w14:textId="77777777" w:rsidR="00F346A5" w:rsidRPr="00C731DC" w:rsidRDefault="00C731DC" w:rsidP="00D644C7">
      <w:pPr>
        <w:pStyle w:val="Odsekzoznamu"/>
        <w:numPr>
          <w:ilvl w:val="0"/>
          <w:numId w:val="13"/>
        </w:numPr>
        <w:spacing w:before="120"/>
        <w:rPr>
          <w:b/>
        </w:rPr>
      </w:pPr>
      <w:r w:rsidRPr="00C731DC">
        <w:rPr>
          <w:b/>
        </w:rPr>
        <w:t>Opatrenie</w:t>
      </w:r>
      <w:r w:rsidR="00F346A5" w:rsidRPr="00C731DC">
        <w:rPr>
          <w:b/>
        </w:rPr>
        <w:t xml:space="preserve">: </w:t>
      </w:r>
      <w:r w:rsidR="00D644C7" w:rsidRPr="00D644C7">
        <w:rPr>
          <w:b/>
        </w:rPr>
        <w:t xml:space="preserve">Pri obnove zmlúv na prevádzku (SLA) a rozvoj zanalyzovať potrebnú úroveň dostupnosti a rámca na zmenové požiadavky a </w:t>
      </w:r>
      <w:r w:rsidR="00D644C7">
        <w:rPr>
          <w:b/>
        </w:rPr>
        <w:t>adekvátne upraviť budúcu zmluvu.</w:t>
      </w:r>
      <w:r w:rsidR="00FB7ADF" w:rsidRPr="00C731DC" w:rsidDel="00FB7ADF">
        <w:rPr>
          <w:b/>
        </w:rPr>
        <w:t xml:space="preserve"> </w:t>
      </w:r>
    </w:p>
    <w:p w14:paraId="42F860D5" w14:textId="77777777" w:rsidR="00F346A5" w:rsidRPr="00FB7ADF" w:rsidRDefault="00F346A5" w:rsidP="00D644C7">
      <w:pPr>
        <w:pStyle w:val="Odsekzoznamu"/>
        <w:numPr>
          <w:ilvl w:val="0"/>
          <w:numId w:val="13"/>
        </w:numPr>
        <w:spacing w:before="120"/>
        <w:rPr>
          <w:b/>
        </w:rPr>
      </w:pPr>
      <w:r w:rsidRPr="001C2C81">
        <w:rPr>
          <w:b/>
        </w:rPr>
        <w:t xml:space="preserve">Opatrenie: </w:t>
      </w:r>
      <w:r w:rsidR="00D644C7" w:rsidRPr="00D644C7">
        <w:rPr>
          <w:b/>
        </w:rPr>
        <w:t>Spracovať hodnotenie 9 vybraných zmlúv na prevádzku a rozvoj s najvyššími nákladmi vrátane návrhu ďalšieho postupu zabezpečenia služieb.</w:t>
      </w:r>
    </w:p>
    <w:p w14:paraId="4DA7AA2A" w14:textId="77777777" w:rsidR="002351AD" w:rsidRPr="00A115E4" w:rsidRDefault="002351AD" w:rsidP="00A115E4">
      <w:pPr>
        <w:pStyle w:val="Nadpis3"/>
        <w:numPr>
          <w:ilvl w:val="1"/>
          <w:numId w:val="1"/>
        </w:numPr>
      </w:pPr>
      <w:bookmarkStart w:id="142" w:name="_Toc35602783"/>
      <w:r w:rsidRPr="002351AD">
        <w:t>Riadiť a vyhodnocovať ekonomickú efektívnosť zmenových požiadaviek</w:t>
      </w:r>
      <w:bookmarkEnd w:id="142"/>
    </w:p>
    <w:p w14:paraId="3437DE7B" w14:textId="77777777" w:rsidR="00973213" w:rsidRDefault="00E22D2F" w:rsidP="002351AD">
      <w:pPr>
        <w:spacing w:after="120"/>
      </w:pPr>
      <w:r>
        <w:rPr>
          <w:b/>
        </w:rPr>
        <w:t xml:space="preserve">Priemerné ročné náklady na úpravy IS sú odhadované na </w:t>
      </w:r>
      <w:r w:rsidR="007710EA">
        <w:rPr>
          <w:b/>
        </w:rPr>
        <w:t>13-50% IT výdavkov</w:t>
      </w:r>
      <w:r>
        <w:rPr>
          <w:b/>
        </w:rPr>
        <w:t xml:space="preserve"> (</w:t>
      </w:r>
      <w:r w:rsidR="007710EA">
        <w:rPr>
          <w:b/>
        </w:rPr>
        <w:t>61-242 mil. eur</w:t>
      </w:r>
      <w:r>
        <w:rPr>
          <w:b/>
        </w:rPr>
        <w:t>).</w:t>
      </w:r>
      <w:r w:rsidR="00973213">
        <w:rPr>
          <w:b/>
        </w:rPr>
        <w:t xml:space="preserve"> </w:t>
      </w:r>
      <w:r w:rsidR="003A7CF6">
        <w:rPr>
          <w:b/>
        </w:rPr>
        <w:t>V porovnaní s novými projektmi neprechádzajú dostatočným testom potrebnosti a ekonomickej efektívnosti</w:t>
      </w:r>
      <w:r w:rsidR="00973213">
        <w:rPr>
          <w:b/>
        </w:rPr>
        <w:t>.</w:t>
      </w:r>
      <w:r w:rsidR="00973213">
        <w:t xml:space="preserve"> </w:t>
      </w:r>
    </w:p>
    <w:p w14:paraId="5E5EEAA0" w14:textId="77777777" w:rsidR="003A7CF6" w:rsidRDefault="00973213" w:rsidP="002351AD">
      <w:pPr>
        <w:spacing w:after="120"/>
      </w:pPr>
      <w:r>
        <w:t xml:space="preserve">Úpravy informačných systémov nemajú v IT rozpočte vytvorenú samostatnú položku. </w:t>
      </w:r>
      <w:r w:rsidR="007710EA">
        <w:t>Najčastejšie sú evidované</w:t>
      </w:r>
      <w:r>
        <w:t xml:space="preserve"> ako rekonštrukcia a modernizácia softvéru (pridávanie nových funkc</w:t>
      </w:r>
      <w:r w:rsidR="007710EA">
        <w:t xml:space="preserve">ionalít zhodnocujúcich softvér), </w:t>
      </w:r>
      <w:r>
        <w:t>rutinná údržba softvéru (napr. vykonanie malých zásahov do existujúceho produktu, diagnostika a odstraňovanie porúch)</w:t>
      </w:r>
      <w:r w:rsidR="007710EA">
        <w:t xml:space="preserve"> a služby v oblasti IKT (napr. tvorba údržba webových stránok, spracovanie štúdii a expertíz týkajúcich sa IKT)</w:t>
      </w:r>
      <w:r>
        <w:t xml:space="preserve">. </w:t>
      </w:r>
      <w:r w:rsidR="00E22D2F">
        <w:t>Bez rozpočtovania zmenových požiadaviek ako samostatnej položky nie je možné vyčísliť presnú výšku výdavkov, odhadovaná výška v rokoch 201</w:t>
      </w:r>
      <w:r w:rsidR="007710EA">
        <w:t>7</w:t>
      </w:r>
      <w:r w:rsidR="00E22D2F">
        <w:t>-19 je</w:t>
      </w:r>
      <w:r w:rsidR="007710EA">
        <w:t xml:space="preserve"> v priemere</w:t>
      </w:r>
      <w:r w:rsidR="00E22D2F">
        <w:t xml:space="preserve"> </w:t>
      </w:r>
      <w:r w:rsidR="007710EA">
        <w:t>61-242</w:t>
      </w:r>
      <w:r w:rsidR="00E22D2F">
        <w:t xml:space="preserve"> mil. eur.</w:t>
      </w:r>
    </w:p>
    <w:p w14:paraId="7A5BE313" w14:textId="2426802C" w:rsidR="00973213" w:rsidRPr="00EA43F7" w:rsidRDefault="00973213" w:rsidP="00EA43F7">
      <w:pPr>
        <w:spacing w:after="0"/>
        <w:rPr>
          <w:b/>
        </w:rPr>
      </w:pPr>
      <w:r w:rsidRPr="00EA43F7">
        <w:rPr>
          <w:b/>
        </w:rPr>
        <w:t xml:space="preserve">Tabuľka </w:t>
      </w:r>
      <w:r w:rsidR="00731E84">
        <w:rPr>
          <w:b/>
        </w:rPr>
        <w:t>12</w:t>
      </w:r>
      <w:r w:rsidRPr="00EA43F7">
        <w:rPr>
          <w:b/>
        </w:rPr>
        <w:t>: Ročné výdavky na úpravy informačných systémov (mil. eur):</w:t>
      </w:r>
    </w:p>
    <w:tbl>
      <w:tblPr>
        <w:tblW w:w="8934" w:type="dxa"/>
        <w:tblCellMar>
          <w:left w:w="70" w:type="dxa"/>
          <w:right w:w="70" w:type="dxa"/>
        </w:tblCellMar>
        <w:tblLook w:val="04A0" w:firstRow="1" w:lastRow="0" w:firstColumn="1" w:lastColumn="0" w:noHBand="0" w:noVBand="1"/>
      </w:tblPr>
      <w:tblGrid>
        <w:gridCol w:w="4782"/>
        <w:gridCol w:w="1400"/>
        <w:gridCol w:w="1376"/>
        <w:gridCol w:w="1376"/>
      </w:tblGrid>
      <w:tr w:rsidR="007710EA" w:rsidRPr="007710EA" w14:paraId="3B987B81" w14:textId="77777777" w:rsidTr="007710EA">
        <w:trPr>
          <w:trHeight w:val="269"/>
        </w:trPr>
        <w:tc>
          <w:tcPr>
            <w:tcW w:w="4782" w:type="dxa"/>
            <w:tcBorders>
              <w:top w:val="single" w:sz="4" w:space="0" w:color="auto"/>
              <w:left w:val="nil"/>
              <w:bottom w:val="single" w:sz="4" w:space="0" w:color="auto"/>
              <w:right w:val="nil"/>
            </w:tcBorders>
            <w:shd w:val="clear" w:color="auto" w:fill="auto"/>
            <w:noWrap/>
            <w:vAlign w:val="bottom"/>
            <w:hideMark/>
          </w:tcPr>
          <w:p w14:paraId="32233FC5" w14:textId="77777777" w:rsidR="007710EA" w:rsidRPr="007710EA" w:rsidRDefault="007710EA" w:rsidP="007710EA">
            <w:pPr>
              <w:spacing w:after="0" w:line="240" w:lineRule="auto"/>
              <w:jc w:val="center"/>
              <w:rPr>
                <w:rFonts w:eastAsia="Times New Roman" w:cs="Times New Roman"/>
                <w:b/>
                <w:bCs/>
                <w:color w:val="000000"/>
                <w:lang w:eastAsia="sk-SK"/>
              </w:rPr>
            </w:pPr>
            <w:r w:rsidRPr="007710EA">
              <w:rPr>
                <w:rFonts w:eastAsia="Times New Roman" w:cs="Times New Roman"/>
                <w:b/>
                <w:bCs/>
                <w:color w:val="000000"/>
                <w:lang w:eastAsia="sk-SK"/>
              </w:rPr>
              <w:t>Položka</w:t>
            </w:r>
          </w:p>
        </w:tc>
        <w:tc>
          <w:tcPr>
            <w:tcW w:w="1400" w:type="dxa"/>
            <w:tcBorders>
              <w:top w:val="single" w:sz="4" w:space="0" w:color="auto"/>
              <w:left w:val="nil"/>
              <w:bottom w:val="single" w:sz="4" w:space="0" w:color="auto"/>
              <w:right w:val="nil"/>
            </w:tcBorders>
            <w:shd w:val="clear" w:color="auto" w:fill="auto"/>
            <w:noWrap/>
            <w:vAlign w:val="bottom"/>
            <w:hideMark/>
          </w:tcPr>
          <w:p w14:paraId="0D5249C0" w14:textId="77777777" w:rsidR="007710EA" w:rsidRPr="007710EA" w:rsidRDefault="007710EA" w:rsidP="007710EA">
            <w:pPr>
              <w:spacing w:after="0" w:line="240" w:lineRule="auto"/>
              <w:jc w:val="center"/>
              <w:rPr>
                <w:rFonts w:eastAsia="Times New Roman" w:cs="Times New Roman"/>
                <w:b/>
                <w:bCs/>
                <w:color w:val="000000"/>
                <w:lang w:eastAsia="sk-SK"/>
              </w:rPr>
            </w:pPr>
            <w:r w:rsidRPr="007710EA">
              <w:rPr>
                <w:rFonts w:eastAsia="Times New Roman" w:cs="Times New Roman"/>
                <w:b/>
                <w:bCs/>
                <w:color w:val="000000"/>
                <w:lang w:eastAsia="sk-SK"/>
              </w:rPr>
              <w:t>2017</w:t>
            </w:r>
          </w:p>
        </w:tc>
        <w:tc>
          <w:tcPr>
            <w:tcW w:w="1376" w:type="dxa"/>
            <w:tcBorders>
              <w:top w:val="single" w:sz="4" w:space="0" w:color="auto"/>
              <w:left w:val="nil"/>
              <w:bottom w:val="single" w:sz="4" w:space="0" w:color="auto"/>
              <w:right w:val="nil"/>
            </w:tcBorders>
            <w:shd w:val="clear" w:color="auto" w:fill="auto"/>
            <w:noWrap/>
            <w:vAlign w:val="bottom"/>
            <w:hideMark/>
          </w:tcPr>
          <w:p w14:paraId="28E414C8" w14:textId="77777777" w:rsidR="007710EA" w:rsidRPr="007710EA" w:rsidRDefault="007710EA" w:rsidP="007710EA">
            <w:pPr>
              <w:spacing w:after="0" w:line="240" w:lineRule="auto"/>
              <w:jc w:val="center"/>
              <w:rPr>
                <w:rFonts w:eastAsia="Times New Roman" w:cs="Times New Roman"/>
                <w:b/>
                <w:bCs/>
                <w:color w:val="000000"/>
                <w:lang w:eastAsia="sk-SK"/>
              </w:rPr>
            </w:pPr>
            <w:r w:rsidRPr="007710EA">
              <w:rPr>
                <w:rFonts w:eastAsia="Times New Roman" w:cs="Times New Roman"/>
                <w:b/>
                <w:bCs/>
                <w:color w:val="000000"/>
                <w:lang w:eastAsia="sk-SK"/>
              </w:rPr>
              <w:t>2018</w:t>
            </w:r>
          </w:p>
        </w:tc>
        <w:tc>
          <w:tcPr>
            <w:tcW w:w="1376" w:type="dxa"/>
            <w:tcBorders>
              <w:top w:val="single" w:sz="4" w:space="0" w:color="auto"/>
              <w:left w:val="nil"/>
              <w:bottom w:val="single" w:sz="4" w:space="0" w:color="auto"/>
              <w:right w:val="nil"/>
            </w:tcBorders>
            <w:shd w:val="clear" w:color="auto" w:fill="auto"/>
            <w:noWrap/>
            <w:vAlign w:val="bottom"/>
            <w:hideMark/>
          </w:tcPr>
          <w:p w14:paraId="50FE01D0" w14:textId="77777777" w:rsidR="007710EA" w:rsidRPr="007710EA" w:rsidRDefault="007710EA" w:rsidP="007710EA">
            <w:pPr>
              <w:spacing w:after="0" w:line="240" w:lineRule="auto"/>
              <w:jc w:val="center"/>
              <w:rPr>
                <w:rFonts w:eastAsia="Times New Roman" w:cs="Times New Roman"/>
                <w:b/>
                <w:bCs/>
                <w:color w:val="000000"/>
                <w:lang w:eastAsia="sk-SK"/>
              </w:rPr>
            </w:pPr>
            <w:r w:rsidRPr="007710EA">
              <w:rPr>
                <w:rFonts w:eastAsia="Times New Roman" w:cs="Times New Roman"/>
                <w:b/>
                <w:bCs/>
                <w:color w:val="000000"/>
                <w:lang w:eastAsia="sk-SK"/>
              </w:rPr>
              <w:t>2019</w:t>
            </w:r>
          </w:p>
        </w:tc>
      </w:tr>
      <w:tr w:rsidR="007710EA" w:rsidRPr="007710EA" w14:paraId="38864005" w14:textId="77777777" w:rsidTr="007710EA">
        <w:trPr>
          <w:trHeight w:val="269"/>
        </w:trPr>
        <w:tc>
          <w:tcPr>
            <w:tcW w:w="4782" w:type="dxa"/>
            <w:tcBorders>
              <w:top w:val="nil"/>
              <w:left w:val="nil"/>
              <w:bottom w:val="nil"/>
              <w:right w:val="nil"/>
            </w:tcBorders>
            <w:shd w:val="clear" w:color="auto" w:fill="auto"/>
            <w:noWrap/>
            <w:vAlign w:val="center"/>
            <w:hideMark/>
          </w:tcPr>
          <w:p w14:paraId="63C6CFC4" w14:textId="77777777" w:rsidR="007710EA" w:rsidRPr="007710EA" w:rsidRDefault="007710EA" w:rsidP="007710EA">
            <w:pPr>
              <w:spacing w:after="0" w:line="240" w:lineRule="auto"/>
              <w:jc w:val="left"/>
              <w:rPr>
                <w:rFonts w:eastAsia="Times New Roman" w:cs="Times New Roman"/>
                <w:color w:val="000000"/>
                <w:lang w:eastAsia="sk-SK"/>
              </w:rPr>
            </w:pPr>
            <w:r w:rsidRPr="007710EA">
              <w:rPr>
                <w:rFonts w:eastAsia="Times New Roman" w:cs="Times New Roman"/>
                <w:color w:val="000000"/>
                <w:lang w:eastAsia="sk-SK"/>
              </w:rPr>
              <w:t>635009 Rutinná a štandardná údržba SW</w:t>
            </w:r>
          </w:p>
        </w:tc>
        <w:tc>
          <w:tcPr>
            <w:tcW w:w="1400" w:type="dxa"/>
            <w:tcBorders>
              <w:top w:val="nil"/>
              <w:left w:val="nil"/>
              <w:bottom w:val="nil"/>
              <w:right w:val="nil"/>
            </w:tcBorders>
            <w:shd w:val="clear" w:color="auto" w:fill="auto"/>
            <w:noWrap/>
            <w:vAlign w:val="bottom"/>
            <w:hideMark/>
          </w:tcPr>
          <w:p w14:paraId="5D1D6C1E" w14:textId="77777777" w:rsidR="007710EA" w:rsidRPr="007710EA" w:rsidRDefault="007710EA" w:rsidP="007710EA">
            <w:pPr>
              <w:spacing w:after="0" w:line="240" w:lineRule="auto"/>
              <w:jc w:val="center"/>
              <w:rPr>
                <w:rFonts w:eastAsia="Times New Roman" w:cs="Times New Roman"/>
                <w:color w:val="000000"/>
                <w:lang w:eastAsia="sk-SK"/>
              </w:rPr>
            </w:pPr>
            <w:r w:rsidRPr="007710EA">
              <w:rPr>
                <w:rFonts w:eastAsia="Times New Roman" w:cs="Times New Roman"/>
                <w:color w:val="000000"/>
                <w:lang w:eastAsia="sk-SK"/>
              </w:rPr>
              <w:t>114,6</w:t>
            </w:r>
          </w:p>
        </w:tc>
        <w:tc>
          <w:tcPr>
            <w:tcW w:w="1376" w:type="dxa"/>
            <w:tcBorders>
              <w:top w:val="nil"/>
              <w:left w:val="nil"/>
              <w:bottom w:val="nil"/>
              <w:right w:val="nil"/>
            </w:tcBorders>
            <w:shd w:val="clear" w:color="auto" w:fill="auto"/>
            <w:noWrap/>
            <w:vAlign w:val="bottom"/>
            <w:hideMark/>
          </w:tcPr>
          <w:p w14:paraId="4CC9938A" w14:textId="77777777" w:rsidR="007710EA" w:rsidRPr="007710EA" w:rsidRDefault="007710EA" w:rsidP="007710EA">
            <w:pPr>
              <w:spacing w:after="0" w:line="240" w:lineRule="auto"/>
              <w:jc w:val="center"/>
              <w:rPr>
                <w:rFonts w:eastAsia="Times New Roman" w:cs="Times New Roman"/>
                <w:color w:val="000000"/>
                <w:lang w:eastAsia="sk-SK"/>
              </w:rPr>
            </w:pPr>
            <w:r w:rsidRPr="007710EA">
              <w:rPr>
                <w:rFonts w:eastAsia="Times New Roman" w:cs="Times New Roman"/>
                <w:color w:val="000000"/>
                <w:lang w:eastAsia="sk-SK"/>
              </w:rPr>
              <w:t>101,2</w:t>
            </w:r>
          </w:p>
        </w:tc>
        <w:tc>
          <w:tcPr>
            <w:tcW w:w="1376" w:type="dxa"/>
            <w:tcBorders>
              <w:top w:val="nil"/>
              <w:left w:val="nil"/>
              <w:bottom w:val="nil"/>
              <w:right w:val="nil"/>
            </w:tcBorders>
            <w:shd w:val="clear" w:color="auto" w:fill="auto"/>
            <w:noWrap/>
            <w:vAlign w:val="bottom"/>
            <w:hideMark/>
          </w:tcPr>
          <w:p w14:paraId="6C2DEA66" w14:textId="77777777" w:rsidR="007710EA" w:rsidRPr="007710EA" w:rsidRDefault="007710EA" w:rsidP="007710EA">
            <w:pPr>
              <w:spacing w:after="0" w:line="240" w:lineRule="auto"/>
              <w:jc w:val="center"/>
              <w:rPr>
                <w:rFonts w:eastAsia="Times New Roman" w:cs="Times New Roman"/>
                <w:color w:val="000000"/>
                <w:lang w:eastAsia="sk-SK"/>
              </w:rPr>
            </w:pPr>
            <w:r w:rsidRPr="007710EA">
              <w:rPr>
                <w:rFonts w:eastAsia="Times New Roman" w:cs="Times New Roman"/>
                <w:color w:val="000000"/>
                <w:lang w:eastAsia="sk-SK"/>
              </w:rPr>
              <w:t>111,9</w:t>
            </w:r>
          </w:p>
        </w:tc>
      </w:tr>
      <w:tr w:rsidR="007710EA" w:rsidRPr="007710EA" w14:paraId="5485BCA8" w14:textId="77777777" w:rsidTr="007710EA">
        <w:trPr>
          <w:trHeight w:val="269"/>
        </w:trPr>
        <w:tc>
          <w:tcPr>
            <w:tcW w:w="4782" w:type="dxa"/>
            <w:tcBorders>
              <w:top w:val="nil"/>
              <w:left w:val="nil"/>
              <w:bottom w:val="nil"/>
              <w:right w:val="nil"/>
            </w:tcBorders>
            <w:shd w:val="clear" w:color="auto" w:fill="auto"/>
            <w:noWrap/>
            <w:vAlign w:val="center"/>
            <w:hideMark/>
          </w:tcPr>
          <w:p w14:paraId="1152C820" w14:textId="77777777" w:rsidR="007710EA" w:rsidRPr="007710EA" w:rsidRDefault="007710EA" w:rsidP="007710EA">
            <w:pPr>
              <w:spacing w:after="0" w:line="240" w:lineRule="auto"/>
              <w:jc w:val="left"/>
              <w:rPr>
                <w:rFonts w:eastAsia="Times New Roman" w:cs="Times New Roman"/>
                <w:color w:val="000000"/>
                <w:lang w:eastAsia="sk-SK"/>
              </w:rPr>
            </w:pPr>
            <w:r w:rsidRPr="007710EA">
              <w:rPr>
                <w:rFonts w:eastAsia="Times New Roman" w:cs="Times New Roman"/>
                <w:color w:val="000000"/>
                <w:lang w:eastAsia="sk-SK"/>
              </w:rPr>
              <w:t>637040 Služby v oblasti IKT</w:t>
            </w:r>
          </w:p>
        </w:tc>
        <w:tc>
          <w:tcPr>
            <w:tcW w:w="1400" w:type="dxa"/>
            <w:tcBorders>
              <w:top w:val="nil"/>
              <w:left w:val="nil"/>
              <w:bottom w:val="nil"/>
              <w:right w:val="nil"/>
            </w:tcBorders>
            <w:shd w:val="clear" w:color="auto" w:fill="auto"/>
            <w:noWrap/>
            <w:vAlign w:val="bottom"/>
            <w:hideMark/>
          </w:tcPr>
          <w:p w14:paraId="2FD431F7" w14:textId="77777777" w:rsidR="007710EA" w:rsidRPr="007710EA" w:rsidRDefault="007710EA" w:rsidP="007710EA">
            <w:pPr>
              <w:spacing w:after="0" w:line="240" w:lineRule="auto"/>
              <w:jc w:val="center"/>
              <w:rPr>
                <w:rFonts w:eastAsia="Times New Roman" w:cs="Times New Roman"/>
                <w:color w:val="000000"/>
                <w:lang w:eastAsia="sk-SK"/>
              </w:rPr>
            </w:pPr>
            <w:r w:rsidRPr="007710EA">
              <w:rPr>
                <w:rFonts w:eastAsia="Times New Roman" w:cs="Times New Roman"/>
                <w:color w:val="000000"/>
                <w:lang w:eastAsia="sk-SK"/>
              </w:rPr>
              <w:t>59,4</w:t>
            </w:r>
          </w:p>
        </w:tc>
        <w:tc>
          <w:tcPr>
            <w:tcW w:w="1376" w:type="dxa"/>
            <w:tcBorders>
              <w:top w:val="nil"/>
              <w:left w:val="nil"/>
              <w:bottom w:val="nil"/>
              <w:right w:val="nil"/>
            </w:tcBorders>
            <w:shd w:val="clear" w:color="auto" w:fill="auto"/>
            <w:noWrap/>
            <w:vAlign w:val="bottom"/>
            <w:hideMark/>
          </w:tcPr>
          <w:p w14:paraId="7A8DAF5D" w14:textId="77777777" w:rsidR="007710EA" w:rsidRPr="007710EA" w:rsidRDefault="007710EA" w:rsidP="007710EA">
            <w:pPr>
              <w:spacing w:after="0" w:line="240" w:lineRule="auto"/>
              <w:jc w:val="center"/>
              <w:rPr>
                <w:rFonts w:eastAsia="Times New Roman" w:cs="Times New Roman"/>
                <w:color w:val="000000"/>
                <w:lang w:eastAsia="sk-SK"/>
              </w:rPr>
            </w:pPr>
            <w:r w:rsidRPr="007710EA">
              <w:rPr>
                <w:rFonts w:eastAsia="Times New Roman" w:cs="Times New Roman"/>
                <w:color w:val="000000"/>
                <w:lang w:eastAsia="sk-SK"/>
              </w:rPr>
              <w:t>78,6</w:t>
            </w:r>
          </w:p>
        </w:tc>
        <w:tc>
          <w:tcPr>
            <w:tcW w:w="1376" w:type="dxa"/>
            <w:tcBorders>
              <w:top w:val="nil"/>
              <w:left w:val="nil"/>
              <w:bottom w:val="nil"/>
              <w:right w:val="nil"/>
            </w:tcBorders>
            <w:shd w:val="clear" w:color="auto" w:fill="auto"/>
            <w:noWrap/>
            <w:vAlign w:val="bottom"/>
            <w:hideMark/>
          </w:tcPr>
          <w:p w14:paraId="288D6C70" w14:textId="77777777" w:rsidR="007710EA" w:rsidRPr="007710EA" w:rsidRDefault="007710EA" w:rsidP="007710EA">
            <w:pPr>
              <w:spacing w:after="0" w:line="240" w:lineRule="auto"/>
              <w:jc w:val="center"/>
              <w:rPr>
                <w:rFonts w:eastAsia="Times New Roman" w:cs="Times New Roman"/>
                <w:color w:val="000000"/>
                <w:lang w:eastAsia="sk-SK"/>
              </w:rPr>
            </w:pPr>
            <w:r w:rsidRPr="007710EA">
              <w:rPr>
                <w:rFonts w:eastAsia="Times New Roman" w:cs="Times New Roman"/>
                <w:color w:val="000000"/>
                <w:lang w:eastAsia="sk-SK"/>
              </w:rPr>
              <w:t>75,8</w:t>
            </w:r>
          </w:p>
        </w:tc>
      </w:tr>
      <w:tr w:rsidR="007710EA" w:rsidRPr="007710EA" w14:paraId="1EE9FA5A" w14:textId="77777777" w:rsidTr="007710EA">
        <w:trPr>
          <w:trHeight w:val="269"/>
        </w:trPr>
        <w:tc>
          <w:tcPr>
            <w:tcW w:w="4782" w:type="dxa"/>
            <w:tcBorders>
              <w:top w:val="nil"/>
              <w:left w:val="nil"/>
              <w:bottom w:val="nil"/>
              <w:right w:val="nil"/>
            </w:tcBorders>
            <w:shd w:val="clear" w:color="auto" w:fill="auto"/>
            <w:noWrap/>
            <w:vAlign w:val="center"/>
            <w:hideMark/>
          </w:tcPr>
          <w:p w14:paraId="29A36D2C" w14:textId="77777777" w:rsidR="007710EA" w:rsidRPr="007710EA" w:rsidRDefault="007710EA" w:rsidP="007710EA">
            <w:pPr>
              <w:spacing w:after="0" w:line="240" w:lineRule="auto"/>
              <w:jc w:val="left"/>
              <w:rPr>
                <w:rFonts w:eastAsia="Times New Roman" w:cs="Times New Roman"/>
                <w:color w:val="000000"/>
                <w:lang w:eastAsia="sk-SK"/>
              </w:rPr>
            </w:pPr>
            <w:r w:rsidRPr="007710EA">
              <w:rPr>
                <w:rFonts w:eastAsia="Times New Roman" w:cs="Times New Roman"/>
                <w:color w:val="000000"/>
                <w:lang w:eastAsia="sk-SK"/>
              </w:rPr>
              <w:t>718006 Rekonštrukcia a modernizácia SW</w:t>
            </w:r>
          </w:p>
        </w:tc>
        <w:tc>
          <w:tcPr>
            <w:tcW w:w="1400" w:type="dxa"/>
            <w:tcBorders>
              <w:top w:val="nil"/>
              <w:left w:val="nil"/>
              <w:bottom w:val="nil"/>
              <w:right w:val="nil"/>
            </w:tcBorders>
            <w:shd w:val="clear" w:color="auto" w:fill="auto"/>
            <w:noWrap/>
            <w:vAlign w:val="bottom"/>
            <w:hideMark/>
          </w:tcPr>
          <w:p w14:paraId="7D9FF949" w14:textId="77777777" w:rsidR="007710EA" w:rsidRPr="007710EA" w:rsidRDefault="007710EA" w:rsidP="007710EA">
            <w:pPr>
              <w:spacing w:after="0" w:line="240" w:lineRule="auto"/>
              <w:jc w:val="center"/>
              <w:rPr>
                <w:rFonts w:eastAsia="Times New Roman" w:cs="Times New Roman"/>
                <w:color w:val="000000"/>
                <w:lang w:eastAsia="sk-SK"/>
              </w:rPr>
            </w:pPr>
            <w:r w:rsidRPr="007710EA">
              <w:rPr>
                <w:rFonts w:eastAsia="Times New Roman" w:cs="Times New Roman"/>
                <w:color w:val="000000"/>
                <w:lang w:eastAsia="sk-SK"/>
              </w:rPr>
              <w:t>55,4</w:t>
            </w:r>
          </w:p>
        </w:tc>
        <w:tc>
          <w:tcPr>
            <w:tcW w:w="1376" w:type="dxa"/>
            <w:tcBorders>
              <w:top w:val="nil"/>
              <w:left w:val="nil"/>
              <w:bottom w:val="nil"/>
              <w:right w:val="nil"/>
            </w:tcBorders>
            <w:shd w:val="clear" w:color="auto" w:fill="auto"/>
            <w:noWrap/>
            <w:vAlign w:val="bottom"/>
            <w:hideMark/>
          </w:tcPr>
          <w:p w14:paraId="7D2B7095" w14:textId="77777777" w:rsidR="007710EA" w:rsidRPr="007710EA" w:rsidRDefault="007710EA" w:rsidP="007710EA">
            <w:pPr>
              <w:spacing w:after="0" w:line="240" w:lineRule="auto"/>
              <w:jc w:val="center"/>
              <w:rPr>
                <w:rFonts w:eastAsia="Times New Roman" w:cs="Times New Roman"/>
                <w:color w:val="000000"/>
                <w:lang w:eastAsia="sk-SK"/>
              </w:rPr>
            </w:pPr>
            <w:r w:rsidRPr="007710EA">
              <w:rPr>
                <w:rFonts w:eastAsia="Times New Roman" w:cs="Times New Roman"/>
                <w:color w:val="000000"/>
                <w:lang w:eastAsia="sk-SK"/>
              </w:rPr>
              <w:t>67,9</w:t>
            </w:r>
          </w:p>
        </w:tc>
        <w:tc>
          <w:tcPr>
            <w:tcW w:w="1376" w:type="dxa"/>
            <w:tcBorders>
              <w:top w:val="nil"/>
              <w:left w:val="nil"/>
              <w:bottom w:val="nil"/>
              <w:right w:val="nil"/>
            </w:tcBorders>
            <w:shd w:val="clear" w:color="auto" w:fill="auto"/>
            <w:noWrap/>
            <w:vAlign w:val="bottom"/>
            <w:hideMark/>
          </w:tcPr>
          <w:p w14:paraId="068B0921" w14:textId="77777777" w:rsidR="007710EA" w:rsidRPr="007710EA" w:rsidRDefault="007710EA" w:rsidP="007710EA">
            <w:pPr>
              <w:spacing w:after="0" w:line="240" w:lineRule="auto"/>
              <w:jc w:val="center"/>
              <w:rPr>
                <w:rFonts w:eastAsia="Times New Roman" w:cs="Times New Roman"/>
                <w:color w:val="000000"/>
                <w:lang w:eastAsia="sk-SK"/>
              </w:rPr>
            </w:pPr>
            <w:r w:rsidRPr="007710EA">
              <w:rPr>
                <w:rFonts w:eastAsia="Times New Roman" w:cs="Times New Roman"/>
                <w:color w:val="000000"/>
                <w:lang w:eastAsia="sk-SK"/>
              </w:rPr>
              <w:t>60,9</w:t>
            </w:r>
          </w:p>
        </w:tc>
      </w:tr>
      <w:tr w:rsidR="007710EA" w:rsidRPr="007710EA" w14:paraId="4CAAD156" w14:textId="77777777" w:rsidTr="007710EA">
        <w:trPr>
          <w:trHeight w:val="269"/>
        </w:trPr>
        <w:tc>
          <w:tcPr>
            <w:tcW w:w="4782" w:type="dxa"/>
            <w:tcBorders>
              <w:top w:val="nil"/>
              <w:left w:val="nil"/>
              <w:bottom w:val="nil"/>
              <w:right w:val="nil"/>
            </w:tcBorders>
            <w:shd w:val="clear" w:color="auto" w:fill="auto"/>
            <w:noWrap/>
            <w:vAlign w:val="center"/>
            <w:hideMark/>
          </w:tcPr>
          <w:p w14:paraId="11360D7D" w14:textId="77777777" w:rsidR="007710EA" w:rsidRPr="007710EA" w:rsidRDefault="007710EA" w:rsidP="007710EA">
            <w:pPr>
              <w:spacing w:after="0" w:line="240" w:lineRule="auto"/>
              <w:jc w:val="left"/>
              <w:rPr>
                <w:rFonts w:eastAsia="Times New Roman" w:cs="Times New Roman"/>
                <w:b/>
                <w:bCs/>
                <w:color w:val="000000"/>
                <w:lang w:eastAsia="sk-SK"/>
              </w:rPr>
            </w:pPr>
            <w:r w:rsidRPr="007710EA">
              <w:rPr>
                <w:rFonts w:eastAsia="Times New Roman" w:cs="Times New Roman"/>
                <w:b/>
                <w:bCs/>
                <w:color w:val="000000"/>
                <w:lang w:eastAsia="sk-SK"/>
              </w:rPr>
              <w:t>Spolu</w:t>
            </w:r>
          </w:p>
        </w:tc>
        <w:tc>
          <w:tcPr>
            <w:tcW w:w="1400" w:type="dxa"/>
            <w:tcBorders>
              <w:top w:val="nil"/>
              <w:left w:val="nil"/>
              <w:bottom w:val="nil"/>
              <w:right w:val="nil"/>
            </w:tcBorders>
            <w:shd w:val="clear" w:color="auto" w:fill="auto"/>
            <w:noWrap/>
            <w:vAlign w:val="bottom"/>
            <w:hideMark/>
          </w:tcPr>
          <w:p w14:paraId="61B03020" w14:textId="77777777" w:rsidR="007710EA" w:rsidRPr="007710EA" w:rsidRDefault="007710EA" w:rsidP="007710EA">
            <w:pPr>
              <w:spacing w:after="0" w:line="240" w:lineRule="auto"/>
              <w:jc w:val="center"/>
              <w:rPr>
                <w:rFonts w:eastAsia="Times New Roman" w:cs="Times New Roman"/>
                <w:color w:val="000000"/>
                <w:lang w:eastAsia="sk-SK"/>
              </w:rPr>
            </w:pPr>
            <w:r w:rsidRPr="007710EA">
              <w:rPr>
                <w:rFonts w:eastAsia="Times New Roman" w:cs="Times New Roman"/>
                <w:color w:val="000000"/>
                <w:lang w:eastAsia="sk-SK"/>
              </w:rPr>
              <w:t>229,5</w:t>
            </w:r>
          </w:p>
        </w:tc>
        <w:tc>
          <w:tcPr>
            <w:tcW w:w="1376" w:type="dxa"/>
            <w:tcBorders>
              <w:top w:val="nil"/>
              <w:left w:val="nil"/>
              <w:bottom w:val="nil"/>
              <w:right w:val="nil"/>
            </w:tcBorders>
            <w:shd w:val="clear" w:color="auto" w:fill="auto"/>
            <w:noWrap/>
            <w:vAlign w:val="bottom"/>
            <w:hideMark/>
          </w:tcPr>
          <w:p w14:paraId="3F3332E9" w14:textId="77777777" w:rsidR="007710EA" w:rsidRPr="007710EA" w:rsidRDefault="007710EA" w:rsidP="007710EA">
            <w:pPr>
              <w:spacing w:after="0" w:line="240" w:lineRule="auto"/>
              <w:jc w:val="center"/>
              <w:rPr>
                <w:rFonts w:eastAsia="Times New Roman" w:cs="Times New Roman"/>
                <w:color w:val="000000"/>
                <w:lang w:eastAsia="sk-SK"/>
              </w:rPr>
            </w:pPr>
            <w:r w:rsidRPr="007710EA">
              <w:rPr>
                <w:rFonts w:eastAsia="Times New Roman" w:cs="Times New Roman"/>
                <w:color w:val="000000"/>
                <w:lang w:eastAsia="sk-SK"/>
              </w:rPr>
              <w:t>247,7</w:t>
            </w:r>
          </w:p>
        </w:tc>
        <w:tc>
          <w:tcPr>
            <w:tcW w:w="1376" w:type="dxa"/>
            <w:tcBorders>
              <w:top w:val="nil"/>
              <w:left w:val="nil"/>
              <w:bottom w:val="nil"/>
              <w:right w:val="nil"/>
            </w:tcBorders>
            <w:shd w:val="clear" w:color="auto" w:fill="auto"/>
            <w:noWrap/>
            <w:vAlign w:val="bottom"/>
            <w:hideMark/>
          </w:tcPr>
          <w:p w14:paraId="2A34F514" w14:textId="77777777" w:rsidR="007710EA" w:rsidRPr="007710EA" w:rsidRDefault="007710EA" w:rsidP="007710EA">
            <w:pPr>
              <w:spacing w:after="0" w:line="240" w:lineRule="auto"/>
              <w:jc w:val="center"/>
              <w:rPr>
                <w:rFonts w:eastAsia="Times New Roman" w:cs="Times New Roman"/>
                <w:color w:val="000000"/>
                <w:lang w:eastAsia="sk-SK"/>
              </w:rPr>
            </w:pPr>
            <w:r w:rsidRPr="007710EA">
              <w:rPr>
                <w:rFonts w:eastAsia="Times New Roman" w:cs="Times New Roman"/>
                <w:color w:val="000000"/>
                <w:lang w:eastAsia="sk-SK"/>
              </w:rPr>
              <w:t>248,6</w:t>
            </w:r>
          </w:p>
        </w:tc>
      </w:tr>
      <w:tr w:rsidR="007710EA" w:rsidRPr="007710EA" w14:paraId="52511FF2" w14:textId="77777777" w:rsidTr="007710EA">
        <w:trPr>
          <w:trHeight w:val="269"/>
        </w:trPr>
        <w:tc>
          <w:tcPr>
            <w:tcW w:w="4782" w:type="dxa"/>
            <w:tcBorders>
              <w:top w:val="nil"/>
              <w:left w:val="nil"/>
              <w:bottom w:val="nil"/>
              <w:right w:val="nil"/>
            </w:tcBorders>
            <w:shd w:val="clear" w:color="auto" w:fill="auto"/>
            <w:noWrap/>
            <w:vAlign w:val="center"/>
            <w:hideMark/>
          </w:tcPr>
          <w:p w14:paraId="502DBE9C" w14:textId="77777777" w:rsidR="007710EA" w:rsidRPr="007710EA" w:rsidRDefault="007710EA" w:rsidP="007710EA">
            <w:pPr>
              <w:spacing w:after="0" w:line="240" w:lineRule="auto"/>
              <w:jc w:val="left"/>
              <w:rPr>
                <w:rFonts w:eastAsia="Times New Roman" w:cs="Times New Roman"/>
                <w:b/>
                <w:bCs/>
                <w:color w:val="000000"/>
                <w:lang w:eastAsia="sk-SK"/>
              </w:rPr>
            </w:pPr>
            <w:r w:rsidRPr="007710EA">
              <w:rPr>
                <w:rFonts w:eastAsia="Times New Roman" w:cs="Times New Roman"/>
                <w:b/>
                <w:bCs/>
                <w:color w:val="000000"/>
                <w:lang w:eastAsia="sk-SK"/>
              </w:rPr>
              <w:t>Podiel na celkových IT výdavkoch</w:t>
            </w:r>
          </w:p>
        </w:tc>
        <w:tc>
          <w:tcPr>
            <w:tcW w:w="1400" w:type="dxa"/>
            <w:tcBorders>
              <w:top w:val="nil"/>
              <w:left w:val="nil"/>
              <w:bottom w:val="nil"/>
              <w:right w:val="nil"/>
            </w:tcBorders>
            <w:shd w:val="clear" w:color="auto" w:fill="auto"/>
            <w:noWrap/>
            <w:vAlign w:val="center"/>
            <w:hideMark/>
          </w:tcPr>
          <w:p w14:paraId="05F655DF" w14:textId="77777777" w:rsidR="007710EA" w:rsidRPr="007710EA" w:rsidRDefault="007710EA" w:rsidP="007710EA">
            <w:pPr>
              <w:spacing w:after="0" w:line="240" w:lineRule="auto"/>
              <w:jc w:val="center"/>
              <w:rPr>
                <w:rFonts w:eastAsia="Times New Roman" w:cs="Times New Roman"/>
                <w:b/>
                <w:bCs/>
                <w:color w:val="000000"/>
                <w:lang w:eastAsia="sk-SK"/>
              </w:rPr>
            </w:pPr>
            <w:r w:rsidRPr="007710EA">
              <w:rPr>
                <w:rFonts w:eastAsia="Times New Roman" w:cs="Times New Roman"/>
                <w:b/>
                <w:bCs/>
                <w:color w:val="000000"/>
                <w:lang w:eastAsia="sk-SK"/>
              </w:rPr>
              <w:t>54%</w:t>
            </w:r>
          </w:p>
        </w:tc>
        <w:tc>
          <w:tcPr>
            <w:tcW w:w="1376" w:type="dxa"/>
            <w:tcBorders>
              <w:top w:val="nil"/>
              <w:left w:val="nil"/>
              <w:bottom w:val="nil"/>
              <w:right w:val="nil"/>
            </w:tcBorders>
            <w:shd w:val="clear" w:color="auto" w:fill="auto"/>
            <w:noWrap/>
            <w:vAlign w:val="center"/>
            <w:hideMark/>
          </w:tcPr>
          <w:p w14:paraId="5648EE67" w14:textId="77777777" w:rsidR="007710EA" w:rsidRPr="007710EA" w:rsidRDefault="007710EA" w:rsidP="007710EA">
            <w:pPr>
              <w:spacing w:after="0" w:line="240" w:lineRule="auto"/>
              <w:jc w:val="center"/>
              <w:rPr>
                <w:rFonts w:eastAsia="Times New Roman" w:cs="Times New Roman"/>
                <w:b/>
                <w:bCs/>
                <w:color w:val="000000"/>
                <w:lang w:eastAsia="sk-SK"/>
              </w:rPr>
            </w:pPr>
            <w:r w:rsidRPr="007710EA">
              <w:rPr>
                <w:rFonts w:eastAsia="Times New Roman" w:cs="Times New Roman"/>
                <w:b/>
                <w:bCs/>
                <w:color w:val="000000"/>
                <w:lang w:eastAsia="sk-SK"/>
              </w:rPr>
              <w:t>48%</w:t>
            </w:r>
          </w:p>
        </w:tc>
        <w:tc>
          <w:tcPr>
            <w:tcW w:w="1376" w:type="dxa"/>
            <w:tcBorders>
              <w:top w:val="nil"/>
              <w:left w:val="nil"/>
              <w:bottom w:val="nil"/>
              <w:right w:val="nil"/>
            </w:tcBorders>
            <w:shd w:val="clear" w:color="auto" w:fill="auto"/>
            <w:noWrap/>
            <w:vAlign w:val="center"/>
            <w:hideMark/>
          </w:tcPr>
          <w:p w14:paraId="46EECD91" w14:textId="77777777" w:rsidR="007710EA" w:rsidRPr="007710EA" w:rsidRDefault="007710EA" w:rsidP="007710EA">
            <w:pPr>
              <w:spacing w:after="0" w:line="240" w:lineRule="auto"/>
              <w:jc w:val="center"/>
              <w:rPr>
                <w:rFonts w:eastAsia="Times New Roman" w:cs="Times New Roman"/>
                <w:b/>
                <w:bCs/>
                <w:color w:val="000000"/>
                <w:lang w:eastAsia="sk-SK"/>
              </w:rPr>
            </w:pPr>
            <w:r w:rsidRPr="007710EA">
              <w:rPr>
                <w:rFonts w:eastAsia="Times New Roman" w:cs="Times New Roman"/>
                <w:b/>
                <w:bCs/>
                <w:color w:val="000000"/>
                <w:lang w:eastAsia="sk-SK"/>
              </w:rPr>
              <w:t>49%</w:t>
            </w:r>
          </w:p>
        </w:tc>
      </w:tr>
      <w:tr w:rsidR="007710EA" w:rsidRPr="007710EA" w14:paraId="5E5472EF" w14:textId="77777777" w:rsidTr="007710EA">
        <w:trPr>
          <w:trHeight w:val="269"/>
        </w:trPr>
        <w:tc>
          <w:tcPr>
            <w:tcW w:w="4782" w:type="dxa"/>
            <w:tcBorders>
              <w:top w:val="nil"/>
              <w:left w:val="nil"/>
              <w:bottom w:val="nil"/>
              <w:right w:val="nil"/>
            </w:tcBorders>
            <w:shd w:val="clear" w:color="auto" w:fill="auto"/>
            <w:noWrap/>
            <w:vAlign w:val="center"/>
            <w:hideMark/>
          </w:tcPr>
          <w:p w14:paraId="0D4372D0" w14:textId="77777777" w:rsidR="007710EA" w:rsidRPr="007710EA" w:rsidRDefault="007710EA" w:rsidP="007710EA">
            <w:pPr>
              <w:spacing w:after="0" w:line="240" w:lineRule="auto"/>
              <w:ind w:firstLineChars="100" w:firstLine="220"/>
              <w:jc w:val="left"/>
              <w:rPr>
                <w:rFonts w:eastAsia="Times New Roman" w:cs="Times New Roman"/>
                <w:i/>
                <w:iCs/>
                <w:color w:val="000000"/>
                <w:lang w:eastAsia="sk-SK"/>
              </w:rPr>
            </w:pPr>
            <w:r w:rsidRPr="007710EA">
              <w:rPr>
                <w:rFonts w:eastAsia="Times New Roman" w:cs="Times New Roman"/>
                <w:i/>
                <w:iCs/>
                <w:color w:val="000000"/>
                <w:lang w:eastAsia="sk-SK"/>
              </w:rPr>
              <w:t>Z toho rutinná a štandardná údržba SW</w:t>
            </w:r>
          </w:p>
        </w:tc>
        <w:tc>
          <w:tcPr>
            <w:tcW w:w="1400" w:type="dxa"/>
            <w:tcBorders>
              <w:top w:val="nil"/>
              <w:left w:val="nil"/>
              <w:bottom w:val="nil"/>
              <w:right w:val="nil"/>
            </w:tcBorders>
            <w:shd w:val="clear" w:color="auto" w:fill="auto"/>
            <w:noWrap/>
            <w:vAlign w:val="bottom"/>
            <w:hideMark/>
          </w:tcPr>
          <w:p w14:paraId="6F985E9D" w14:textId="77777777" w:rsidR="007710EA" w:rsidRPr="007710EA" w:rsidRDefault="007710EA" w:rsidP="007710EA">
            <w:pPr>
              <w:spacing w:after="0" w:line="240" w:lineRule="auto"/>
              <w:jc w:val="center"/>
              <w:rPr>
                <w:rFonts w:eastAsia="Times New Roman" w:cs="Times New Roman"/>
                <w:i/>
                <w:iCs/>
                <w:color w:val="000000"/>
                <w:lang w:eastAsia="sk-SK"/>
              </w:rPr>
            </w:pPr>
            <w:r w:rsidRPr="007710EA">
              <w:rPr>
                <w:rFonts w:eastAsia="Times New Roman" w:cs="Times New Roman"/>
                <w:i/>
                <w:iCs/>
                <w:color w:val="000000"/>
                <w:lang w:eastAsia="sk-SK"/>
              </w:rPr>
              <w:t>27%</w:t>
            </w:r>
          </w:p>
        </w:tc>
        <w:tc>
          <w:tcPr>
            <w:tcW w:w="1376" w:type="dxa"/>
            <w:tcBorders>
              <w:top w:val="nil"/>
              <w:left w:val="nil"/>
              <w:bottom w:val="nil"/>
              <w:right w:val="nil"/>
            </w:tcBorders>
            <w:shd w:val="clear" w:color="auto" w:fill="auto"/>
            <w:noWrap/>
            <w:vAlign w:val="bottom"/>
            <w:hideMark/>
          </w:tcPr>
          <w:p w14:paraId="4372B10F" w14:textId="77777777" w:rsidR="007710EA" w:rsidRPr="007710EA" w:rsidRDefault="007710EA" w:rsidP="007710EA">
            <w:pPr>
              <w:spacing w:after="0" w:line="240" w:lineRule="auto"/>
              <w:jc w:val="center"/>
              <w:rPr>
                <w:rFonts w:eastAsia="Times New Roman" w:cs="Times New Roman"/>
                <w:i/>
                <w:iCs/>
                <w:color w:val="000000"/>
                <w:lang w:eastAsia="sk-SK"/>
              </w:rPr>
            </w:pPr>
            <w:r w:rsidRPr="007710EA">
              <w:rPr>
                <w:rFonts w:eastAsia="Times New Roman" w:cs="Times New Roman"/>
                <w:i/>
                <w:iCs/>
                <w:color w:val="000000"/>
                <w:lang w:eastAsia="sk-SK"/>
              </w:rPr>
              <w:t>20%</w:t>
            </w:r>
          </w:p>
        </w:tc>
        <w:tc>
          <w:tcPr>
            <w:tcW w:w="1376" w:type="dxa"/>
            <w:tcBorders>
              <w:top w:val="nil"/>
              <w:left w:val="nil"/>
              <w:bottom w:val="nil"/>
              <w:right w:val="nil"/>
            </w:tcBorders>
            <w:shd w:val="clear" w:color="auto" w:fill="auto"/>
            <w:noWrap/>
            <w:vAlign w:val="bottom"/>
            <w:hideMark/>
          </w:tcPr>
          <w:p w14:paraId="21FF6863" w14:textId="77777777" w:rsidR="007710EA" w:rsidRPr="007710EA" w:rsidRDefault="007710EA" w:rsidP="007710EA">
            <w:pPr>
              <w:spacing w:after="0" w:line="240" w:lineRule="auto"/>
              <w:jc w:val="center"/>
              <w:rPr>
                <w:rFonts w:eastAsia="Times New Roman" w:cs="Times New Roman"/>
                <w:i/>
                <w:iCs/>
                <w:color w:val="000000"/>
                <w:lang w:eastAsia="sk-SK"/>
              </w:rPr>
            </w:pPr>
            <w:r w:rsidRPr="007710EA">
              <w:rPr>
                <w:rFonts w:eastAsia="Times New Roman" w:cs="Times New Roman"/>
                <w:i/>
                <w:iCs/>
                <w:color w:val="000000"/>
                <w:lang w:eastAsia="sk-SK"/>
              </w:rPr>
              <w:t>22%</w:t>
            </w:r>
          </w:p>
        </w:tc>
      </w:tr>
      <w:tr w:rsidR="007710EA" w:rsidRPr="007710EA" w14:paraId="139729CD" w14:textId="77777777" w:rsidTr="007710EA">
        <w:trPr>
          <w:trHeight w:val="269"/>
        </w:trPr>
        <w:tc>
          <w:tcPr>
            <w:tcW w:w="4782" w:type="dxa"/>
            <w:tcBorders>
              <w:top w:val="nil"/>
              <w:left w:val="nil"/>
              <w:bottom w:val="nil"/>
              <w:right w:val="nil"/>
            </w:tcBorders>
            <w:shd w:val="clear" w:color="auto" w:fill="auto"/>
            <w:noWrap/>
            <w:vAlign w:val="center"/>
            <w:hideMark/>
          </w:tcPr>
          <w:p w14:paraId="68CA13E9" w14:textId="77777777" w:rsidR="007710EA" w:rsidRPr="007710EA" w:rsidRDefault="007710EA" w:rsidP="007710EA">
            <w:pPr>
              <w:spacing w:after="0" w:line="240" w:lineRule="auto"/>
              <w:ind w:firstLineChars="100" w:firstLine="220"/>
              <w:jc w:val="left"/>
              <w:rPr>
                <w:rFonts w:eastAsia="Times New Roman" w:cs="Times New Roman"/>
                <w:i/>
                <w:iCs/>
                <w:color w:val="000000"/>
                <w:lang w:eastAsia="sk-SK"/>
              </w:rPr>
            </w:pPr>
            <w:r w:rsidRPr="007710EA">
              <w:rPr>
                <w:rFonts w:eastAsia="Times New Roman" w:cs="Times New Roman"/>
                <w:i/>
                <w:iCs/>
                <w:color w:val="000000"/>
                <w:lang w:eastAsia="sk-SK"/>
              </w:rPr>
              <w:t>Z toho služby v oblasti IKT</w:t>
            </w:r>
          </w:p>
        </w:tc>
        <w:tc>
          <w:tcPr>
            <w:tcW w:w="1400" w:type="dxa"/>
            <w:tcBorders>
              <w:top w:val="nil"/>
              <w:left w:val="nil"/>
              <w:bottom w:val="nil"/>
              <w:right w:val="nil"/>
            </w:tcBorders>
            <w:shd w:val="clear" w:color="auto" w:fill="auto"/>
            <w:noWrap/>
            <w:vAlign w:val="bottom"/>
            <w:hideMark/>
          </w:tcPr>
          <w:p w14:paraId="2B6AD0B9" w14:textId="77777777" w:rsidR="007710EA" w:rsidRPr="007710EA" w:rsidRDefault="007710EA" w:rsidP="007710EA">
            <w:pPr>
              <w:spacing w:after="0" w:line="240" w:lineRule="auto"/>
              <w:jc w:val="center"/>
              <w:rPr>
                <w:rFonts w:eastAsia="Times New Roman" w:cs="Times New Roman"/>
                <w:i/>
                <w:iCs/>
                <w:color w:val="000000"/>
                <w:lang w:eastAsia="sk-SK"/>
              </w:rPr>
            </w:pPr>
            <w:r w:rsidRPr="007710EA">
              <w:rPr>
                <w:rFonts w:eastAsia="Times New Roman" w:cs="Times New Roman"/>
                <w:i/>
                <w:iCs/>
                <w:color w:val="000000"/>
                <w:lang w:eastAsia="sk-SK"/>
              </w:rPr>
              <w:t>14%</w:t>
            </w:r>
          </w:p>
        </w:tc>
        <w:tc>
          <w:tcPr>
            <w:tcW w:w="1376" w:type="dxa"/>
            <w:tcBorders>
              <w:top w:val="nil"/>
              <w:left w:val="nil"/>
              <w:bottom w:val="nil"/>
              <w:right w:val="nil"/>
            </w:tcBorders>
            <w:shd w:val="clear" w:color="auto" w:fill="auto"/>
            <w:noWrap/>
            <w:vAlign w:val="bottom"/>
            <w:hideMark/>
          </w:tcPr>
          <w:p w14:paraId="3BD62572" w14:textId="77777777" w:rsidR="007710EA" w:rsidRPr="007710EA" w:rsidRDefault="007710EA" w:rsidP="007710EA">
            <w:pPr>
              <w:spacing w:after="0" w:line="240" w:lineRule="auto"/>
              <w:jc w:val="center"/>
              <w:rPr>
                <w:rFonts w:eastAsia="Times New Roman" w:cs="Times New Roman"/>
                <w:i/>
                <w:iCs/>
                <w:color w:val="000000"/>
                <w:lang w:eastAsia="sk-SK"/>
              </w:rPr>
            </w:pPr>
            <w:r w:rsidRPr="007710EA">
              <w:rPr>
                <w:rFonts w:eastAsia="Times New Roman" w:cs="Times New Roman"/>
                <w:i/>
                <w:iCs/>
                <w:color w:val="000000"/>
                <w:lang w:eastAsia="sk-SK"/>
              </w:rPr>
              <w:t>15%</w:t>
            </w:r>
          </w:p>
        </w:tc>
        <w:tc>
          <w:tcPr>
            <w:tcW w:w="1376" w:type="dxa"/>
            <w:tcBorders>
              <w:top w:val="nil"/>
              <w:left w:val="nil"/>
              <w:bottom w:val="nil"/>
              <w:right w:val="nil"/>
            </w:tcBorders>
            <w:shd w:val="clear" w:color="auto" w:fill="auto"/>
            <w:noWrap/>
            <w:vAlign w:val="bottom"/>
            <w:hideMark/>
          </w:tcPr>
          <w:p w14:paraId="216750E5" w14:textId="77777777" w:rsidR="007710EA" w:rsidRPr="007710EA" w:rsidRDefault="007710EA" w:rsidP="007710EA">
            <w:pPr>
              <w:spacing w:after="0" w:line="240" w:lineRule="auto"/>
              <w:jc w:val="center"/>
              <w:rPr>
                <w:rFonts w:eastAsia="Times New Roman" w:cs="Times New Roman"/>
                <w:i/>
                <w:iCs/>
                <w:color w:val="000000"/>
                <w:lang w:eastAsia="sk-SK"/>
              </w:rPr>
            </w:pPr>
            <w:r w:rsidRPr="007710EA">
              <w:rPr>
                <w:rFonts w:eastAsia="Times New Roman" w:cs="Times New Roman"/>
                <w:i/>
                <w:iCs/>
                <w:color w:val="000000"/>
                <w:lang w:eastAsia="sk-SK"/>
              </w:rPr>
              <w:t>15%</w:t>
            </w:r>
          </w:p>
        </w:tc>
      </w:tr>
      <w:tr w:rsidR="007710EA" w:rsidRPr="007710EA" w14:paraId="2B4D1EBF" w14:textId="77777777" w:rsidTr="007710EA">
        <w:trPr>
          <w:trHeight w:val="269"/>
        </w:trPr>
        <w:tc>
          <w:tcPr>
            <w:tcW w:w="4782" w:type="dxa"/>
            <w:tcBorders>
              <w:top w:val="nil"/>
              <w:left w:val="nil"/>
              <w:bottom w:val="single" w:sz="4" w:space="0" w:color="auto"/>
              <w:right w:val="nil"/>
            </w:tcBorders>
            <w:shd w:val="clear" w:color="auto" w:fill="auto"/>
            <w:noWrap/>
            <w:vAlign w:val="center"/>
            <w:hideMark/>
          </w:tcPr>
          <w:p w14:paraId="292B5153" w14:textId="77777777" w:rsidR="007710EA" w:rsidRPr="007710EA" w:rsidRDefault="007710EA" w:rsidP="007710EA">
            <w:pPr>
              <w:spacing w:after="0" w:line="240" w:lineRule="auto"/>
              <w:ind w:firstLineChars="100" w:firstLine="220"/>
              <w:jc w:val="left"/>
              <w:rPr>
                <w:rFonts w:eastAsia="Times New Roman" w:cs="Times New Roman"/>
                <w:i/>
                <w:iCs/>
                <w:color w:val="000000"/>
                <w:lang w:eastAsia="sk-SK"/>
              </w:rPr>
            </w:pPr>
            <w:r w:rsidRPr="007710EA">
              <w:rPr>
                <w:rFonts w:eastAsia="Times New Roman" w:cs="Times New Roman"/>
                <w:i/>
                <w:iCs/>
                <w:color w:val="000000"/>
                <w:lang w:eastAsia="sk-SK"/>
              </w:rPr>
              <w:t>Z toho rekonštrukcia a modernizácia SW</w:t>
            </w:r>
          </w:p>
        </w:tc>
        <w:tc>
          <w:tcPr>
            <w:tcW w:w="1400" w:type="dxa"/>
            <w:tcBorders>
              <w:top w:val="nil"/>
              <w:left w:val="nil"/>
              <w:bottom w:val="single" w:sz="4" w:space="0" w:color="auto"/>
              <w:right w:val="nil"/>
            </w:tcBorders>
            <w:shd w:val="clear" w:color="auto" w:fill="auto"/>
            <w:noWrap/>
            <w:vAlign w:val="bottom"/>
            <w:hideMark/>
          </w:tcPr>
          <w:p w14:paraId="7DDBAB4D" w14:textId="77777777" w:rsidR="007710EA" w:rsidRPr="007710EA" w:rsidRDefault="007710EA" w:rsidP="007710EA">
            <w:pPr>
              <w:spacing w:after="0" w:line="240" w:lineRule="auto"/>
              <w:jc w:val="center"/>
              <w:rPr>
                <w:rFonts w:eastAsia="Times New Roman" w:cs="Times New Roman"/>
                <w:i/>
                <w:iCs/>
                <w:color w:val="000000"/>
                <w:lang w:eastAsia="sk-SK"/>
              </w:rPr>
            </w:pPr>
            <w:r w:rsidRPr="007710EA">
              <w:rPr>
                <w:rFonts w:eastAsia="Times New Roman" w:cs="Times New Roman"/>
                <w:i/>
                <w:iCs/>
                <w:color w:val="000000"/>
                <w:lang w:eastAsia="sk-SK"/>
              </w:rPr>
              <w:t>13%</w:t>
            </w:r>
          </w:p>
        </w:tc>
        <w:tc>
          <w:tcPr>
            <w:tcW w:w="1376" w:type="dxa"/>
            <w:tcBorders>
              <w:top w:val="nil"/>
              <w:left w:val="nil"/>
              <w:bottom w:val="single" w:sz="4" w:space="0" w:color="auto"/>
              <w:right w:val="nil"/>
            </w:tcBorders>
            <w:shd w:val="clear" w:color="auto" w:fill="auto"/>
            <w:noWrap/>
            <w:vAlign w:val="bottom"/>
            <w:hideMark/>
          </w:tcPr>
          <w:p w14:paraId="6F47941E" w14:textId="77777777" w:rsidR="007710EA" w:rsidRPr="007710EA" w:rsidRDefault="007710EA" w:rsidP="007710EA">
            <w:pPr>
              <w:spacing w:after="0" w:line="240" w:lineRule="auto"/>
              <w:jc w:val="center"/>
              <w:rPr>
                <w:rFonts w:eastAsia="Times New Roman" w:cs="Times New Roman"/>
                <w:i/>
                <w:iCs/>
                <w:color w:val="000000"/>
                <w:lang w:eastAsia="sk-SK"/>
              </w:rPr>
            </w:pPr>
            <w:r w:rsidRPr="007710EA">
              <w:rPr>
                <w:rFonts w:eastAsia="Times New Roman" w:cs="Times New Roman"/>
                <w:i/>
                <w:iCs/>
                <w:color w:val="000000"/>
                <w:lang w:eastAsia="sk-SK"/>
              </w:rPr>
              <w:t>13%</w:t>
            </w:r>
          </w:p>
        </w:tc>
        <w:tc>
          <w:tcPr>
            <w:tcW w:w="1376" w:type="dxa"/>
            <w:tcBorders>
              <w:top w:val="nil"/>
              <w:left w:val="nil"/>
              <w:bottom w:val="single" w:sz="4" w:space="0" w:color="auto"/>
              <w:right w:val="nil"/>
            </w:tcBorders>
            <w:shd w:val="clear" w:color="auto" w:fill="auto"/>
            <w:noWrap/>
            <w:vAlign w:val="bottom"/>
            <w:hideMark/>
          </w:tcPr>
          <w:p w14:paraId="280A3983" w14:textId="77777777" w:rsidR="007710EA" w:rsidRPr="007710EA" w:rsidRDefault="007710EA" w:rsidP="007710EA">
            <w:pPr>
              <w:spacing w:after="0" w:line="240" w:lineRule="auto"/>
              <w:jc w:val="center"/>
              <w:rPr>
                <w:rFonts w:eastAsia="Times New Roman" w:cs="Times New Roman"/>
                <w:i/>
                <w:iCs/>
                <w:color w:val="000000"/>
                <w:lang w:eastAsia="sk-SK"/>
              </w:rPr>
            </w:pPr>
            <w:r w:rsidRPr="007710EA">
              <w:rPr>
                <w:rFonts w:eastAsia="Times New Roman" w:cs="Times New Roman"/>
                <w:i/>
                <w:iCs/>
                <w:color w:val="000000"/>
                <w:lang w:eastAsia="sk-SK"/>
              </w:rPr>
              <w:t>12%</w:t>
            </w:r>
          </w:p>
        </w:tc>
      </w:tr>
      <w:tr w:rsidR="007710EA" w:rsidRPr="007710EA" w14:paraId="71592B0B" w14:textId="77777777" w:rsidTr="007710EA">
        <w:trPr>
          <w:trHeight w:val="269"/>
        </w:trPr>
        <w:tc>
          <w:tcPr>
            <w:tcW w:w="8934" w:type="dxa"/>
            <w:gridSpan w:val="4"/>
            <w:tcBorders>
              <w:top w:val="single" w:sz="4" w:space="0" w:color="auto"/>
              <w:left w:val="nil"/>
              <w:right w:val="nil"/>
            </w:tcBorders>
            <w:shd w:val="clear" w:color="auto" w:fill="auto"/>
            <w:noWrap/>
          </w:tcPr>
          <w:p w14:paraId="48A15C27" w14:textId="77777777" w:rsidR="007710EA" w:rsidRPr="007710EA" w:rsidRDefault="007710EA" w:rsidP="007710EA">
            <w:pPr>
              <w:spacing w:after="0" w:line="240" w:lineRule="auto"/>
              <w:jc w:val="right"/>
              <w:rPr>
                <w:rFonts w:eastAsia="Times New Roman" w:cs="Times New Roman"/>
                <w:i/>
                <w:iCs/>
                <w:color w:val="000000"/>
                <w:sz w:val="18"/>
                <w:lang w:eastAsia="sk-SK"/>
              </w:rPr>
            </w:pPr>
            <w:r w:rsidRPr="007710EA">
              <w:rPr>
                <w:rFonts w:eastAsia="Times New Roman" w:cs="Times New Roman"/>
                <w:i/>
                <w:iCs/>
                <w:color w:val="000000"/>
                <w:sz w:val="18"/>
                <w:lang w:eastAsia="sk-SK"/>
              </w:rPr>
              <w:t>Zdroj: RIS, Spracovanie ÚHP</w:t>
            </w:r>
          </w:p>
        </w:tc>
      </w:tr>
    </w:tbl>
    <w:p w14:paraId="04D52DE6" w14:textId="77777777" w:rsidR="00E22D2F" w:rsidRDefault="00E22D2F" w:rsidP="00EA43F7">
      <w:pPr>
        <w:spacing w:before="120" w:after="120"/>
      </w:pPr>
      <w:r>
        <w:t xml:space="preserve">Zmenové požiadavky sú najčastejšie vyvolané úpravou legislatívy, alebo požiadavkou biznis vlastníka služby na úpravu IT systému. Pri úprave legislatívy zachytáva doložka vplyvov často len výdavky priamo spojené s IS vo vlastníctve predkladateľa, ktorý bude realizovať agendu, bez dostatočnej analýzy a kvantifikovania všetkých vyvolaných nákladov (napr. úpravy IS tretích strán). Pri zmenových požiadavkách vyvolaných biznis vlastníkmi </w:t>
      </w:r>
      <w:r>
        <w:lastRenderedPageBreak/>
        <w:t xml:space="preserve">služieb v rámci úradu nie je potrebné, vzhľadom na individuálnu výšku nákladov, preukazovať ekonomickú efektívnosť (napr. množstvo času ušetrené úpravou formulárov, alebo automatizáciou činností). Ekonomická efektívnosť veľkej časti nákladov na prevádzku a rozvoj tak nie je kontrolovaná. </w:t>
      </w:r>
    </w:p>
    <w:p w14:paraId="3DE0E4EC" w14:textId="3EE9C9BB" w:rsidR="00ED1D75" w:rsidRDefault="00E22D2F" w:rsidP="002351AD">
      <w:pPr>
        <w:spacing w:after="120"/>
        <w:rPr>
          <w:i/>
          <w:highlight w:val="yellow"/>
        </w:rPr>
      </w:pPr>
      <w:r>
        <w:t>Na kvantifikáciu celkovej výšky výdavkov na úpravy IS s napojením na rozpočet je potrebné upraviť metodický pokyn k ekonomickej klasifikácii IT výdavkov.</w:t>
      </w:r>
      <w:r w:rsidR="00897C1D" w:rsidRPr="00897C1D">
        <w:t xml:space="preserve"> </w:t>
      </w:r>
      <w:r w:rsidR="00897C1D">
        <w:t xml:space="preserve">Na hodnotenie ekonomickej efektívnosti jednotlivých zmien je potrebné vytvorenie štruktúrovanej údajovej základne </w:t>
      </w:r>
    </w:p>
    <w:p w14:paraId="77BAFE89" w14:textId="77777777" w:rsidR="00633C9F" w:rsidRDefault="00ED1D75" w:rsidP="002351AD">
      <w:pPr>
        <w:spacing w:after="120"/>
      </w:pPr>
      <w:r>
        <w:t>V doteraz hodnotených SLA zmluvách na zabezpečenie prevádzky a rozvoja proprietárnych informačných systémov bola identifikovaná úspora 5-10 % z ich ročnej hodnoty znížením sadzieb za jednotkové ceny IT špecialistov úroveň</w:t>
      </w:r>
      <w:r w:rsidRPr="00ED1D75">
        <w:t xml:space="preserve"> </w:t>
      </w:r>
      <w:r w:rsidR="00633C9F">
        <w:t>bežnú pre</w:t>
      </w:r>
      <w:r w:rsidRPr="00ED1D75">
        <w:t xml:space="preserve"> </w:t>
      </w:r>
      <w:r w:rsidR="00633C9F">
        <w:t>slovenský trh</w:t>
      </w:r>
      <w:r>
        <w:t xml:space="preserve">. Dodatočnú úsporu je možné v krátkej dobe dosiahnuť referencovaní jednotkových cien voči českému trhu. Strednodobými opatreniami na zvyšovanie ekonomickej efektívnosti </w:t>
      </w:r>
      <w:r w:rsidR="00633C9F">
        <w:t>sú</w:t>
      </w:r>
      <w:r>
        <w:t xml:space="preserve"> </w:t>
      </w:r>
      <w:r w:rsidR="00633C9F">
        <w:t xml:space="preserve">najmä </w:t>
      </w:r>
      <w:r>
        <w:t>preberanie časti externe objednávaných služieb do intern</w:t>
      </w:r>
      <w:r w:rsidR="00633C9F">
        <w:t xml:space="preserve">ého výkonu a </w:t>
      </w:r>
      <w:r>
        <w:t>lepší manažment požiadaviek na úpravy a</w:t>
      </w:r>
      <w:r w:rsidR="00633C9F">
        <w:t> </w:t>
      </w:r>
      <w:r>
        <w:t xml:space="preserve">rozvoj.  </w:t>
      </w:r>
    </w:p>
    <w:p w14:paraId="5BC3BA0A" w14:textId="29ECD7E3" w:rsidR="002351AD" w:rsidRDefault="00ED1D75" w:rsidP="002351AD">
      <w:pPr>
        <w:spacing w:after="120"/>
      </w:pPr>
      <w:r>
        <w:t xml:space="preserve">Plnenie opatrení vyžaduje vysporiadanie autorských práv, zdrojových kódov a dokumentácie, ktoré môžu byť najmä pri starších systémoch vo vlastníctve dodávateľa. </w:t>
      </w:r>
      <w:r w:rsidR="00A4470F">
        <w:t xml:space="preserve">Vyčíslenie relevantnej úspory vyžaduje zanalyzovanie </w:t>
      </w:r>
      <w:r w:rsidR="00633C9F">
        <w:t xml:space="preserve">všetkých relevantných </w:t>
      </w:r>
      <w:r w:rsidR="00A4470F">
        <w:t xml:space="preserve">možností </w:t>
      </w:r>
      <w:r w:rsidR="00633C9F">
        <w:t xml:space="preserve">ďalšieho zabezpečovania IT služieb </w:t>
      </w:r>
      <w:r w:rsidR="00A4470F">
        <w:t>pred podpisom zmlúv k</w:t>
      </w:r>
      <w:r>
        <w:t xml:space="preserve"> </w:t>
      </w:r>
      <w:r w:rsidR="00A4470F">
        <w:t>jednotlivým</w:t>
      </w:r>
      <w:r>
        <w:t xml:space="preserve"> </w:t>
      </w:r>
      <w:r w:rsidR="00A4470F">
        <w:t>informačným</w:t>
      </w:r>
      <w:r>
        <w:t xml:space="preserve"> systémo</w:t>
      </w:r>
      <w:r w:rsidR="00A4470F">
        <w:t>m</w:t>
      </w:r>
      <w:r w:rsidR="00633C9F">
        <w:t>, vrátane ich nahradenia ekonomicky efektívnejšími alternatívami</w:t>
      </w:r>
      <w:r>
        <w:t xml:space="preserve">. </w:t>
      </w:r>
    </w:p>
    <w:tbl>
      <w:tblPr>
        <w:tblStyle w:val="Tabukasmriekou6farebnzvraznenie5"/>
        <w:tblpPr w:leftFromText="141" w:rightFromText="141" w:vertAnchor="text" w:horzAnchor="margin" w:tblpY="-53"/>
        <w:tblW w:w="0" w:type="auto"/>
        <w:tblLook w:val="0420" w:firstRow="1" w:lastRow="0" w:firstColumn="0" w:lastColumn="0" w:noHBand="0" w:noVBand="1"/>
      </w:tblPr>
      <w:tblGrid>
        <w:gridCol w:w="9062"/>
      </w:tblGrid>
      <w:tr w:rsidR="002351AD" w:rsidRPr="00765192" w14:paraId="6641F354" w14:textId="77777777" w:rsidTr="002351AD">
        <w:trPr>
          <w:cnfStyle w:val="100000000000" w:firstRow="1" w:lastRow="0" w:firstColumn="0" w:lastColumn="0" w:oddVBand="0" w:evenVBand="0" w:oddHBand="0" w:evenHBand="0" w:firstRowFirstColumn="0" w:firstRowLastColumn="0" w:lastRowFirstColumn="0" w:lastRowLastColumn="0"/>
        </w:trPr>
        <w:tc>
          <w:tcPr>
            <w:tcW w:w="9062" w:type="dxa"/>
          </w:tcPr>
          <w:p w14:paraId="7EC4FD9A" w14:textId="77777777" w:rsidR="002351AD" w:rsidRPr="00765192" w:rsidRDefault="002351AD" w:rsidP="002351AD">
            <w:pPr>
              <w:rPr>
                <w:sz w:val="20"/>
              </w:rPr>
            </w:pPr>
            <w:r>
              <w:rPr>
                <w:sz w:val="20"/>
              </w:rPr>
              <w:t>Box</w:t>
            </w:r>
            <w:r w:rsidRPr="00765192">
              <w:rPr>
                <w:sz w:val="20"/>
              </w:rPr>
              <w:t xml:space="preserve">: </w:t>
            </w:r>
            <w:r>
              <w:rPr>
                <w:sz w:val="20"/>
              </w:rPr>
              <w:t>Nedostatočná kvantifikácia vyvolaných IT nákladov vyvolaných legislatívnou zmenou</w:t>
            </w:r>
          </w:p>
        </w:tc>
      </w:tr>
      <w:tr w:rsidR="002351AD" w:rsidRPr="00765192" w14:paraId="0C800F63" w14:textId="77777777" w:rsidTr="002351AD">
        <w:trPr>
          <w:cnfStyle w:val="000000100000" w:firstRow="0" w:lastRow="0" w:firstColumn="0" w:lastColumn="0" w:oddVBand="0" w:evenVBand="0" w:oddHBand="1" w:evenHBand="0" w:firstRowFirstColumn="0" w:firstRowLastColumn="0" w:lastRowFirstColumn="0" w:lastRowLastColumn="0"/>
          <w:trHeight w:val="1227"/>
        </w:trPr>
        <w:tc>
          <w:tcPr>
            <w:tcW w:w="9062" w:type="dxa"/>
          </w:tcPr>
          <w:p w14:paraId="0B20DD6C" w14:textId="77777777" w:rsidR="002351AD" w:rsidRDefault="002351AD" w:rsidP="002351AD">
            <w:pPr>
              <w:spacing w:before="120" w:after="120"/>
              <w:rPr>
                <w:sz w:val="20"/>
              </w:rPr>
            </w:pPr>
            <w:r>
              <w:rPr>
                <w:sz w:val="20"/>
              </w:rPr>
              <w:t>MV SR predložilo do legislatívneho procesu „</w:t>
            </w:r>
            <w:r w:rsidRPr="000B771F">
              <w:rPr>
                <w:sz w:val="20"/>
              </w:rPr>
              <w:t>Zákon o základných identifikátoroch fyzickej osoby a o zmene a doplnení niektorých zákonov</w:t>
            </w:r>
            <w:r>
              <w:rPr>
                <w:rStyle w:val="Odkaznapoznmkupodiarou"/>
                <w:sz w:val="20"/>
              </w:rPr>
              <w:footnoteReference w:id="38"/>
            </w:r>
            <w:r>
              <w:rPr>
                <w:sz w:val="20"/>
              </w:rPr>
              <w:t xml:space="preserve">“, ktorý navrhuje v 10 ročnom prechodnom období nahradiť rodné čísla setom základných identifikátorov fyzických osôb. </w:t>
            </w:r>
          </w:p>
          <w:p w14:paraId="06DB2E09" w14:textId="77777777" w:rsidR="002351AD" w:rsidRDefault="002351AD" w:rsidP="002351AD">
            <w:pPr>
              <w:spacing w:before="120" w:after="120"/>
              <w:rPr>
                <w:sz w:val="20"/>
              </w:rPr>
            </w:pPr>
            <w:r>
              <w:rPr>
                <w:sz w:val="20"/>
              </w:rPr>
              <w:t>Podľa návrhu zákona bude potrebné počas 10 ročného prechodného obdobia upraviť všetky IS, ktoré dnes pracujú s rodnými číslami, a integrovať ich na nový systém, ktorý spravuje set základných identifikátorov.</w:t>
            </w:r>
          </w:p>
          <w:p w14:paraId="2181D2C8" w14:textId="77777777" w:rsidR="002351AD" w:rsidRPr="00765192" w:rsidRDefault="002351AD" w:rsidP="002351AD">
            <w:pPr>
              <w:spacing w:before="120" w:after="120"/>
              <w:rPr>
                <w:sz w:val="20"/>
              </w:rPr>
            </w:pPr>
            <w:r>
              <w:rPr>
                <w:sz w:val="20"/>
              </w:rPr>
              <w:t xml:space="preserve">V doložke vplyvov návrhu zákona na rozpočet verejnej správy sú v IT časti vyčíslené len prevádzkové náklady MV SR na systém spravujúci základné identifikátory. Napriek tomu, že pre funkčnosť celého návrhu je potrebná úprava a integrácia ďalšieho množstva systémov v správe iných orgánov verejnej moci, nie sú vyvolané náklady vyčíslené. Celkový dopad na rozpočet verejnej správy je tak výrazne podhodnotený.  </w:t>
            </w:r>
          </w:p>
        </w:tc>
      </w:tr>
    </w:tbl>
    <w:p w14:paraId="27DAFC71" w14:textId="77777777" w:rsidR="00954B1A" w:rsidRDefault="002351AD" w:rsidP="00EF3255">
      <w:pPr>
        <w:pStyle w:val="Odsekzoznamu"/>
        <w:numPr>
          <w:ilvl w:val="0"/>
          <w:numId w:val="9"/>
        </w:numPr>
        <w:spacing w:before="120" w:after="120"/>
        <w:rPr>
          <w:b/>
        </w:rPr>
      </w:pPr>
      <w:r w:rsidRPr="000966D6">
        <w:rPr>
          <w:b/>
        </w:rPr>
        <w:t xml:space="preserve">Opatrenie: </w:t>
      </w:r>
      <w:r w:rsidR="00EF3255" w:rsidRPr="00EF3255">
        <w:rPr>
          <w:b/>
        </w:rPr>
        <w:t>Aktualizovať kategorizáciu výdavkov podľa rozpočtovej klasifikácie a vytvoriť databázu zmenových požiadaviek.</w:t>
      </w:r>
    </w:p>
    <w:p w14:paraId="17134CBA" w14:textId="77777777" w:rsidR="009A5C37" w:rsidRDefault="00954B1A" w:rsidP="00EF3255">
      <w:pPr>
        <w:pStyle w:val="Odsekzoznamu"/>
        <w:numPr>
          <w:ilvl w:val="0"/>
          <w:numId w:val="9"/>
        </w:numPr>
        <w:spacing w:before="120" w:after="120"/>
        <w:rPr>
          <w:b/>
        </w:rPr>
      </w:pPr>
      <w:r w:rsidRPr="000966D6">
        <w:rPr>
          <w:b/>
        </w:rPr>
        <w:t xml:space="preserve">Opatrenie: </w:t>
      </w:r>
      <w:r w:rsidR="00EF3255" w:rsidRPr="00EF3255">
        <w:rPr>
          <w:b/>
        </w:rPr>
        <w:t>Hodnotiť ekonomickú efektívnosť servisných a zmenových požiadaviek s výdavkami nad 1 mil. eur s DPH.</w:t>
      </w:r>
    </w:p>
    <w:p w14:paraId="5A732E98" w14:textId="77777777" w:rsidR="0059256C" w:rsidRPr="00765192" w:rsidRDefault="0059256C" w:rsidP="00A115E4">
      <w:pPr>
        <w:pStyle w:val="Nadpis3"/>
        <w:numPr>
          <w:ilvl w:val="1"/>
          <w:numId w:val="1"/>
        </w:numPr>
        <w:spacing w:before="120" w:after="120"/>
      </w:pPr>
      <w:bookmarkStart w:id="143" w:name="_Toc31438990"/>
      <w:bookmarkStart w:id="144" w:name="_Toc31441177"/>
      <w:bookmarkStart w:id="145" w:name="_Toc25161041"/>
      <w:bookmarkStart w:id="146" w:name="_Toc25161143"/>
      <w:bookmarkStart w:id="147" w:name="_Toc25161498"/>
      <w:bookmarkStart w:id="148" w:name="_Toc25162899"/>
      <w:bookmarkStart w:id="149" w:name="_Toc35602784"/>
      <w:bookmarkEnd w:id="143"/>
      <w:bookmarkEnd w:id="144"/>
      <w:bookmarkEnd w:id="145"/>
      <w:bookmarkEnd w:id="146"/>
      <w:bookmarkEnd w:id="147"/>
      <w:bookmarkEnd w:id="148"/>
      <w:r w:rsidRPr="00765192">
        <w:t>Bezpečnosť</w:t>
      </w:r>
      <w:bookmarkEnd w:id="149"/>
    </w:p>
    <w:p w14:paraId="0FCF71CF" w14:textId="77777777" w:rsidR="0059256C" w:rsidRDefault="0059256C" w:rsidP="0059256C">
      <w:r w:rsidRPr="00765192">
        <w:rPr>
          <w:b/>
        </w:rPr>
        <w:t xml:space="preserve">Celkovú výšku investícii do zvyšovania kybernetickej bezpečnosti nie je možné vyčísliť. </w:t>
      </w:r>
      <w:r w:rsidRPr="00765192">
        <w:t xml:space="preserve">Dielčie informácie o centrálnych investíciách do kybernetickej bezpečnosti sú dostupné v zásobníku projektov financovaných z OP II. Informácie o výške investícií jednotlivých úradov zo štátneho rozpočtu nie sú dostupné. Nie ja tak možné vyčísliť celkovú výšku investície, ktorú štát vynakladá na zvyšovanie kybernetickej bezpečnosti a porovnať ju s inými krajinami, alebo medzi jednotlivými úradmi a systémami. </w:t>
      </w:r>
    </w:p>
    <w:p w14:paraId="244DDDF4" w14:textId="77777777" w:rsidR="00E16A8D" w:rsidRDefault="00E16A8D" w:rsidP="00E16A8D">
      <w:r>
        <w:rPr>
          <w:b/>
        </w:rPr>
        <w:t xml:space="preserve">Požadovaná úroveň zabezpečenia IT služieb nie je štandardizovaná, čo môže viesť k vyšším </w:t>
      </w:r>
      <w:r w:rsidR="007C2CB6">
        <w:rPr>
          <w:b/>
        </w:rPr>
        <w:t xml:space="preserve">ako optimálnym </w:t>
      </w:r>
      <w:r>
        <w:rPr>
          <w:b/>
        </w:rPr>
        <w:t xml:space="preserve">nákladom. </w:t>
      </w:r>
      <w:r w:rsidR="007C2CB6">
        <w:t>Stanovenie požiadaviek na bezpečnosť dnes do veľkej miery závisí od požiadaviek biznis vlastníka</w:t>
      </w:r>
      <w:r w:rsidR="00F94EFD">
        <w:t xml:space="preserve"> IT služby.</w:t>
      </w:r>
      <w:r w:rsidR="007C2CB6">
        <w:t xml:space="preserve"> </w:t>
      </w:r>
      <w:r w:rsidR="00F94EFD">
        <w:t>Nie je vyžadovaná</w:t>
      </w:r>
      <w:r w:rsidR="007C2CB6">
        <w:t xml:space="preserve"> analýzy potenciálnych rizík a škôd vyplývajúcich z rôznej úrovne nastavenia úrovne zabezpečenia</w:t>
      </w:r>
      <w:r w:rsidR="00F94EFD">
        <w:t xml:space="preserve"> podľa jednotnej metodiky</w:t>
      </w:r>
      <w:r>
        <w:t>.</w:t>
      </w:r>
      <w:r w:rsidR="007C2CB6">
        <w:t xml:space="preserve"> Aj pre nekritické IT služby, ktoré nespracovávajú citlivé dáta, môže byť požadovaná vysoká miera zabezpečenia, ktorá je spojená s vyššími nákladmi. Pre objektívne stanovenie požiadaviek j</w:t>
      </w:r>
      <w:r>
        <w:t xml:space="preserve">e potrebné zadefinovať kategórie IT služieb z pohľadu potrebnej miery zabezpečenia a nastaviť úroveň bezpečnosti tak, aby zodpovedali potenciálnemu riziku.  </w:t>
      </w:r>
    </w:p>
    <w:p w14:paraId="5A48A59E" w14:textId="77777777" w:rsidR="007C2CB6" w:rsidRPr="00765192" w:rsidRDefault="007C2CB6" w:rsidP="007C2CB6">
      <w:r>
        <w:rPr>
          <w:b/>
        </w:rPr>
        <w:t>Bez dostatočného vzdelania zamestnancov a nastavenia bezpečnostných procesov nemusia investície do infraštruktúry priniesť vyššiu bezpečnosť</w:t>
      </w:r>
      <w:r w:rsidRPr="00765192">
        <w:rPr>
          <w:b/>
        </w:rPr>
        <w:t xml:space="preserve">. </w:t>
      </w:r>
      <w:r w:rsidRPr="00765192">
        <w:t xml:space="preserve">Investície do nového hardvéru a softvéru nemusia zvýšiť úroveň </w:t>
      </w:r>
      <w:r w:rsidRPr="00765192">
        <w:lastRenderedPageBreak/>
        <w:t>zabezpečenia, ak organizácia nemá zavedené adekvátny bezpečnostný manažment a procesy. Pred investíciou do nového technického vybavenia je potrebné overiť, či sú v plnej miere zavedené všetky organizačné opatrenia, ako napríklad pravidelná aktualizácia softvéru, alebo eskalačný proces pri identifikovaní bezpečnostného incidentu.</w:t>
      </w:r>
    </w:p>
    <w:p w14:paraId="30067F48" w14:textId="77777777" w:rsidR="0059256C" w:rsidRPr="00765192" w:rsidRDefault="0059256C" w:rsidP="0059256C">
      <w:r w:rsidRPr="00765192">
        <w:rPr>
          <w:b/>
        </w:rPr>
        <w:t xml:space="preserve">Hodnotenie kvality bezpečnostných procesov jednotlivých úradov a vzdelania zamestnancov nie je dostupné. </w:t>
      </w:r>
      <w:r w:rsidRPr="00765192">
        <w:t>Okrem doplňovania technického vybavenia úradov je potrebné  pravidelné vzdelávanie zamestnancov o aktuálnych hrozbách a zavedenie a dodržovanie procesov, ktoré umožní rýchlu reakciu a minimalizáciu prípadných škôd. Informácie o kvalite bezpečnostných procesov na jednotlivých úradoch nie sú dostupné.</w:t>
      </w:r>
    </w:p>
    <w:p w14:paraId="044DC1AE" w14:textId="77777777" w:rsidR="00775781" w:rsidRPr="00775781" w:rsidRDefault="0059256C" w:rsidP="0059256C">
      <w:r w:rsidRPr="00765192">
        <w:rPr>
          <w:b/>
        </w:rPr>
        <w:t xml:space="preserve">Je potrebné zadefinovať kritéria, ktoré musí organizácia pred investovaním splniť a výšku nákladov rozpočtovať samostatne. </w:t>
      </w:r>
      <w:r w:rsidRPr="00765192">
        <w:t>Na vyčíslenie nákladov je potrebné do rozpočtových prvkov medzirezortného programu 0EK doplniť nový prvok, pod ktorý budú spadať investície do kybernetickej bezpečnosti. Na minimalizáciu rizika, že vynaložené prostriedky nebudú využité efektívne, je potrebné zadefinovať tzv. „soft“ kritéria, ako napr. rozsah bezpečnostných procesov a úroveň vzdelania zamestnancov, ktorých plnenie je podmienkou investovaním do nového vybavenia</w:t>
      </w:r>
      <w:r w:rsidR="00017F77">
        <w:t>.</w:t>
      </w:r>
      <w:r w:rsidR="00775781">
        <w:t xml:space="preserve"> Výšku úspor bude možné odhadnúť po vyčíslení výdavkov na bezpečnosť a ich analýze.</w:t>
      </w:r>
    </w:p>
    <w:p w14:paraId="360BDF7E" w14:textId="77777777" w:rsidR="005C42F8" w:rsidRPr="006528F7" w:rsidRDefault="005C42F8" w:rsidP="00EF3255">
      <w:pPr>
        <w:pStyle w:val="Odsekzoznamu"/>
        <w:numPr>
          <w:ilvl w:val="0"/>
          <w:numId w:val="14"/>
        </w:numPr>
      </w:pPr>
      <w:r>
        <w:rPr>
          <w:b/>
        </w:rPr>
        <w:t xml:space="preserve">Opatrenie: </w:t>
      </w:r>
      <w:r w:rsidR="00EF3255" w:rsidRPr="00EF3255">
        <w:rPr>
          <w:b/>
        </w:rPr>
        <w:t>Zaviesť samostatné rozpočtovanie a sledovanie výdavkov do IT bezpečnosti.</w:t>
      </w:r>
    </w:p>
    <w:p w14:paraId="0089AFDB" w14:textId="77777777" w:rsidR="00737073" w:rsidRPr="00737073" w:rsidRDefault="00F346A5" w:rsidP="00EF3255">
      <w:pPr>
        <w:pStyle w:val="Odsekzoznamu"/>
        <w:numPr>
          <w:ilvl w:val="0"/>
          <w:numId w:val="14"/>
        </w:numPr>
      </w:pPr>
      <w:r>
        <w:rPr>
          <w:b/>
        </w:rPr>
        <w:t xml:space="preserve">Opatrenie: </w:t>
      </w:r>
      <w:r w:rsidR="00EF3255" w:rsidRPr="00EF3255">
        <w:rPr>
          <w:b/>
        </w:rPr>
        <w:t>Definovať bezpečnostné procesy a kritéria,  ktoré musí organizácia plniť pred investovaním do IT bezpečnostných technológií.</w:t>
      </w:r>
    </w:p>
    <w:p w14:paraId="3D2C182F" w14:textId="77777777" w:rsidR="00283EF4" w:rsidRPr="008C5034" w:rsidRDefault="00283EF4" w:rsidP="00EF3255">
      <w:pPr>
        <w:pStyle w:val="Odsekzoznamu"/>
        <w:numPr>
          <w:ilvl w:val="0"/>
          <w:numId w:val="14"/>
        </w:numPr>
      </w:pPr>
      <w:r>
        <w:rPr>
          <w:b/>
        </w:rPr>
        <w:t xml:space="preserve">Opatrenie: </w:t>
      </w:r>
      <w:r w:rsidR="00EF3255" w:rsidRPr="00EF3255">
        <w:rPr>
          <w:b/>
        </w:rPr>
        <w:t>Definovať kategórie IT služieb a štandardy ich zabezpečenia.</w:t>
      </w:r>
    </w:p>
    <w:p w14:paraId="5FA8A2AF" w14:textId="77777777" w:rsidR="0059256C" w:rsidRDefault="0059256C" w:rsidP="00A115E4">
      <w:pPr>
        <w:pStyle w:val="Nadpis3"/>
        <w:numPr>
          <w:ilvl w:val="1"/>
          <w:numId w:val="1"/>
        </w:numPr>
        <w:spacing w:before="120" w:after="120"/>
      </w:pPr>
      <w:bookmarkStart w:id="150" w:name="_Toc35602785"/>
      <w:r>
        <w:t>Riadenie nákupu a spotreby softvéru</w:t>
      </w:r>
      <w:bookmarkEnd w:id="150"/>
    </w:p>
    <w:p w14:paraId="1660524C" w14:textId="1C7003DE" w:rsidR="000102DF" w:rsidRDefault="00442063" w:rsidP="0059256C">
      <w:r>
        <w:rPr>
          <w:b/>
        </w:rPr>
        <w:t xml:space="preserve">Centrálnym nákupom softvérových licencií </w:t>
      </w:r>
      <w:r w:rsidR="000102DF">
        <w:rPr>
          <w:b/>
        </w:rPr>
        <w:t xml:space="preserve">Microsoft </w:t>
      </w:r>
      <w:r>
        <w:rPr>
          <w:b/>
        </w:rPr>
        <w:t>sa dá ročne ušetriť najmenej 5,2</w:t>
      </w:r>
      <w:r w:rsidR="00D270ED">
        <w:rPr>
          <w:b/>
        </w:rPr>
        <w:t>-5,6</w:t>
      </w:r>
      <w:r>
        <w:rPr>
          <w:b/>
        </w:rPr>
        <w:t xml:space="preserve"> mil. eur</w:t>
      </w:r>
      <w:r w:rsidR="000102DF">
        <w:rPr>
          <w:b/>
        </w:rPr>
        <w:t xml:space="preserve">. </w:t>
      </w:r>
      <w:r w:rsidR="00EB4F0E">
        <w:t>Ako ukázala audit potrieb a využívania kancelárskeho softvéru</w:t>
      </w:r>
      <w:r w:rsidR="00EB4F0E">
        <w:rPr>
          <w:rStyle w:val="Odkaznapoznmkupodiarou"/>
        </w:rPr>
        <w:footnoteReference w:id="39"/>
      </w:r>
      <w:r w:rsidR="00EB4F0E">
        <w:t>, štát môže c</w:t>
      </w:r>
      <w:r>
        <w:t xml:space="preserve">entrálnym nákupom softvérových licencií štát získať nižšie jednotkové ceny, ako pri uzatváraní množstva individuálnych zmlúv. </w:t>
      </w:r>
      <w:r w:rsidR="00D94162">
        <w:t xml:space="preserve">Úspora z centrálneho nákupu licencií Microsoft je odhadovaná najmenej </w:t>
      </w:r>
      <w:r w:rsidR="00EB4F0E">
        <w:t xml:space="preserve">na </w:t>
      </w:r>
      <w:r w:rsidR="00D94162">
        <w:t>5,2</w:t>
      </w:r>
      <w:r w:rsidR="00D270ED">
        <w:t>-5,6</w:t>
      </w:r>
      <w:r w:rsidR="00D94162">
        <w:t xml:space="preserve"> mil. eur (nižšie jednotkové ceny pre už zapojené organizácie a zapájanie nových organizácií), ďalšia potenciálna úspora je v zapojení na teraz nezmapovaných </w:t>
      </w:r>
      <w:r w:rsidR="006D15AD">
        <w:t xml:space="preserve">subjektov </w:t>
      </w:r>
      <w:r w:rsidR="00D94162">
        <w:t>(Nemocnice, alebo VŠzP)</w:t>
      </w:r>
      <w:r w:rsidR="006D15AD">
        <w:t xml:space="preserve"> a subjektov s nejasnou možnosťou zapojenia do centrálnej zmluvy (ŽSR, NDS, RTVS a ďalšie)</w:t>
      </w:r>
      <w:r w:rsidR="00D94162">
        <w:t xml:space="preserve">. </w:t>
      </w:r>
    </w:p>
    <w:p w14:paraId="454305E8" w14:textId="6D5B9538" w:rsidR="002B7FDF" w:rsidRPr="0037129E" w:rsidRDefault="002B7FDF" w:rsidP="0037129E">
      <w:pPr>
        <w:spacing w:after="0"/>
        <w:rPr>
          <w:b/>
        </w:rPr>
      </w:pPr>
      <w:r w:rsidRPr="0037129E">
        <w:rPr>
          <w:b/>
        </w:rPr>
        <w:t xml:space="preserve">Tabuľka </w:t>
      </w:r>
      <w:r w:rsidR="004177D6">
        <w:rPr>
          <w:b/>
        </w:rPr>
        <w:t>13</w:t>
      </w:r>
      <w:r w:rsidRPr="0037129E">
        <w:rPr>
          <w:b/>
        </w:rPr>
        <w:t xml:space="preserve">: </w:t>
      </w:r>
      <w:r>
        <w:rPr>
          <w:b/>
        </w:rPr>
        <w:t>Odhad ročnej</w:t>
      </w:r>
      <w:r w:rsidRPr="0037129E">
        <w:rPr>
          <w:b/>
        </w:rPr>
        <w:t xml:space="preserve"> úspory z centrálneho nákupu licencií Microsoft (mil. eur)</w:t>
      </w:r>
    </w:p>
    <w:tbl>
      <w:tblPr>
        <w:tblW w:w="9020" w:type="dxa"/>
        <w:tblLook w:val="04A0" w:firstRow="1" w:lastRow="0" w:firstColumn="1" w:lastColumn="0" w:noHBand="0" w:noVBand="1"/>
      </w:tblPr>
      <w:tblGrid>
        <w:gridCol w:w="7124"/>
        <w:gridCol w:w="1896"/>
      </w:tblGrid>
      <w:tr w:rsidR="002B7FDF" w:rsidRPr="002B7FDF" w14:paraId="0F9A339D" w14:textId="77777777" w:rsidTr="0037129E">
        <w:trPr>
          <w:trHeight w:val="216"/>
        </w:trPr>
        <w:tc>
          <w:tcPr>
            <w:tcW w:w="7124" w:type="dxa"/>
            <w:tcBorders>
              <w:top w:val="single" w:sz="4" w:space="0" w:color="auto"/>
              <w:left w:val="nil"/>
              <w:bottom w:val="single" w:sz="4" w:space="0" w:color="auto"/>
              <w:right w:val="nil"/>
            </w:tcBorders>
            <w:shd w:val="clear" w:color="auto" w:fill="auto"/>
            <w:noWrap/>
            <w:vAlign w:val="center"/>
            <w:hideMark/>
          </w:tcPr>
          <w:p w14:paraId="3C38F5CD" w14:textId="77777777" w:rsidR="002B7FDF" w:rsidRPr="0037129E" w:rsidRDefault="002B7FDF" w:rsidP="002B7FDF">
            <w:pPr>
              <w:spacing w:after="0" w:line="240" w:lineRule="auto"/>
              <w:jc w:val="left"/>
              <w:rPr>
                <w:rFonts w:eastAsia="Times New Roman" w:cs="Calibri"/>
                <w:b/>
                <w:bCs/>
                <w:color w:val="000000"/>
                <w:sz w:val="20"/>
                <w:szCs w:val="20"/>
                <w:lang w:eastAsia="en-GB"/>
              </w:rPr>
            </w:pPr>
            <w:r w:rsidRPr="0037129E">
              <w:rPr>
                <w:rFonts w:eastAsia="Times New Roman" w:cs="Calibri"/>
                <w:b/>
                <w:bCs/>
                <w:color w:val="000000"/>
                <w:sz w:val="20"/>
                <w:szCs w:val="20"/>
                <w:lang w:eastAsia="en-GB"/>
              </w:rPr>
              <w:t>Zdroj úspory</w:t>
            </w:r>
          </w:p>
        </w:tc>
        <w:tc>
          <w:tcPr>
            <w:tcW w:w="1896" w:type="dxa"/>
            <w:tcBorders>
              <w:top w:val="single" w:sz="4" w:space="0" w:color="auto"/>
              <w:left w:val="nil"/>
              <w:bottom w:val="single" w:sz="4" w:space="0" w:color="auto"/>
              <w:right w:val="nil"/>
            </w:tcBorders>
            <w:shd w:val="clear" w:color="auto" w:fill="auto"/>
            <w:vAlign w:val="center"/>
            <w:hideMark/>
          </w:tcPr>
          <w:p w14:paraId="703A8200" w14:textId="77777777" w:rsidR="002B7FDF" w:rsidRPr="0037129E" w:rsidRDefault="002B7FDF" w:rsidP="002B7FDF">
            <w:pPr>
              <w:spacing w:after="0" w:line="240" w:lineRule="auto"/>
              <w:jc w:val="center"/>
              <w:rPr>
                <w:rFonts w:eastAsia="Times New Roman" w:cs="Calibri"/>
                <w:b/>
                <w:bCs/>
                <w:color w:val="000000"/>
                <w:sz w:val="20"/>
                <w:szCs w:val="20"/>
                <w:lang w:eastAsia="en-GB"/>
              </w:rPr>
            </w:pPr>
            <w:r w:rsidRPr="0037129E">
              <w:rPr>
                <w:rFonts w:eastAsia="Times New Roman" w:cs="Calibri"/>
                <w:b/>
                <w:bCs/>
                <w:color w:val="000000"/>
                <w:sz w:val="20"/>
                <w:szCs w:val="20"/>
                <w:lang w:eastAsia="en-GB"/>
              </w:rPr>
              <w:t>Ročný odhad úspory</w:t>
            </w:r>
          </w:p>
        </w:tc>
      </w:tr>
      <w:tr w:rsidR="002B7FDF" w:rsidRPr="002B7FDF" w14:paraId="568FD6A9" w14:textId="77777777" w:rsidTr="0037129E">
        <w:trPr>
          <w:trHeight w:val="216"/>
        </w:trPr>
        <w:tc>
          <w:tcPr>
            <w:tcW w:w="7124" w:type="dxa"/>
            <w:tcBorders>
              <w:top w:val="nil"/>
              <w:left w:val="nil"/>
              <w:bottom w:val="nil"/>
              <w:right w:val="nil"/>
            </w:tcBorders>
            <w:shd w:val="clear" w:color="auto" w:fill="auto"/>
            <w:noWrap/>
            <w:vAlign w:val="center"/>
            <w:hideMark/>
          </w:tcPr>
          <w:p w14:paraId="29BABA05" w14:textId="77777777" w:rsidR="002B7FDF" w:rsidRPr="0037129E" w:rsidRDefault="002B7FDF" w:rsidP="002B7FDF">
            <w:pPr>
              <w:spacing w:after="0" w:line="240" w:lineRule="auto"/>
              <w:jc w:val="left"/>
              <w:rPr>
                <w:rFonts w:eastAsia="Times New Roman" w:cs="Calibri"/>
                <w:color w:val="000000"/>
                <w:lang w:eastAsia="en-GB"/>
              </w:rPr>
            </w:pPr>
            <w:r w:rsidRPr="0037129E">
              <w:rPr>
                <w:rFonts w:eastAsia="Times New Roman" w:cs="Calibri"/>
                <w:color w:val="000000"/>
                <w:lang w:eastAsia="en-GB"/>
              </w:rPr>
              <w:t>Lepšie jednotkové ceny – už zapojené organizácie</w:t>
            </w:r>
          </w:p>
        </w:tc>
        <w:tc>
          <w:tcPr>
            <w:tcW w:w="1896" w:type="dxa"/>
            <w:tcBorders>
              <w:top w:val="nil"/>
              <w:left w:val="nil"/>
              <w:bottom w:val="nil"/>
              <w:right w:val="nil"/>
            </w:tcBorders>
            <w:shd w:val="clear" w:color="auto" w:fill="auto"/>
            <w:vAlign w:val="center"/>
            <w:hideMark/>
          </w:tcPr>
          <w:p w14:paraId="7B7F1D31" w14:textId="0F280236" w:rsidR="002B7FDF" w:rsidRPr="0037129E" w:rsidRDefault="002B7FDF" w:rsidP="002B7FDF">
            <w:pPr>
              <w:spacing w:after="0" w:line="240" w:lineRule="auto"/>
              <w:jc w:val="center"/>
              <w:rPr>
                <w:rFonts w:eastAsia="Times New Roman" w:cs="Calibri"/>
                <w:color w:val="000000"/>
                <w:lang w:eastAsia="en-GB"/>
              </w:rPr>
            </w:pPr>
            <w:r w:rsidRPr="0037129E">
              <w:rPr>
                <w:rFonts w:eastAsia="Times New Roman" w:cs="Calibri"/>
                <w:color w:val="000000"/>
                <w:lang w:eastAsia="en-GB"/>
              </w:rPr>
              <w:t>5,2</w:t>
            </w:r>
          </w:p>
        </w:tc>
      </w:tr>
      <w:tr w:rsidR="002B7FDF" w:rsidRPr="002B7FDF" w14:paraId="15BB9688" w14:textId="77777777" w:rsidTr="0037129E">
        <w:trPr>
          <w:trHeight w:val="216"/>
        </w:trPr>
        <w:tc>
          <w:tcPr>
            <w:tcW w:w="7124" w:type="dxa"/>
            <w:tcBorders>
              <w:top w:val="nil"/>
              <w:left w:val="nil"/>
              <w:bottom w:val="nil"/>
              <w:right w:val="nil"/>
            </w:tcBorders>
            <w:shd w:val="clear" w:color="auto" w:fill="auto"/>
            <w:noWrap/>
            <w:vAlign w:val="center"/>
            <w:hideMark/>
          </w:tcPr>
          <w:p w14:paraId="672B06F4" w14:textId="77777777" w:rsidR="002B7FDF" w:rsidRPr="0037129E" w:rsidRDefault="002B7FDF" w:rsidP="002B7FDF">
            <w:pPr>
              <w:spacing w:after="0" w:line="240" w:lineRule="auto"/>
              <w:jc w:val="left"/>
              <w:rPr>
                <w:rFonts w:eastAsia="Times New Roman" w:cs="Calibri"/>
                <w:color w:val="000000"/>
                <w:lang w:eastAsia="en-GB"/>
              </w:rPr>
            </w:pPr>
            <w:r w:rsidRPr="0037129E">
              <w:rPr>
                <w:rFonts w:eastAsia="Times New Roman" w:cs="Calibri"/>
                <w:color w:val="000000"/>
                <w:lang w:eastAsia="en-GB"/>
              </w:rPr>
              <w:t>Novo zapojené organizácie</w:t>
            </w:r>
          </w:p>
        </w:tc>
        <w:tc>
          <w:tcPr>
            <w:tcW w:w="1896" w:type="dxa"/>
            <w:tcBorders>
              <w:top w:val="nil"/>
              <w:left w:val="nil"/>
              <w:bottom w:val="nil"/>
              <w:right w:val="nil"/>
            </w:tcBorders>
            <w:shd w:val="clear" w:color="auto" w:fill="auto"/>
            <w:vAlign w:val="center"/>
            <w:hideMark/>
          </w:tcPr>
          <w:p w14:paraId="78B6BE9D" w14:textId="756FFDB7" w:rsidR="002B7FDF" w:rsidRPr="0037129E" w:rsidRDefault="002B7FDF" w:rsidP="002B7FDF">
            <w:pPr>
              <w:spacing w:after="0" w:line="240" w:lineRule="auto"/>
              <w:jc w:val="center"/>
              <w:rPr>
                <w:rFonts w:eastAsia="Times New Roman" w:cs="Calibri"/>
                <w:color w:val="000000"/>
                <w:lang w:eastAsia="en-GB"/>
              </w:rPr>
            </w:pPr>
            <w:r w:rsidRPr="0037129E">
              <w:rPr>
                <w:rFonts w:eastAsia="Times New Roman" w:cs="Calibri"/>
                <w:color w:val="000000"/>
                <w:lang w:eastAsia="en-GB"/>
              </w:rPr>
              <w:t>0,1</w:t>
            </w:r>
          </w:p>
        </w:tc>
      </w:tr>
      <w:tr w:rsidR="002B7FDF" w:rsidRPr="002B7FDF" w14:paraId="15B2E8D4" w14:textId="77777777" w:rsidTr="0037129E">
        <w:trPr>
          <w:trHeight w:val="216"/>
        </w:trPr>
        <w:tc>
          <w:tcPr>
            <w:tcW w:w="7124" w:type="dxa"/>
            <w:tcBorders>
              <w:top w:val="nil"/>
              <w:left w:val="nil"/>
              <w:bottom w:val="nil"/>
              <w:right w:val="nil"/>
            </w:tcBorders>
            <w:shd w:val="clear" w:color="auto" w:fill="auto"/>
            <w:noWrap/>
            <w:vAlign w:val="center"/>
            <w:hideMark/>
          </w:tcPr>
          <w:p w14:paraId="588A9EDF" w14:textId="77777777" w:rsidR="002B7FDF" w:rsidRPr="0037129E" w:rsidRDefault="002B7FDF" w:rsidP="002B7FDF">
            <w:pPr>
              <w:spacing w:after="0" w:line="240" w:lineRule="auto"/>
              <w:jc w:val="left"/>
              <w:rPr>
                <w:rFonts w:eastAsia="Times New Roman" w:cs="Calibri"/>
                <w:color w:val="000000"/>
                <w:lang w:eastAsia="en-GB"/>
              </w:rPr>
            </w:pPr>
            <w:r w:rsidRPr="0037129E">
              <w:rPr>
                <w:rFonts w:eastAsia="Times New Roman" w:cs="Calibri"/>
                <w:color w:val="000000"/>
                <w:lang w:eastAsia="en-GB"/>
              </w:rPr>
              <w:t>Nateraz nezapojené organizácie</w:t>
            </w:r>
          </w:p>
        </w:tc>
        <w:tc>
          <w:tcPr>
            <w:tcW w:w="1896" w:type="dxa"/>
            <w:tcBorders>
              <w:top w:val="nil"/>
              <w:left w:val="nil"/>
              <w:bottom w:val="nil"/>
              <w:right w:val="nil"/>
            </w:tcBorders>
            <w:shd w:val="clear" w:color="auto" w:fill="auto"/>
            <w:vAlign w:val="center"/>
            <w:hideMark/>
          </w:tcPr>
          <w:p w14:paraId="58FDA514" w14:textId="1E21F17F" w:rsidR="002B7FDF" w:rsidRPr="0037129E" w:rsidRDefault="002B7FDF" w:rsidP="002B7FDF">
            <w:pPr>
              <w:spacing w:after="0" w:line="240" w:lineRule="auto"/>
              <w:jc w:val="center"/>
              <w:rPr>
                <w:rFonts w:eastAsia="Times New Roman" w:cs="Calibri"/>
                <w:color w:val="000000"/>
                <w:lang w:eastAsia="en-GB"/>
              </w:rPr>
            </w:pPr>
            <w:r w:rsidRPr="0037129E">
              <w:rPr>
                <w:rFonts w:eastAsia="Times New Roman" w:cs="Calibri"/>
                <w:color w:val="000000"/>
                <w:lang w:eastAsia="en-GB"/>
              </w:rPr>
              <w:t>0,3</w:t>
            </w:r>
          </w:p>
        </w:tc>
      </w:tr>
      <w:tr w:rsidR="002B7FDF" w:rsidRPr="002B7FDF" w14:paraId="1109B944" w14:textId="77777777" w:rsidTr="0037129E">
        <w:trPr>
          <w:trHeight w:val="216"/>
        </w:trPr>
        <w:tc>
          <w:tcPr>
            <w:tcW w:w="7124" w:type="dxa"/>
            <w:tcBorders>
              <w:top w:val="nil"/>
              <w:left w:val="nil"/>
              <w:bottom w:val="nil"/>
              <w:right w:val="nil"/>
            </w:tcBorders>
            <w:shd w:val="clear" w:color="auto" w:fill="auto"/>
            <w:noWrap/>
            <w:vAlign w:val="center"/>
            <w:hideMark/>
          </w:tcPr>
          <w:p w14:paraId="0B9ACA76" w14:textId="77777777" w:rsidR="002B7FDF" w:rsidRPr="0037129E" w:rsidRDefault="002B7FDF" w:rsidP="002B7FDF">
            <w:pPr>
              <w:spacing w:after="0" w:line="240" w:lineRule="auto"/>
              <w:jc w:val="left"/>
              <w:rPr>
                <w:rFonts w:eastAsia="Times New Roman" w:cs="Calibri"/>
                <w:b/>
                <w:bCs/>
                <w:color w:val="000000"/>
                <w:lang w:eastAsia="en-GB"/>
              </w:rPr>
            </w:pPr>
            <w:r w:rsidRPr="0037129E">
              <w:rPr>
                <w:rFonts w:eastAsia="Times New Roman" w:cs="Calibri"/>
                <w:b/>
                <w:bCs/>
                <w:color w:val="000000"/>
                <w:lang w:eastAsia="en-GB"/>
              </w:rPr>
              <w:t>Spolu</w:t>
            </w:r>
          </w:p>
        </w:tc>
        <w:tc>
          <w:tcPr>
            <w:tcW w:w="1896" w:type="dxa"/>
            <w:tcBorders>
              <w:top w:val="nil"/>
              <w:left w:val="nil"/>
              <w:bottom w:val="nil"/>
              <w:right w:val="nil"/>
            </w:tcBorders>
            <w:shd w:val="clear" w:color="auto" w:fill="auto"/>
            <w:vAlign w:val="center"/>
            <w:hideMark/>
          </w:tcPr>
          <w:p w14:paraId="4C55C23F" w14:textId="34AF81CD" w:rsidR="002B7FDF" w:rsidRPr="0037129E" w:rsidRDefault="002B7FDF" w:rsidP="002B7FDF">
            <w:pPr>
              <w:spacing w:after="0" w:line="240" w:lineRule="auto"/>
              <w:jc w:val="center"/>
              <w:rPr>
                <w:rFonts w:eastAsia="Times New Roman" w:cs="Calibri"/>
                <w:b/>
                <w:bCs/>
                <w:color w:val="000000"/>
                <w:lang w:eastAsia="en-GB"/>
              </w:rPr>
            </w:pPr>
            <w:r w:rsidRPr="0037129E">
              <w:rPr>
                <w:rFonts w:eastAsia="Times New Roman" w:cs="Calibri"/>
                <w:b/>
                <w:bCs/>
                <w:color w:val="000000"/>
                <w:lang w:eastAsia="en-GB"/>
              </w:rPr>
              <w:t>5,6</w:t>
            </w:r>
          </w:p>
        </w:tc>
      </w:tr>
      <w:tr w:rsidR="002B7FDF" w:rsidRPr="002B7FDF" w14:paraId="31C17436" w14:textId="77777777" w:rsidTr="0037129E">
        <w:trPr>
          <w:trHeight w:val="216"/>
        </w:trPr>
        <w:tc>
          <w:tcPr>
            <w:tcW w:w="7124" w:type="dxa"/>
            <w:tcBorders>
              <w:top w:val="nil"/>
              <w:left w:val="nil"/>
              <w:bottom w:val="single" w:sz="4" w:space="0" w:color="auto"/>
              <w:right w:val="nil"/>
            </w:tcBorders>
            <w:shd w:val="clear" w:color="auto" w:fill="auto"/>
            <w:noWrap/>
            <w:vAlign w:val="center"/>
            <w:hideMark/>
          </w:tcPr>
          <w:p w14:paraId="3D151908" w14:textId="0974147F" w:rsidR="002B7FDF" w:rsidRPr="0037129E" w:rsidRDefault="002B7FDF" w:rsidP="002B7FDF">
            <w:pPr>
              <w:spacing w:after="0" w:line="240" w:lineRule="auto"/>
              <w:jc w:val="left"/>
              <w:rPr>
                <w:rFonts w:eastAsia="Times New Roman" w:cs="Calibri"/>
                <w:color w:val="000000"/>
                <w:lang w:eastAsia="en-GB"/>
              </w:rPr>
            </w:pPr>
            <w:r w:rsidRPr="0037129E">
              <w:rPr>
                <w:rFonts w:eastAsia="Times New Roman" w:cs="Calibri"/>
                <w:color w:val="000000"/>
                <w:lang w:eastAsia="en-GB"/>
              </w:rPr>
              <w:t xml:space="preserve">Dodatočne - Subjekty s významným </w:t>
            </w:r>
            <w:r w:rsidRPr="008A24D6">
              <w:rPr>
                <w:rFonts w:eastAsia="Times New Roman" w:cs="Calibri"/>
                <w:color w:val="000000"/>
                <w:lang w:eastAsia="en-GB"/>
              </w:rPr>
              <w:t>potenciálom</w:t>
            </w:r>
            <w:r>
              <w:rPr>
                <w:rFonts w:eastAsia="Times New Roman" w:cs="Calibri"/>
                <w:color w:val="000000"/>
                <w:lang w:eastAsia="en-GB"/>
              </w:rPr>
              <w:t xml:space="preserve"> a</w:t>
            </w:r>
            <w:r w:rsidRPr="0037129E">
              <w:rPr>
                <w:rFonts w:eastAsia="Times New Roman" w:cs="Calibri"/>
                <w:color w:val="000000"/>
                <w:lang w:eastAsia="en-GB"/>
              </w:rPr>
              <w:t xml:space="preserve"> nejasnou možnosťou zapojenia</w:t>
            </w:r>
          </w:p>
        </w:tc>
        <w:tc>
          <w:tcPr>
            <w:tcW w:w="1896" w:type="dxa"/>
            <w:tcBorders>
              <w:top w:val="nil"/>
              <w:left w:val="nil"/>
              <w:bottom w:val="single" w:sz="4" w:space="0" w:color="auto"/>
              <w:right w:val="nil"/>
            </w:tcBorders>
            <w:shd w:val="clear" w:color="auto" w:fill="auto"/>
            <w:vAlign w:val="center"/>
            <w:hideMark/>
          </w:tcPr>
          <w:p w14:paraId="6D6E0BA4" w14:textId="1CB12F21" w:rsidR="002B7FDF" w:rsidRPr="0037129E" w:rsidRDefault="002B7FDF" w:rsidP="002B7FDF">
            <w:pPr>
              <w:spacing w:after="0" w:line="240" w:lineRule="auto"/>
              <w:jc w:val="center"/>
              <w:rPr>
                <w:rFonts w:eastAsia="Times New Roman" w:cs="Calibri"/>
                <w:color w:val="000000"/>
                <w:lang w:eastAsia="en-GB"/>
              </w:rPr>
            </w:pPr>
            <w:r w:rsidRPr="0037129E">
              <w:rPr>
                <w:rFonts w:eastAsia="Times New Roman" w:cs="Calibri"/>
                <w:color w:val="000000"/>
                <w:lang w:eastAsia="en-GB"/>
              </w:rPr>
              <w:t>0,7</w:t>
            </w:r>
          </w:p>
        </w:tc>
      </w:tr>
      <w:tr w:rsidR="002B7FDF" w:rsidRPr="002B7FDF" w14:paraId="07B9D81E" w14:textId="77777777" w:rsidTr="0037129E">
        <w:trPr>
          <w:trHeight w:val="216"/>
        </w:trPr>
        <w:tc>
          <w:tcPr>
            <w:tcW w:w="9020" w:type="dxa"/>
            <w:gridSpan w:val="2"/>
            <w:tcBorders>
              <w:top w:val="single" w:sz="4" w:space="0" w:color="auto"/>
              <w:left w:val="nil"/>
              <w:right w:val="nil"/>
            </w:tcBorders>
            <w:shd w:val="clear" w:color="auto" w:fill="auto"/>
            <w:noWrap/>
          </w:tcPr>
          <w:p w14:paraId="773A040A" w14:textId="0F584969" w:rsidR="002B7FDF" w:rsidRPr="0037129E" w:rsidRDefault="002B7FDF" w:rsidP="0037129E">
            <w:pPr>
              <w:spacing w:after="0" w:line="240" w:lineRule="auto"/>
              <w:jc w:val="right"/>
              <w:rPr>
                <w:rFonts w:eastAsia="Times New Roman" w:cs="Calibri"/>
                <w:i/>
                <w:color w:val="000000"/>
                <w:lang w:eastAsia="en-GB"/>
              </w:rPr>
            </w:pPr>
            <w:r w:rsidRPr="0037129E">
              <w:rPr>
                <w:rFonts w:eastAsia="Times New Roman" w:cs="Calibri"/>
                <w:i/>
                <w:color w:val="000000"/>
                <w:sz w:val="18"/>
                <w:lang w:eastAsia="en-GB"/>
              </w:rPr>
              <w:t xml:space="preserve">Zdroj: Hodnotenie „Zabezpečenie kancelárskych softvérových licencií pre štátnu správu“, údaje MF SR. Spracovanie ÚHP  </w:t>
            </w:r>
          </w:p>
        </w:tc>
      </w:tr>
    </w:tbl>
    <w:p w14:paraId="6375F02F" w14:textId="1C01E72F" w:rsidR="00442063" w:rsidRPr="00A115E4" w:rsidRDefault="00D94162" w:rsidP="0037129E">
      <w:pPr>
        <w:spacing w:before="120" w:after="120"/>
      </w:pPr>
      <w:r w:rsidRPr="0037129E">
        <w:rPr>
          <w:b/>
        </w:rPr>
        <w:t>Ďalšiu úsporu je možné dosiahnuť rozšírením centrálneho nákupom licencií Oracle a SAP.</w:t>
      </w:r>
      <w:r>
        <w:t xml:space="preserve"> </w:t>
      </w:r>
      <w:r w:rsidR="00EB4F0E">
        <w:t xml:space="preserve">Po vzore auditu kancelárskeho softvéru je potrebné zanalyzovať potreby a využívanie licencií Oracle a SAP. Okrem centrálnej zmluvy existuje množstvo individuálnych zmlúv s horšími podmienkami, ako dokáže štát vyjednať centrálne. </w:t>
      </w:r>
      <w:r>
        <w:t>V predchádzajúcich zmluvách Oracle a SAP bola priemerná zľava voči cenníkovým cenám v priemere 30-50</w:t>
      </w:r>
      <w:r w:rsidR="003E407C">
        <w:t xml:space="preserve"> %</w:t>
      </w:r>
      <w:r>
        <w:t>. Okrem úspory pri nákupe získava štát dodatočnú úsporu prevádzkových nákladov v prípade, že je cena podpory počítaná z nákupnej ceny licencie (SAP), alebo ak dojedná možnosť presúvať nevyužité licencie medzi organizáciami.</w:t>
      </w:r>
    </w:p>
    <w:p w14:paraId="3E8C2865" w14:textId="105126BB" w:rsidR="0059256C" w:rsidRDefault="0059256C" w:rsidP="0059256C">
      <w:r w:rsidRPr="003B35E5">
        <w:rPr>
          <w:b/>
        </w:rPr>
        <w:t>Problematické oblasti identifikované v záverečnej správe informatizácie z roku 2016 sú vo veľkej miere naďalej aktuálne.</w:t>
      </w:r>
      <w:r>
        <w:t xml:space="preserve"> </w:t>
      </w:r>
      <w:r w:rsidRPr="0037129E">
        <w:t xml:space="preserve">Štát naďalej </w:t>
      </w:r>
      <w:r w:rsidR="000D0D6C" w:rsidRPr="0037129E">
        <w:t>nevyužíva centrálne zmluvy s nižšími cenami v takej miere, ako by mohol</w:t>
      </w:r>
      <w:r w:rsidRPr="0037129E">
        <w:t>.</w:t>
      </w:r>
      <w:r>
        <w:rPr>
          <w:b/>
        </w:rPr>
        <w:t xml:space="preserve"> </w:t>
      </w:r>
      <w:r>
        <w:t xml:space="preserve">Audit licencií, ktorý by zmapoval skutočný počet a využitie už zakúpených produktov a definícia štandardného pracovného miesta z pohľadu IT, ktorá by určila na aký softvér a hardvér má zamestnanec štátnej správy nárok, </w:t>
      </w:r>
      <w:r>
        <w:lastRenderedPageBreak/>
        <w:t>nie sú dostupné. Inštitúcie ktoré majú uzatvorené veľké individuálne zmluvy na nákup licencií sa nie sú zapojené do centrálnych licenčných zmlúv.</w:t>
      </w:r>
    </w:p>
    <w:p w14:paraId="21F6850F" w14:textId="77777777" w:rsidR="0059256C" w:rsidRDefault="0059256C" w:rsidP="0059256C">
      <w:r>
        <w:rPr>
          <w:b/>
        </w:rPr>
        <w:t>Centrálnym nákupom licencií je možné dosiahnuť výraznú úsporu nákladov voči cenníkovým cenám.</w:t>
      </w:r>
      <w:r>
        <w:t xml:space="preserve"> Príkladom je centrálne obstarávanie licencií a podpory produktov Oracle a SAP. Pri produktoch Oracle prinieslo v rokoch 2015-18 obstarávanie prostredníctvom centrálnej zmluvy úsporu voči cenníkovým cenám v priemere </w:t>
      </w:r>
      <w:r w:rsidR="00D94162">
        <w:br/>
      </w:r>
      <w:r>
        <w:t>30 %. Pri centrálnom nákupe licencií produktov SAP dosahuje celková zľava</w:t>
      </w:r>
      <w:r w:rsidR="003A5D99">
        <w:t xml:space="preserve"> až</w:t>
      </w:r>
      <w:r>
        <w:t xml:space="preserve"> 51 % (33 % množstevná zľava a 18 % špeciálna zľava). Centrálna zmluva SAP navyše umožňuje využívať tzv. PSLE režim podpory, ktorého náklady sú 17 % z nadobúdacej hodnoty licencií voči štandardným 19-22 %.</w:t>
      </w:r>
    </w:p>
    <w:p w14:paraId="095B462D" w14:textId="6B75F9C1" w:rsidR="0059256C" w:rsidRDefault="003E4D66" w:rsidP="0059256C">
      <w:r>
        <w:rPr>
          <w:b/>
        </w:rPr>
        <w:t>Plné využitie potenciálu centrálnych licenčných zmlúv vyžaduje efektívnejšie vynucovanie zapojenia organizácií</w:t>
      </w:r>
      <w:r w:rsidR="0059256C">
        <w:rPr>
          <w:b/>
        </w:rPr>
        <w:t xml:space="preserve">. </w:t>
      </w:r>
      <w:r w:rsidR="0059256C">
        <w:t>Okrem centrálnych licenčných zmlúv existujú v štáte individuálne zmluvy na nákup rovnakých softvérových licencií a služieb podpory za vyššie jednotkové ceny.</w:t>
      </w:r>
      <w:r>
        <w:t xml:space="preserve"> </w:t>
      </w:r>
      <w:r w:rsidR="000D0D6C">
        <w:t xml:space="preserve">Uznesenie vlády SR č. 286/2019 </w:t>
      </w:r>
      <w:r>
        <w:t>správe definuje povinnosť nakupovať softvérové licencie prostredníctvom centrálnych zmlúv</w:t>
      </w:r>
      <w:r w:rsidR="004432FA">
        <w:t>,</w:t>
      </w:r>
      <w:r>
        <w:t xml:space="preserve"> ak nie je možné nákup zrealizovať za výhodnejší podmienok. Existencia viacerých individuálnych zmlúv poukazuje na nedostatočné vynucovanie povinnosti v praxi</w:t>
      </w:r>
      <w:r w:rsidR="0059256C">
        <w:t xml:space="preserve">. Pre plné využitie potenciálu centrálnych zmlúv je potrebné čo najviac  rozšíriť okruh subjektov, ktoré sa do zmlúv môžu </w:t>
      </w:r>
      <w:r w:rsidR="000D0D6C">
        <w:t xml:space="preserve">zmlúv môžu zapojiť </w:t>
      </w:r>
      <w:r w:rsidR="0037129E">
        <w:t xml:space="preserve">a </w:t>
      </w:r>
      <w:r w:rsidR="000D0D6C">
        <w:t xml:space="preserve"> v prípade, že subjekt nemá individuálne zazmluvnené nižšie ceny a zaviesť </w:t>
      </w:r>
      <w:r w:rsidR="0037129E">
        <w:t>mechanizmus na vynucovanie ich využívania</w:t>
      </w:r>
      <w:r w:rsidR="004E678A">
        <w:t>.</w:t>
      </w:r>
      <w:r w:rsidR="004E678A" w:rsidRPr="002A16AD">
        <w:t xml:space="preserve"> </w:t>
      </w:r>
      <w:r w:rsidR="0059256C">
        <w:t xml:space="preserve">Centrálna licenčná zmluva pritom neznamená vylúčenie iných produktov, prvý krok je preukázať potrebu nákupu licencií a že identifikovaný produkt najlepšie zodpovedá potrebám </w:t>
      </w:r>
      <w:r w:rsidR="004432FA">
        <w:t>OVM</w:t>
      </w:r>
      <w:r w:rsidR="0059256C">
        <w:t xml:space="preserve">. </w:t>
      </w:r>
    </w:p>
    <w:tbl>
      <w:tblPr>
        <w:tblStyle w:val="Tabukasmriekou6farebnzvraznenie5"/>
        <w:tblW w:w="0" w:type="auto"/>
        <w:tblLook w:val="0420" w:firstRow="1" w:lastRow="0" w:firstColumn="0" w:lastColumn="0" w:noHBand="0" w:noVBand="1"/>
      </w:tblPr>
      <w:tblGrid>
        <w:gridCol w:w="9062"/>
      </w:tblGrid>
      <w:tr w:rsidR="0059256C" w:rsidRPr="00A93135" w14:paraId="4AB643AD" w14:textId="77777777" w:rsidTr="001D543F">
        <w:trPr>
          <w:cnfStyle w:val="100000000000" w:firstRow="1" w:lastRow="0" w:firstColumn="0" w:lastColumn="0" w:oddVBand="0" w:evenVBand="0" w:oddHBand="0" w:evenHBand="0" w:firstRowFirstColumn="0" w:firstRowLastColumn="0" w:lastRowFirstColumn="0" w:lastRowLastColumn="0"/>
        </w:trPr>
        <w:tc>
          <w:tcPr>
            <w:tcW w:w="9062" w:type="dxa"/>
          </w:tcPr>
          <w:p w14:paraId="0D9FE8E5" w14:textId="77777777" w:rsidR="0059256C" w:rsidRPr="00A93135" w:rsidRDefault="0059256C" w:rsidP="001D543F">
            <w:pPr>
              <w:rPr>
                <w:sz w:val="20"/>
              </w:rPr>
            </w:pPr>
            <w:r w:rsidRPr="00A93135">
              <w:rPr>
                <w:sz w:val="20"/>
              </w:rPr>
              <w:t xml:space="preserve">Príklad: </w:t>
            </w:r>
            <w:r>
              <w:rPr>
                <w:sz w:val="20"/>
              </w:rPr>
              <w:t>Centrálne obstarávanie licencií Oracle</w:t>
            </w:r>
          </w:p>
        </w:tc>
      </w:tr>
      <w:tr w:rsidR="0059256C" w:rsidRPr="00A93135" w14:paraId="078A2EA6" w14:textId="77777777" w:rsidTr="00A115E4">
        <w:trPr>
          <w:cnfStyle w:val="000000100000" w:firstRow="0" w:lastRow="0" w:firstColumn="0" w:lastColumn="0" w:oddVBand="0" w:evenVBand="0" w:oddHBand="1" w:evenHBand="0" w:firstRowFirstColumn="0" w:firstRowLastColumn="0" w:lastRowFirstColumn="0" w:lastRowLastColumn="0"/>
          <w:trHeight w:val="533"/>
        </w:trPr>
        <w:tc>
          <w:tcPr>
            <w:tcW w:w="9062" w:type="dxa"/>
          </w:tcPr>
          <w:p w14:paraId="4D4F1D50" w14:textId="7AE1646B" w:rsidR="001F12F2" w:rsidRDefault="0059256C" w:rsidP="001D543F">
            <w:pPr>
              <w:spacing w:before="120" w:after="120"/>
              <w:rPr>
                <w:sz w:val="20"/>
              </w:rPr>
            </w:pPr>
            <w:r>
              <w:rPr>
                <w:sz w:val="20"/>
              </w:rPr>
              <w:t>Maximálna výška čerpania centrálnej rámcovej dohody (CRD) na nákup licencií, tovarov a služieb Oracle je 36 mil. eur</w:t>
            </w:r>
            <w:r w:rsidR="001F12F2">
              <w:rPr>
                <w:sz w:val="20"/>
              </w:rPr>
              <w:t xml:space="preserve"> s DPH</w:t>
            </w:r>
            <w:r>
              <w:rPr>
                <w:sz w:val="20"/>
              </w:rPr>
              <w:t>. Okrem CRD sú produkty a služby Oracle nakupované prost</w:t>
            </w:r>
            <w:r w:rsidR="001F12F2">
              <w:rPr>
                <w:sz w:val="20"/>
              </w:rPr>
              <w:t xml:space="preserve">redníctvom individuálnych zmlúv. </w:t>
            </w:r>
            <w:r w:rsidR="008222FA">
              <w:rPr>
                <w:sz w:val="20"/>
              </w:rPr>
              <w:t xml:space="preserve">Hodnota len 7 ďalších zmlúv uzavretých organizáciami, ktoré </w:t>
            </w:r>
            <w:r w:rsidR="0028646F">
              <w:rPr>
                <w:sz w:val="20"/>
              </w:rPr>
              <w:t>sa podľa aktuálnych pravidiel nemôžu zapojiť do CRD</w:t>
            </w:r>
            <w:r w:rsidR="001F12F2">
              <w:rPr>
                <w:sz w:val="20"/>
              </w:rPr>
              <w:t xml:space="preserve">, </w:t>
            </w:r>
            <w:r>
              <w:rPr>
                <w:sz w:val="20"/>
              </w:rPr>
              <w:t>prevyšuje</w:t>
            </w:r>
            <w:r w:rsidR="0028646F">
              <w:rPr>
                <w:sz w:val="20"/>
              </w:rPr>
              <w:t xml:space="preserve"> s výdavkami takmer 50 mil. eur</w:t>
            </w:r>
            <w:r>
              <w:rPr>
                <w:sz w:val="20"/>
              </w:rPr>
              <w:t xml:space="preserve"> maximálny rámec centrálnej zmluvy</w:t>
            </w:r>
            <w:r>
              <w:rPr>
                <w:rStyle w:val="Odkaznapoznmkupodiarou"/>
              </w:rPr>
              <w:footnoteReference w:id="40"/>
            </w:r>
            <w:r>
              <w:rPr>
                <w:sz w:val="20"/>
              </w:rPr>
              <w:t>. Zapojením ďalších organizácií, ktorých zmluvné jednotkové ceny sú vyššie ako v CRD, je možné dosiahnuť výraznú úsporu nákladov.</w:t>
            </w:r>
          </w:p>
          <w:p w14:paraId="6F245B41" w14:textId="77777777" w:rsidR="0059256C" w:rsidRDefault="0059256C" w:rsidP="001F12F2">
            <w:pPr>
              <w:spacing w:before="120" w:after="100" w:afterAutospacing="1"/>
              <w:rPr>
                <w:sz w:val="20"/>
              </w:rPr>
            </w:pPr>
            <w:r>
              <w:rPr>
                <w:sz w:val="20"/>
              </w:rPr>
              <w:t>Medzi rokmi 2014 - 2018 bola priemerná výška zľavy na produkty, licencie a služby Oracle obstarané prostredníctvom CRD na úrovni 30-35%. V</w:t>
            </w:r>
            <w:r w:rsidR="00776290">
              <w:rPr>
                <w:sz w:val="20"/>
              </w:rPr>
              <w:t> </w:t>
            </w:r>
            <w:r w:rsidR="001F12F2">
              <w:rPr>
                <w:sz w:val="20"/>
              </w:rPr>
              <w:t>analyzovaných</w:t>
            </w:r>
            <w:r w:rsidR="00776290">
              <w:rPr>
                <w:sz w:val="20"/>
              </w:rPr>
              <w:t xml:space="preserve"> </w:t>
            </w:r>
            <w:r>
              <w:rPr>
                <w:sz w:val="20"/>
              </w:rPr>
              <w:t>zmluvách</w:t>
            </w:r>
            <w:r w:rsidR="00776290">
              <w:rPr>
                <w:sz w:val="20"/>
              </w:rPr>
              <w:t>, ktoré uvádzajú zľavu voči cenníkovým cenám,</w:t>
            </w:r>
            <w:r>
              <w:rPr>
                <w:sz w:val="20"/>
              </w:rPr>
              <w:t xml:space="preserve"> sa jej výška</w:t>
            </w:r>
            <w:r w:rsidR="00627F7F">
              <w:rPr>
                <w:sz w:val="20"/>
              </w:rPr>
              <w:t xml:space="preserve"> </w:t>
            </w:r>
            <w:r>
              <w:rPr>
                <w:sz w:val="20"/>
              </w:rPr>
              <w:t xml:space="preserve">pohybuje </w:t>
            </w:r>
            <w:r w:rsidR="00776290">
              <w:rPr>
                <w:sz w:val="20"/>
              </w:rPr>
              <w:t xml:space="preserve">v priemere </w:t>
            </w:r>
            <w:r>
              <w:rPr>
                <w:sz w:val="20"/>
              </w:rPr>
              <w:t xml:space="preserve">na úrovni 10-13%. Priemerná jednotková cena jednej z najčastejšie </w:t>
            </w:r>
            <w:r w:rsidR="00627F7F">
              <w:rPr>
                <w:sz w:val="20"/>
              </w:rPr>
              <w:t xml:space="preserve">nakupovaných </w:t>
            </w:r>
            <w:r w:rsidR="001F12F2">
              <w:rPr>
                <w:sz w:val="20"/>
              </w:rPr>
              <w:t>licencií Oracle Database Enterprise Edition (processor perpetual) a nadväzujúcej podpory bola v CRD o 30% nižšia, ako priemer individuálnych zmlúv.</w:t>
            </w:r>
          </w:p>
          <w:p w14:paraId="60CDBA9B" w14:textId="3FD9A95F" w:rsidR="001F12F2" w:rsidRPr="005A49F4" w:rsidRDefault="001F12F2" w:rsidP="001F12F2">
            <w:pPr>
              <w:spacing w:before="120"/>
              <w:rPr>
                <w:b/>
                <w:sz w:val="20"/>
              </w:rPr>
            </w:pPr>
            <w:r w:rsidRPr="005A49F4">
              <w:rPr>
                <w:b/>
                <w:sz w:val="20"/>
              </w:rPr>
              <w:t xml:space="preserve">Tabuľka </w:t>
            </w:r>
            <w:r w:rsidR="004177D6">
              <w:rPr>
                <w:b/>
                <w:sz w:val="20"/>
              </w:rPr>
              <w:t>14</w:t>
            </w:r>
            <w:r w:rsidRPr="005A49F4">
              <w:rPr>
                <w:b/>
                <w:sz w:val="20"/>
              </w:rPr>
              <w:t xml:space="preserve">: Porovnanie jednotkovej ceny </w:t>
            </w:r>
            <w:r w:rsidR="002F6EF1">
              <w:rPr>
                <w:b/>
                <w:sz w:val="20"/>
              </w:rPr>
              <w:t xml:space="preserve">novej licencie </w:t>
            </w:r>
            <w:r w:rsidRPr="005A49F4">
              <w:rPr>
                <w:b/>
                <w:sz w:val="20"/>
              </w:rPr>
              <w:t xml:space="preserve">Oracle DB Enterprise Edition </w:t>
            </w:r>
            <w:r w:rsidR="002F6EF1">
              <w:rPr>
                <w:b/>
                <w:sz w:val="20"/>
              </w:rPr>
              <w:t>PP a podpory</w:t>
            </w:r>
            <w:r w:rsidRPr="005A49F4">
              <w:rPr>
                <w:b/>
                <w:sz w:val="20"/>
              </w:rPr>
              <w:t>:</w:t>
            </w:r>
          </w:p>
          <w:tbl>
            <w:tblPr>
              <w:tblW w:w="8708" w:type="dxa"/>
              <w:tblCellMar>
                <w:left w:w="70" w:type="dxa"/>
                <w:right w:w="70" w:type="dxa"/>
              </w:tblCellMar>
              <w:tblLook w:val="04A0" w:firstRow="1" w:lastRow="0" w:firstColumn="1" w:lastColumn="0" w:noHBand="0" w:noVBand="1"/>
            </w:tblPr>
            <w:tblGrid>
              <w:gridCol w:w="2155"/>
              <w:gridCol w:w="2977"/>
              <w:gridCol w:w="2180"/>
              <w:gridCol w:w="1396"/>
            </w:tblGrid>
            <w:tr w:rsidR="001F12F2" w:rsidRPr="001F12F2" w14:paraId="2C4B6C2D" w14:textId="77777777" w:rsidTr="001F12F2">
              <w:trPr>
                <w:trHeight w:val="266"/>
              </w:trPr>
              <w:tc>
                <w:tcPr>
                  <w:tcW w:w="2155" w:type="dxa"/>
                  <w:tcBorders>
                    <w:top w:val="single" w:sz="4" w:space="0" w:color="2E74B5" w:themeColor="accent1" w:themeShade="BF"/>
                    <w:left w:val="nil"/>
                    <w:bottom w:val="single" w:sz="4" w:space="0" w:color="2E74B5" w:themeColor="accent1" w:themeShade="BF"/>
                    <w:right w:val="nil"/>
                  </w:tcBorders>
                  <w:shd w:val="clear" w:color="auto" w:fill="auto"/>
                  <w:noWrap/>
                  <w:vAlign w:val="bottom"/>
                  <w:hideMark/>
                </w:tcPr>
                <w:p w14:paraId="4F7CBF06" w14:textId="77777777" w:rsidR="001F12F2" w:rsidRPr="001F12F2" w:rsidRDefault="001F12F2" w:rsidP="001F12F2">
                  <w:pPr>
                    <w:spacing w:after="0" w:line="240" w:lineRule="auto"/>
                    <w:jc w:val="center"/>
                    <w:rPr>
                      <w:b/>
                      <w:color w:val="2F5496" w:themeColor="accent5" w:themeShade="BF"/>
                      <w:sz w:val="20"/>
                    </w:rPr>
                  </w:pPr>
                  <w:r w:rsidRPr="001F12F2">
                    <w:rPr>
                      <w:b/>
                      <w:color w:val="2F5496" w:themeColor="accent5" w:themeShade="BF"/>
                      <w:sz w:val="20"/>
                    </w:rPr>
                    <w:t>Produkt</w:t>
                  </w:r>
                </w:p>
              </w:tc>
              <w:tc>
                <w:tcPr>
                  <w:tcW w:w="2977" w:type="dxa"/>
                  <w:tcBorders>
                    <w:top w:val="single" w:sz="4" w:space="0" w:color="2E74B5" w:themeColor="accent1" w:themeShade="BF"/>
                    <w:left w:val="nil"/>
                    <w:bottom w:val="single" w:sz="4" w:space="0" w:color="2E74B5" w:themeColor="accent1" w:themeShade="BF"/>
                    <w:right w:val="nil"/>
                  </w:tcBorders>
                  <w:shd w:val="clear" w:color="auto" w:fill="auto"/>
                  <w:noWrap/>
                  <w:vAlign w:val="bottom"/>
                  <w:hideMark/>
                </w:tcPr>
                <w:p w14:paraId="7FB92689" w14:textId="77777777" w:rsidR="001F12F2" w:rsidRPr="001F12F2" w:rsidRDefault="001F12F2" w:rsidP="001F12F2">
                  <w:pPr>
                    <w:spacing w:after="0" w:line="240" w:lineRule="auto"/>
                    <w:jc w:val="center"/>
                    <w:rPr>
                      <w:b/>
                      <w:color w:val="2F5496" w:themeColor="accent5" w:themeShade="BF"/>
                      <w:sz w:val="20"/>
                    </w:rPr>
                  </w:pPr>
                  <w:r w:rsidRPr="001F12F2">
                    <w:rPr>
                      <w:b/>
                      <w:color w:val="2F5496" w:themeColor="accent5" w:themeShade="BF"/>
                      <w:sz w:val="20"/>
                    </w:rPr>
                    <w:t xml:space="preserve">Priemerná cena </w:t>
                  </w:r>
                  <w:r>
                    <w:rPr>
                      <w:b/>
                      <w:color w:val="2F5496" w:themeColor="accent5" w:themeShade="BF"/>
                      <w:sz w:val="20"/>
                    </w:rPr>
                    <w:t>ind.</w:t>
                  </w:r>
                  <w:r w:rsidRPr="001F12F2">
                    <w:rPr>
                      <w:b/>
                      <w:color w:val="2F5496" w:themeColor="accent5" w:themeShade="BF"/>
                      <w:sz w:val="20"/>
                    </w:rPr>
                    <w:t xml:space="preserve"> zmluvy (eur)</w:t>
                  </w:r>
                </w:p>
              </w:tc>
              <w:tc>
                <w:tcPr>
                  <w:tcW w:w="2180" w:type="dxa"/>
                  <w:tcBorders>
                    <w:top w:val="single" w:sz="4" w:space="0" w:color="2E74B5" w:themeColor="accent1" w:themeShade="BF"/>
                    <w:left w:val="nil"/>
                    <w:bottom w:val="single" w:sz="4" w:space="0" w:color="2E74B5" w:themeColor="accent1" w:themeShade="BF"/>
                    <w:right w:val="nil"/>
                  </w:tcBorders>
                  <w:shd w:val="clear" w:color="auto" w:fill="auto"/>
                  <w:noWrap/>
                  <w:vAlign w:val="bottom"/>
                  <w:hideMark/>
                </w:tcPr>
                <w:p w14:paraId="7D086268" w14:textId="77777777" w:rsidR="001F12F2" w:rsidRPr="001F12F2" w:rsidRDefault="001F12F2" w:rsidP="001F12F2">
                  <w:pPr>
                    <w:spacing w:after="0" w:line="240" w:lineRule="auto"/>
                    <w:jc w:val="center"/>
                    <w:rPr>
                      <w:b/>
                      <w:color w:val="2F5496" w:themeColor="accent5" w:themeShade="BF"/>
                      <w:sz w:val="20"/>
                    </w:rPr>
                  </w:pPr>
                  <w:r w:rsidRPr="001F12F2">
                    <w:rPr>
                      <w:b/>
                      <w:color w:val="2F5496" w:themeColor="accent5" w:themeShade="BF"/>
                      <w:sz w:val="20"/>
                    </w:rPr>
                    <w:t>Priemerná cena CLZ (eur)</w:t>
                  </w:r>
                </w:p>
              </w:tc>
              <w:tc>
                <w:tcPr>
                  <w:tcW w:w="1396" w:type="dxa"/>
                  <w:tcBorders>
                    <w:top w:val="single" w:sz="4" w:space="0" w:color="2E74B5" w:themeColor="accent1" w:themeShade="BF"/>
                    <w:left w:val="nil"/>
                    <w:bottom w:val="single" w:sz="4" w:space="0" w:color="2E74B5" w:themeColor="accent1" w:themeShade="BF"/>
                    <w:right w:val="nil"/>
                  </w:tcBorders>
                  <w:shd w:val="clear" w:color="auto" w:fill="auto"/>
                  <w:noWrap/>
                  <w:vAlign w:val="bottom"/>
                  <w:hideMark/>
                </w:tcPr>
                <w:p w14:paraId="45B42DBC" w14:textId="77777777" w:rsidR="001F12F2" w:rsidRPr="001F12F2" w:rsidRDefault="001F12F2" w:rsidP="001F12F2">
                  <w:pPr>
                    <w:spacing w:after="0" w:line="240" w:lineRule="auto"/>
                    <w:jc w:val="center"/>
                    <w:rPr>
                      <w:b/>
                      <w:color w:val="2F5496" w:themeColor="accent5" w:themeShade="BF"/>
                      <w:sz w:val="20"/>
                    </w:rPr>
                  </w:pPr>
                  <w:r w:rsidRPr="001F12F2">
                    <w:rPr>
                      <w:b/>
                      <w:color w:val="2F5496" w:themeColor="accent5" w:themeShade="BF"/>
                      <w:sz w:val="20"/>
                    </w:rPr>
                    <w:t>Rozdiel</w:t>
                  </w:r>
                </w:p>
              </w:tc>
            </w:tr>
            <w:tr w:rsidR="001F12F2" w:rsidRPr="001F12F2" w14:paraId="7B4C3620" w14:textId="77777777" w:rsidTr="001F12F2">
              <w:trPr>
                <w:trHeight w:val="266"/>
              </w:trPr>
              <w:tc>
                <w:tcPr>
                  <w:tcW w:w="2155" w:type="dxa"/>
                  <w:tcBorders>
                    <w:top w:val="single" w:sz="4" w:space="0" w:color="2E74B5" w:themeColor="accent1" w:themeShade="BF"/>
                    <w:left w:val="nil"/>
                    <w:bottom w:val="nil"/>
                    <w:right w:val="nil"/>
                  </w:tcBorders>
                  <w:shd w:val="clear" w:color="auto" w:fill="auto"/>
                  <w:noWrap/>
                  <w:vAlign w:val="bottom"/>
                  <w:hideMark/>
                </w:tcPr>
                <w:p w14:paraId="6481BCE2" w14:textId="77777777" w:rsidR="001F12F2" w:rsidRPr="001F12F2" w:rsidRDefault="001F12F2" w:rsidP="001F12F2">
                  <w:pPr>
                    <w:spacing w:after="0" w:line="240" w:lineRule="auto"/>
                    <w:jc w:val="left"/>
                    <w:rPr>
                      <w:color w:val="2F5496" w:themeColor="accent5" w:themeShade="BF"/>
                      <w:sz w:val="20"/>
                    </w:rPr>
                  </w:pPr>
                  <w:r>
                    <w:rPr>
                      <w:color w:val="2F5496" w:themeColor="accent5" w:themeShade="BF"/>
                      <w:sz w:val="20"/>
                    </w:rPr>
                    <w:t>Nová l</w:t>
                  </w:r>
                  <w:r w:rsidRPr="001F12F2">
                    <w:rPr>
                      <w:color w:val="2F5496" w:themeColor="accent5" w:themeShade="BF"/>
                      <w:sz w:val="20"/>
                    </w:rPr>
                    <w:t>icencia</w:t>
                  </w:r>
                </w:p>
              </w:tc>
              <w:tc>
                <w:tcPr>
                  <w:tcW w:w="2977" w:type="dxa"/>
                  <w:tcBorders>
                    <w:top w:val="single" w:sz="4" w:space="0" w:color="2E74B5" w:themeColor="accent1" w:themeShade="BF"/>
                    <w:left w:val="nil"/>
                    <w:bottom w:val="nil"/>
                    <w:right w:val="nil"/>
                  </w:tcBorders>
                  <w:shd w:val="clear" w:color="auto" w:fill="auto"/>
                  <w:noWrap/>
                  <w:vAlign w:val="bottom"/>
                  <w:hideMark/>
                </w:tcPr>
                <w:p w14:paraId="60380F54" w14:textId="77777777" w:rsidR="001F12F2" w:rsidRPr="001F12F2" w:rsidRDefault="001F12F2" w:rsidP="001F12F2">
                  <w:pPr>
                    <w:spacing w:after="0" w:line="240" w:lineRule="auto"/>
                    <w:jc w:val="center"/>
                    <w:rPr>
                      <w:color w:val="2F5496" w:themeColor="accent5" w:themeShade="BF"/>
                      <w:sz w:val="20"/>
                    </w:rPr>
                  </w:pPr>
                  <w:r w:rsidRPr="001F12F2">
                    <w:rPr>
                      <w:color w:val="2F5496" w:themeColor="accent5" w:themeShade="BF"/>
                      <w:sz w:val="20"/>
                    </w:rPr>
                    <w:t>51 630</w:t>
                  </w:r>
                </w:p>
              </w:tc>
              <w:tc>
                <w:tcPr>
                  <w:tcW w:w="2180" w:type="dxa"/>
                  <w:tcBorders>
                    <w:top w:val="single" w:sz="4" w:space="0" w:color="2E74B5" w:themeColor="accent1" w:themeShade="BF"/>
                    <w:left w:val="nil"/>
                    <w:bottom w:val="nil"/>
                    <w:right w:val="nil"/>
                  </w:tcBorders>
                  <w:shd w:val="clear" w:color="auto" w:fill="auto"/>
                  <w:noWrap/>
                  <w:vAlign w:val="bottom"/>
                  <w:hideMark/>
                </w:tcPr>
                <w:p w14:paraId="61B0F290" w14:textId="77777777" w:rsidR="001F12F2" w:rsidRPr="001F12F2" w:rsidRDefault="001F12F2" w:rsidP="001F12F2">
                  <w:pPr>
                    <w:spacing w:after="0" w:line="240" w:lineRule="auto"/>
                    <w:jc w:val="center"/>
                    <w:rPr>
                      <w:color w:val="2F5496" w:themeColor="accent5" w:themeShade="BF"/>
                      <w:sz w:val="20"/>
                    </w:rPr>
                  </w:pPr>
                  <w:r w:rsidRPr="001F12F2">
                    <w:rPr>
                      <w:color w:val="2F5496" w:themeColor="accent5" w:themeShade="BF"/>
                      <w:sz w:val="20"/>
                    </w:rPr>
                    <w:t>34 394</w:t>
                  </w:r>
                </w:p>
              </w:tc>
              <w:tc>
                <w:tcPr>
                  <w:tcW w:w="1396" w:type="dxa"/>
                  <w:tcBorders>
                    <w:top w:val="single" w:sz="4" w:space="0" w:color="2E74B5" w:themeColor="accent1" w:themeShade="BF"/>
                    <w:left w:val="nil"/>
                    <w:bottom w:val="nil"/>
                    <w:right w:val="nil"/>
                  </w:tcBorders>
                  <w:shd w:val="clear" w:color="auto" w:fill="auto"/>
                  <w:noWrap/>
                  <w:vAlign w:val="bottom"/>
                  <w:hideMark/>
                </w:tcPr>
                <w:p w14:paraId="5C56717A" w14:textId="77777777" w:rsidR="001F12F2" w:rsidRPr="001F12F2" w:rsidRDefault="001F12F2" w:rsidP="001F12F2">
                  <w:pPr>
                    <w:spacing w:after="0" w:line="240" w:lineRule="auto"/>
                    <w:jc w:val="center"/>
                    <w:rPr>
                      <w:color w:val="2F5496" w:themeColor="accent5" w:themeShade="BF"/>
                      <w:sz w:val="20"/>
                    </w:rPr>
                  </w:pPr>
                  <w:r w:rsidRPr="001F12F2">
                    <w:rPr>
                      <w:color w:val="2F5496" w:themeColor="accent5" w:themeShade="BF"/>
                      <w:sz w:val="20"/>
                    </w:rPr>
                    <w:t>-33%</w:t>
                  </w:r>
                </w:p>
              </w:tc>
            </w:tr>
            <w:tr w:rsidR="001F12F2" w:rsidRPr="001F12F2" w14:paraId="3CDC1835" w14:textId="77777777" w:rsidTr="001F12F2">
              <w:trPr>
                <w:trHeight w:val="266"/>
              </w:trPr>
              <w:tc>
                <w:tcPr>
                  <w:tcW w:w="2155" w:type="dxa"/>
                  <w:tcBorders>
                    <w:top w:val="nil"/>
                    <w:left w:val="nil"/>
                    <w:bottom w:val="single" w:sz="4" w:space="0" w:color="2E74B5" w:themeColor="accent1" w:themeShade="BF"/>
                    <w:right w:val="nil"/>
                  </w:tcBorders>
                  <w:shd w:val="clear" w:color="auto" w:fill="auto"/>
                  <w:noWrap/>
                  <w:vAlign w:val="bottom"/>
                  <w:hideMark/>
                </w:tcPr>
                <w:p w14:paraId="35C55D8A" w14:textId="77777777" w:rsidR="001F12F2" w:rsidRPr="001F12F2" w:rsidRDefault="001F12F2" w:rsidP="001F12F2">
                  <w:pPr>
                    <w:spacing w:after="0" w:line="240" w:lineRule="auto"/>
                    <w:jc w:val="left"/>
                    <w:rPr>
                      <w:color w:val="2F5496" w:themeColor="accent5" w:themeShade="BF"/>
                      <w:sz w:val="20"/>
                    </w:rPr>
                  </w:pPr>
                  <w:r w:rsidRPr="001F12F2">
                    <w:rPr>
                      <w:color w:val="2F5496" w:themeColor="accent5" w:themeShade="BF"/>
                      <w:sz w:val="20"/>
                    </w:rPr>
                    <w:t>Podpora</w:t>
                  </w:r>
                  <w:r>
                    <w:rPr>
                      <w:color w:val="2F5496" w:themeColor="accent5" w:themeShade="BF"/>
                      <w:sz w:val="20"/>
                    </w:rPr>
                    <w:t xml:space="preserve"> k novej licencii</w:t>
                  </w:r>
                </w:p>
              </w:tc>
              <w:tc>
                <w:tcPr>
                  <w:tcW w:w="2977" w:type="dxa"/>
                  <w:tcBorders>
                    <w:top w:val="nil"/>
                    <w:left w:val="nil"/>
                    <w:bottom w:val="single" w:sz="4" w:space="0" w:color="2E74B5" w:themeColor="accent1" w:themeShade="BF"/>
                    <w:right w:val="nil"/>
                  </w:tcBorders>
                  <w:shd w:val="clear" w:color="auto" w:fill="auto"/>
                  <w:noWrap/>
                  <w:vAlign w:val="bottom"/>
                  <w:hideMark/>
                </w:tcPr>
                <w:p w14:paraId="6FA250F8" w14:textId="77777777" w:rsidR="001F12F2" w:rsidRPr="001F12F2" w:rsidRDefault="001F12F2" w:rsidP="001F12F2">
                  <w:pPr>
                    <w:spacing w:after="0" w:line="240" w:lineRule="auto"/>
                    <w:jc w:val="center"/>
                    <w:rPr>
                      <w:color w:val="2F5496" w:themeColor="accent5" w:themeShade="BF"/>
                      <w:sz w:val="20"/>
                    </w:rPr>
                  </w:pPr>
                  <w:r w:rsidRPr="001F12F2">
                    <w:rPr>
                      <w:color w:val="2F5496" w:themeColor="accent5" w:themeShade="BF"/>
                      <w:sz w:val="20"/>
                    </w:rPr>
                    <w:t>10 851</w:t>
                  </w:r>
                </w:p>
              </w:tc>
              <w:tc>
                <w:tcPr>
                  <w:tcW w:w="2180" w:type="dxa"/>
                  <w:tcBorders>
                    <w:top w:val="nil"/>
                    <w:left w:val="nil"/>
                    <w:bottom w:val="single" w:sz="4" w:space="0" w:color="2E74B5" w:themeColor="accent1" w:themeShade="BF"/>
                    <w:right w:val="nil"/>
                  </w:tcBorders>
                  <w:shd w:val="clear" w:color="auto" w:fill="auto"/>
                  <w:noWrap/>
                  <w:vAlign w:val="bottom"/>
                  <w:hideMark/>
                </w:tcPr>
                <w:p w14:paraId="41093221" w14:textId="77777777" w:rsidR="001F12F2" w:rsidRPr="001F12F2" w:rsidRDefault="001F12F2" w:rsidP="001F12F2">
                  <w:pPr>
                    <w:spacing w:after="0" w:line="240" w:lineRule="auto"/>
                    <w:jc w:val="center"/>
                    <w:rPr>
                      <w:color w:val="2F5496" w:themeColor="accent5" w:themeShade="BF"/>
                      <w:sz w:val="20"/>
                    </w:rPr>
                  </w:pPr>
                  <w:r w:rsidRPr="001F12F2">
                    <w:rPr>
                      <w:color w:val="2F5496" w:themeColor="accent5" w:themeShade="BF"/>
                      <w:sz w:val="20"/>
                    </w:rPr>
                    <w:t>7 567</w:t>
                  </w:r>
                </w:p>
              </w:tc>
              <w:tc>
                <w:tcPr>
                  <w:tcW w:w="1396" w:type="dxa"/>
                  <w:tcBorders>
                    <w:top w:val="nil"/>
                    <w:left w:val="nil"/>
                    <w:bottom w:val="single" w:sz="4" w:space="0" w:color="2E74B5" w:themeColor="accent1" w:themeShade="BF"/>
                    <w:right w:val="nil"/>
                  </w:tcBorders>
                  <w:shd w:val="clear" w:color="auto" w:fill="auto"/>
                  <w:noWrap/>
                  <w:vAlign w:val="bottom"/>
                  <w:hideMark/>
                </w:tcPr>
                <w:p w14:paraId="18D4F588" w14:textId="77777777" w:rsidR="001F12F2" w:rsidRPr="001F12F2" w:rsidRDefault="001F12F2" w:rsidP="001F12F2">
                  <w:pPr>
                    <w:spacing w:after="0" w:line="240" w:lineRule="auto"/>
                    <w:jc w:val="center"/>
                    <w:rPr>
                      <w:color w:val="2F5496" w:themeColor="accent5" w:themeShade="BF"/>
                      <w:sz w:val="20"/>
                    </w:rPr>
                  </w:pPr>
                  <w:r w:rsidRPr="001F12F2">
                    <w:rPr>
                      <w:color w:val="2F5496" w:themeColor="accent5" w:themeShade="BF"/>
                      <w:sz w:val="20"/>
                    </w:rPr>
                    <w:t>-30%</w:t>
                  </w:r>
                </w:p>
              </w:tc>
            </w:tr>
            <w:tr w:rsidR="001F12F2" w:rsidRPr="001F12F2" w14:paraId="32EE67EE" w14:textId="77777777" w:rsidTr="001F12F2">
              <w:trPr>
                <w:trHeight w:val="266"/>
              </w:trPr>
              <w:tc>
                <w:tcPr>
                  <w:tcW w:w="8708" w:type="dxa"/>
                  <w:gridSpan w:val="4"/>
                  <w:tcBorders>
                    <w:top w:val="single" w:sz="4" w:space="0" w:color="2E74B5" w:themeColor="accent1" w:themeShade="BF"/>
                    <w:left w:val="nil"/>
                  </w:tcBorders>
                  <w:shd w:val="clear" w:color="auto" w:fill="auto"/>
                  <w:noWrap/>
                </w:tcPr>
                <w:p w14:paraId="62996CC3" w14:textId="77777777" w:rsidR="001F12F2" w:rsidRPr="001F12F2" w:rsidRDefault="001F12F2" w:rsidP="001F12F2">
                  <w:pPr>
                    <w:spacing w:after="0" w:line="240" w:lineRule="auto"/>
                    <w:jc w:val="right"/>
                    <w:rPr>
                      <w:i/>
                      <w:color w:val="2F5496" w:themeColor="accent5" w:themeShade="BF"/>
                      <w:sz w:val="18"/>
                    </w:rPr>
                  </w:pPr>
                  <w:r w:rsidRPr="001F12F2">
                    <w:rPr>
                      <w:i/>
                      <w:color w:val="2F5496" w:themeColor="accent5" w:themeShade="BF"/>
                      <w:sz w:val="18"/>
                    </w:rPr>
                    <w:t>Zdroj: CRZ, údaje o plnení CLZ, Spracovanie ÚHP</w:t>
                  </w:r>
                </w:p>
              </w:tc>
            </w:tr>
          </w:tbl>
          <w:p w14:paraId="7F15EF4C" w14:textId="77777777" w:rsidR="001F12F2" w:rsidRPr="004963C8" w:rsidRDefault="001F12F2" w:rsidP="001F12F2">
            <w:pPr>
              <w:spacing w:before="120" w:after="100" w:afterAutospacing="1"/>
              <w:rPr>
                <w:sz w:val="20"/>
              </w:rPr>
            </w:pPr>
          </w:p>
        </w:tc>
      </w:tr>
    </w:tbl>
    <w:p w14:paraId="5B2C497B" w14:textId="77777777" w:rsidR="0059256C" w:rsidRDefault="0059256C" w:rsidP="007D08E5">
      <w:pPr>
        <w:spacing w:before="120" w:after="120"/>
      </w:pPr>
      <w:r>
        <w:rPr>
          <w:b/>
        </w:rPr>
        <w:t xml:space="preserve">Dlhodobý dopad </w:t>
      </w:r>
      <w:r w:rsidR="005B5C9D">
        <w:rPr>
          <w:b/>
        </w:rPr>
        <w:t xml:space="preserve">rôznych </w:t>
      </w:r>
      <w:r w:rsidR="005D46BF">
        <w:rPr>
          <w:b/>
        </w:rPr>
        <w:t>licenčných modelov</w:t>
      </w:r>
      <w:r w:rsidR="00440409">
        <w:rPr>
          <w:b/>
        </w:rPr>
        <w:t xml:space="preserve"> a spôsobov nákupu</w:t>
      </w:r>
      <w:r w:rsidR="005D46BF">
        <w:rPr>
          <w:b/>
        </w:rPr>
        <w:t xml:space="preserve"> nie je známy</w:t>
      </w:r>
      <w:r>
        <w:rPr>
          <w:b/>
        </w:rPr>
        <w:t xml:space="preserve">. </w:t>
      </w:r>
      <w:r w:rsidR="005D46BF">
        <w:t xml:space="preserve">Nákup softvérových licencií je realizovateľný viacerými licenčnými modelmi. Medzi najrozšírenejšie patria nákup trvalých licencií („krabicový softvér“), predplatné na vopred stanovenú dĺžku (napr. licencia Office 635 na 12 mesiacov) a platba podľa aktuálneho využitia (napr. platba za počet využití služby). </w:t>
      </w:r>
      <w:r w:rsidR="00440409">
        <w:t>Centrálne licenčné zmluvy môžu softvér nakupovať rôznymi modelmi.</w:t>
      </w:r>
      <w:r w:rsidR="005D46BF">
        <w:t xml:space="preserve"> </w:t>
      </w:r>
      <w:r>
        <w:t xml:space="preserve">Príkladom je centrálna zmluva Oracle, kde bolo prostredníctvom rámcovej zmluvy vybraných viacero dodávateľov, ktorí v pravidelných aukciách predkladali ponuky </w:t>
      </w:r>
      <w:r w:rsidR="00440409">
        <w:t>na konkrétne požiadavky</w:t>
      </w:r>
      <w:r>
        <w:t xml:space="preserve"> </w:t>
      </w:r>
      <w:r w:rsidR="00440409">
        <w:t xml:space="preserve">a zmluva na </w:t>
      </w:r>
      <w:r>
        <w:t>Microsoft, kde bolo plnenie realizované jedným dodávateľom</w:t>
      </w:r>
      <w:r w:rsidR="00440409">
        <w:t xml:space="preserve"> na vopred stanovený objem</w:t>
      </w:r>
      <w:r>
        <w:t xml:space="preserve">. Ďalšie modely môžu byť vytvorenie centrálneho trhoviska, kde je cenový limit určený na základe súťaže. Vhodnosť jednotlivých </w:t>
      </w:r>
      <w:r w:rsidR="00440409">
        <w:t xml:space="preserve">licenčných a nákupných </w:t>
      </w:r>
      <w:r>
        <w:t>modelov nie je</w:t>
      </w:r>
      <w:r w:rsidR="00617147">
        <w:t xml:space="preserve"> gestorom licenčnej politiky štátu (ÚPVII)</w:t>
      </w:r>
      <w:r>
        <w:t xml:space="preserve"> posúdená. </w:t>
      </w:r>
    </w:p>
    <w:p w14:paraId="4D0BCFD8" w14:textId="77777777" w:rsidR="0059256C" w:rsidRDefault="0059256C" w:rsidP="0059256C">
      <w:pPr>
        <w:spacing w:before="120" w:after="120"/>
      </w:pPr>
      <w:r>
        <w:rPr>
          <w:b/>
        </w:rPr>
        <w:t xml:space="preserve">Riadenie spotreby licencií vyžaduje vykonanie auditu softvéru vo vlastníctve štátu a  stanovenie štandardného pracovného miesta. </w:t>
      </w:r>
      <w:r>
        <w:t xml:space="preserve">Údaje o presnom počte a štruktúre softvérových licencií nie sú dostupné. Čiastkové mapovanie prebehlo pri analýze potrieb kancelárskeho softvéru, získané údaje nie sú úplne a pravidelne </w:t>
      </w:r>
      <w:r>
        <w:lastRenderedPageBreak/>
        <w:t>aktualizované</w:t>
      </w:r>
      <w:r w:rsidR="00617147">
        <w:rPr>
          <w:rStyle w:val="Odkaznapoznmkupodiarou"/>
        </w:rPr>
        <w:footnoteReference w:id="41"/>
      </w:r>
      <w:r>
        <w:t xml:space="preserve">. Na vytvorenie údajovej základne je potrebné stanovenie povinnosti pravidelne vykonať audit softvéru vo vlastníctve štátu a jeho reálneho využitia. Na optimalizáciu množstva a skladby nakupovaného hardvéru a softvéru je potrebné </w:t>
      </w:r>
      <w:r w:rsidRPr="00DB3A07">
        <w:t>prostredníctvom štandardného pracovného miesta jasne zadefinovať hardvér a softvér, na ktorý má zamestnanec nárok</w:t>
      </w:r>
      <w:r>
        <w:t>. Podľa údajov medzirezortného programu 0EK sa len medzi vybranými ústrednými orgánmi verejnej moci líšia náklady na nákup HW a SW podpornej infraštruktúry (HW vybavenie konkrétneho pracovníka, operačné systémy atp.) niekoľkonásobne</w:t>
      </w:r>
      <w:r w:rsidR="00617147">
        <w:t xml:space="preserve"> (</w:t>
      </w:r>
      <w:r w:rsidR="00113509">
        <w:t>podrobne v</w:t>
      </w:r>
      <w:r w:rsidR="00617147">
        <w:t>. box</w:t>
      </w:r>
      <w:r w:rsidR="00113509">
        <w:t>e</w:t>
      </w:r>
      <w:r w:rsidR="00617147">
        <w:t xml:space="preserve"> nižšie)</w:t>
      </w:r>
      <w:r>
        <w:t>.</w:t>
      </w:r>
    </w:p>
    <w:p w14:paraId="59317B57" w14:textId="77777777" w:rsidR="0059256C" w:rsidRDefault="0059256C" w:rsidP="0059256C">
      <w:r>
        <w:rPr>
          <w:b/>
        </w:rPr>
        <w:t>Priamu finančnú zodpovednosť za centrálne zmluvy má dnes len ministerstvo financií</w:t>
      </w:r>
      <w:r w:rsidRPr="00FF58C5">
        <w:t xml:space="preserve">. </w:t>
      </w:r>
      <w:r>
        <w:t>J</w:t>
      </w:r>
      <w:r w:rsidRPr="00FF58C5">
        <w:t>ednotlivé úrady za licencie z vlastných rozpočtov neplatia</w:t>
      </w:r>
      <w:r>
        <w:t xml:space="preserve">, čo môže viesť k ich nadspotrebe. </w:t>
      </w:r>
      <w:r w:rsidR="003351BA">
        <w:t>Je potrebné zaviesť schvaľovanie p</w:t>
      </w:r>
      <w:r>
        <w:t>ožiadav</w:t>
      </w:r>
      <w:r w:rsidR="003351BA">
        <w:t>iek</w:t>
      </w:r>
      <w:r>
        <w:t xml:space="preserve">, ktoré idu nad rámec potrieb objektívne stanovených auditom, </w:t>
      </w:r>
      <w:r w:rsidR="003351BA">
        <w:t>ako výnimky</w:t>
      </w:r>
      <w:r>
        <w:t xml:space="preserve">. </w:t>
      </w:r>
    </w:p>
    <w:tbl>
      <w:tblPr>
        <w:tblStyle w:val="Tabukasmriekou6farebnzvraznenie5"/>
        <w:tblW w:w="0" w:type="auto"/>
        <w:tblLook w:val="0420" w:firstRow="1" w:lastRow="0" w:firstColumn="0" w:lastColumn="0" w:noHBand="0" w:noVBand="1"/>
      </w:tblPr>
      <w:tblGrid>
        <w:gridCol w:w="9062"/>
      </w:tblGrid>
      <w:tr w:rsidR="00812391" w:rsidRPr="00A93135" w14:paraId="23A8A581" w14:textId="77777777" w:rsidTr="008C5034">
        <w:trPr>
          <w:cnfStyle w:val="100000000000" w:firstRow="1" w:lastRow="0" w:firstColumn="0" w:lastColumn="0" w:oddVBand="0" w:evenVBand="0" w:oddHBand="0" w:evenHBand="0" w:firstRowFirstColumn="0" w:firstRowLastColumn="0" w:lastRowFirstColumn="0" w:lastRowLastColumn="0"/>
          <w:trHeight w:val="133"/>
        </w:trPr>
        <w:tc>
          <w:tcPr>
            <w:tcW w:w="9062" w:type="dxa"/>
          </w:tcPr>
          <w:p w14:paraId="5A55ABB2" w14:textId="77777777" w:rsidR="00812391" w:rsidRPr="00A93135" w:rsidRDefault="00812391" w:rsidP="00963849">
            <w:pPr>
              <w:rPr>
                <w:sz w:val="20"/>
              </w:rPr>
            </w:pPr>
            <w:r>
              <w:rPr>
                <w:sz w:val="20"/>
              </w:rPr>
              <w:t>Box</w:t>
            </w:r>
            <w:r w:rsidRPr="00A93135">
              <w:rPr>
                <w:sz w:val="20"/>
              </w:rPr>
              <w:t xml:space="preserve">: </w:t>
            </w:r>
            <w:r w:rsidR="00994455">
              <w:rPr>
                <w:sz w:val="20"/>
              </w:rPr>
              <w:t xml:space="preserve">Náklady na zamestnanca bez definície štandardizovaného miesta z pohľadu IT </w:t>
            </w:r>
          </w:p>
        </w:tc>
      </w:tr>
      <w:tr w:rsidR="00812391" w:rsidRPr="00A93135" w14:paraId="64886B95" w14:textId="77777777" w:rsidTr="008C5034">
        <w:trPr>
          <w:cnfStyle w:val="000000100000" w:firstRow="0" w:lastRow="0" w:firstColumn="0" w:lastColumn="0" w:oddVBand="0" w:evenVBand="0" w:oddHBand="1" w:evenHBand="0" w:firstRowFirstColumn="0" w:firstRowLastColumn="0" w:lastRowFirstColumn="0" w:lastRowLastColumn="0"/>
          <w:trHeight w:val="725"/>
        </w:trPr>
        <w:tc>
          <w:tcPr>
            <w:tcW w:w="9062" w:type="dxa"/>
          </w:tcPr>
          <w:p w14:paraId="17E2178A" w14:textId="77777777" w:rsidR="00C319E4" w:rsidRDefault="00C319E4" w:rsidP="008C5034">
            <w:pPr>
              <w:spacing w:before="120" w:after="120"/>
              <w:rPr>
                <w:color w:val="4472C4" w:themeColor="accent5"/>
                <w:sz w:val="20"/>
              </w:rPr>
            </w:pPr>
            <w:r>
              <w:rPr>
                <w:color w:val="4472C4" w:themeColor="accent5"/>
                <w:sz w:val="20"/>
              </w:rPr>
              <w:t xml:space="preserve">Štandardizované pracovné miesto zamestnanca z pohľadu IT dnes nie je definované. Čiastočný pohľad na rozdiel výšky výdavkov na zamestnanca medzi úradmi poskytuje medzirezortný program 0EK. </w:t>
            </w:r>
            <w:r w:rsidR="00994455">
              <w:rPr>
                <w:color w:val="4472C4" w:themeColor="accent5"/>
                <w:sz w:val="20"/>
              </w:rPr>
              <w:t xml:space="preserve">V závislosti od stanovenia referenčnej úrovne je </w:t>
            </w:r>
            <w:r w:rsidR="00AB6C6F">
              <w:rPr>
                <w:color w:val="4472C4" w:themeColor="accent5"/>
                <w:sz w:val="20"/>
              </w:rPr>
              <w:t>potenciál zníženia nákladov</w:t>
            </w:r>
            <w:r w:rsidR="00994455">
              <w:rPr>
                <w:color w:val="4472C4" w:themeColor="accent5"/>
                <w:sz w:val="20"/>
              </w:rPr>
              <w:t xml:space="preserve"> 1,2-3,0 mil. eur.</w:t>
            </w:r>
          </w:p>
          <w:p w14:paraId="57ADBC28" w14:textId="77777777" w:rsidR="00F35E21" w:rsidRDefault="00F35E21" w:rsidP="008C5034">
            <w:pPr>
              <w:spacing w:before="120" w:after="120"/>
              <w:rPr>
                <w:color w:val="4472C4" w:themeColor="accent5"/>
                <w:sz w:val="20"/>
              </w:rPr>
            </w:pPr>
            <w:r>
              <w:rPr>
                <w:color w:val="4472C4" w:themeColor="accent5"/>
                <w:sz w:val="20"/>
              </w:rPr>
              <w:t>V súlade s medzirezortným programom 0EK, ktorý upravuje rozpočtovanie IT výdavkov, sú výdavky na všeobecnú infraštruktúru (HW vybavenie konkrétneho pracovníka, komunikačné linky, operačné systémy, integračné platformy...) rozpočtované ako samostatný prvok.</w:t>
            </w:r>
          </w:p>
          <w:p w14:paraId="3F183F1F" w14:textId="77777777" w:rsidR="00202C74" w:rsidRDefault="00202C74" w:rsidP="008C5034">
            <w:pPr>
              <w:spacing w:before="120" w:after="120"/>
              <w:rPr>
                <w:color w:val="4472C4" w:themeColor="accent5"/>
                <w:sz w:val="20"/>
              </w:rPr>
            </w:pPr>
            <w:r>
              <w:rPr>
                <w:color w:val="4472C4" w:themeColor="accent5"/>
                <w:sz w:val="20"/>
              </w:rPr>
              <w:t xml:space="preserve">Výška výdavkov na nákup a prevádzku podpornej infraštruktúry na jedného zamestnanca sa medzi centrálnymi orgánmi verejnej moci, ktoré v 0EK rozpočtujú aspoň 90 % IT výdavkov hradených zo ŠŘ, pohybuje v rokoch 2018-18 medzi 281-2854 Eur. </w:t>
            </w:r>
          </w:p>
          <w:p w14:paraId="203A5404" w14:textId="6635E277" w:rsidR="003B52DF" w:rsidRPr="00D26BF3" w:rsidRDefault="003B52DF" w:rsidP="003B52DF">
            <w:pPr>
              <w:rPr>
                <w:color w:val="4472C4" w:themeColor="accent5"/>
                <w:sz w:val="20"/>
                <w:szCs w:val="20"/>
              </w:rPr>
            </w:pPr>
            <w:r w:rsidRPr="00D26BF3">
              <w:rPr>
                <w:b/>
                <w:color w:val="4472C4" w:themeColor="accent5"/>
                <w:sz w:val="20"/>
                <w:szCs w:val="20"/>
              </w:rPr>
              <w:t xml:space="preserve">Tabuľka </w:t>
            </w:r>
            <w:r w:rsidR="003326DF">
              <w:rPr>
                <w:b/>
                <w:color w:val="4472C4" w:themeColor="accent5"/>
                <w:sz w:val="20"/>
                <w:szCs w:val="20"/>
              </w:rPr>
              <w:t>1</w:t>
            </w:r>
            <w:r w:rsidR="004177D6">
              <w:rPr>
                <w:b/>
                <w:color w:val="4472C4" w:themeColor="accent5"/>
                <w:sz w:val="20"/>
                <w:szCs w:val="20"/>
              </w:rPr>
              <w:t>5</w:t>
            </w:r>
            <w:r w:rsidRPr="00D26BF3">
              <w:rPr>
                <w:b/>
                <w:color w:val="4472C4" w:themeColor="accent5"/>
                <w:sz w:val="20"/>
                <w:szCs w:val="20"/>
              </w:rPr>
              <w:t>: Náklady na nákup a prevádzku podpornej infraštruktúry na jedného zamestnanca (2017-2018)</w:t>
            </w:r>
            <w:r w:rsidRPr="00D26BF3">
              <w:rPr>
                <w:color w:val="4472C4" w:themeColor="accent5"/>
                <w:sz w:val="20"/>
                <w:szCs w:val="20"/>
              </w:rPr>
              <w:t xml:space="preserve">  </w:t>
            </w:r>
          </w:p>
          <w:tbl>
            <w:tblPr>
              <w:tblW w:w="8846" w:type="dxa"/>
              <w:tblCellMar>
                <w:left w:w="70" w:type="dxa"/>
                <w:right w:w="70" w:type="dxa"/>
              </w:tblCellMar>
              <w:tblLook w:val="04A0" w:firstRow="1" w:lastRow="0" w:firstColumn="1" w:lastColumn="0" w:noHBand="0" w:noVBand="1"/>
            </w:tblPr>
            <w:tblGrid>
              <w:gridCol w:w="1996"/>
              <w:gridCol w:w="2936"/>
              <w:gridCol w:w="1757"/>
              <w:gridCol w:w="1997"/>
              <w:gridCol w:w="160"/>
            </w:tblGrid>
            <w:tr w:rsidR="003B52DF" w:rsidRPr="00D26BF3" w14:paraId="4F9B9280" w14:textId="77777777" w:rsidTr="00963849">
              <w:trPr>
                <w:gridAfter w:val="1"/>
                <w:wAfter w:w="160" w:type="dxa"/>
                <w:trHeight w:val="208"/>
              </w:trPr>
              <w:tc>
                <w:tcPr>
                  <w:tcW w:w="4932" w:type="dxa"/>
                  <w:gridSpan w:val="2"/>
                  <w:tcBorders>
                    <w:top w:val="single" w:sz="4" w:space="0" w:color="4472C4" w:themeColor="accent5"/>
                    <w:left w:val="nil"/>
                    <w:bottom w:val="single" w:sz="4" w:space="0" w:color="4472C4" w:themeColor="accent5"/>
                    <w:right w:val="nil"/>
                  </w:tcBorders>
                  <w:shd w:val="clear" w:color="auto" w:fill="auto"/>
                  <w:noWrap/>
                  <w:vAlign w:val="bottom"/>
                  <w:hideMark/>
                </w:tcPr>
                <w:p w14:paraId="78B5E96D" w14:textId="77777777" w:rsidR="003B52DF" w:rsidRPr="00D26BF3" w:rsidRDefault="003B52DF" w:rsidP="003B52DF">
                  <w:pPr>
                    <w:spacing w:after="0" w:line="240" w:lineRule="auto"/>
                    <w:jc w:val="left"/>
                    <w:rPr>
                      <w:rFonts w:eastAsia="Times New Roman" w:cs="Times New Roman"/>
                      <w:b/>
                      <w:bCs/>
                      <w:color w:val="4472C4" w:themeColor="accent5"/>
                      <w:sz w:val="18"/>
                      <w:szCs w:val="20"/>
                      <w:lang w:eastAsia="sk-SK"/>
                    </w:rPr>
                  </w:pPr>
                  <w:r w:rsidRPr="00D26BF3">
                    <w:rPr>
                      <w:rFonts w:eastAsia="Times New Roman" w:cs="Times New Roman"/>
                      <w:b/>
                      <w:bCs/>
                      <w:color w:val="4472C4" w:themeColor="accent5"/>
                      <w:sz w:val="18"/>
                      <w:szCs w:val="20"/>
                      <w:lang w:eastAsia="sk-SK"/>
                    </w:rPr>
                    <w:t>Organizácia</w:t>
                  </w:r>
                </w:p>
              </w:tc>
              <w:tc>
                <w:tcPr>
                  <w:tcW w:w="1757" w:type="dxa"/>
                  <w:tcBorders>
                    <w:top w:val="single" w:sz="4" w:space="0" w:color="4472C4" w:themeColor="accent5"/>
                    <w:left w:val="nil"/>
                    <w:bottom w:val="single" w:sz="4" w:space="0" w:color="4472C4" w:themeColor="accent5"/>
                    <w:right w:val="nil"/>
                  </w:tcBorders>
                </w:tcPr>
                <w:p w14:paraId="75C901D7" w14:textId="77777777" w:rsidR="003B52DF" w:rsidRPr="00D26BF3" w:rsidRDefault="003B52DF" w:rsidP="003B52DF">
                  <w:pPr>
                    <w:spacing w:after="0" w:line="240" w:lineRule="auto"/>
                    <w:jc w:val="left"/>
                    <w:rPr>
                      <w:rFonts w:eastAsia="Times New Roman" w:cs="Times New Roman"/>
                      <w:b/>
                      <w:bCs/>
                      <w:color w:val="4472C4" w:themeColor="accent5"/>
                      <w:sz w:val="18"/>
                      <w:szCs w:val="20"/>
                      <w:lang w:eastAsia="sk-SK"/>
                    </w:rPr>
                  </w:pPr>
                  <w:r>
                    <w:rPr>
                      <w:rFonts w:eastAsia="Times New Roman" w:cs="Times New Roman"/>
                      <w:b/>
                      <w:bCs/>
                      <w:color w:val="4472C4" w:themeColor="accent5"/>
                      <w:sz w:val="18"/>
                      <w:szCs w:val="20"/>
                      <w:lang w:eastAsia="sk-SK"/>
                    </w:rPr>
                    <w:t>Podiel výdavkov v 0EK</w:t>
                  </w:r>
                </w:p>
              </w:tc>
              <w:tc>
                <w:tcPr>
                  <w:tcW w:w="1997" w:type="dxa"/>
                  <w:tcBorders>
                    <w:top w:val="single" w:sz="4" w:space="0" w:color="4472C4" w:themeColor="accent5"/>
                    <w:left w:val="nil"/>
                    <w:bottom w:val="single" w:sz="4" w:space="0" w:color="4472C4" w:themeColor="accent5"/>
                    <w:right w:val="nil"/>
                  </w:tcBorders>
                  <w:shd w:val="clear" w:color="auto" w:fill="auto"/>
                  <w:noWrap/>
                  <w:vAlign w:val="bottom"/>
                  <w:hideMark/>
                </w:tcPr>
                <w:p w14:paraId="3B589010" w14:textId="77777777" w:rsidR="003B52DF" w:rsidRPr="00D26BF3" w:rsidRDefault="003B52DF" w:rsidP="003B52DF">
                  <w:pPr>
                    <w:spacing w:after="0" w:line="240" w:lineRule="auto"/>
                    <w:jc w:val="left"/>
                    <w:rPr>
                      <w:rFonts w:eastAsia="Times New Roman" w:cs="Times New Roman"/>
                      <w:b/>
                      <w:bCs/>
                      <w:color w:val="4472C4" w:themeColor="accent5"/>
                      <w:sz w:val="18"/>
                      <w:szCs w:val="20"/>
                      <w:lang w:eastAsia="sk-SK"/>
                    </w:rPr>
                  </w:pPr>
                  <w:r>
                    <w:rPr>
                      <w:rFonts w:eastAsia="Times New Roman" w:cs="Times New Roman"/>
                      <w:b/>
                      <w:bCs/>
                      <w:color w:val="4472C4" w:themeColor="accent5"/>
                      <w:sz w:val="18"/>
                      <w:szCs w:val="20"/>
                      <w:lang w:eastAsia="sk-SK"/>
                    </w:rPr>
                    <w:t>Výdavky</w:t>
                  </w:r>
                  <w:r w:rsidRPr="00D26BF3">
                    <w:rPr>
                      <w:rFonts w:eastAsia="Times New Roman" w:cs="Times New Roman"/>
                      <w:b/>
                      <w:bCs/>
                      <w:color w:val="4472C4" w:themeColor="accent5"/>
                      <w:sz w:val="18"/>
                      <w:szCs w:val="20"/>
                      <w:lang w:eastAsia="sk-SK"/>
                    </w:rPr>
                    <w:t xml:space="preserve"> na zamestnanca</w:t>
                  </w:r>
                </w:p>
              </w:tc>
            </w:tr>
            <w:tr w:rsidR="003B52DF" w:rsidRPr="00D26BF3" w14:paraId="2160BF36" w14:textId="77777777" w:rsidTr="00963849">
              <w:trPr>
                <w:gridAfter w:val="1"/>
                <w:wAfter w:w="160" w:type="dxa"/>
                <w:trHeight w:val="208"/>
              </w:trPr>
              <w:tc>
                <w:tcPr>
                  <w:tcW w:w="4932" w:type="dxa"/>
                  <w:gridSpan w:val="2"/>
                  <w:tcBorders>
                    <w:top w:val="single" w:sz="4" w:space="0" w:color="4472C4" w:themeColor="accent5"/>
                    <w:left w:val="nil"/>
                    <w:bottom w:val="nil"/>
                    <w:right w:val="nil"/>
                  </w:tcBorders>
                  <w:shd w:val="clear" w:color="auto" w:fill="auto"/>
                  <w:noWrap/>
                  <w:hideMark/>
                </w:tcPr>
                <w:p w14:paraId="1E50066E" w14:textId="77777777" w:rsidR="003B52DF" w:rsidRPr="00D26BF3" w:rsidRDefault="003B52DF" w:rsidP="003B52DF">
                  <w:pPr>
                    <w:spacing w:after="0" w:line="240" w:lineRule="auto"/>
                    <w:jc w:val="left"/>
                    <w:rPr>
                      <w:rFonts w:eastAsia="Times New Roman" w:cs="Times New Roman"/>
                      <w:color w:val="4472C4" w:themeColor="accent5"/>
                      <w:sz w:val="18"/>
                      <w:szCs w:val="20"/>
                      <w:lang w:eastAsia="sk-SK"/>
                    </w:rPr>
                  </w:pPr>
                  <w:r w:rsidRPr="00D26BF3">
                    <w:rPr>
                      <w:color w:val="4472C4" w:themeColor="accent5"/>
                      <w:sz w:val="18"/>
                      <w:szCs w:val="20"/>
                    </w:rPr>
                    <w:t>Ministerstvo práce, sociálnych  vecí a rodiny SR</w:t>
                  </w:r>
                </w:p>
              </w:tc>
              <w:tc>
                <w:tcPr>
                  <w:tcW w:w="1757" w:type="dxa"/>
                  <w:tcBorders>
                    <w:top w:val="single" w:sz="4" w:space="0" w:color="4472C4" w:themeColor="accent5"/>
                    <w:left w:val="nil"/>
                    <w:bottom w:val="nil"/>
                    <w:right w:val="nil"/>
                  </w:tcBorders>
                </w:tcPr>
                <w:p w14:paraId="7F1359D6" w14:textId="77777777" w:rsidR="003B52DF" w:rsidRPr="00D26BF3" w:rsidRDefault="003B52DF" w:rsidP="003B52DF">
                  <w:pPr>
                    <w:spacing w:after="0" w:line="240" w:lineRule="auto"/>
                    <w:jc w:val="center"/>
                    <w:rPr>
                      <w:color w:val="4472C4" w:themeColor="accent5"/>
                      <w:sz w:val="18"/>
                      <w:szCs w:val="20"/>
                    </w:rPr>
                  </w:pPr>
                  <w:r>
                    <w:rPr>
                      <w:color w:val="4472C4" w:themeColor="accent5"/>
                      <w:sz w:val="18"/>
                      <w:szCs w:val="20"/>
                    </w:rPr>
                    <w:t>94 %</w:t>
                  </w:r>
                </w:p>
              </w:tc>
              <w:tc>
                <w:tcPr>
                  <w:tcW w:w="1997" w:type="dxa"/>
                  <w:tcBorders>
                    <w:top w:val="single" w:sz="4" w:space="0" w:color="4472C4" w:themeColor="accent5"/>
                    <w:left w:val="nil"/>
                    <w:bottom w:val="nil"/>
                    <w:right w:val="nil"/>
                  </w:tcBorders>
                  <w:shd w:val="clear" w:color="auto" w:fill="auto"/>
                  <w:noWrap/>
                  <w:hideMark/>
                </w:tcPr>
                <w:p w14:paraId="246A6992" w14:textId="77777777" w:rsidR="003B52DF" w:rsidRPr="00D26BF3" w:rsidRDefault="003B52DF" w:rsidP="003B52DF">
                  <w:pPr>
                    <w:spacing w:after="0" w:line="240" w:lineRule="auto"/>
                    <w:jc w:val="center"/>
                    <w:rPr>
                      <w:rFonts w:eastAsia="Times New Roman" w:cs="Times New Roman"/>
                      <w:color w:val="4472C4" w:themeColor="accent5"/>
                      <w:sz w:val="18"/>
                      <w:szCs w:val="20"/>
                      <w:lang w:eastAsia="sk-SK"/>
                    </w:rPr>
                  </w:pPr>
                  <w:r w:rsidRPr="00D26BF3">
                    <w:rPr>
                      <w:color w:val="4472C4" w:themeColor="accent5"/>
                      <w:sz w:val="18"/>
                      <w:szCs w:val="20"/>
                    </w:rPr>
                    <w:t>2 854</w:t>
                  </w:r>
                </w:p>
              </w:tc>
            </w:tr>
            <w:tr w:rsidR="003B52DF" w:rsidRPr="00D26BF3" w14:paraId="152FCF83" w14:textId="77777777" w:rsidTr="00963849">
              <w:trPr>
                <w:gridAfter w:val="1"/>
                <w:wAfter w:w="160" w:type="dxa"/>
                <w:trHeight w:val="208"/>
              </w:trPr>
              <w:tc>
                <w:tcPr>
                  <w:tcW w:w="4932" w:type="dxa"/>
                  <w:gridSpan w:val="2"/>
                  <w:tcBorders>
                    <w:top w:val="nil"/>
                    <w:left w:val="nil"/>
                    <w:bottom w:val="nil"/>
                    <w:right w:val="nil"/>
                  </w:tcBorders>
                  <w:shd w:val="clear" w:color="auto" w:fill="auto"/>
                  <w:noWrap/>
                  <w:hideMark/>
                </w:tcPr>
                <w:p w14:paraId="179444CD" w14:textId="77777777" w:rsidR="003B52DF" w:rsidRPr="00D26BF3" w:rsidRDefault="003B52DF" w:rsidP="003B52DF">
                  <w:pPr>
                    <w:spacing w:after="0" w:line="240" w:lineRule="auto"/>
                    <w:jc w:val="left"/>
                    <w:rPr>
                      <w:rFonts w:eastAsia="Times New Roman" w:cs="Times New Roman"/>
                      <w:color w:val="4472C4" w:themeColor="accent5"/>
                      <w:sz w:val="18"/>
                      <w:szCs w:val="20"/>
                      <w:lang w:eastAsia="sk-SK"/>
                    </w:rPr>
                  </w:pPr>
                  <w:r w:rsidRPr="00D26BF3">
                    <w:rPr>
                      <w:color w:val="4472C4" w:themeColor="accent5"/>
                      <w:sz w:val="18"/>
                      <w:szCs w:val="20"/>
                    </w:rPr>
                    <w:t>Ministerstvo financií SR</w:t>
                  </w:r>
                </w:p>
              </w:tc>
              <w:tc>
                <w:tcPr>
                  <w:tcW w:w="1757" w:type="dxa"/>
                  <w:tcBorders>
                    <w:top w:val="nil"/>
                    <w:left w:val="nil"/>
                    <w:bottom w:val="nil"/>
                    <w:right w:val="nil"/>
                  </w:tcBorders>
                </w:tcPr>
                <w:p w14:paraId="2E201935" w14:textId="77777777" w:rsidR="003B52DF" w:rsidRPr="00D26BF3" w:rsidRDefault="003B52DF" w:rsidP="003B52DF">
                  <w:pPr>
                    <w:spacing w:after="0" w:line="240" w:lineRule="auto"/>
                    <w:jc w:val="center"/>
                    <w:rPr>
                      <w:color w:val="4472C4" w:themeColor="accent5"/>
                      <w:sz w:val="18"/>
                      <w:szCs w:val="20"/>
                    </w:rPr>
                  </w:pPr>
                  <w:r>
                    <w:rPr>
                      <w:color w:val="4472C4" w:themeColor="accent5"/>
                      <w:sz w:val="18"/>
                      <w:szCs w:val="20"/>
                    </w:rPr>
                    <w:t>98 %</w:t>
                  </w:r>
                </w:p>
              </w:tc>
              <w:tc>
                <w:tcPr>
                  <w:tcW w:w="1997" w:type="dxa"/>
                  <w:tcBorders>
                    <w:top w:val="nil"/>
                    <w:left w:val="nil"/>
                    <w:bottom w:val="nil"/>
                    <w:right w:val="nil"/>
                  </w:tcBorders>
                  <w:shd w:val="clear" w:color="auto" w:fill="auto"/>
                  <w:noWrap/>
                  <w:hideMark/>
                </w:tcPr>
                <w:p w14:paraId="2073CA97" w14:textId="77777777" w:rsidR="003B52DF" w:rsidRPr="00D26BF3" w:rsidRDefault="003B52DF" w:rsidP="003B52DF">
                  <w:pPr>
                    <w:spacing w:after="0" w:line="240" w:lineRule="auto"/>
                    <w:jc w:val="center"/>
                    <w:rPr>
                      <w:rFonts w:eastAsia="Times New Roman" w:cs="Times New Roman"/>
                      <w:color w:val="4472C4" w:themeColor="accent5"/>
                      <w:sz w:val="18"/>
                      <w:szCs w:val="20"/>
                      <w:lang w:eastAsia="sk-SK"/>
                    </w:rPr>
                  </w:pPr>
                  <w:r w:rsidRPr="00D26BF3">
                    <w:rPr>
                      <w:color w:val="4472C4" w:themeColor="accent5"/>
                      <w:sz w:val="18"/>
                      <w:szCs w:val="20"/>
                    </w:rPr>
                    <w:t>1 884</w:t>
                  </w:r>
                </w:p>
              </w:tc>
            </w:tr>
            <w:tr w:rsidR="003B52DF" w:rsidRPr="00D26BF3" w14:paraId="3EDF0913" w14:textId="77777777" w:rsidTr="00963849">
              <w:trPr>
                <w:gridAfter w:val="1"/>
                <w:wAfter w:w="160" w:type="dxa"/>
                <w:trHeight w:val="208"/>
              </w:trPr>
              <w:tc>
                <w:tcPr>
                  <w:tcW w:w="4932" w:type="dxa"/>
                  <w:gridSpan w:val="2"/>
                  <w:tcBorders>
                    <w:top w:val="nil"/>
                    <w:left w:val="nil"/>
                    <w:bottom w:val="nil"/>
                    <w:right w:val="nil"/>
                  </w:tcBorders>
                  <w:shd w:val="clear" w:color="auto" w:fill="auto"/>
                  <w:noWrap/>
                  <w:hideMark/>
                </w:tcPr>
                <w:p w14:paraId="66388118" w14:textId="77777777" w:rsidR="003B52DF" w:rsidRPr="00D26BF3" w:rsidRDefault="003B52DF" w:rsidP="003B52DF">
                  <w:pPr>
                    <w:spacing w:after="0" w:line="240" w:lineRule="auto"/>
                    <w:jc w:val="left"/>
                    <w:rPr>
                      <w:rFonts w:eastAsia="Times New Roman" w:cs="Times New Roman"/>
                      <w:color w:val="4472C4" w:themeColor="accent5"/>
                      <w:sz w:val="18"/>
                      <w:szCs w:val="20"/>
                      <w:lang w:eastAsia="sk-SK"/>
                    </w:rPr>
                  </w:pPr>
                  <w:r w:rsidRPr="00D26BF3">
                    <w:rPr>
                      <w:color w:val="4472C4" w:themeColor="accent5"/>
                      <w:sz w:val="18"/>
                      <w:szCs w:val="20"/>
                    </w:rPr>
                    <w:t>Ministerstvo spravodlivosti SR</w:t>
                  </w:r>
                </w:p>
              </w:tc>
              <w:tc>
                <w:tcPr>
                  <w:tcW w:w="1757" w:type="dxa"/>
                  <w:tcBorders>
                    <w:top w:val="nil"/>
                    <w:left w:val="nil"/>
                    <w:bottom w:val="nil"/>
                    <w:right w:val="nil"/>
                  </w:tcBorders>
                </w:tcPr>
                <w:p w14:paraId="20BD71E1" w14:textId="77777777" w:rsidR="003B52DF" w:rsidRPr="00D26BF3" w:rsidRDefault="003B52DF" w:rsidP="003B52DF">
                  <w:pPr>
                    <w:spacing w:after="0" w:line="240" w:lineRule="auto"/>
                    <w:jc w:val="center"/>
                    <w:rPr>
                      <w:color w:val="4472C4" w:themeColor="accent5"/>
                      <w:sz w:val="18"/>
                      <w:szCs w:val="20"/>
                    </w:rPr>
                  </w:pPr>
                  <w:r>
                    <w:rPr>
                      <w:color w:val="4472C4" w:themeColor="accent5"/>
                      <w:sz w:val="18"/>
                      <w:szCs w:val="20"/>
                    </w:rPr>
                    <w:t>100 %</w:t>
                  </w:r>
                </w:p>
              </w:tc>
              <w:tc>
                <w:tcPr>
                  <w:tcW w:w="1997" w:type="dxa"/>
                  <w:tcBorders>
                    <w:top w:val="nil"/>
                    <w:left w:val="nil"/>
                    <w:bottom w:val="nil"/>
                    <w:right w:val="nil"/>
                  </w:tcBorders>
                  <w:shd w:val="clear" w:color="auto" w:fill="auto"/>
                  <w:noWrap/>
                  <w:hideMark/>
                </w:tcPr>
                <w:p w14:paraId="1EC67764" w14:textId="77777777" w:rsidR="003B52DF" w:rsidRPr="00D26BF3" w:rsidRDefault="003B52DF" w:rsidP="003B52DF">
                  <w:pPr>
                    <w:spacing w:after="0" w:line="240" w:lineRule="auto"/>
                    <w:jc w:val="center"/>
                    <w:rPr>
                      <w:rFonts w:eastAsia="Times New Roman" w:cs="Times New Roman"/>
                      <w:color w:val="4472C4" w:themeColor="accent5"/>
                      <w:sz w:val="18"/>
                      <w:szCs w:val="20"/>
                      <w:lang w:eastAsia="sk-SK"/>
                    </w:rPr>
                  </w:pPr>
                  <w:r w:rsidRPr="00D26BF3">
                    <w:rPr>
                      <w:color w:val="4472C4" w:themeColor="accent5"/>
                      <w:sz w:val="18"/>
                      <w:szCs w:val="20"/>
                    </w:rPr>
                    <w:t>1 845</w:t>
                  </w:r>
                </w:p>
              </w:tc>
            </w:tr>
            <w:tr w:rsidR="003B52DF" w:rsidRPr="00D26BF3" w14:paraId="2B5EC3F5" w14:textId="77777777" w:rsidTr="00963849">
              <w:trPr>
                <w:gridAfter w:val="1"/>
                <w:wAfter w:w="160" w:type="dxa"/>
                <w:trHeight w:val="208"/>
              </w:trPr>
              <w:tc>
                <w:tcPr>
                  <w:tcW w:w="4932" w:type="dxa"/>
                  <w:gridSpan w:val="2"/>
                  <w:tcBorders>
                    <w:top w:val="nil"/>
                    <w:left w:val="nil"/>
                    <w:bottom w:val="nil"/>
                    <w:right w:val="nil"/>
                  </w:tcBorders>
                  <w:shd w:val="clear" w:color="auto" w:fill="auto"/>
                  <w:noWrap/>
                  <w:hideMark/>
                </w:tcPr>
                <w:p w14:paraId="0D6BFE43" w14:textId="77777777" w:rsidR="003B52DF" w:rsidRPr="00D26BF3" w:rsidRDefault="003B52DF" w:rsidP="003B52DF">
                  <w:pPr>
                    <w:spacing w:after="0" w:line="240" w:lineRule="auto"/>
                    <w:jc w:val="left"/>
                    <w:rPr>
                      <w:rFonts w:eastAsia="Times New Roman" w:cs="Times New Roman"/>
                      <w:color w:val="4472C4" w:themeColor="accent5"/>
                      <w:sz w:val="18"/>
                      <w:szCs w:val="20"/>
                      <w:lang w:eastAsia="sk-SK"/>
                    </w:rPr>
                  </w:pPr>
                  <w:r w:rsidRPr="00D26BF3">
                    <w:rPr>
                      <w:color w:val="4472C4" w:themeColor="accent5"/>
                      <w:sz w:val="18"/>
                      <w:szCs w:val="20"/>
                    </w:rPr>
                    <w:t>Ministerstvo kultúry Slovenskej republiky</w:t>
                  </w:r>
                </w:p>
              </w:tc>
              <w:tc>
                <w:tcPr>
                  <w:tcW w:w="1757" w:type="dxa"/>
                  <w:tcBorders>
                    <w:top w:val="nil"/>
                    <w:left w:val="nil"/>
                    <w:bottom w:val="nil"/>
                    <w:right w:val="nil"/>
                  </w:tcBorders>
                </w:tcPr>
                <w:p w14:paraId="03061A73" w14:textId="77777777" w:rsidR="003B52DF" w:rsidRPr="00D26BF3" w:rsidRDefault="003B52DF" w:rsidP="003B52DF">
                  <w:pPr>
                    <w:spacing w:after="0" w:line="240" w:lineRule="auto"/>
                    <w:jc w:val="center"/>
                    <w:rPr>
                      <w:color w:val="4472C4" w:themeColor="accent5"/>
                      <w:sz w:val="18"/>
                      <w:szCs w:val="20"/>
                    </w:rPr>
                  </w:pPr>
                  <w:r>
                    <w:rPr>
                      <w:color w:val="4472C4" w:themeColor="accent5"/>
                      <w:sz w:val="18"/>
                      <w:szCs w:val="20"/>
                    </w:rPr>
                    <w:t>21 %</w:t>
                  </w:r>
                </w:p>
              </w:tc>
              <w:tc>
                <w:tcPr>
                  <w:tcW w:w="1997" w:type="dxa"/>
                  <w:tcBorders>
                    <w:top w:val="nil"/>
                    <w:left w:val="nil"/>
                    <w:bottom w:val="nil"/>
                    <w:right w:val="nil"/>
                  </w:tcBorders>
                  <w:shd w:val="clear" w:color="auto" w:fill="auto"/>
                  <w:noWrap/>
                  <w:hideMark/>
                </w:tcPr>
                <w:p w14:paraId="1C31538B" w14:textId="77777777" w:rsidR="003B52DF" w:rsidRPr="00D26BF3" w:rsidRDefault="003B52DF" w:rsidP="003B52DF">
                  <w:pPr>
                    <w:spacing w:after="0" w:line="240" w:lineRule="auto"/>
                    <w:jc w:val="center"/>
                    <w:rPr>
                      <w:rFonts w:eastAsia="Times New Roman" w:cs="Times New Roman"/>
                      <w:color w:val="4472C4" w:themeColor="accent5"/>
                      <w:sz w:val="18"/>
                      <w:szCs w:val="20"/>
                      <w:lang w:eastAsia="sk-SK"/>
                    </w:rPr>
                  </w:pPr>
                  <w:r w:rsidRPr="00D26BF3">
                    <w:rPr>
                      <w:color w:val="4472C4" w:themeColor="accent5"/>
                      <w:sz w:val="18"/>
                      <w:szCs w:val="20"/>
                    </w:rPr>
                    <w:t>1 836</w:t>
                  </w:r>
                </w:p>
              </w:tc>
            </w:tr>
            <w:tr w:rsidR="003B52DF" w:rsidRPr="00D26BF3" w14:paraId="0917148E" w14:textId="77777777" w:rsidTr="00963849">
              <w:trPr>
                <w:gridAfter w:val="1"/>
                <w:wAfter w:w="160" w:type="dxa"/>
                <w:trHeight w:val="208"/>
              </w:trPr>
              <w:tc>
                <w:tcPr>
                  <w:tcW w:w="4932" w:type="dxa"/>
                  <w:gridSpan w:val="2"/>
                  <w:tcBorders>
                    <w:top w:val="nil"/>
                    <w:left w:val="nil"/>
                    <w:bottom w:val="nil"/>
                    <w:right w:val="nil"/>
                  </w:tcBorders>
                  <w:shd w:val="clear" w:color="auto" w:fill="auto"/>
                  <w:noWrap/>
                  <w:hideMark/>
                </w:tcPr>
                <w:p w14:paraId="6D904AEB" w14:textId="77777777" w:rsidR="003B52DF" w:rsidRPr="00D26BF3" w:rsidRDefault="003B52DF" w:rsidP="003B52DF">
                  <w:pPr>
                    <w:spacing w:after="0" w:line="240" w:lineRule="auto"/>
                    <w:jc w:val="left"/>
                    <w:rPr>
                      <w:rFonts w:eastAsia="Times New Roman" w:cs="Times New Roman"/>
                      <w:color w:val="4472C4" w:themeColor="accent5"/>
                      <w:sz w:val="18"/>
                      <w:szCs w:val="20"/>
                      <w:lang w:eastAsia="sk-SK"/>
                    </w:rPr>
                  </w:pPr>
                  <w:r w:rsidRPr="00D26BF3">
                    <w:rPr>
                      <w:color w:val="4472C4" w:themeColor="accent5"/>
                      <w:sz w:val="18"/>
                      <w:szCs w:val="20"/>
                    </w:rPr>
                    <w:t>Ministerstvo školstva, vedy, výskumu a športu Slovenskej republiky</w:t>
                  </w:r>
                </w:p>
              </w:tc>
              <w:tc>
                <w:tcPr>
                  <w:tcW w:w="1757" w:type="dxa"/>
                  <w:tcBorders>
                    <w:top w:val="nil"/>
                    <w:left w:val="nil"/>
                    <w:bottom w:val="nil"/>
                    <w:right w:val="nil"/>
                  </w:tcBorders>
                </w:tcPr>
                <w:p w14:paraId="53970D0F" w14:textId="77777777" w:rsidR="003B52DF" w:rsidRPr="00D26BF3" w:rsidRDefault="003B52DF" w:rsidP="003B52DF">
                  <w:pPr>
                    <w:spacing w:after="0" w:line="240" w:lineRule="auto"/>
                    <w:jc w:val="center"/>
                    <w:rPr>
                      <w:color w:val="4472C4" w:themeColor="accent5"/>
                      <w:sz w:val="18"/>
                      <w:szCs w:val="20"/>
                    </w:rPr>
                  </w:pPr>
                  <w:r>
                    <w:rPr>
                      <w:color w:val="4472C4" w:themeColor="accent5"/>
                      <w:sz w:val="18"/>
                      <w:szCs w:val="20"/>
                    </w:rPr>
                    <w:t>97 %</w:t>
                  </w:r>
                </w:p>
              </w:tc>
              <w:tc>
                <w:tcPr>
                  <w:tcW w:w="1997" w:type="dxa"/>
                  <w:tcBorders>
                    <w:top w:val="nil"/>
                    <w:left w:val="nil"/>
                    <w:bottom w:val="nil"/>
                    <w:right w:val="nil"/>
                  </w:tcBorders>
                  <w:shd w:val="clear" w:color="auto" w:fill="auto"/>
                  <w:noWrap/>
                  <w:hideMark/>
                </w:tcPr>
                <w:p w14:paraId="64DCE3AB" w14:textId="77777777" w:rsidR="003B52DF" w:rsidRPr="00D26BF3" w:rsidRDefault="003B52DF" w:rsidP="003B52DF">
                  <w:pPr>
                    <w:spacing w:after="0" w:line="240" w:lineRule="auto"/>
                    <w:jc w:val="center"/>
                    <w:rPr>
                      <w:rFonts w:eastAsia="Times New Roman" w:cs="Times New Roman"/>
                      <w:color w:val="4472C4" w:themeColor="accent5"/>
                      <w:sz w:val="18"/>
                      <w:szCs w:val="20"/>
                      <w:lang w:eastAsia="sk-SK"/>
                    </w:rPr>
                  </w:pPr>
                  <w:r w:rsidRPr="00D26BF3">
                    <w:rPr>
                      <w:color w:val="4472C4" w:themeColor="accent5"/>
                      <w:sz w:val="18"/>
                      <w:szCs w:val="20"/>
                    </w:rPr>
                    <w:t>1 264</w:t>
                  </w:r>
                </w:p>
              </w:tc>
            </w:tr>
            <w:tr w:rsidR="003B52DF" w:rsidRPr="00D26BF3" w14:paraId="3D319DCF" w14:textId="77777777" w:rsidTr="00963849">
              <w:trPr>
                <w:gridAfter w:val="1"/>
                <w:wAfter w:w="160" w:type="dxa"/>
                <w:trHeight w:val="208"/>
              </w:trPr>
              <w:tc>
                <w:tcPr>
                  <w:tcW w:w="4932" w:type="dxa"/>
                  <w:gridSpan w:val="2"/>
                  <w:tcBorders>
                    <w:top w:val="nil"/>
                    <w:left w:val="nil"/>
                    <w:bottom w:val="nil"/>
                    <w:right w:val="nil"/>
                  </w:tcBorders>
                  <w:shd w:val="clear" w:color="auto" w:fill="auto"/>
                  <w:noWrap/>
                  <w:hideMark/>
                </w:tcPr>
                <w:p w14:paraId="557C419C" w14:textId="77777777" w:rsidR="003B52DF" w:rsidRPr="00D26BF3" w:rsidRDefault="003B52DF" w:rsidP="003B52DF">
                  <w:pPr>
                    <w:spacing w:after="0" w:line="240" w:lineRule="auto"/>
                    <w:jc w:val="left"/>
                    <w:rPr>
                      <w:rFonts w:eastAsia="Times New Roman" w:cs="Times New Roman"/>
                      <w:color w:val="4472C4" w:themeColor="accent5"/>
                      <w:sz w:val="18"/>
                      <w:szCs w:val="20"/>
                      <w:lang w:eastAsia="sk-SK"/>
                    </w:rPr>
                  </w:pPr>
                  <w:r w:rsidRPr="00D26BF3">
                    <w:rPr>
                      <w:color w:val="4472C4" w:themeColor="accent5"/>
                      <w:sz w:val="18"/>
                      <w:szCs w:val="20"/>
                    </w:rPr>
                    <w:t>Ministerstvo dopravy a výstavby Slovenskej Republiky</w:t>
                  </w:r>
                </w:p>
              </w:tc>
              <w:tc>
                <w:tcPr>
                  <w:tcW w:w="1757" w:type="dxa"/>
                  <w:tcBorders>
                    <w:top w:val="nil"/>
                    <w:left w:val="nil"/>
                    <w:bottom w:val="nil"/>
                    <w:right w:val="nil"/>
                  </w:tcBorders>
                </w:tcPr>
                <w:p w14:paraId="1AEDD617" w14:textId="77777777" w:rsidR="003B52DF" w:rsidRPr="00D26BF3" w:rsidRDefault="003B52DF" w:rsidP="003B52DF">
                  <w:pPr>
                    <w:spacing w:after="0" w:line="240" w:lineRule="auto"/>
                    <w:jc w:val="center"/>
                    <w:rPr>
                      <w:color w:val="4472C4" w:themeColor="accent5"/>
                      <w:sz w:val="18"/>
                      <w:szCs w:val="20"/>
                    </w:rPr>
                  </w:pPr>
                  <w:r>
                    <w:rPr>
                      <w:color w:val="4472C4" w:themeColor="accent5"/>
                      <w:sz w:val="18"/>
                      <w:szCs w:val="20"/>
                    </w:rPr>
                    <w:t>62 %</w:t>
                  </w:r>
                </w:p>
              </w:tc>
              <w:tc>
                <w:tcPr>
                  <w:tcW w:w="1997" w:type="dxa"/>
                  <w:tcBorders>
                    <w:top w:val="nil"/>
                    <w:left w:val="nil"/>
                    <w:bottom w:val="nil"/>
                    <w:right w:val="nil"/>
                  </w:tcBorders>
                  <w:shd w:val="clear" w:color="auto" w:fill="auto"/>
                  <w:noWrap/>
                  <w:hideMark/>
                </w:tcPr>
                <w:p w14:paraId="313AF0B8" w14:textId="77777777" w:rsidR="003B52DF" w:rsidRPr="00D26BF3" w:rsidRDefault="003B52DF" w:rsidP="003B52DF">
                  <w:pPr>
                    <w:spacing w:after="0" w:line="240" w:lineRule="auto"/>
                    <w:jc w:val="center"/>
                    <w:rPr>
                      <w:rFonts w:eastAsia="Times New Roman" w:cs="Times New Roman"/>
                      <w:color w:val="4472C4" w:themeColor="accent5"/>
                      <w:sz w:val="18"/>
                      <w:szCs w:val="20"/>
                      <w:lang w:eastAsia="sk-SK"/>
                    </w:rPr>
                  </w:pPr>
                  <w:r w:rsidRPr="00D26BF3">
                    <w:rPr>
                      <w:color w:val="4472C4" w:themeColor="accent5"/>
                      <w:sz w:val="18"/>
                      <w:szCs w:val="20"/>
                    </w:rPr>
                    <w:t>1 187</w:t>
                  </w:r>
                </w:p>
              </w:tc>
            </w:tr>
            <w:tr w:rsidR="003B52DF" w:rsidRPr="00D26BF3" w14:paraId="44AC411B" w14:textId="77777777" w:rsidTr="00963849">
              <w:trPr>
                <w:gridAfter w:val="1"/>
                <w:wAfter w:w="160" w:type="dxa"/>
                <w:trHeight w:val="208"/>
              </w:trPr>
              <w:tc>
                <w:tcPr>
                  <w:tcW w:w="4932" w:type="dxa"/>
                  <w:gridSpan w:val="2"/>
                  <w:tcBorders>
                    <w:top w:val="nil"/>
                    <w:left w:val="nil"/>
                    <w:bottom w:val="nil"/>
                    <w:right w:val="nil"/>
                  </w:tcBorders>
                  <w:shd w:val="clear" w:color="auto" w:fill="auto"/>
                  <w:noWrap/>
                  <w:hideMark/>
                </w:tcPr>
                <w:p w14:paraId="337FD54F" w14:textId="77777777" w:rsidR="003B52DF" w:rsidRPr="00D26BF3" w:rsidRDefault="003B52DF" w:rsidP="003B52DF">
                  <w:pPr>
                    <w:spacing w:after="0" w:line="240" w:lineRule="auto"/>
                    <w:jc w:val="left"/>
                    <w:rPr>
                      <w:rFonts w:eastAsia="Times New Roman" w:cs="Times New Roman"/>
                      <w:color w:val="4472C4" w:themeColor="accent5"/>
                      <w:sz w:val="18"/>
                      <w:szCs w:val="20"/>
                      <w:lang w:eastAsia="sk-SK"/>
                    </w:rPr>
                  </w:pPr>
                  <w:r w:rsidRPr="00D26BF3">
                    <w:rPr>
                      <w:color w:val="4472C4" w:themeColor="accent5"/>
                      <w:sz w:val="18"/>
                      <w:szCs w:val="20"/>
                    </w:rPr>
                    <w:t>Úrad vlády SR</w:t>
                  </w:r>
                </w:p>
              </w:tc>
              <w:tc>
                <w:tcPr>
                  <w:tcW w:w="1757" w:type="dxa"/>
                  <w:tcBorders>
                    <w:top w:val="nil"/>
                    <w:left w:val="nil"/>
                    <w:bottom w:val="nil"/>
                    <w:right w:val="nil"/>
                  </w:tcBorders>
                </w:tcPr>
                <w:p w14:paraId="4A26F9A3" w14:textId="77777777" w:rsidR="003B52DF" w:rsidRPr="00D26BF3" w:rsidRDefault="003B52DF" w:rsidP="003B52DF">
                  <w:pPr>
                    <w:spacing w:after="0" w:line="240" w:lineRule="auto"/>
                    <w:jc w:val="center"/>
                    <w:rPr>
                      <w:color w:val="4472C4" w:themeColor="accent5"/>
                      <w:sz w:val="18"/>
                      <w:szCs w:val="20"/>
                    </w:rPr>
                  </w:pPr>
                  <w:r>
                    <w:rPr>
                      <w:color w:val="4472C4" w:themeColor="accent5"/>
                      <w:sz w:val="18"/>
                      <w:szCs w:val="20"/>
                    </w:rPr>
                    <w:t>99 %</w:t>
                  </w:r>
                </w:p>
              </w:tc>
              <w:tc>
                <w:tcPr>
                  <w:tcW w:w="1997" w:type="dxa"/>
                  <w:tcBorders>
                    <w:top w:val="nil"/>
                    <w:left w:val="nil"/>
                    <w:bottom w:val="nil"/>
                    <w:right w:val="nil"/>
                  </w:tcBorders>
                  <w:shd w:val="clear" w:color="auto" w:fill="auto"/>
                  <w:noWrap/>
                  <w:hideMark/>
                </w:tcPr>
                <w:p w14:paraId="5443B60F" w14:textId="77777777" w:rsidR="003B52DF" w:rsidRPr="00D26BF3" w:rsidRDefault="003B52DF" w:rsidP="003B52DF">
                  <w:pPr>
                    <w:spacing w:after="0" w:line="240" w:lineRule="auto"/>
                    <w:jc w:val="center"/>
                    <w:rPr>
                      <w:rFonts w:eastAsia="Times New Roman" w:cs="Times New Roman"/>
                      <w:color w:val="4472C4" w:themeColor="accent5"/>
                      <w:sz w:val="18"/>
                      <w:szCs w:val="20"/>
                      <w:lang w:eastAsia="sk-SK"/>
                    </w:rPr>
                  </w:pPr>
                  <w:r w:rsidRPr="00D26BF3">
                    <w:rPr>
                      <w:color w:val="4472C4" w:themeColor="accent5"/>
                      <w:sz w:val="18"/>
                      <w:szCs w:val="20"/>
                    </w:rPr>
                    <w:t>599</w:t>
                  </w:r>
                </w:p>
              </w:tc>
            </w:tr>
            <w:tr w:rsidR="003B52DF" w:rsidRPr="00D26BF3" w14:paraId="5DBA6D73" w14:textId="77777777" w:rsidTr="00963849">
              <w:trPr>
                <w:gridAfter w:val="1"/>
                <w:wAfter w:w="160" w:type="dxa"/>
                <w:trHeight w:val="208"/>
              </w:trPr>
              <w:tc>
                <w:tcPr>
                  <w:tcW w:w="4932" w:type="dxa"/>
                  <w:gridSpan w:val="2"/>
                  <w:tcBorders>
                    <w:top w:val="nil"/>
                    <w:left w:val="nil"/>
                    <w:right w:val="nil"/>
                  </w:tcBorders>
                  <w:shd w:val="clear" w:color="auto" w:fill="auto"/>
                  <w:noWrap/>
                  <w:hideMark/>
                </w:tcPr>
                <w:p w14:paraId="1F4A729E" w14:textId="77777777" w:rsidR="003B52DF" w:rsidRPr="00D26BF3" w:rsidRDefault="003B52DF" w:rsidP="003B52DF">
                  <w:pPr>
                    <w:spacing w:after="0" w:line="240" w:lineRule="auto"/>
                    <w:jc w:val="left"/>
                    <w:rPr>
                      <w:rFonts w:eastAsia="Times New Roman" w:cs="Times New Roman"/>
                      <w:color w:val="4472C4" w:themeColor="accent5"/>
                      <w:sz w:val="18"/>
                      <w:szCs w:val="20"/>
                      <w:lang w:eastAsia="sk-SK"/>
                    </w:rPr>
                  </w:pPr>
                  <w:r w:rsidRPr="00D26BF3">
                    <w:rPr>
                      <w:color w:val="4472C4" w:themeColor="accent5"/>
                      <w:sz w:val="18"/>
                      <w:szCs w:val="20"/>
                    </w:rPr>
                    <w:t>Ministerstvo pôdohospodárstva a rozvoja vidieka Slovenskej republiky</w:t>
                  </w:r>
                </w:p>
              </w:tc>
              <w:tc>
                <w:tcPr>
                  <w:tcW w:w="1757" w:type="dxa"/>
                  <w:tcBorders>
                    <w:top w:val="nil"/>
                    <w:left w:val="nil"/>
                    <w:right w:val="nil"/>
                  </w:tcBorders>
                </w:tcPr>
                <w:p w14:paraId="061BC7A8" w14:textId="77777777" w:rsidR="003B52DF" w:rsidRPr="00D26BF3" w:rsidRDefault="003B52DF" w:rsidP="003B52DF">
                  <w:pPr>
                    <w:spacing w:after="0" w:line="240" w:lineRule="auto"/>
                    <w:jc w:val="center"/>
                    <w:rPr>
                      <w:color w:val="4472C4" w:themeColor="accent5"/>
                      <w:sz w:val="18"/>
                      <w:szCs w:val="20"/>
                    </w:rPr>
                  </w:pPr>
                  <w:r>
                    <w:rPr>
                      <w:color w:val="4472C4" w:themeColor="accent5"/>
                      <w:sz w:val="18"/>
                      <w:szCs w:val="20"/>
                    </w:rPr>
                    <w:t>94 %</w:t>
                  </w:r>
                </w:p>
              </w:tc>
              <w:tc>
                <w:tcPr>
                  <w:tcW w:w="1997" w:type="dxa"/>
                  <w:tcBorders>
                    <w:top w:val="nil"/>
                    <w:left w:val="nil"/>
                    <w:right w:val="nil"/>
                  </w:tcBorders>
                  <w:shd w:val="clear" w:color="auto" w:fill="auto"/>
                  <w:noWrap/>
                  <w:hideMark/>
                </w:tcPr>
                <w:p w14:paraId="72C72A9B" w14:textId="77777777" w:rsidR="003B52DF" w:rsidRPr="00D26BF3" w:rsidRDefault="003B52DF" w:rsidP="003B52DF">
                  <w:pPr>
                    <w:spacing w:after="0" w:line="240" w:lineRule="auto"/>
                    <w:jc w:val="center"/>
                    <w:rPr>
                      <w:rFonts w:eastAsia="Times New Roman" w:cs="Times New Roman"/>
                      <w:color w:val="4472C4" w:themeColor="accent5"/>
                      <w:sz w:val="18"/>
                      <w:szCs w:val="20"/>
                      <w:lang w:eastAsia="sk-SK"/>
                    </w:rPr>
                  </w:pPr>
                  <w:r w:rsidRPr="00D26BF3">
                    <w:rPr>
                      <w:color w:val="4472C4" w:themeColor="accent5"/>
                      <w:sz w:val="18"/>
                      <w:szCs w:val="20"/>
                    </w:rPr>
                    <w:t>281</w:t>
                  </w:r>
                </w:p>
              </w:tc>
            </w:tr>
            <w:tr w:rsidR="003B52DF" w:rsidRPr="00D26BF3" w14:paraId="19DC31F6" w14:textId="77777777" w:rsidTr="00963849">
              <w:trPr>
                <w:gridAfter w:val="1"/>
                <w:wAfter w:w="160" w:type="dxa"/>
                <w:trHeight w:val="208"/>
              </w:trPr>
              <w:tc>
                <w:tcPr>
                  <w:tcW w:w="4932" w:type="dxa"/>
                  <w:gridSpan w:val="2"/>
                  <w:tcBorders>
                    <w:top w:val="nil"/>
                    <w:left w:val="nil"/>
                    <w:bottom w:val="single" w:sz="4" w:space="0" w:color="4472C4" w:themeColor="accent5"/>
                    <w:right w:val="nil"/>
                  </w:tcBorders>
                  <w:shd w:val="clear" w:color="auto" w:fill="auto"/>
                  <w:noWrap/>
                  <w:hideMark/>
                </w:tcPr>
                <w:p w14:paraId="5405B968" w14:textId="77777777" w:rsidR="003B52DF" w:rsidRPr="00D26BF3" w:rsidRDefault="003B52DF" w:rsidP="003B52DF">
                  <w:pPr>
                    <w:spacing w:after="0" w:line="240" w:lineRule="auto"/>
                    <w:jc w:val="left"/>
                    <w:rPr>
                      <w:rFonts w:eastAsia="Times New Roman" w:cs="Times New Roman"/>
                      <w:color w:val="4472C4" w:themeColor="accent5"/>
                      <w:sz w:val="18"/>
                      <w:szCs w:val="20"/>
                      <w:lang w:eastAsia="sk-SK"/>
                    </w:rPr>
                  </w:pPr>
                  <w:r w:rsidRPr="00D26BF3">
                    <w:rPr>
                      <w:color w:val="4472C4" w:themeColor="accent5"/>
                      <w:sz w:val="18"/>
                      <w:szCs w:val="20"/>
                    </w:rPr>
                    <w:t>Ministerstvo hospodárstva Slovenskej republiky</w:t>
                  </w:r>
                </w:p>
              </w:tc>
              <w:tc>
                <w:tcPr>
                  <w:tcW w:w="1757" w:type="dxa"/>
                  <w:tcBorders>
                    <w:top w:val="nil"/>
                    <w:left w:val="nil"/>
                    <w:bottom w:val="single" w:sz="4" w:space="0" w:color="4472C4" w:themeColor="accent5"/>
                    <w:right w:val="nil"/>
                  </w:tcBorders>
                </w:tcPr>
                <w:p w14:paraId="7AA6A272" w14:textId="77777777" w:rsidR="003B52DF" w:rsidRPr="00D26BF3" w:rsidRDefault="003B52DF" w:rsidP="003B52DF">
                  <w:pPr>
                    <w:spacing w:after="0" w:line="240" w:lineRule="auto"/>
                    <w:jc w:val="center"/>
                    <w:rPr>
                      <w:color w:val="4472C4" w:themeColor="accent5"/>
                      <w:sz w:val="18"/>
                      <w:szCs w:val="20"/>
                    </w:rPr>
                  </w:pPr>
                  <w:r>
                    <w:rPr>
                      <w:color w:val="4472C4" w:themeColor="accent5"/>
                      <w:sz w:val="18"/>
                      <w:szCs w:val="20"/>
                    </w:rPr>
                    <w:t>85 %</w:t>
                  </w:r>
                </w:p>
              </w:tc>
              <w:tc>
                <w:tcPr>
                  <w:tcW w:w="1997" w:type="dxa"/>
                  <w:tcBorders>
                    <w:top w:val="nil"/>
                    <w:left w:val="nil"/>
                    <w:bottom w:val="single" w:sz="4" w:space="0" w:color="4472C4" w:themeColor="accent5"/>
                    <w:right w:val="nil"/>
                  </w:tcBorders>
                  <w:shd w:val="clear" w:color="auto" w:fill="auto"/>
                  <w:noWrap/>
                  <w:hideMark/>
                </w:tcPr>
                <w:p w14:paraId="65B2DD2F" w14:textId="77777777" w:rsidR="003B52DF" w:rsidRPr="00D26BF3" w:rsidRDefault="003B52DF" w:rsidP="003B52DF">
                  <w:pPr>
                    <w:spacing w:after="0" w:line="240" w:lineRule="auto"/>
                    <w:jc w:val="center"/>
                    <w:rPr>
                      <w:rFonts w:eastAsia="Times New Roman" w:cs="Times New Roman"/>
                      <w:color w:val="4472C4" w:themeColor="accent5"/>
                      <w:sz w:val="18"/>
                      <w:szCs w:val="20"/>
                      <w:lang w:eastAsia="sk-SK"/>
                    </w:rPr>
                  </w:pPr>
                  <w:r w:rsidRPr="00D26BF3">
                    <w:rPr>
                      <w:color w:val="4472C4" w:themeColor="accent5"/>
                      <w:sz w:val="18"/>
                      <w:szCs w:val="20"/>
                    </w:rPr>
                    <w:t>136</w:t>
                  </w:r>
                </w:p>
              </w:tc>
            </w:tr>
            <w:tr w:rsidR="003B52DF" w:rsidRPr="00D26BF3" w14:paraId="5D4FDC1E" w14:textId="77777777" w:rsidTr="00963849">
              <w:trPr>
                <w:trHeight w:val="188"/>
              </w:trPr>
              <w:tc>
                <w:tcPr>
                  <w:tcW w:w="1996" w:type="dxa"/>
                  <w:tcBorders>
                    <w:top w:val="single" w:sz="4" w:space="0" w:color="4472C4" w:themeColor="accent5"/>
                    <w:left w:val="nil"/>
                    <w:bottom w:val="nil"/>
                    <w:right w:val="nil"/>
                  </w:tcBorders>
                </w:tcPr>
                <w:p w14:paraId="2F7574B3" w14:textId="77777777" w:rsidR="003B52DF" w:rsidRPr="00D26BF3" w:rsidRDefault="003B52DF" w:rsidP="003B52DF">
                  <w:pPr>
                    <w:spacing w:after="0" w:line="240" w:lineRule="auto"/>
                    <w:jc w:val="right"/>
                    <w:rPr>
                      <w:rFonts w:eastAsia="Times New Roman" w:cs="Times New Roman"/>
                      <w:i/>
                      <w:iCs/>
                      <w:color w:val="4472C4" w:themeColor="accent5"/>
                      <w:sz w:val="18"/>
                      <w:szCs w:val="20"/>
                      <w:lang w:eastAsia="sk-SK"/>
                    </w:rPr>
                  </w:pPr>
                </w:p>
              </w:tc>
              <w:tc>
                <w:tcPr>
                  <w:tcW w:w="6850" w:type="dxa"/>
                  <w:gridSpan w:val="4"/>
                  <w:tcBorders>
                    <w:top w:val="single" w:sz="4" w:space="0" w:color="4472C4" w:themeColor="accent5"/>
                    <w:left w:val="nil"/>
                    <w:bottom w:val="nil"/>
                    <w:right w:val="nil"/>
                  </w:tcBorders>
                  <w:shd w:val="clear" w:color="auto" w:fill="auto"/>
                  <w:noWrap/>
                  <w:hideMark/>
                </w:tcPr>
                <w:p w14:paraId="480AB1B2" w14:textId="77777777" w:rsidR="003B52DF" w:rsidRPr="00D26BF3" w:rsidRDefault="003B52DF" w:rsidP="003B52DF">
                  <w:pPr>
                    <w:spacing w:after="0" w:line="240" w:lineRule="auto"/>
                    <w:jc w:val="right"/>
                    <w:rPr>
                      <w:rFonts w:eastAsia="Times New Roman" w:cs="Times New Roman"/>
                      <w:i/>
                      <w:iCs/>
                      <w:color w:val="4472C4" w:themeColor="accent5"/>
                      <w:sz w:val="18"/>
                      <w:szCs w:val="20"/>
                      <w:lang w:eastAsia="sk-SK"/>
                    </w:rPr>
                  </w:pPr>
                  <w:r w:rsidRPr="00D26BF3">
                    <w:rPr>
                      <w:rFonts w:eastAsia="Times New Roman" w:cs="Times New Roman"/>
                      <w:i/>
                      <w:iCs/>
                      <w:color w:val="4472C4" w:themeColor="accent5"/>
                      <w:sz w:val="18"/>
                      <w:szCs w:val="20"/>
                      <w:lang w:eastAsia="sk-SK"/>
                    </w:rPr>
                    <w:t>Zdroj: RIS, Spracovanie ÚHP</w:t>
                  </w:r>
                </w:p>
              </w:tc>
            </w:tr>
          </w:tbl>
          <w:p w14:paraId="5BBC5EA9" w14:textId="77777777" w:rsidR="00812391" w:rsidRPr="008C5034" w:rsidRDefault="00202C74">
            <w:pPr>
              <w:spacing w:before="120" w:after="120"/>
              <w:rPr>
                <w:color w:val="4472C4" w:themeColor="accent5"/>
                <w:sz w:val="20"/>
              </w:rPr>
            </w:pPr>
            <w:r>
              <w:rPr>
                <w:color w:val="4472C4" w:themeColor="accent5"/>
                <w:sz w:val="20"/>
              </w:rPr>
              <w:t xml:space="preserve">Bez definovania štandardného pracovného miesta nie je možné povedať, aká úroveň nákladov na zamestnanca je vhodná referenčná úroveň. </w:t>
            </w:r>
            <w:r w:rsidR="00AB6C6F">
              <w:rPr>
                <w:color w:val="4472C4" w:themeColor="accent5"/>
                <w:sz w:val="20"/>
              </w:rPr>
              <w:t xml:space="preserve">Stanovením </w:t>
            </w:r>
            <w:r w:rsidR="00C319E4">
              <w:rPr>
                <w:color w:val="4472C4" w:themeColor="accent5"/>
                <w:sz w:val="20"/>
              </w:rPr>
              <w:t xml:space="preserve">maximálnej výšky výdavkov na </w:t>
            </w:r>
            <w:r w:rsidR="00C319E4" w:rsidRPr="00C319E4">
              <w:rPr>
                <w:color w:val="4472C4" w:themeColor="accent5"/>
                <w:sz w:val="20"/>
              </w:rPr>
              <w:t xml:space="preserve">nákup a prevádzku podpornej infraštruktúry </w:t>
            </w:r>
            <w:r w:rsidR="00C319E4">
              <w:rPr>
                <w:color w:val="4472C4" w:themeColor="accent5"/>
                <w:sz w:val="20"/>
              </w:rPr>
              <w:t xml:space="preserve">na zamestnanca na úroveň priemeru uvedených úradov by bolo možné </w:t>
            </w:r>
            <w:r w:rsidR="00AB6C6F">
              <w:rPr>
                <w:color w:val="4472C4" w:themeColor="accent5"/>
                <w:sz w:val="20"/>
              </w:rPr>
              <w:t>identifikovať potenciál zníženia nákladov o</w:t>
            </w:r>
            <w:r w:rsidR="00C319E4">
              <w:rPr>
                <w:color w:val="4472C4" w:themeColor="accent5"/>
                <w:sz w:val="20"/>
              </w:rPr>
              <w:t xml:space="preserve"> 1,2 mil. eur. Stanovením maximálnej výšky na úroveň 3 úradov s najnižšími výdavkami </w:t>
            </w:r>
            <w:r w:rsidR="00AB6C6F">
              <w:rPr>
                <w:color w:val="4472C4" w:themeColor="accent5"/>
                <w:sz w:val="20"/>
              </w:rPr>
              <w:t>potenciál narastie na</w:t>
            </w:r>
            <w:r w:rsidR="00C319E4">
              <w:rPr>
                <w:color w:val="4472C4" w:themeColor="accent5"/>
                <w:sz w:val="20"/>
              </w:rPr>
              <w:t xml:space="preserve"> 3,0 mil. eur.    </w:t>
            </w:r>
          </w:p>
        </w:tc>
      </w:tr>
    </w:tbl>
    <w:p w14:paraId="60942C70" w14:textId="77777777" w:rsidR="00BB639B" w:rsidRPr="008C5034" w:rsidRDefault="00BB639B" w:rsidP="00EF3255">
      <w:pPr>
        <w:pStyle w:val="Odsekzoznamu"/>
        <w:numPr>
          <w:ilvl w:val="0"/>
          <w:numId w:val="16"/>
        </w:numPr>
        <w:spacing w:before="120" w:after="120"/>
      </w:pPr>
      <w:r>
        <w:rPr>
          <w:b/>
        </w:rPr>
        <w:t xml:space="preserve">Opatrenie: </w:t>
      </w:r>
      <w:r w:rsidR="00EF3255" w:rsidRPr="00EF3255">
        <w:rPr>
          <w:b/>
        </w:rPr>
        <w:t>Centralizovať nákup softvérových licencií.</w:t>
      </w:r>
    </w:p>
    <w:p w14:paraId="2F79A173" w14:textId="77777777" w:rsidR="00440409" w:rsidRPr="00BB639B" w:rsidRDefault="00440409" w:rsidP="00EF3255">
      <w:pPr>
        <w:pStyle w:val="Odsekzoznamu"/>
        <w:numPr>
          <w:ilvl w:val="0"/>
          <w:numId w:val="16"/>
        </w:numPr>
        <w:spacing w:before="120" w:after="120"/>
      </w:pPr>
      <w:r>
        <w:rPr>
          <w:b/>
        </w:rPr>
        <w:t xml:space="preserve">Opatrenie: </w:t>
      </w:r>
      <w:r w:rsidR="00EF3255" w:rsidRPr="00EF3255">
        <w:rPr>
          <w:b/>
        </w:rPr>
        <w:t>Audit licenčných a nákupných modelov softvéru a vytvorenie pravidiel ich použitia.</w:t>
      </w:r>
    </w:p>
    <w:p w14:paraId="68338DAB" w14:textId="77777777" w:rsidR="00406BCA" w:rsidRDefault="00BB639B" w:rsidP="00EF3255">
      <w:pPr>
        <w:pStyle w:val="Odsekzoznamu"/>
        <w:numPr>
          <w:ilvl w:val="0"/>
          <w:numId w:val="16"/>
        </w:numPr>
        <w:rPr>
          <w:b/>
        </w:rPr>
      </w:pPr>
      <w:r>
        <w:rPr>
          <w:b/>
        </w:rPr>
        <w:t xml:space="preserve">Opatrenie: </w:t>
      </w:r>
      <w:r w:rsidR="00EF3255" w:rsidRPr="00EF3255">
        <w:rPr>
          <w:b/>
        </w:rPr>
        <w:t>Vytvoriť mechanizmus na efektívne riadenie spotreby licencií.</w:t>
      </w:r>
    </w:p>
    <w:p w14:paraId="5C7A4109" w14:textId="77777777" w:rsidR="0072272F" w:rsidRPr="00765192" w:rsidRDefault="0072272F" w:rsidP="0072272F">
      <w:pPr>
        <w:pStyle w:val="Nadpis3"/>
        <w:numPr>
          <w:ilvl w:val="1"/>
          <w:numId w:val="1"/>
        </w:numPr>
        <w:spacing w:before="120" w:after="120"/>
      </w:pPr>
      <w:bookmarkStart w:id="151" w:name="_Toc35602786"/>
      <w:r w:rsidRPr="00765192">
        <w:t xml:space="preserve">Centralizácia podporných </w:t>
      </w:r>
      <w:r>
        <w:t xml:space="preserve">IT </w:t>
      </w:r>
      <w:r w:rsidRPr="00765192">
        <w:t>činností</w:t>
      </w:r>
      <w:bookmarkEnd w:id="151"/>
    </w:p>
    <w:p w14:paraId="591DEF5A" w14:textId="77777777" w:rsidR="0072272F" w:rsidRDefault="0072272F" w:rsidP="0072272F">
      <w:r>
        <w:rPr>
          <w:b/>
        </w:rPr>
        <w:t>Revízia výdavkov zamestnanosti a odmeňovania vo verejnej správe identifikovala priestor na zníženie nákladov na poskytovanie podporných IT činností ich centralizáciou a optimalizáciou o 1,6-3,0 mil. eur</w:t>
      </w:r>
      <w:r>
        <w:rPr>
          <w:rStyle w:val="Odkaznapoznmkupodiarou"/>
          <w:b/>
        </w:rPr>
        <w:footnoteReference w:id="42"/>
      </w:r>
      <w:r>
        <w:rPr>
          <w:b/>
        </w:rPr>
        <w:t xml:space="preserve">. </w:t>
      </w:r>
      <w:r>
        <w:t>Prepočítané r</w:t>
      </w:r>
      <w:r w:rsidRPr="00233F9E">
        <w:t>očné náklady na zabezpečenie prevádzkových IT podporných činností sa v závislosti od úradu pohybujú v</w:t>
      </w:r>
      <w:r w:rsidRPr="00765192">
        <w:t> rozsahu 541 – 2</w:t>
      </w:r>
      <w:r>
        <w:t xml:space="preserve"> </w:t>
      </w:r>
      <w:r w:rsidRPr="00765192">
        <w:t>409 eur na zamestnanca.</w:t>
      </w:r>
      <w:r>
        <w:t xml:space="preserve"> </w:t>
      </w:r>
      <w:r w:rsidRPr="00BD3900">
        <w:t>Vysoká variabilita výdavkov na podporné a prierezové činnosti a ich podobnosť naprieč organizáciami poukazujú na potenciál optimalizácie nákladov na zabezpečenie týchto služieb.</w:t>
      </w:r>
      <w:r>
        <w:t xml:space="preserve"> </w:t>
      </w:r>
    </w:p>
    <w:p w14:paraId="6C743DEA" w14:textId="77777777" w:rsidR="0072272F" w:rsidRDefault="0072272F" w:rsidP="0072272F">
      <w:r>
        <w:lastRenderedPageBreak/>
        <w:t xml:space="preserve">Na znižovanie nákladov boli analyzované 3 prístupy. Vytvorenie rezortných centier a optimalizácia nákladov je v kompetencii jednotlivých inštitúcii, vytvorenie spoločných centier v rámci štátu vyžaduje koordináciu naprieč verejnou správou. Odhad úspory vychádza z implementácie prvých 2 prístupov. </w:t>
      </w:r>
    </w:p>
    <w:p w14:paraId="42781B44" w14:textId="77777777" w:rsidR="0072272F" w:rsidRDefault="0072272F" w:rsidP="0072272F">
      <w:pPr>
        <w:pStyle w:val="Odsekzoznamu"/>
        <w:numPr>
          <w:ilvl w:val="0"/>
          <w:numId w:val="35"/>
        </w:numPr>
      </w:pPr>
      <w:r>
        <w:t xml:space="preserve">Vytvorenie rezortných centier zdieľaných služieb </w:t>
      </w:r>
    </w:p>
    <w:p w14:paraId="14BAD0DA" w14:textId="77777777" w:rsidR="0072272F" w:rsidRDefault="0072272F" w:rsidP="0072272F">
      <w:pPr>
        <w:pStyle w:val="Odsekzoznamu"/>
        <w:numPr>
          <w:ilvl w:val="0"/>
          <w:numId w:val="35"/>
        </w:numPr>
      </w:pPr>
      <w:r>
        <w:t xml:space="preserve">Optimalizácia nákladov na zabezpečenie IT podporných činností </w:t>
      </w:r>
    </w:p>
    <w:p w14:paraId="5DEB0A2B" w14:textId="77777777" w:rsidR="0072272F" w:rsidRDefault="0072272F" w:rsidP="0072272F">
      <w:pPr>
        <w:pStyle w:val="Odsekzoznamu"/>
        <w:numPr>
          <w:ilvl w:val="0"/>
          <w:numId w:val="35"/>
        </w:numPr>
      </w:pPr>
      <w:r>
        <w:t xml:space="preserve">Vytvorenie spoločných centier v rámci štátu. </w:t>
      </w:r>
    </w:p>
    <w:p w14:paraId="1CF1FEB2" w14:textId="77777777" w:rsidR="0072272F" w:rsidRDefault="0072272F" w:rsidP="0072272F">
      <w:r>
        <w:t>Okrem znižovania nákladov vďaka optimalizácii a úsporám z rozsahu sa pri centralizácii počíta aj so zvyšovaním kvality služieb vďaka vyššej špecializácii.</w:t>
      </w:r>
    </w:p>
    <w:p w14:paraId="38653F60" w14:textId="77777777" w:rsidR="0072272F" w:rsidRDefault="0072272F" w:rsidP="0072272F">
      <w:r>
        <w:t xml:space="preserve">Celkové náklady na poskytovanie podporných IT služieb dosiahli v roku 2018 v analyzovaných rezortoch a ich podriadených organizáciách 10,8 mil. eur. Vytvorením rezortných centier zdieľaných služieb, kedy je výkon vybraných činností podriadených organizácii presunutý na úrad rezortu,  je podľa skúseností zo súkromného sektora na Slovensku aj v zahraničí, znížiť výdavky o 15-20 % (1,6-2,2 mil. eur). Potenciál z optimalizácie nákladov na úroveň 2. najlepšieho je 3,0 mil. eur (2,2 mil. eur ústredné orgány štátnej správy - ÚOŠS, 0,8 mil. eur podriadené organizácie- PRO). Úspora z centralizácie a optimalizácie na seba nadväzuje a čiastočne sa prekrýva, odhad úspory nie je súčtom z oboch prístupov.   </w:t>
      </w:r>
    </w:p>
    <w:p w14:paraId="1F3D1D8B" w14:textId="2D0C1E89" w:rsidR="0072272F" w:rsidRPr="0037129E" w:rsidRDefault="0072272F" w:rsidP="0072272F">
      <w:pPr>
        <w:spacing w:after="0"/>
        <w:rPr>
          <w:b/>
        </w:rPr>
      </w:pPr>
      <w:r w:rsidRPr="0037129E">
        <w:rPr>
          <w:b/>
        </w:rPr>
        <w:t xml:space="preserve">Tabuľka </w:t>
      </w:r>
      <w:r w:rsidR="004177D6">
        <w:rPr>
          <w:b/>
        </w:rPr>
        <w:t>16</w:t>
      </w:r>
      <w:r w:rsidRPr="0037129E">
        <w:rPr>
          <w:b/>
        </w:rPr>
        <w:t>: Odhad úspory nákladov na podporné IT činnosti</w:t>
      </w:r>
    </w:p>
    <w:tbl>
      <w:tblPr>
        <w:tblW w:w="8938" w:type="dxa"/>
        <w:tblLook w:val="04A0" w:firstRow="1" w:lastRow="0" w:firstColumn="1" w:lastColumn="0" w:noHBand="0" w:noVBand="1"/>
      </w:tblPr>
      <w:tblGrid>
        <w:gridCol w:w="7577"/>
        <w:gridCol w:w="1361"/>
      </w:tblGrid>
      <w:tr w:rsidR="0072272F" w:rsidRPr="00B7726B" w14:paraId="0B55BC4C" w14:textId="77777777" w:rsidTr="00B16CE5">
        <w:trPr>
          <w:trHeight w:val="20"/>
        </w:trPr>
        <w:tc>
          <w:tcPr>
            <w:tcW w:w="7577" w:type="dxa"/>
            <w:tcBorders>
              <w:top w:val="single" w:sz="4" w:space="0" w:color="auto"/>
              <w:left w:val="nil"/>
              <w:bottom w:val="single" w:sz="4" w:space="0" w:color="auto"/>
              <w:right w:val="nil"/>
            </w:tcBorders>
            <w:shd w:val="clear" w:color="auto" w:fill="auto"/>
            <w:noWrap/>
            <w:vAlign w:val="bottom"/>
            <w:hideMark/>
          </w:tcPr>
          <w:p w14:paraId="06A324E8" w14:textId="77777777" w:rsidR="0072272F" w:rsidRPr="0037129E" w:rsidRDefault="0072272F" w:rsidP="00B16CE5">
            <w:pPr>
              <w:spacing w:after="0" w:line="240" w:lineRule="auto"/>
              <w:jc w:val="left"/>
              <w:rPr>
                <w:rFonts w:eastAsia="Times New Roman" w:cs="Times New Roman"/>
                <w:b/>
                <w:bCs/>
                <w:color w:val="000000"/>
                <w:lang w:eastAsia="en-GB"/>
              </w:rPr>
            </w:pPr>
            <w:r w:rsidRPr="0037129E">
              <w:rPr>
                <w:rFonts w:eastAsia="Times New Roman" w:cs="Times New Roman"/>
                <w:b/>
                <w:bCs/>
                <w:color w:val="000000"/>
                <w:lang w:eastAsia="en-GB"/>
              </w:rPr>
              <w:t>Položka</w:t>
            </w:r>
          </w:p>
        </w:tc>
        <w:tc>
          <w:tcPr>
            <w:tcW w:w="1361" w:type="dxa"/>
            <w:tcBorders>
              <w:top w:val="single" w:sz="4" w:space="0" w:color="auto"/>
              <w:left w:val="nil"/>
              <w:bottom w:val="single" w:sz="4" w:space="0" w:color="auto"/>
              <w:right w:val="nil"/>
            </w:tcBorders>
            <w:shd w:val="clear" w:color="auto" w:fill="auto"/>
            <w:noWrap/>
            <w:vAlign w:val="bottom"/>
            <w:hideMark/>
          </w:tcPr>
          <w:p w14:paraId="3BCB8FBB" w14:textId="77777777" w:rsidR="0072272F" w:rsidRPr="0037129E" w:rsidRDefault="0072272F" w:rsidP="00B16CE5">
            <w:pPr>
              <w:spacing w:after="0" w:line="240" w:lineRule="auto"/>
              <w:jc w:val="center"/>
              <w:rPr>
                <w:rFonts w:eastAsia="Times New Roman" w:cs="Times New Roman"/>
                <w:b/>
                <w:bCs/>
                <w:color w:val="000000"/>
                <w:lang w:eastAsia="en-GB"/>
              </w:rPr>
            </w:pPr>
            <w:r w:rsidRPr="0037129E">
              <w:rPr>
                <w:rFonts w:eastAsia="Times New Roman" w:cs="Times New Roman"/>
                <w:b/>
                <w:bCs/>
                <w:color w:val="000000"/>
                <w:lang w:eastAsia="en-GB"/>
              </w:rPr>
              <w:t>Hodnota</w:t>
            </w:r>
          </w:p>
        </w:tc>
      </w:tr>
      <w:tr w:rsidR="0072272F" w:rsidRPr="00B7726B" w14:paraId="3F490CB6" w14:textId="77777777" w:rsidTr="00B16CE5">
        <w:trPr>
          <w:trHeight w:val="20"/>
        </w:trPr>
        <w:tc>
          <w:tcPr>
            <w:tcW w:w="7577" w:type="dxa"/>
            <w:tcBorders>
              <w:top w:val="nil"/>
              <w:left w:val="nil"/>
              <w:bottom w:val="nil"/>
              <w:right w:val="nil"/>
            </w:tcBorders>
            <w:shd w:val="clear" w:color="auto" w:fill="auto"/>
            <w:noWrap/>
            <w:vAlign w:val="bottom"/>
            <w:hideMark/>
          </w:tcPr>
          <w:p w14:paraId="73256E66" w14:textId="77777777" w:rsidR="0072272F" w:rsidRPr="0037129E" w:rsidRDefault="0072272F" w:rsidP="00B16CE5">
            <w:pPr>
              <w:spacing w:after="0" w:line="240" w:lineRule="auto"/>
              <w:jc w:val="left"/>
              <w:rPr>
                <w:rFonts w:eastAsia="Times New Roman" w:cs="Times New Roman"/>
                <w:color w:val="000000"/>
                <w:lang w:eastAsia="en-GB"/>
              </w:rPr>
            </w:pPr>
            <w:r w:rsidRPr="0037129E">
              <w:rPr>
                <w:rFonts w:eastAsia="Times New Roman" w:cs="Times New Roman"/>
                <w:color w:val="000000"/>
                <w:lang w:eastAsia="en-GB"/>
              </w:rPr>
              <w:t>Celkové náklady na podporné IT činnosti ÚOŠS</w:t>
            </w:r>
            <w:r>
              <w:rPr>
                <w:rFonts w:eastAsia="Times New Roman" w:cs="Times New Roman"/>
                <w:color w:val="000000"/>
                <w:lang w:eastAsia="en-GB"/>
              </w:rPr>
              <w:t xml:space="preserve"> a PRO</w:t>
            </w:r>
          </w:p>
        </w:tc>
        <w:tc>
          <w:tcPr>
            <w:tcW w:w="1361" w:type="dxa"/>
            <w:tcBorders>
              <w:top w:val="nil"/>
              <w:left w:val="nil"/>
              <w:bottom w:val="nil"/>
              <w:right w:val="nil"/>
            </w:tcBorders>
            <w:shd w:val="clear" w:color="auto" w:fill="auto"/>
            <w:noWrap/>
            <w:vAlign w:val="bottom"/>
            <w:hideMark/>
          </w:tcPr>
          <w:p w14:paraId="7E092122" w14:textId="77777777" w:rsidR="0072272F" w:rsidRPr="0037129E" w:rsidRDefault="0072272F" w:rsidP="00B16CE5">
            <w:pPr>
              <w:spacing w:after="0" w:line="240" w:lineRule="auto"/>
              <w:jc w:val="center"/>
              <w:rPr>
                <w:rFonts w:eastAsia="Times New Roman" w:cs="Times New Roman"/>
                <w:color w:val="000000"/>
                <w:lang w:eastAsia="en-GB"/>
              </w:rPr>
            </w:pPr>
            <w:r>
              <w:rPr>
                <w:rFonts w:eastAsia="Times New Roman" w:cs="Times New Roman"/>
                <w:color w:val="000000"/>
                <w:lang w:eastAsia="en-GB"/>
              </w:rPr>
              <w:t>10,8</w:t>
            </w:r>
          </w:p>
        </w:tc>
      </w:tr>
      <w:tr w:rsidR="0072272F" w:rsidRPr="00B7726B" w14:paraId="00950958" w14:textId="77777777" w:rsidTr="00B16CE5">
        <w:trPr>
          <w:trHeight w:val="20"/>
        </w:trPr>
        <w:tc>
          <w:tcPr>
            <w:tcW w:w="7577" w:type="dxa"/>
            <w:tcBorders>
              <w:top w:val="nil"/>
              <w:left w:val="nil"/>
              <w:bottom w:val="nil"/>
              <w:right w:val="nil"/>
            </w:tcBorders>
            <w:shd w:val="clear" w:color="auto" w:fill="auto"/>
            <w:noWrap/>
            <w:vAlign w:val="bottom"/>
            <w:hideMark/>
          </w:tcPr>
          <w:p w14:paraId="70798997" w14:textId="77777777" w:rsidR="0072272F" w:rsidRPr="0037129E" w:rsidRDefault="0072272F" w:rsidP="00B16CE5">
            <w:pPr>
              <w:spacing w:after="0" w:line="240" w:lineRule="auto"/>
              <w:jc w:val="left"/>
              <w:rPr>
                <w:rFonts w:eastAsia="Times New Roman" w:cs="Times New Roman"/>
                <w:color w:val="000000"/>
                <w:lang w:eastAsia="en-GB"/>
              </w:rPr>
            </w:pPr>
            <w:r>
              <w:rPr>
                <w:rFonts w:eastAsia="Times New Roman" w:cs="Times New Roman"/>
                <w:color w:val="000000"/>
                <w:lang w:eastAsia="en-GB"/>
              </w:rPr>
              <w:t xml:space="preserve">Úspora 15-20 % nákladov z vytvorenia rezortných centier zdieľaných služieb </w:t>
            </w:r>
            <w:r w:rsidRPr="0037129E">
              <w:rPr>
                <w:rFonts w:eastAsia="Times New Roman" w:cs="Times New Roman"/>
                <w:color w:val="000000"/>
                <w:lang w:eastAsia="en-GB"/>
              </w:rPr>
              <w:t xml:space="preserve"> </w:t>
            </w:r>
          </w:p>
        </w:tc>
        <w:tc>
          <w:tcPr>
            <w:tcW w:w="1361" w:type="dxa"/>
            <w:tcBorders>
              <w:top w:val="nil"/>
              <w:left w:val="nil"/>
              <w:bottom w:val="nil"/>
              <w:right w:val="nil"/>
            </w:tcBorders>
            <w:shd w:val="clear" w:color="auto" w:fill="auto"/>
            <w:noWrap/>
            <w:vAlign w:val="bottom"/>
            <w:hideMark/>
          </w:tcPr>
          <w:p w14:paraId="01A06024" w14:textId="77777777" w:rsidR="0072272F" w:rsidRPr="0037129E" w:rsidRDefault="0072272F" w:rsidP="00B16CE5">
            <w:pPr>
              <w:spacing w:after="0" w:line="240" w:lineRule="auto"/>
              <w:jc w:val="center"/>
              <w:rPr>
                <w:rFonts w:eastAsia="Times New Roman" w:cs="Times New Roman"/>
                <w:color w:val="000000"/>
                <w:lang w:eastAsia="en-GB"/>
              </w:rPr>
            </w:pPr>
            <w:r>
              <w:rPr>
                <w:rFonts w:eastAsia="Times New Roman" w:cs="Times New Roman"/>
                <w:color w:val="000000"/>
                <w:lang w:eastAsia="en-GB"/>
              </w:rPr>
              <w:t>1,6-2,2</w:t>
            </w:r>
          </w:p>
        </w:tc>
      </w:tr>
      <w:tr w:rsidR="0072272F" w:rsidRPr="00B7726B" w14:paraId="24CE58FA" w14:textId="77777777" w:rsidTr="00B16CE5">
        <w:trPr>
          <w:trHeight w:val="20"/>
        </w:trPr>
        <w:tc>
          <w:tcPr>
            <w:tcW w:w="7577" w:type="dxa"/>
            <w:tcBorders>
              <w:top w:val="nil"/>
              <w:left w:val="nil"/>
              <w:bottom w:val="nil"/>
              <w:right w:val="nil"/>
            </w:tcBorders>
            <w:shd w:val="clear" w:color="auto" w:fill="auto"/>
            <w:noWrap/>
            <w:vAlign w:val="bottom"/>
            <w:hideMark/>
          </w:tcPr>
          <w:p w14:paraId="7094144A" w14:textId="77777777" w:rsidR="0072272F" w:rsidRPr="0037129E" w:rsidRDefault="0072272F" w:rsidP="00B16CE5">
            <w:pPr>
              <w:spacing w:after="0" w:line="240" w:lineRule="auto"/>
              <w:jc w:val="left"/>
              <w:rPr>
                <w:rFonts w:eastAsia="Times New Roman" w:cs="Times New Roman"/>
                <w:color w:val="000000"/>
                <w:lang w:eastAsia="en-GB"/>
              </w:rPr>
            </w:pPr>
            <w:r>
              <w:rPr>
                <w:rFonts w:eastAsia="Times New Roman" w:cs="Times New Roman"/>
                <w:color w:val="000000"/>
                <w:lang w:eastAsia="en-GB"/>
              </w:rPr>
              <w:t>Úspora z optimalizácie nákladov poskytovaných služieb</w:t>
            </w:r>
          </w:p>
        </w:tc>
        <w:tc>
          <w:tcPr>
            <w:tcW w:w="1361" w:type="dxa"/>
            <w:tcBorders>
              <w:top w:val="nil"/>
              <w:left w:val="nil"/>
              <w:bottom w:val="nil"/>
              <w:right w:val="nil"/>
            </w:tcBorders>
            <w:shd w:val="clear" w:color="auto" w:fill="auto"/>
            <w:noWrap/>
            <w:vAlign w:val="bottom"/>
            <w:hideMark/>
          </w:tcPr>
          <w:p w14:paraId="7BDB3D5F" w14:textId="77777777" w:rsidR="0072272F" w:rsidRPr="0037129E" w:rsidRDefault="0072272F" w:rsidP="00B16CE5">
            <w:pPr>
              <w:spacing w:after="0" w:line="240" w:lineRule="auto"/>
              <w:jc w:val="center"/>
              <w:rPr>
                <w:rFonts w:eastAsia="Times New Roman" w:cs="Times New Roman"/>
                <w:color w:val="000000"/>
                <w:lang w:eastAsia="en-GB"/>
              </w:rPr>
            </w:pPr>
            <w:r>
              <w:rPr>
                <w:rFonts w:eastAsia="Times New Roman" w:cs="Times New Roman"/>
                <w:color w:val="000000"/>
                <w:lang w:eastAsia="en-GB"/>
              </w:rPr>
              <w:t>2,2-3,0</w:t>
            </w:r>
          </w:p>
        </w:tc>
      </w:tr>
      <w:tr w:rsidR="0072272F" w:rsidRPr="00B7726B" w14:paraId="751A5798" w14:textId="77777777" w:rsidTr="00B16CE5">
        <w:trPr>
          <w:trHeight w:val="20"/>
        </w:trPr>
        <w:tc>
          <w:tcPr>
            <w:tcW w:w="7577" w:type="dxa"/>
            <w:tcBorders>
              <w:top w:val="nil"/>
              <w:left w:val="nil"/>
              <w:bottom w:val="single" w:sz="4" w:space="0" w:color="auto"/>
              <w:right w:val="nil"/>
            </w:tcBorders>
            <w:shd w:val="clear" w:color="auto" w:fill="auto"/>
            <w:noWrap/>
            <w:vAlign w:val="bottom"/>
            <w:hideMark/>
          </w:tcPr>
          <w:p w14:paraId="1B384537" w14:textId="77777777" w:rsidR="0072272F" w:rsidRPr="0037129E" w:rsidRDefault="0072272F" w:rsidP="00B16CE5">
            <w:pPr>
              <w:spacing w:after="0" w:line="240" w:lineRule="auto"/>
              <w:jc w:val="left"/>
              <w:rPr>
                <w:rFonts w:eastAsia="Times New Roman" w:cs="Times New Roman"/>
                <w:color w:val="000000"/>
                <w:lang w:eastAsia="en-GB"/>
              </w:rPr>
            </w:pPr>
            <w:r>
              <w:rPr>
                <w:rFonts w:eastAsia="Times New Roman" w:cs="Times New Roman"/>
                <w:color w:val="000000"/>
                <w:lang w:eastAsia="en-GB"/>
              </w:rPr>
              <w:t>Celková úspora z centralizácie a optimalizácie</w:t>
            </w:r>
          </w:p>
        </w:tc>
        <w:tc>
          <w:tcPr>
            <w:tcW w:w="1361" w:type="dxa"/>
            <w:tcBorders>
              <w:top w:val="nil"/>
              <w:left w:val="nil"/>
              <w:bottom w:val="single" w:sz="4" w:space="0" w:color="auto"/>
              <w:right w:val="nil"/>
            </w:tcBorders>
            <w:shd w:val="clear" w:color="auto" w:fill="auto"/>
            <w:noWrap/>
            <w:vAlign w:val="bottom"/>
            <w:hideMark/>
          </w:tcPr>
          <w:p w14:paraId="58C41304" w14:textId="77777777" w:rsidR="0072272F" w:rsidRPr="0037129E" w:rsidRDefault="0072272F" w:rsidP="00B16CE5">
            <w:pPr>
              <w:spacing w:after="0" w:line="240" w:lineRule="auto"/>
              <w:jc w:val="center"/>
              <w:rPr>
                <w:rFonts w:eastAsia="Times New Roman" w:cs="Times New Roman"/>
                <w:color w:val="000000"/>
                <w:lang w:eastAsia="en-GB"/>
              </w:rPr>
            </w:pPr>
            <w:r>
              <w:rPr>
                <w:rFonts w:eastAsia="Times New Roman" w:cs="Times New Roman"/>
                <w:color w:val="000000"/>
                <w:lang w:eastAsia="en-GB"/>
              </w:rPr>
              <w:t>1,6-3,0</w:t>
            </w:r>
          </w:p>
        </w:tc>
      </w:tr>
      <w:tr w:rsidR="0072272F" w:rsidRPr="00B7726B" w14:paraId="0F3CECDA" w14:textId="77777777" w:rsidTr="00B16CE5">
        <w:trPr>
          <w:trHeight w:val="20"/>
        </w:trPr>
        <w:tc>
          <w:tcPr>
            <w:tcW w:w="8938" w:type="dxa"/>
            <w:gridSpan w:val="2"/>
            <w:tcBorders>
              <w:top w:val="single" w:sz="4" w:space="0" w:color="auto"/>
              <w:left w:val="nil"/>
              <w:right w:val="nil"/>
            </w:tcBorders>
            <w:shd w:val="clear" w:color="auto" w:fill="auto"/>
            <w:noWrap/>
          </w:tcPr>
          <w:p w14:paraId="0E9F4594" w14:textId="77777777" w:rsidR="0072272F" w:rsidRPr="0037129E" w:rsidRDefault="0072272F" w:rsidP="00B16CE5">
            <w:pPr>
              <w:spacing w:after="0" w:line="240" w:lineRule="auto"/>
              <w:jc w:val="right"/>
              <w:rPr>
                <w:rFonts w:eastAsia="Times New Roman" w:cs="Times New Roman"/>
                <w:i/>
                <w:color w:val="000000"/>
                <w:sz w:val="18"/>
                <w:lang w:eastAsia="en-GB"/>
              </w:rPr>
            </w:pPr>
            <w:r>
              <w:rPr>
                <w:rFonts w:eastAsia="Times New Roman" w:cs="Times New Roman"/>
                <w:i/>
                <w:color w:val="000000"/>
                <w:sz w:val="18"/>
                <w:lang w:eastAsia="en-GB"/>
              </w:rPr>
              <w:t xml:space="preserve">Zdroj: </w:t>
            </w:r>
            <w:r w:rsidRPr="00B7726B">
              <w:rPr>
                <w:rFonts w:eastAsia="Times New Roman" w:cs="Times New Roman"/>
                <w:i/>
                <w:color w:val="000000"/>
                <w:sz w:val="18"/>
                <w:lang w:eastAsia="en-GB"/>
              </w:rPr>
              <w:t>Revízia výdavkov zamestnanosti a odmeňovania vo verejnej správe</w:t>
            </w:r>
          </w:p>
        </w:tc>
      </w:tr>
    </w:tbl>
    <w:p w14:paraId="2F570F82" w14:textId="77777777" w:rsidR="0072272F" w:rsidRPr="00765192" w:rsidRDefault="0072272F" w:rsidP="0072272F">
      <w:pPr>
        <w:pStyle w:val="Odsekzoznamu"/>
        <w:numPr>
          <w:ilvl w:val="0"/>
          <w:numId w:val="17"/>
        </w:numPr>
        <w:spacing w:before="120" w:after="120"/>
      </w:pPr>
      <w:r>
        <w:rPr>
          <w:b/>
        </w:rPr>
        <w:t>Opatrenie: Znížiť náklady na zabezpečenie IT podporných služieb v prepočte na zamestnanca úradu centralizovaním v rámci rezortov a optimalizovaním nákladov na služby (internalizovaním výkonov a zvyšovaním efektivity).</w:t>
      </w:r>
    </w:p>
    <w:p w14:paraId="667CBDD1" w14:textId="77777777" w:rsidR="0059256C" w:rsidRPr="00765192" w:rsidRDefault="005956EB" w:rsidP="00A115E4">
      <w:pPr>
        <w:pStyle w:val="Nadpis3"/>
        <w:numPr>
          <w:ilvl w:val="1"/>
          <w:numId w:val="1"/>
        </w:numPr>
        <w:spacing w:before="120" w:after="120"/>
      </w:pPr>
      <w:bookmarkStart w:id="152" w:name="_Toc35602787"/>
      <w:r>
        <w:t>Zmena modelu nákupu telekomunikačných služieb</w:t>
      </w:r>
      <w:bookmarkEnd w:id="152"/>
    </w:p>
    <w:p w14:paraId="5A8AE446" w14:textId="04614D4A" w:rsidR="0059256C" w:rsidRPr="00765192" w:rsidRDefault="0059256C" w:rsidP="00A115E4">
      <w:pPr>
        <w:spacing w:before="120" w:after="120"/>
      </w:pPr>
      <w:r w:rsidRPr="00765192">
        <w:rPr>
          <w:b/>
        </w:rPr>
        <w:t xml:space="preserve">Optimalizáciou využívania telekomunikačných služieb je možné ušetriť </w:t>
      </w:r>
      <w:r w:rsidR="008B7FE8">
        <w:rPr>
          <w:b/>
        </w:rPr>
        <w:t>1,5</w:t>
      </w:r>
      <w:r w:rsidRPr="00765192">
        <w:rPr>
          <w:b/>
        </w:rPr>
        <w:t>-</w:t>
      </w:r>
      <w:r w:rsidR="008B7FE8">
        <w:rPr>
          <w:b/>
        </w:rPr>
        <w:t>4</w:t>
      </w:r>
      <w:r w:rsidRPr="00765192">
        <w:rPr>
          <w:b/>
        </w:rPr>
        <w:t xml:space="preserve">,4 mil. eur (10-30 %) ročne z celkových približne </w:t>
      </w:r>
      <w:r w:rsidR="008B7FE8">
        <w:rPr>
          <w:b/>
        </w:rPr>
        <w:t>14,7</w:t>
      </w:r>
      <w:r w:rsidRPr="00765192">
        <w:rPr>
          <w:b/>
        </w:rPr>
        <w:t xml:space="preserve"> mil. eur.</w:t>
      </w:r>
      <w:r w:rsidRPr="00765192">
        <w:t xml:space="preserve"> Predošlé skúsenosti ukazujú, že kapitoly aktívne neriadia hlasové a mobilné kontrakty, nesledujú ich využívanie a neoptimalizujú prevádzku. Podobná úspora by aj v oblasti komunikačnej infraštruktúry (pripojenia na internet) priniesla 4,</w:t>
      </w:r>
      <w:r w:rsidR="008B7FE8">
        <w:t>8</w:t>
      </w:r>
      <w:r w:rsidRPr="00765192">
        <w:t>-1</w:t>
      </w:r>
      <w:r w:rsidR="008B7FE8">
        <w:t>4</w:t>
      </w:r>
      <w:r w:rsidRPr="00765192">
        <w:t>,</w:t>
      </w:r>
      <w:r w:rsidR="008B7FE8">
        <w:t>4</w:t>
      </w:r>
      <w:r w:rsidRPr="00765192">
        <w:t xml:space="preserve"> mil. eur ročne. Výdavky sú pritom relatívne koncentrované – 5 najväčších ministerstiev sa podieľa na celkových výdavkoch 79 %. Odhadované úspory na úrovni 10 % sú porovnateľné so súkromným sektorom</w:t>
      </w:r>
      <w:r w:rsidRPr="00765192">
        <w:rPr>
          <w:rStyle w:val="Odkaznapoznmkupodiarou"/>
        </w:rPr>
        <w:footnoteReference w:id="43"/>
      </w:r>
      <w:r w:rsidRPr="00765192">
        <w:t>.</w:t>
      </w:r>
    </w:p>
    <w:p w14:paraId="1D643A1B" w14:textId="23DEBE7E" w:rsidR="005956EB" w:rsidRPr="00765192" w:rsidRDefault="0059256C" w:rsidP="00A115E4">
      <w:pPr>
        <w:spacing w:before="120" w:after="120"/>
      </w:pPr>
      <w:r w:rsidRPr="00765192">
        <w:t>Čiastočná úspora bola dosiahnutá už vďaka rozdeleniu a samostatnému vykazovaniu rozpočtovej položky „Poštové služby a telekomunikačné služby“ od roku 2017. Priemerné náklady na telekomunikačné služby boli v rokoch 2011 až 2016 odhadované na 33,2 mil. ročne</w:t>
      </w:r>
      <w:r w:rsidR="000D4ECB">
        <w:rPr>
          <w:rStyle w:val="Odkaznapoznmkupodiarou"/>
        </w:rPr>
        <w:footnoteReference w:id="44"/>
      </w:r>
      <w:r w:rsidRPr="00765192">
        <w:t>. Priemerné ročné náklady na telekomunikačné služby po samostatnom vykazovaní od roku 2017 klesli na  priemerne 14,</w:t>
      </w:r>
      <w:r w:rsidR="008B7FE8">
        <w:t>7</w:t>
      </w:r>
      <w:r w:rsidRPr="00765192">
        <w:t xml:space="preserve"> mil. eur ročne. </w:t>
      </w:r>
    </w:p>
    <w:p w14:paraId="2915EE22" w14:textId="44FC35ED" w:rsidR="0059256C" w:rsidRPr="00765192" w:rsidRDefault="0059256C" w:rsidP="0059256C">
      <w:pPr>
        <w:pStyle w:val="Popis"/>
        <w:spacing w:after="0"/>
        <w:rPr>
          <w:b w:val="0"/>
          <w:color w:val="auto"/>
        </w:rPr>
      </w:pPr>
      <w:bookmarkStart w:id="153" w:name="_Toc463025526"/>
      <w:r w:rsidRPr="00765192">
        <w:rPr>
          <w:color w:val="auto"/>
          <w:sz w:val="22"/>
        </w:rPr>
        <w:t xml:space="preserve">Tabuľka </w:t>
      </w:r>
      <w:r w:rsidR="004177D6">
        <w:rPr>
          <w:color w:val="auto"/>
          <w:sz w:val="22"/>
        </w:rPr>
        <w:t>1</w:t>
      </w:r>
      <w:r w:rsidR="003326DF">
        <w:rPr>
          <w:color w:val="auto"/>
          <w:sz w:val="22"/>
        </w:rPr>
        <w:t>7</w:t>
      </w:r>
      <w:r w:rsidRPr="00765192">
        <w:rPr>
          <w:color w:val="auto"/>
          <w:sz w:val="22"/>
        </w:rPr>
        <w:t>: Výdavky na telekomunikácie a infraštruktúru (mil. eur)</w:t>
      </w:r>
      <w:bookmarkEnd w:id="153"/>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2"/>
        <w:gridCol w:w="3219"/>
        <w:gridCol w:w="1315"/>
        <w:gridCol w:w="1756"/>
      </w:tblGrid>
      <w:tr w:rsidR="0059256C" w:rsidRPr="00765192" w14:paraId="16A8F092" w14:textId="77777777" w:rsidTr="001D543F">
        <w:trPr>
          <w:trHeight w:val="267"/>
        </w:trPr>
        <w:tc>
          <w:tcPr>
            <w:tcW w:w="1533" w:type="pct"/>
            <w:tcBorders>
              <w:top w:val="single" w:sz="4" w:space="0" w:color="auto"/>
              <w:bottom w:val="single" w:sz="4" w:space="0" w:color="auto"/>
            </w:tcBorders>
            <w:vAlign w:val="center"/>
          </w:tcPr>
          <w:p w14:paraId="495D5D67" w14:textId="77777777" w:rsidR="0059256C" w:rsidRPr="00765192" w:rsidRDefault="0059256C" w:rsidP="001D543F">
            <w:pPr>
              <w:rPr>
                <w:b/>
                <w:sz w:val="20"/>
                <w:szCs w:val="20"/>
              </w:rPr>
            </w:pPr>
            <w:r w:rsidRPr="00765192">
              <w:rPr>
                <w:b/>
                <w:sz w:val="20"/>
                <w:szCs w:val="20"/>
              </w:rPr>
              <w:t>Skupina výdavkov</w:t>
            </w:r>
          </w:p>
        </w:tc>
        <w:tc>
          <w:tcPr>
            <w:tcW w:w="1774" w:type="pct"/>
            <w:tcBorders>
              <w:top w:val="single" w:sz="4" w:space="0" w:color="auto"/>
              <w:bottom w:val="single" w:sz="4" w:space="0" w:color="auto"/>
            </w:tcBorders>
            <w:shd w:val="clear" w:color="auto" w:fill="auto"/>
            <w:vAlign w:val="center"/>
          </w:tcPr>
          <w:p w14:paraId="1DD50419" w14:textId="109A8F38" w:rsidR="0059256C" w:rsidRPr="00765192" w:rsidRDefault="0059256C" w:rsidP="001D543F">
            <w:pPr>
              <w:jc w:val="right"/>
              <w:rPr>
                <w:b/>
                <w:sz w:val="20"/>
                <w:szCs w:val="20"/>
              </w:rPr>
            </w:pPr>
            <w:r w:rsidRPr="00765192">
              <w:rPr>
                <w:b/>
                <w:sz w:val="20"/>
                <w:szCs w:val="20"/>
              </w:rPr>
              <w:t>Priemerný ročný výdavok 201</w:t>
            </w:r>
            <w:r w:rsidR="005315FF">
              <w:rPr>
                <w:b/>
                <w:sz w:val="20"/>
                <w:szCs w:val="20"/>
              </w:rPr>
              <w:t>7</w:t>
            </w:r>
            <w:r w:rsidRPr="00765192">
              <w:rPr>
                <w:b/>
                <w:sz w:val="20"/>
                <w:szCs w:val="20"/>
              </w:rPr>
              <w:t>-201</w:t>
            </w:r>
            <w:r w:rsidR="008B7FE8">
              <w:rPr>
                <w:b/>
                <w:sz w:val="20"/>
                <w:szCs w:val="20"/>
              </w:rPr>
              <w:t>9</w:t>
            </w:r>
          </w:p>
        </w:tc>
        <w:tc>
          <w:tcPr>
            <w:tcW w:w="725" w:type="pct"/>
            <w:tcBorders>
              <w:top w:val="single" w:sz="4" w:space="0" w:color="auto"/>
              <w:bottom w:val="single" w:sz="4" w:space="0" w:color="auto"/>
            </w:tcBorders>
            <w:shd w:val="clear" w:color="auto" w:fill="auto"/>
            <w:vAlign w:val="center"/>
          </w:tcPr>
          <w:p w14:paraId="100AF818" w14:textId="77777777" w:rsidR="0059256C" w:rsidRPr="00765192" w:rsidRDefault="0059256C" w:rsidP="001D543F">
            <w:pPr>
              <w:jc w:val="right"/>
              <w:rPr>
                <w:b/>
                <w:sz w:val="20"/>
                <w:szCs w:val="20"/>
              </w:rPr>
            </w:pPr>
            <w:r w:rsidRPr="00765192">
              <w:rPr>
                <w:b/>
                <w:sz w:val="20"/>
                <w:szCs w:val="20"/>
              </w:rPr>
              <w:t>Úspora 10%</w:t>
            </w:r>
          </w:p>
        </w:tc>
        <w:tc>
          <w:tcPr>
            <w:tcW w:w="968" w:type="pct"/>
            <w:tcBorders>
              <w:top w:val="single" w:sz="4" w:space="0" w:color="auto"/>
              <w:bottom w:val="single" w:sz="4" w:space="0" w:color="auto"/>
            </w:tcBorders>
            <w:shd w:val="clear" w:color="auto" w:fill="auto"/>
            <w:vAlign w:val="center"/>
          </w:tcPr>
          <w:p w14:paraId="0FDC6F5D" w14:textId="77777777" w:rsidR="0059256C" w:rsidRPr="00765192" w:rsidRDefault="0059256C" w:rsidP="001D543F">
            <w:pPr>
              <w:jc w:val="right"/>
              <w:rPr>
                <w:b/>
                <w:sz w:val="20"/>
                <w:szCs w:val="20"/>
              </w:rPr>
            </w:pPr>
            <w:r w:rsidRPr="00765192">
              <w:rPr>
                <w:b/>
                <w:sz w:val="20"/>
                <w:szCs w:val="20"/>
              </w:rPr>
              <w:t>Úspora 30%</w:t>
            </w:r>
          </w:p>
        </w:tc>
      </w:tr>
      <w:tr w:rsidR="0059256C" w:rsidRPr="00765192" w14:paraId="52CF4824" w14:textId="77777777" w:rsidTr="00A115E4">
        <w:trPr>
          <w:trHeight w:val="113"/>
        </w:trPr>
        <w:tc>
          <w:tcPr>
            <w:tcW w:w="1533" w:type="pct"/>
            <w:tcBorders>
              <w:top w:val="single" w:sz="4" w:space="0" w:color="auto"/>
            </w:tcBorders>
            <w:vAlign w:val="center"/>
          </w:tcPr>
          <w:p w14:paraId="6A21C3D7" w14:textId="77777777" w:rsidR="0059256C" w:rsidRPr="00765192" w:rsidRDefault="0059256C" w:rsidP="001D543F">
            <w:pPr>
              <w:rPr>
                <w:sz w:val="20"/>
                <w:szCs w:val="20"/>
              </w:rPr>
            </w:pPr>
            <w:r w:rsidRPr="00765192">
              <w:rPr>
                <w:sz w:val="20"/>
                <w:szCs w:val="20"/>
              </w:rPr>
              <w:t>Telekomunikačné služby</w:t>
            </w:r>
          </w:p>
        </w:tc>
        <w:tc>
          <w:tcPr>
            <w:tcW w:w="1774" w:type="pct"/>
            <w:tcBorders>
              <w:top w:val="single" w:sz="4" w:space="0" w:color="auto"/>
            </w:tcBorders>
            <w:shd w:val="clear" w:color="auto" w:fill="auto"/>
            <w:vAlign w:val="center"/>
          </w:tcPr>
          <w:p w14:paraId="2C62EECA" w14:textId="147521D3" w:rsidR="0059256C" w:rsidRPr="00765192" w:rsidRDefault="008B7FE8" w:rsidP="001D543F">
            <w:pPr>
              <w:jc w:val="right"/>
              <w:rPr>
                <w:sz w:val="20"/>
                <w:szCs w:val="20"/>
              </w:rPr>
            </w:pPr>
            <w:r>
              <w:rPr>
                <w:sz w:val="20"/>
                <w:szCs w:val="20"/>
              </w:rPr>
              <w:t>14,7</w:t>
            </w:r>
          </w:p>
        </w:tc>
        <w:tc>
          <w:tcPr>
            <w:tcW w:w="725" w:type="pct"/>
            <w:tcBorders>
              <w:top w:val="single" w:sz="4" w:space="0" w:color="auto"/>
            </w:tcBorders>
            <w:shd w:val="clear" w:color="auto" w:fill="auto"/>
            <w:vAlign w:val="center"/>
          </w:tcPr>
          <w:p w14:paraId="6A6F937F" w14:textId="6C9F6441" w:rsidR="0059256C" w:rsidRPr="00765192" w:rsidRDefault="008B7FE8" w:rsidP="001D543F">
            <w:pPr>
              <w:jc w:val="right"/>
              <w:rPr>
                <w:sz w:val="20"/>
                <w:szCs w:val="20"/>
              </w:rPr>
            </w:pPr>
            <w:r>
              <w:rPr>
                <w:sz w:val="20"/>
                <w:szCs w:val="20"/>
              </w:rPr>
              <w:t>1,5</w:t>
            </w:r>
          </w:p>
        </w:tc>
        <w:tc>
          <w:tcPr>
            <w:tcW w:w="968" w:type="pct"/>
            <w:tcBorders>
              <w:top w:val="single" w:sz="4" w:space="0" w:color="auto"/>
            </w:tcBorders>
            <w:shd w:val="clear" w:color="auto" w:fill="auto"/>
            <w:vAlign w:val="center"/>
          </w:tcPr>
          <w:p w14:paraId="557A605A" w14:textId="39D61231" w:rsidR="0059256C" w:rsidRPr="00765192" w:rsidRDefault="008B7FE8" w:rsidP="001D543F">
            <w:pPr>
              <w:jc w:val="right"/>
              <w:rPr>
                <w:sz w:val="20"/>
                <w:szCs w:val="20"/>
              </w:rPr>
            </w:pPr>
            <w:r>
              <w:rPr>
                <w:sz w:val="20"/>
                <w:szCs w:val="20"/>
              </w:rPr>
              <w:t>4</w:t>
            </w:r>
            <w:r w:rsidR="0059256C" w:rsidRPr="00765192">
              <w:rPr>
                <w:sz w:val="20"/>
                <w:szCs w:val="20"/>
              </w:rPr>
              <w:t>,4</w:t>
            </w:r>
          </w:p>
        </w:tc>
      </w:tr>
      <w:tr w:rsidR="0059256C" w:rsidRPr="00765192" w14:paraId="033E58BA" w14:textId="77777777" w:rsidTr="00A115E4">
        <w:trPr>
          <w:trHeight w:val="113"/>
        </w:trPr>
        <w:tc>
          <w:tcPr>
            <w:tcW w:w="1533" w:type="pct"/>
            <w:vAlign w:val="center"/>
          </w:tcPr>
          <w:p w14:paraId="750F790C" w14:textId="77777777" w:rsidR="0059256C" w:rsidRPr="00765192" w:rsidRDefault="0059256C" w:rsidP="001D543F">
            <w:pPr>
              <w:rPr>
                <w:sz w:val="20"/>
                <w:szCs w:val="20"/>
              </w:rPr>
            </w:pPr>
            <w:r w:rsidRPr="00765192">
              <w:rPr>
                <w:sz w:val="20"/>
                <w:szCs w:val="20"/>
              </w:rPr>
              <w:t>Komunikačná infraštruktúra</w:t>
            </w:r>
          </w:p>
        </w:tc>
        <w:tc>
          <w:tcPr>
            <w:tcW w:w="1774" w:type="pct"/>
            <w:shd w:val="clear" w:color="auto" w:fill="auto"/>
            <w:vAlign w:val="center"/>
          </w:tcPr>
          <w:p w14:paraId="6DA3B7BE" w14:textId="6484AFF3" w:rsidR="0059256C" w:rsidRPr="00765192" w:rsidRDefault="008B7FE8" w:rsidP="001D543F">
            <w:pPr>
              <w:jc w:val="right"/>
              <w:rPr>
                <w:sz w:val="20"/>
                <w:szCs w:val="20"/>
              </w:rPr>
            </w:pPr>
            <w:r>
              <w:rPr>
                <w:sz w:val="20"/>
                <w:szCs w:val="20"/>
              </w:rPr>
              <w:t>47,9</w:t>
            </w:r>
          </w:p>
        </w:tc>
        <w:tc>
          <w:tcPr>
            <w:tcW w:w="725" w:type="pct"/>
            <w:shd w:val="clear" w:color="auto" w:fill="auto"/>
            <w:vAlign w:val="center"/>
          </w:tcPr>
          <w:p w14:paraId="3CCCF3ED" w14:textId="515EE86D" w:rsidR="0059256C" w:rsidRPr="00765192" w:rsidRDefault="0059256C" w:rsidP="001D543F">
            <w:pPr>
              <w:jc w:val="right"/>
              <w:rPr>
                <w:sz w:val="20"/>
                <w:szCs w:val="20"/>
              </w:rPr>
            </w:pPr>
            <w:r w:rsidRPr="00765192">
              <w:rPr>
                <w:sz w:val="20"/>
                <w:szCs w:val="20"/>
              </w:rPr>
              <w:t>4,</w:t>
            </w:r>
            <w:r w:rsidR="008B7FE8">
              <w:rPr>
                <w:sz w:val="20"/>
                <w:szCs w:val="20"/>
              </w:rPr>
              <w:t>8</w:t>
            </w:r>
          </w:p>
        </w:tc>
        <w:tc>
          <w:tcPr>
            <w:tcW w:w="968" w:type="pct"/>
            <w:shd w:val="clear" w:color="auto" w:fill="auto"/>
            <w:vAlign w:val="center"/>
          </w:tcPr>
          <w:p w14:paraId="1DB6A756" w14:textId="41076DB2" w:rsidR="0059256C" w:rsidRPr="00765192" w:rsidRDefault="008B7FE8" w:rsidP="001D543F">
            <w:pPr>
              <w:jc w:val="right"/>
              <w:rPr>
                <w:sz w:val="20"/>
                <w:szCs w:val="20"/>
              </w:rPr>
            </w:pPr>
            <w:r>
              <w:rPr>
                <w:sz w:val="20"/>
                <w:szCs w:val="20"/>
              </w:rPr>
              <w:t>14,4</w:t>
            </w:r>
          </w:p>
        </w:tc>
      </w:tr>
      <w:tr w:rsidR="0059256C" w:rsidRPr="00765192" w14:paraId="7C9B43DE" w14:textId="77777777" w:rsidTr="00A115E4">
        <w:trPr>
          <w:trHeight w:val="113"/>
        </w:trPr>
        <w:tc>
          <w:tcPr>
            <w:tcW w:w="1533" w:type="pct"/>
            <w:tcBorders>
              <w:bottom w:val="single" w:sz="4" w:space="0" w:color="auto"/>
            </w:tcBorders>
            <w:vAlign w:val="center"/>
          </w:tcPr>
          <w:p w14:paraId="09DE79D1" w14:textId="77777777" w:rsidR="0059256C" w:rsidRPr="00765192" w:rsidRDefault="0059256C" w:rsidP="001D543F">
            <w:pPr>
              <w:rPr>
                <w:b/>
                <w:sz w:val="20"/>
                <w:szCs w:val="20"/>
              </w:rPr>
            </w:pPr>
            <w:r w:rsidRPr="00765192">
              <w:rPr>
                <w:b/>
                <w:sz w:val="20"/>
                <w:szCs w:val="20"/>
              </w:rPr>
              <w:t>Celkom</w:t>
            </w:r>
          </w:p>
        </w:tc>
        <w:tc>
          <w:tcPr>
            <w:tcW w:w="1774" w:type="pct"/>
            <w:tcBorders>
              <w:bottom w:val="single" w:sz="4" w:space="0" w:color="auto"/>
            </w:tcBorders>
            <w:shd w:val="clear" w:color="auto" w:fill="auto"/>
            <w:vAlign w:val="center"/>
          </w:tcPr>
          <w:p w14:paraId="36F3FAC8" w14:textId="5508262C" w:rsidR="0059256C" w:rsidRPr="00765192" w:rsidRDefault="008B7FE8" w:rsidP="001D543F">
            <w:pPr>
              <w:jc w:val="right"/>
              <w:rPr>
                <w:b/>
                <w:sz w:val="20"/>
                <w:szCs w:val="20"/>
              </w:rPr>
            </w:pPr>
            <w:r>
              <w:rPr>
                <w:b/>
                <w:sz w:val="20"/>
                <w:szCs w:val="20"/>
              </w:rPr>
              <w:t>62,6</w:t>
            </w:r>
          </w:p>
        </w:tc>
        <w:tc>
          <w:tcPr>
            <w:tcW w:w="725" w:type="pct"/>
            <w:tcBorders>
              <w:bottom w:val="single" w:sz="4" w:space="0" w:color="auto"/>
            </w:tcBorders>
            <w:shd w:val="clear" w:color="auto" w:fill="auto"/>
            <w:vAlign w:val="center"/>
          </w:tcPr>
          <w:p w14:paraId="48E88970" w14:textId="34AD3E07" w:rsidR="0059256C" w:rsidRPr="00765192" w:rsidRDefault="008B7FE8" w:rsidP="001D543F">
            <w:pPr>
              <w:jc w:val="right"/>
              <w:rPr>
                <w:b/>
                <w:sz w:val="20"/>
                <w:szCs w:val="20"/>
              </w:rPr>
            </w:pPr>
            <w:r>
              <w:rPr>
                <w:b/>
                <w:sz w:val="20"/>
                <w:szCs w:val="20"/>
              </w:rPr>
              <w:t>6,3</w:t>
            </w:r>
          </w:p>
        </w:tc>
        <w:tc>
          <w:tcPr>
            <w:tcW w:w="968" w:type="pct"/>
            <w:tcBorders>
              <w:bottom w:val="single" w:sz="4" w:space="0" w:color="auto"/>
            </w:tcBorders>
            <w:shd w:val="clear" w:color="auto" w:fill="auto"/>
            <w:vAlign w:val="center"/>
          </w:tcPr>
          <w:p w14:paraId="1BED607C" w14:textId="7531566D" w:rsidR="0059256C" w:rsidRPr="00765192" w:rsidRDefault="008B7FE8" w:rsidP="001D543F">
            <w:pPr>
              <w:jc w:val="right"/>
              <w:rPr>
                <w:b/>
                <w:sz w:val="20"/>
                <w:szCs w:val="20"/>
              </w:rPr>
            </w:pPr>
            <w:r>
              <w:rPr>
                <w:b/>
                <w:sz w:val="20"/>
                <w:szCs w:val="20"/>
              </w:rPr>
              <w:t>18,8</w:t>
            </w:r>
          </w:p>
        </w:tc>
      </w:tr>
      <w:tr w:rsidR="0059256C" w:rsidRPr="00765192" w14:paraId="0DAAA98B" w14:textId="77777777" w:rsidTr="001D543F">
        <w:trPr>
          <w:trHeight w:val="267"/>
        </w:trPr>
        <w:tc>
          <w:tcPr>
            <w:tcW w:w="1533" w:type="pct"/>
            <w:tcBorders>
              <w:top w:val="single" w:sz="4" w:space="0" w:color="auto"/>
            </w:tcBorders>
            <w:vAlign w:val="center"/>
          </w:tcPr>
          <w:p w14:paraId="6B879F25" w14:textId="77777777" w:rsidR="0059256C" w:rsidRPr="00765192" w:rsidRDefault="0059256C" w:rsidP="001D543F">
            <w:pPr>
              <w:rPr>
                <w:b/>
                <w:sz w:val="20"/>
                <w:szCs w:val="20"/>
              </w:rPr>
            </w:pPr>
          </w:p>
        </w:tc>
        <w:tc>
          <w:tcPr>
            <w:tcW w:w="1774" w:type="pct"/>
            <w:tcBorders>
              <w:top w:val="single" w:sz="4" w:space="0" w:color="auto"/>
            </w:tcBorders>
            <w:shd w:val="clear" w:color="auto" w:fill="auto"/>
            <w:vAlign w:val="center"/>
          </w:tcPr>
          <w:p w14:paraId="4CF14640" w14:textId="77777777" w:rsidR="0059256C" w:rsidRPr="00765192" w:rsidRDefault="0059256C" w:rsidP="001D543F">
            <w:pPr>
              <w:jc w:val="center"/>
              <w:rPr>
                <w:b/>
                <w:sz w:val="20"/>
                <w:szCs w:val="20"/>
              </w:rPr>
            </w:pPr>
          </w:p>
        </w:tc>
        <w:tc>
          <w:tcPr>
            <w:tcW w:w="1693" w:type="pct"/>
            <w:gridSpan w:val="2"/>
            <w:tcBorders>
              <w:top w:val="single" w:sz="4" w:space="0" w:color="auto"/>
            </w:tcBorders>
            <w:shd w:val="clear" w:color="auto" w:fill="auto"/>
            <w:vAlign w:val="center"/>
          </w:tcPr>
          <w:p w14:paraId="5F20F02C" w14:textId="77777777" w:rsidR="0059256C" w:rsidRPr="00765192" w:rsidRDefault="0059256C" w:rsidP="001D543F">
            <w:pPr>
              <w:jc w:val="right"/>
              <w:rPr>
                <w:i/>
                <w:sz w:val="18"/>
                <w:szCs w:val="16"/>
              </w:rPr>
            </w:pPr>
            <w:r w:rsidRPr="00765192">
              <w:rPr>
                <w:i/>
                <w:sz w:val="18"/>
                <w:szCs w:val="16"/>
              </w:rPr>
              <w:t>Zdroj: RIS BI, odhad ÚHP</w:t>
            </w:r>
          </w:p>
        </w:tc>
      </w:tr>
    </w:tbl>
    <w:p w14:paraId="67370000" w14:textId="77777777" w:rsidR="005956EB" w:rsidRPr="005956EB" w:rsidRDefault="005956EB" w:rsidP="00A115E4">
      <w:pPr>
        <w:spacing w:before="120" w:after="120"/>
      </w:pPr>
      <w:r>
        <w:lastRenderedPageBreak/>
        <w:t xml:space="preserve">Prvým krokom k zníženiu cien telekomunikačných služieb je analýza existujúcich zmlúv a stanovenie referenčných cenových limitov telekomunikačných služieb, ktoré nemôžu byť pri nákupe prekročené. Cenový limit je stanovený na úrovni najlacnejšej zmluvy. </w:t>
      </w:r>
      <w:r w:rsidR="00B65F4A">
        <w:t xml:space="preserve">Dodatočnú úsporu je vytvorením centrálnych rámcových zmlúv s viacerými dodávateľmi, ktoré pre porovnateľné úrady obstarávajú služby v pravidelných aukciách. Nutným predpokladom efektivity centrálnych zmlúv je stanovenie skupín úradov tak, aby neboli znevýhodnení lokálni dodávatelia, ktorí môžu pre úzku skupinu subjektov poskytnúť výhodnejšie ceny a podmienky, ako dodávateľ pokrývajúci celé územie SR. </w:t>
      </w:r>
    </w:p>
    <w:p w14:paraId="4407FD48" w14:textId="77777777" w:rsidR="008F3FE0" w:rsidRPr="008F3FE0" w:rsidRDefault="00BB639B" w:rsidP="00EF3255">
      <w:pPr>
        <w:pStyle w:val="Odsekzoznamu"/>
        <w:numPr>
          <w:ilvl w:val="0"/>
          <w:numId w:val="17"/>
        </w:numPr>
        <w:spacing w:before="120" w:after="120"/>
        <w:rPr>
          <w:b/>
        </w:rPr>
      </w:pPr>
      <w:r>
        <w:rPr>
          <w:b/>
        </w:rPr>
        <w:t xml:space="preserve">Opatrenie: </w:t>
      </w:r>
      <w:r w:rsidR="00EF3255" w:rsidRPr="00EF3255">
        <w:rPr>
          <w:b/>
        </w:rPr>
        <w:t>Zvýšiť efektivitu nákupu telekomunikačných služieb.</w:t>
      </w:r>
    </w:p>
    <w:p w14:paraId="018C819C" w14:textId="77777777" w:rsidR="007E77BF" w:rsidRDefault="007E77BF" w:rsidP="00A115E4">
      <w:pPr>
        <w:pStyle w:val="Nadpis3"/>
        <w:numPr>
          <w:ilvl w:val="1"/>
          <w:numId w:val="1"/>
        </w:numPr>
        <w:spacing w:before="120" w:after="120"/>
      </w:pPr>
      <w:bookmarkStart w:id="154" w:name="_Toc31112801"/>
      <w:bookmarkStart w:id="155" w:name="_Toc31113794"/>
      <w:bookmarkStart w:id="156" w:name="_Toc31438995"/>
      <w:bookmarkStart w:id="157" w:name="_Toc31441182"/>
      <w:bookmarkStart w:id="158" w:name="_Toc31112802"/>
      <w:bookmarkStart w:id="159" w:name="_Toc31113795"/>
      <w:bookmarkStart w:id="160" w:name="_Toc31438996"/>
      <w:bookmarkStart w:id="161" w:name="_Toc31441183"/>
      <w:bookmarkStart w:id="162" w:name="_Toc35602788"/>
      <w:bookmarkEnd w:id="154"/>
      <w:bookmarkEnd w:id="155"/>
      <w:bookmarkEnd w:id="156"/>
      <w:bookmarkEnd w:id="157"/>
      <w:bookmarkEnd w:id="158"/>
      <w:bookmarkEnd w:id="159"/>
      <w:bookmarkEnd w:id="160"/>
      <w:bookmarkEnd w:id="161"/>
      <w:r>
        <w:t>Efektívna prevádzka vládneho cloudu</w:t>
      </w:r>
      <w:bookmarkEnd w:id="162"/>
    </w:p>
    <w:p w14:paraId="0654F7F8" w14:textId="00CD832C" w:rsidR="001E65EF" w:rsidRDefault="007E77BF" w:rsidP="00A115E4">
      <w:pPr>
        <w:spacing w:before="120" w:after="120"/>
      </w:pPr>
      <w:r>
        <w:rPr>
          <w:b/>
        </w:rPr>
        <w:t xml:space="preserve">Náklady na prevádzku a rozvoj vládneho cloudu majú počas najbližších 10 rokov dosiahnuť </w:t>
      </w:r>
      <w:r w:rsidR="00E46436">
        <w:rPr>
          <w:b/>
        </w:rPr>
        <w:t>160,8</w:t>
      </w:r>
      <w:r w:rsidR="00BD758F">
        <w:rPr>
          <w:b/>
        </w:rPr>
        <w:t xml:space="preserve"> mil. eur</w:t>
      </w:r>
      <w:r w:rsidR="00BD758F">
        <w:rPr>
          <w:rStyle w:val="Odkaznapoznmkupodiarou"/>
          <w:b/>
        </w:rPr>
        <w:footnoteReference w:id="45"/>
      </w:r>
      <w:r w:rsidR="009B070C">
        <w:rPr>
          <w:b/>
        </w:rPr>
        <w:t xml:space="preserve">. Bez zmeny prevádzkového modelu existuje riziko, že cloud neprinesie dostatočné úspory v porovnaní s inými alternatívami. </w:t>
      </w:r>
      <w:r w:rsidR="009B070C">
        <w:t>Centralizácia prevádzky IS vo vládnom cloude má byť</w:t>
      </w:r>
      <w:r w:rsidR="00201D3A">
        <w:t xml:space="preserve"> podľa NKIVS</w:t>
      </w:r>
      <w:r w:rsidR="009B070C">
        <w:t xml:space="preserve"> ekonomicky efektívnejšia, ako decentralizovaný nákup HW </w:t>
      </w:r>
      <w:r w:rsidR="001E65EF">
        <w:t>jednotlivými úradmi</w:t>
      </w:r>
      <w:r w:rsidR="009B070C">
        <w:t>.</w:t>
      </w:r>
      <w:r w:rsidR="001E65EF">
        <w:t xml:space="preserve"> V praxi neprechádzajú kapacitné požiadavky úradov dostatočným testom potrebnosti</w:t>
      </w:r>
      <w:r w:rsidR="00201D3A">
        <w:t>, čo vytvára riziko vytvorenia príliš veľkých kapacít v cloude, ktoré nebudú v praxi využité v súlade s pôvodnými predpokladmi</w:t>
      </w:r>
      <w:r w:rsidR="001E65EF">
        <w:t xml:space="preserve">. Údaje o reálnom využití alokovaných kapacít nie sú dostupné. </w:t>
      </w:r>
      <w:r w:rsidR="001E65EF" w:rsidRPr="00A115E4">
        <w:t>Existuje riziko, že teoretické prínosy z centralizácie prevádzky vo vládnom cloude nebudú v praxi naplnené.</w:t>
      </w:r>
    </w:p>
    <w:p w14:paraId="04B9A4B7" w14:textId="5AF8CAB9" w:rsidR="002F71BD" w:rsidRDefault="000D0D6C" w:rsidP="002F71BD">
      <w:pPr>
        <w:spacing w:before="120" w:after="120"/>
      </w:pPr>
      <w:r>
        <w:rPr>
          <w:b/>
        </w:rPr>
        <w:t xml:space="preserve">Cieľom je znížiť náklady na prevádzku systémov nasadených vo vládnom cloude najmenej o 18,8-27,1 mil. eur </w:t>
      </w:r>
      <w:r w:rsidR="002F71BD">
        <w:t>Cieľom NKIVS je znížiť  obstarávacie a prevádzkové náklady ISVS po nasadení do vládneho cloudu o 10 %. Podľa ekonomickej analýzy na rozširovanie vládneho cloudu na Kopčianskej a v Tajove</w:t>
      </w:r>
      <w:r w:rsidR="002F71BD">
        <w:rPr>
          <w:rStyle w:val="Odkaznapoznmkupodiarou"/>
        </w:rPr>
        <w:footnoteReference w:id="46"/>
      </w:r>
      <w:r w:rsidR="002F71BD">
        <w:t xml:space="preserve"> úspora z centrálneho nákupu a prevádzky infraštruktúry</w:t>
      </w:r>
      <w:r w:rsidR="007162BB">
        <w:t xml:space="preserve"> dosahuje úroveň 27,1 mil. eur a</w:t>
      </w:r>
      <w:r w:rsidR="002F71BD">
        <w:t xml:space="preserve"> </w:t>
      </w:r>
      <w:r w:rsidR="007613CB">
        <w:t>prevyšuje očakávanú úsporu definovanú v NKIVS</w:t>
      </w:r>
      <w:r w:rsidR="002F71BD">
        <w:t>. Na dosiahnutie deklarovan</w:t>
      </w:r>
      <w:r w:rsidR="007162BB">
        <w:t xml:space="preserve">ej úspory </w:t>
      </w:r>
      <w:r w:rsidR="002F71BD">
        <w:t>je potrebné zefektívniť prevádzku a rozvoj vládneho cloudu.</w:t>
      </w:r>
    </w:p>
    <w:p w14:paraId="60F0A141" w14:textId="1AAD9BDE" w:rsidR="002F71BD" w:rsidRPr="00B62ABE" w:rsidRDefault="002F71BD" w:rsidP="002F71BD">
      <w:pPr>
        <w:spacing w:before="120" w:after="0"/>
        <w:rPr>
          <w:b/>
        </w:rPr>
      </w:pPr>
      <w:r w:rsidRPr="00B62ABE">
        <w:rPr>
          <w:b/>
        </w:rPr>
        <w:t xml:space="preserve">Tabuľka </w:t>
      </w:r>
      <w:r w:rsidR="004177D6">
        <w:rPr>
          <w:b/>
        </w:rPr>
        <w:t>1</w:t>
      </w:r>
      <w:r w:rsidR="003326DF">
        <w:rPr>
          <w:b/>
        </w:rPr>
        <w:t>8</w:t>
      </w:r>
      <w:r w:rsidRPr="00B62ABE">
        <w:rPr>
          <w:b/>
        </w:rPr>
        <w:t>: Potenciálna úspora z prevádzky IS vo vládnom cloude</w:t>
      </w:r>
    </w:p>
    <w:tbl>
      <w:tblPr>
        <w:tblW w:w="9072" w:type="dxa"/>
        <w:tblCellMar>
          <w:left w:w="70" w:type="dxa"/>
          <w:right w:w="70" w:type="dxa"/>
        </w:tblCellMar>
        <w:tblLook w:val="04A0" w:firstRow="1" w:lastRow="0" w:firstColumn="1" w:lastColumn="0" w:noHBand="0" w:noVBand="1"/>
      </w:tblPr>
      <w:tblGrid>
        <w:gridCol w:w="4499"/>
        <w:gridCol w:w="1841"/>
        <w:gridCol w:w="1144"/>
        <w:gridCol w:w="1588"/>
      </w:tblGrid>
      <w:tr w:rsidR="002F71BD" w:rsidRPr="002F71BD" w14:paraId="69E4A67E" w14:textId="77777777" w:rsidTr="007162BB">
        <w:trPr>
          <w:trHeight w:val="20"/>
        </w:trPr>
        <w:tc>
          <w:tcPr>
            <w:tcW w:w="4499" w:type="dxa"/>
            <w:tcBorders>
              <w:top w:val="single" w:sz="4" w:space="0" w:color="auto"/>
              <w:left w:val="nil"/>
              <w:bottom w:val="single" w:sz="4" w:space="0" w:color="auto"/>
              <w:right w:val="nil"/>
            </w:tcBorders>
            <w:shd w:val="clear" w:color="auto" w:fill="auto"/>
            <w:noWrap/>
            <w:vAlign w:val="bottom"/>
            <w:hideMark/>
          </w:tcPr>
          <w:p w14:paraId="0A6731F4" w14:textId="77777777" w:rsidR="002F71BD" w:rsidRPr="002F71BD" w:rsidRDefault="002F71BD" w:rsidP="00AB6C6F">
            <w:pPr>
              <w:spacing w:after="0" w:line="240" w:lineRule="auto"/>
              <w:jc w:val="left"/>
              <w:rPr>
                <w:rFonts w:eastAsia="Times New Roman" w:cs="Times New Roman"/>
                <w:b/>
                <w:bCs/>
                <w:color w:val="000000"/>
                <w:lang w:eastAsia="sk-SK"/>
              </w:rPr>
            </w:pPr>
            <w:r w:rsidRPr="002F71BD">
              <w:rPr>
                <w:rFonts w:eastAsia="Times New Roman" w:cs="Times New Roman"/>
                <w:b/>
                <w:bCs/>
                <w:color w:val="000000"/>
                <w:lang w:eastAsia="sk-SK"/>
              </w:rPr>
              <w:t>Položka</w:t>
            </w:r>
          </w:p>
        </w:tc>
        <w:tc>
          <w:tcPr>
            <w:tcW w:w="1841" w:type="dxa"/>
            <w:tcBorders>
              <w:top w:val="single" w:sz="4" w:space="0" w:color="auto"/>
              <w:left w:val="nil"/>
              <w:bottom w:val="single" w:sz="4" w:space="0" w:color="auto"/>
              <w:right w:val="nil"/>
            </w:tcBorders>
            <w:shd w:val="clear" w:color="auto" w:fill="auto"/>
            <w:noWrap/>
            <w:vAlign w:val="bottom"/>
            <w:hideMark/>
          </w:tcPr>
          <w:p w14:paraId="33F41EE7" w14:textId="77777777" w:rsidR="002F71BD" w:rsidRPr="002F71BD" w:rsidRDefault="002F71BD" w:rsidP="00AB6C6F">
            <w:pPr>
              <w:spacing w:after="0" w:line="240" w:lineRule="auto"/>
              <w:jc w:val="center"/>
              <w:rPr>
                <w:rFonts w:eastAsia="Times New Roman" w:cs="Times New Roman"/>
                <w:b/>
                <w:bCs/>
                <w:color w:val="000000"/>
                <w:lang w:eastAsia="sk-SK"/>
              </w:rPr>
            </w:pPr>
            <w:r w:rsidRPr="002F71BD">
              <w:rPr>
                <w:rFonts w:eastAsia="Times New Roman" w:cs="Times New Roman"/>
                <w:b/>
                <w:bCs/>
                <w:color w:val="000000"/>
                <w:lang w:eastAsia="sk-SK"/>
              </w:rPr>
              <w:t>DC Kopčianska</w:t>
            </w:r>
          </w:p>
        </w:tc>
        <w:tc>
          <w:tcPr>
            <w:tcW w:w="1144" w:type="dxa"/>
            <w:tcBorders>
              <w:top w:val="single" w:sz="4" w:space="0" w:color="auto"/>
              <w:left w:val="nil"/>
              <w:bottom w:val="single" w:sz="4" w:space="0" w:color="auto"/>
              <w:right w:val="nil"/>
            </w:tcBorders>
            <w:shd w:val="clear" w:color="auto" w:fill="auto"/>
            <w:noWrap/>
            <w:vAlign w:val="bottom"/>
            <w:hideMark/>
          </w:tcPr>
          <w:p w14:paraId="375265C6" w14:textId="77777777" w:rsidR="002F71BD" w:rsidRPr="002F71BD" w:rsidRDefault="002F71BD" w:rsidP="00AB6C6F">
            <w:pPr>
              <w:spacing w:after="0" w:line="240" w:lineRule="auto"/>
              <w:jc w:val="center"/>
              <w:rPr>
                <w:rFonts w:eastAsia="Times New Roman" w:cs="Times New Roman"/>
                <w:b/>
                <w:bCs/>
                <w:color w:val="000000"/>
                <w:lang w:eastAsia="sk-SK"/>
              </w:rPr>
            </w:pPr>
            <w:r w:rsidRPr="002F71BD">
              <w:rPr>
                <w:rFonts w:eastAsia="Times New Roman" w:cs="Times New Roman"/>
                <w:b/>
                <w:bCs/>
                <w:color w:val="000000"/>
                <w:lang w:eastAsia="sk-SK"/>
              </w:rPr>
              <w:t>DC Tajov</w:t>
            </w:r>
          </w:p>
        </w:tc>
        <w:tc>
          <w:tcPr>
            <w:tcW w:w="1588" w:type="dxa"/>
            <w:tcBorders>
              <w:top w:val="single" w:sz="4" w:space="0" w:color="auto"/>
              <w:left w:val="nil"/>
              <w:bottom w:val="single" w:sz="4" w:space="0" w:color="auto"/>
              <w:right w:val="nil"/>
            </w:tcBorders>
            <w:shd w:val="clear" w:color="auto" w:fill="auto"/>
            <w:noWrap/>
            <w:vAlign w:val="bottom"/>
            <w:hideMark/>
          </w:tcPr>
          <w:p w14:paraId="6F173F4F" w14:textId="77777777" w:rsidR="002F71BD" w:rsidRPr="002F71BD" w:rsidRDefault="002F71BD" w:rsidP="00AB6C6F">
            <w:pPr>
              <w:spacing w:after="0" w:line="240" w:lineRule="auto"/>
              <w:jc w:val="center"/>
              <w:rPr>
                <w:rFonts w:eastAsia="Times New Roman" w:cs="Times New Roman"/>
                <w:b/>
                <w:bCs/>
                <w:color w:val="000000"/>
                <w:lang w:eastAsia="sk-SK"/>
              </w:rPr>
            </w:pPr>
            <w:r w:rsidRPr="002F71BD">
              <w:rPr>
                <w:rFonts w:eastAsia="Times New Roman" w:cs="Times New Roman"/>
                <w:b/>
                <w:bCs/>
                <w:color w:val="000000"/>
                <w:lang w:eastAsia="sk-SK"/>
              </w:rPr>
              <w:t>Spolu</w:t>
            </w:r>
          </w:p>
        </w:tc>
      </w:tr>
      <w:tr w:rsidR="000D4ECB" w:rsidRPr="002F71BD" w14:paraId="2130E2F7" w14:textId="77777777" w:rsidTr="007162BB">
        <w:trPr>
          <w:trHeight w:val="20"/>
        </w:trPr>
        <w:tc>
          <w:tcPr>
            <w:tcW w:w="4499" w:type="dxa"/>
            <w:tcBorders>
              <w:top w:val="nil"/>
              <w:left w:val="nil"/>
              <w:bottom w:val="nil"/>
              <w:right w:val="nil"/>
            </w:tcBorders>
            <w:shd w:val="clear" w:color="auto" w:fill="auto"/>
            <w:noWrap/>
            <w:vAlign w:val="bottom"/>
            <w:hideMark/>
          </w:tcPr>
          <w:p w14:paraId="03D42617" w14:textId="77777777" w:rsidR="000D4ECB" w:rsidRPr="002F71BD" w:rsidRDefault="000D4ECB" w:rsidP="000D4ECB">
            <w:pPr>
              <w:spacing w:after="0" w:line="240" w:lineRule="auto"/>
              <w:jc w:val="left"/>
              <w:rPr>
                <w:rFonts w:eastAsia="Times New Roman" w:cs="Times New Roman"/>
                <w:color w:val="000000"/>
                <w:lang w:eastAsia="sk-SK"/>
              </w:rPr>
            </w:pPr>
            <w:r w:rsidRPr="002F71BD">
              <w:rPr>
                <w:rFonts w:eastAsia="Times New Roman" w:cs="Times New Roman"/>
                <w:color w:val="000000"/>
                <w:lang w:eastAsia="sk-SK"/>
              </w:rPr>
              <w:t>Náklady na IaaS vo vládnom cloude</w:t>
            </w:r>
            <w:r w:rsidR="007162BB">
              <w:rPr>
                <w:rFonts w:eastAsia="Times New Roman" w:cs="Times New Roman"/>
                <w:color w:val="000000"/>
                <w:lang w:eastAsia="sk-SK"/>
              </w:rPr>
              <w:t xml:space="preserve"> </w:t>
            </w:r>
            <w:r w:rsidR="007162BB" w:rsidRPr="007162BB">
              <w:rPr>
                <w:rFonts w:eastAsia="Times New Roman" w:cs="Times New Roman"/>
                <w:bCs/>
                <w:color w:val="000000"/>
                <w:lang w:eastAsia="sk-SK"/>
              </w:rPr>
              <w:t>(mil. eur)</w:t>
            </w:r>
          </w:p>
        </w:tc>
        <w:tc>
          <w:tcPr>
            <w:tcW w:w="1841" w:type="dxa"/>
            <w:tcBorders>
              <w:top w:val="nil"/>
              <w:left w:val="nil"/>
              <w:bottom w:val="nil"/>
              <w:right w:val="nil"/>
            </w:tcBorders>
            <w:shd w:val="clear" w:color="auto" w:fill="auto"/>
            <w:noWrap/>
            <w:vAlign w:val="bottom"/>
            <w:hideMark/>
          </w:tcPr>
          <w:p w14:paraId="7CC5EC8F" w14:textId="77777777" w:rsidR="000D4ECB" w:rsidRPr="002F71BD" w:rsidRDefault="000D4ECB" w:rsidP="000D4ECB">
            <w:pPr>
              <w:spacing w:after="0" w:line="240" w:lineRule="auto"/>
              <w:jc w:val="center"/>
              <w:rPr>
                <w:rFonts w:eastAsia="Times New Roman" w:cs="Times New Roman"/>
                <w:color w:val="000000"/>
                <w:lang w:eastAsia="sk-SK"/>
              </w:rPr>
            </w:pPr>
            <w:r>
              <w:rPr>
                <w:rFonts w:eastAsia="Times New Roman" w:cs="Times New Roman"/>
                <w:color w:val="000000"/>
                <w:lang w:eastAsia="sk-SK"/>
              </w:rPr>
              <w:t>82,3</w:t>
            </w:r>
          </w:p>
        </w:tc>
        <w:tc>
          <w:tcPr>
            <w:tcW w:w="1144" w:type="dxa"/>
            <w:tcBorders>
              <w:top w:val="nil"/>
              <w:left w:val="nil"/>
              <w:bottom w:val="nil"/>
              <w:right w:val="nil"/>
            </w:tcBorders>
            <w:shd w:val="clear" w:color="auto" w:fill="auto"/>
            <w:noWrap/>
            <w:vAlign w:val="bottom"/>
            <w:hideMark/>
          </w:tcPr>
          <w:p w14:paraId="50113098" w14:textId="77777777" w:rsidR="000D4ECB" w:rsidRPr="002F71BD" w:rsidRDefault="000D4ECB" w:rsidP="000D4ECB">
            <w:pPr>
              <w:spacing w:after="0" w:line="240" w:lineRule="auto"/>
              <w:jc w:val="center"/>
              <w:rPr>
                <w:rFonts w:eastAsia="Times New Roman" w:cs="Times New Roman"/>
                <w:color w:val="000000"/>
                <w:lang w:eastAsia="sk-SK"/>
              </w:rPr>
            </w:pPr>
            <w:r>
              <w:rPr>
                <w:rFonts w:eastAsia="Times New Roman" w:cs="Times New Roman"/>
                <w:color w:val="000000"/>
                <w:lang w:eastAsia="sk-SK"/>
              </w:rPr>
              <w:t>78,5</w:t>
            </w:r>
          </w:p>
        </w:tc>
        <w:tc>
          <w:tcPr>
            <w:tcW w:w="1588" w:type="dxa"/>
            <w:tcBorders>
              <w:top w:val="nil"/>
              <w:left w:val="nil"/>
              <w:bottom w:val="nil"/>
              <w:right w:val="nil"/>
            </w:tcBorders>
            <w:shd w:val="clear" w:color="auto" w:fill="auto"/>
            <w:noWrap/>
            <w:vAlign w:val="bottom"/>
            <w:hideMark/>
          </w:tcPr>
          <w:p w14:paraId="3E8220CB" w14:textId="77777777" w:rsidR="000D4ECB" w:rsidRPr="002F71BD" w:rsidRDefault="000D4ECB" w:rsidP="000D4ECB">
            <w:pPr>
              <w:spacing w:after="0" w:line="240" w:lineRule="auto"/>
              <w:jc w:val="center"/>
              <w:rPr>
                <w:rFonts w:eastAsia="Times New Roman" w:cs="Times New Roman"/>
                <w:color w:val="000000"/>
                <w:lang w:eastAsia="sk-SK"/>
              </w:rPr>
            </w:pPr>
            <w:r>
              <w:rPr>
                <w:rFonts w:eastAsia="Times New Roman" w:cs="Times New Roman"/>
                <w:color w:val="000000"/>
                <w:lang w:eastAsia="sk-SK"/>
              </w:rPr>
              <w:t>160,8</w:t>
            </w:r>
          </w:p>
        </w:tc>
      </w:tr>
      <w:tr w:rsidR="000D4ECB" w:rsidRPr="002F71BD" w14:paraId="18C05715" w14:textId="77777777" w:rsidTr="007162BB">
        <w:trPr>
          <w:trHeight w:val="20"/>
        </w:trPr>
        <w:tc>
          <w:tcPr>
            <w:tcW w:w="4499" w:type="dxa"/>
            <w:tcBorders>
              <w:top w:val="nil"/>
              <w:left w:val="nil"/>
              <w:bottom w:val="nil"/>
              <w:right w:val="nil"/>
            </w:tcBorders>
            <w:shd w:val="clear" w:color="auto" w:fill="auto"/>
            <w:noWrap/>
            <w:vAlign w:val="bottom"/>
            <w:hideMark/>
          </w:tcPr>
          <w:p w14:paraId="6B7FE1B0" w14:textId="77777777" w:rsidR="000D4ECB" w:rsidRPr="002F71BD" w:rsidRDefault="000D4ECB" w:rsidP="000D4ECB">
            <w:pPr>
              <w:spacing w:after="0" w:line="240" w:lineRule="auto"/>
              <w:jc w:val="left"/>
              <w:rPr>
                <w:rFonts w:eastAsia="Times New Roman" w:cs="Times New Roman"/>
                <w:color w:val="000000"/>
                <w:lang w:eastAsia="sk-SK"/>
              </w:rPr>
            </w:pPr>
            <w:r w:rsidRPr="002F71BD">
              <w:rPr>
                <w:rFonts w:eastAsia="Times New Roman" w:cs="Times New Roman"/>
                <w:color w:val="000000"/>
                <w:lang w:eastAsia="sk-SK"/>
              </w:rPr>
              <w:t>Náklady pri individuálnom nákupe</w:t>
            </w:r>
            <w:r w:rsidR="007162BB">
              <w:rPr>
                <w:rFonts w:eastAsia="Times New Roman" w:cs="Times New Roman"/>
                <w:color w:val="000000"/>
                <w:lang w:eastAsia="sk-SK"/>
              </w:rPr>
              <w:t xml:space="preserve"> </w:t>
            </w:r>
            <w:r w:rsidR="007162BB" w:rsidRPr="007162BB">
              <w:rPr>
                <w:rFonts w:eastAsia="Times New Roman" w:cs="Times New Roman"/>
                <w:bCs/>
                <w:color w:val="000000"/>
                <w:lang w:eastAsia="sk-SK"/>
              </w:rPr>
              <w:t>(mil. eur)</w:t>
            </w:r>
          </w:p>
        </w:tc>
        <w:tc>
          <w:tcPr>
            <w:tcW w:w="1841" w:type="dxa"/>
            <w:tcBorders>
              <w:top w:val="nil"/>
              <w:left w:val="nil"/>
              <w:bottom w:val="nil"/>
              <w:right w:val="nil"/>
            </w:tcBorders>
            <w:shd w:val="clear" w:color="auto" w:fill="auto"/>
            <w:noWrap/>
            <w:vAlign w:val="bottom"/>
            <w:hideMark/>
          </w:tcPr>
          <w:p w14:paraId="2402137A" w14:textId="77777777" w:rsidR="000D4ECB" w:rsidRPr="002F71BD" w:rsidRDefault="000D4ECB" w:rsidP="000D4ECB">
            <w:pPr>
              <w:spacing w:after="0" w:line="240" w:lineRule="auto"/>
              <w:jc w:val="center"/>
              <w:rPr>
                <w:rFonts w:eastAsia="Times New Roman" w:cs="Times New Roman"/>
                <w:color w:val="000000"/>
                <w:lang w:eastAsia="sk-SK"/>
              </w:rPr>
            </w:pPr>
            <w:r>
              <w:rPr>
                <w:rFonts w:eastAsia="Times New Roman" w:cs="Times New Roman"/>
                <w:color w:val="000000"/>
                <w:lang w:eastAsia="sk-SK"/>
              </w:rPr>
              <w:t>90,0</w:t>
            </w:r>
          </w:p>
        </w:tc>
        <w:tc>
          <w:tcPr>
            <w:tcW w:w="1144" w:type="dxa"/>
            <w:tcBorders>
              <w:top w:val="nil"/>
              <w:left w:val="nil"/>
              <w:bottom w:val="nil"/>
              <w:right w:val="nil"/>
            </w:tcBorders>
            <w:shd w:val="clear" w:color="auto" w:fill="auto"/>
            <w:noWrap/>
            <w:vAlign w:val="bottom"/>
            <w:hideMark/>
          </w:tcPr>
          <w:p w14:paraId="7EB1F094" w14:textId="77777777" w:rsidR="000D4ECB" w:rsidRPr="002F71BD" w:rsidRDefault="000D4ECB" w:rsidP="000D4ECB">
            <w:pPr>
              <w:spacing w:after="0" w:line="240" w:lineRule="auto"/>
              <w:jc w:val="center"/>
              <w:rPr>
                <w:rFonts w:eastAsia="Times New Roman" w:cs="Times New Roman"/>
                <w:color w:val="000000"/>
                <w:lang w:eastAsia="sk-SK"/>
              </w:rPr>
            </w:pPr>
            <w:r>
              <w:rPr>
                <w:rFonts w:eastAsia="Times New Roman" w:cs="Times New Roman"/>
                <w:color w:val="000000"/>
                <w:lang w:eastAsia="sk-SK"/>
              </w:rPr>
              <w:t>97,9</w:t>
            </w:r>
          </w:p>
        </w:tc>
        <w:tc>
          <w:tcPr>
            <w:tcW w:w="1588" w:type="dxa"/>
            <w:tcBorders>
              <w:top w:val="nil"/>
              <w:left w:val="nil"/>
              <w:bottom w:val="nil"/>
              <w:right w:val="nil"/>
            </w:tcBorders>
            <w:shd w:val="clear" w:color="auto" w:fill="auto"/>
            <w:noWrap/>
            <w:vAlign w:val="bottom"/>
            <w:hideMark/>
          </w:tcPr>
          <w:p w14:paraId="0B6765FD" w14:textId="77777777" w:rsidR="000D4ECB" w:rsidRPr="002F71BD" w:rsidRDefault="000D4ECB" w:rsidP="000D4ECB">
            <w:pPr>
              <w:spacing w:after="0" w:line="240" w:lineRule="auto"/>
              <w:jc w:val="center"/>
              <w:rPr>
                <w:rFonts w:eastAsia="Times New Roman" w:cs="Times New Roman"/>
                <w:color w:val="000000"/>
                <w:lang w:eastAsia="sk-SK"/>
              </w:rPr>
            </w:pPr>
            <w:r>
              <w:rPr>
                <w:rFonts w:eastAsia="Times New Roman" w:cs="Times New Roman"/>
                <w:color w:val="000000"/>
                <w:lang w:eastAsia="sk-SK"/>
              </w:rPr>
              <w:t>187,9</w:t>
            </w:r>
          </w:p>
        </w:tc>
      </w:tr>
      <w:tr w:rsidR="000D4ECB" w:rsidRPr="002F71BD" w14:paraId="39958BCE" w14:textId="77777777" w:rsidTr="007162BB">
        <w:trPr>
          <w:trHeight w:val="20"/>
        </w:trPr>
        <w:tc>
          <w:tcPr>
            <w:tcW w:w="4499" w:type="dxa"/>
            <w:tcBorders>
              <w:top w:val="nil"/>
              <w:left w:val="nil"/>
              <w:bottom w:val="nil"/>
              <w:right w:val="nil"/>
            </w:tcBorders>
            <w:shd w:val="clear" w:color="auto" w:fill="auto"/>
            <w:noWrap/>
            <w:vAlign w:val="bottom"/>
            <w:hideMark/>
          </w:tcPr>
          <w:p w14:paraId="25D96EA3" w14:textId="77777777" w:rsidR="000D4ECB" w:rsidRPr="002F71BD" w:rsidRDefault="000D4ECB" w:rsidP="000D4ECB">
            <w:pPr>
              <w:spacing w:after="0" w:line="240" w:lineRule="auto"/>
              <w:jc w:val="left"/>
              <w:rPr>
                <w:rFonts w:eastAsia="Times New Roman" w:cs="Times New Roman"/>
                <w:color w:val="000000"/>
                <w:lang w:eastAsia="sk-SK"/>
              </w:rPr>
            </w:pPr>
            <w:r w:rsidRPr="002F71BD">
              <w:rPr>
                <w:rFonts w:eastAsia="Times New Roman" w:cs="Times New Roman"/>
                <w:color w:val="000000"/>
                <w:lang w:eastAsia="sk-SK"/>
              </w:rPr>
              <w:t>Úspora podľa CBA</w:t>
            </w:r>
          </w:p>
        </w:tc>
        <w:tc>
          <w:tcPr>
            <w:tcW w:w="1841" w:type="dxa"/>
            <w:tcBorders>
              <w:top w:val="nil"/>
              <w:left w:val="nil"/>
              <w:bottom w:val="nil"/>
              <w:right w:val="nil"/>
            </w:tcBorders>
            <w:shd w:val="clear" w:color="auto" w:fill="auto"/>
            <w:noWrap/>
            <w:vAlign w:val="bottom"/>
            <w:hideMark/>
          </w:tcPr>
          <w:p w14:paraId="21762AEC" w14:textId="77777777" w:rsidR="000D4ECB" w:rsidRPr="002F71BD" w:rsidRDefault="000D4ECB" w:rsidP="000D4ECB">
            <w:pPr>
              <w:spacing w:after="0" w:line="240" w:lineRule="auto"/>
              <w:jc w:val="center"/>
              <w:rPr>
                <w:rFonts w:eastAsia="Times New Roman" w:cs="Times New Roman"/>
                <w:color w:val="000000"/>
                <w:lang w:eastAsia="sk-SK"/>
              </w:rPr>
            </w:pPr>
            <w:r w:rsidRPr="002F71BD">
              <w:rPr>
                <w:rFonts w:eastAsia="Times New Roman" w:cs="Times New Roman"/>
                <w:color w:val="000000"/>
                <w:lang w:eastAsia="sk-SK"/>
              </w:rPr>
              <w:t>-</w:t>
            </w:r>
            <w:r>
              <w:rPr>
                <w:rFonts w:eastAsia="Times New Roman" w:cs="Times New Roman"/>
                <w:color w:val="000000"/>
                <w:lang w:eastAsia="sk-SK"/>
              </w:rPr>
              <w:t>8,5</w:t>
            </w:r>
            <w:r w:rsidRPr="002F71BD">
              <w:rPr>
                <w:rFonts w:eastAsia="Times New Roman" w:cs="Times New Roman"/>
                <w:color w:val="000000"/>
                <w:lang w:eastAsia="sk-SK"/>
              </w:rPr>
              <w:t>%</w:t>
            </w:r>
          </w:p>
        </w:tc>
        <w:tc>
          <w:tcPr>
            <w:tcW w:w="1144" w:type="dxa"/>
            <w:tcBorders>
              <w:top w:val="nil"/>
              <w:left w:val="nil"/>
              <w:bottom w:val="nil"/>
              <w:right w:val="nil"/>
            </w:tcBorders>
            <w:shd w:val="clear" w:color="auto" w:fill="auto"/>
            <w:noWrap/>
            <w:vAlign w:val="bottom"/>
            <w:hideMark/>
          </w:tcPr>
          <w:p w14:paraId="4D59730E" w14:textId="77777777" w:rsidR="000D4ECB" w:rsidRPr="002F71BD" w:rsidRDefault="000D4ECB" w:rsidP="000D4ECB">
            <w:pPr>
              <w:spacing w:after="0" w:line="240" w:lineRule="auto"/>
              <w:jc w:val="center"/>
              <w:rPr>
                <w:rFonts w:eastAsia="Times New Roman" w:cs="Times New Roman"/>
                <w:color w:val="000000"/>
                <w:lang w:eastAsia="sk-SK"/>
              </w:rPr>
            </w:pPr>
            <w:r>
              <w:rPr>
                <w:rFonts w:eastAsia="Times New Roman" w:cs="Times New Roman"/>
                <w:color w:val="000000"/>
                <w:lang w:eastAsia="sk-SK"/>
              </w:rPr>
              <w:t>-19,8</w:t>
            </w:r>
            <w:r w:rsidRPr="002F71BD">
              <w:rPr>
                <w:rFonts w:eastAsia="Times New Roman" w:cs="Times New Roman"/>
                <w:color w:val="000000"/>
                <w:lang w:eastAsia="sk-SK"/>
              </w:rPr>
              <w:t>%</w:t>
            </w:r>
          </w:p>
        </w:tc>
        <w:tc>
          <w:tcPr>
            <w:tcW w:w="1588" w:type="dxa"/>
            <w:tcBorders>
              <w:top w:val="nil"/>
              <w:left w:val="nil"/>
              <w:bottom w:val="nil"/>
              <w:right w:val="nil"/>
            </w:tcBorders>
            <w:shd w:val="clear" w:color="auto" w:fill="auto"/>
            <w:noWrap/>
            <w:vAlign w:val="bottom"/>
            <w:hideMark/>
          </w:tcPr>
          <w:p w14:paraId="7B9FB952" w14:textId="77777777" w:rsidR="000D4ECB" w:rsidRPr="002F71BD" w:rsidRDefault="000D4ECB" w:rsidP="000D4ECB">
            <w:pPr>
              <w:spacing w:after="0" w:line="240" w:lineRule="auto"/>
              <w:jc w:val="center"/>
              <w:rPr>
                <w:rFonts w:eastAsia="Times New Roman" w:cs="Times New Roman"/>
                <w:color w:val="000000"/>
                <w:lang w:eastAsia="sk-SK"/>
              </w:rPr>
            </w:pPr>
            <w:r>
              <w:rPr>
                <w:rFonts w:eastAsia="Times New Roman" w:cs="Times New Roman"/>
                <w:color w:val="000000"/>
                <w:lang w:eastAsia="sk-SK"/>
              </w:rPr>
              <w:t>-14,4%</w:t>
            </w:r>
          </w:p>
        </w:tc>
      </w:tr>
      <w:tr w:rsidR="000D4ECB" w:rsidRPr="002F71BD" w14:paraId="2E396DE5" w14:textId="77777777" w:rsidTr="007162BB">
        <w:trPr>
          <w:trHeight w:val="20"/>
        </w:trPr>
        <w:tc>
          <w:tcPr>
            <w:tcW w:w="4499" w:type="dxa"/>
            <w:tcBorders>
              <w:top w:val="nil"/>
              <w:left w:val="nil"/>
              <w:bottom w:val="nil"/>
              <w:right w:val="nil"/>
            </w:tcBorders>
            <w:shd w:val="clear" w:color="auto" w:fill="auto"/>
            <w:noWrap/>
            <w:vAlign w:val="bottom"/>
            <w:hideMark/>
          </w:tcPr>
          <w:p w14:paraId="392131FB" w14:textId="77777777" w:rsidR="000D4ECB" w:rsidRPr="002F71BD" w:rsidRDefault="000D4ECB" w:rsidP="000D4ECB">
            <w:pPr>
              <w:spacing w:after="0" w:line="240" w:lineRule="auto"/>
              <w:jc w:val="left"/>
              <w:rPr>
                <w:rFonts w:eastAsia="Times New Roman" w:cs="Times New Roman"/>
                <w:color w:val="000000"/>
                <w:lang w:eastAsia="sk-SK"/>
              </w:rPr>
            </w:pPr>
            <w:r w:rsidRPr="002F71BD">
              <w:rPr>
                <w:rFonts w:eastAsia="Times New Roman" w:cs="Times New Roman"/>
                <w:color w:val="000000"/>
                <w:lang w:eastAsia="sk-SK"/>
              </w:rPr>
              <w:t>Úspora podľa NKIVS</w:t>
            </w:r>
          </w:p>
        </w:tc>
        <w:tc>
          <w:tcPr>
            <w:tcW w:w="1841" w:type="dxa"/>
            <w:tcBorders>
              <w:top w:val="nil"/>
              <w:left w:val="nil"/>
              <w:bottom w:val="nil"/>
              <w:right w:val="nil"/>
            </w:tcBorders>
            <w:shd w:val="clear" w:color="auto" w:fill="auto"/>
            <w:noWrap/>
            <w:vAlign w:val="bottom"/>
            <w:hideMark/>
          </w:tcPr>
          <w:p w14:paraId="49874359" w14:textId="77777777" w:rsidR="000D4ECB" w:rsidRPr="002F71BD" w:rsidRDefault="007162BB" w:rsidP="000D4ECB">
            <w:pPr>
              <w:spacing w:after="0" w:line="240" w:lineRule="auto"/>
              <w:jc w:val="center"/>
              <w:rPr>
                <w:rFonts w:eastAsia="Times New Roman" w:cs="Times New Roman"/>
                <w:color w:val="000000"/>
                <w:lang w:eastAsia="sk-SK"/>
              </w:rPr>
            </w:pPr>
            <w:r>
              <w:rPr>
                <w:rFonts w:eastAsia="Times New Roman" w:cs="Times New Roman"/>
                <w:color w:val="000000"/>
                <w:lang w:eastAsia="sk-SK"/>
              </w:rPr>
              <w:t>-</w:t>
            </w:r>
            <w:r w:rsidR="000D4ECB" w:rsidRPr="002F71BD">
              <w:rPr>
                <w:rFonts w:eastAsia="Times New Roman" w:cs="Times New Roman"/>
                <w:color w:val="000000"/>
                <w:lang w:eastAsia="sk-SK"/>
              </w:rPr>
              <w:t>10,0%</w:t>
            </w:r>
          </w:p>
        </w:tc>
        <w:tc>
          <w:tcPr>
            <w:tcW w:w="1144" w:type="dxa"/>
            <w:tcBorders>
              <w:top w:val="nil"/>
              <w:left w:val="nil"/>
              <w:bottom w:val="nil"/>
              <w:right w:val="nil"/>
            </w:tcBorders>
            <w:shd w:val="clear" w:color="auto" w:fill="auto"/>
            <w:noWrap/>
            <w:vAlign w:val="bottom"/>
            <w:hideMark/>
          </w:tcPr>
          <w:p w14:paraId="652F8D03" w14:textId="77777777" w:rsidR="000D4ECB" w:rsidRPr="002F71BD" w:rsidRDefault="007162BB" w:rsidP="000D4ECB">
            <w:pPr>
              <w:spacing w:after="0" w:line="240" w:lineRule="auto"/>
              <w:jc w:val="center"/>
              <w:rPr>
                <w:rFonts w:eastAsia="Times New Roman" w:cs="Times New Roman"/>
                <w:color w:val="000000"/>
                <w:lang w:eastAsia="sk-SK"/>
              </w:rPr>
            </w:pPr>
            <w:r>
              <w:rPr>
                <w:rFonts w:eastAsia="Times New Roman" w:cs="Times New Roman"/>
                <w:color w:val="000000"/>
                <w:lang w:eastAsia="sk-SK"/>
              </w:rPr>
              <w:t>-</w:t>
            </w:r>
            <w:r w:rsidR="000D4ECB" w:rsidRPr="002F71BD">
              <w:rPr>
                <w:rFonts w:eastAsia="Times New Roman" w:cs="Times New Roman"/>
                <w:color w:val="000000"/>
                <w:lang w:eastAsia="sk-SK"/>
              </w:rPr>
              <w:t>10,0%</w:t>
            </w:r>
          </w:p>
        </w:tc>
        <w:tc>
          <w:tcPr>
            <w:tcW w:w="1588" w:type="dxa"/>
            <w:tcBorders>
              <w:top w:val="nil"/>
              <w:left w:val="nil"/>
              <w:bottom w:val="nil"/>
              <w:right w:val="nil"/>
            </w:tcBorders>
            <w:shd w:val="clear" w:color="auto" w:fill="auto"/>
            <w:noWrap/>
            <w:vAlign w:val="bottom"/>
            <w:hideMark/>
          </w:tcPr>
          <w:p w14:paraId="6C41AA91" w14:textId="77777777" w:rsidR="000D4ECB" w:rsidRPr="002F71BD" w:rsidRDefault="007162BB" w:rsidP="000D4ECB">
            <w:pPr>
              <w:spacing w:after="0" w:line="240" w:lineRule="auto"/>
              <w:jc w:val="center"/>
              <w:rPr>
                <w:rFonts w:eastAsia="Times New Roman" w:cs="Times New Roman"/>
                <w:color w:val="000000"/>
                <w:lang w:eastAsia="sk-SK"/>
              </w:rPr>
            </w:pPr>
            <w:r>
              <w:rPr>
                <w:rFonts w:eastAsia="Times New Roman" w:cs="Times New Roman"/>
                <w:color w:val="000000"/>
                <w:lang w:eastAsia="sk-SK"/>
              </w:rPr>
              <w:t>-</w:t>
            </w:r>
            <w:r w:rsidR="000D4ECB" w:rsidRPr="002F71BD">
              <w:rPr>
                <w:rFonts w:eastAsia="Times New Roman" w:cs="Times New Roman"/>
                <w:color w:val="000000"/>
                <w:lang w:eastAsia="sk-SK"/>
              </w:rPr>
              <w:t>10,0%</w:t>
            </w:r>
          </w:p>
        </w:tc>
      </w:tr>
      <w:tr w:rsidR="007162BB" w:rsidRPr="002F71BD" w14:paraId="44528DA5" w14:textId="77777777" w:rsidTr="007162BB">
        <w:trPr>
          <w:trHeight w:val="20"/>
        </w:trPr>
        <w:tc>
          <w:tcPr>
            <w:tcW w:w="4499" w:type="dxa"/>
            <w:tcBorders>
              <w:top w:val="nil"/>
              <w:left w:val="nil"/>
              <w:right w:val="nil"/>
            </w:tcBorders>
            <w:shd w:val="clear" w:color="auto" w:fill="auto"/>
            <w:noWrap/>
            <w:vAlign w:val="bottom"/>
            <w:hideMark/>
          </w:tcPr>
          <w:p w14:paraId="26DE187A" w14:textId="5ECD7CCB" w:rsidR="007162BB" w:rsidRPr="002F71BD" w:rsidRDefault="007162BB" w:rsidP="007162BB">
            <w:pPr>
              <w:spacing w:after="0" w:line="240" w:lineRule="auto"/>
              <w:jc w:val="left"/>
              <w:rPr>
                <w:rFonts w:eastAsia="Times New Roman" w:cs="Times New Roman"/>
                <w:b/>
                <w:bCs/>
                <w:color w:val="000000"/>
                <w:lang w:eastAsia="sk-SK"/>
              </w:rPr>
            </w:pPr>
            <w:r>
              <w:rPr>
                <w:rFonts w:eastAsia="Times New Roman" w:cs="Times New Roman"/>
                <w:b/>
                <w:bCs/>
                <w:color w:val="000000"/>
                <w:lang w:eastAsia="sk-SK"/>
              </w:rPr>
              <w:t>Úspora podľa CBA (mil. eur)</w:t>
            </w:r>
          </w:p>
        </w:tc>
        <w:tc>
          <w:tcPr>
            <w:tcW w:w="1841" w:type="dxa"/>
            <w:tcBorders>
              <w:top w:val="nil"/>
              <w:left w:val="nil"/>
              <w:right w:val="nil"/>
            </w:tcBorders>
            <w:shd w:val="clear" w:color="auto" w:fill="auto"/>
            <w:noWrap/>
            <w:vAlign w:val="bottom"/>
          </w:tcPr>
          <w:p w14:paraId="315DCB1A" w14:textId="0C39631F" w:rsidR="007162BB" w:rsidRPr="002F71BD" w:rsidRDefault="007162BB" w:rsidP="007162BB">
            <w:pPr>
              <w:spacing w:after="0" w:line="240" w:lineRule="auto"/>
              <w:jc w:val="center"/>
              <w:rPr>
                <w:rFonts w:eastAsia="Times New Roman" w:cs="Times New Roman"/>
                <w:b/>
                <w:bCs/>
                <w:color w:val="000000"/>
                <w:lang w:eastAsia="sk-SK"/>
              </w:rPr>
            </w:pPr>
            <w:r>
              <w:rPr>
                <w:rFonts w:eastAsia="Times New Roman" w:cs="Times New Roman"/>
                <w:b/>
                <w:bCs/>
                <w:color w:val="000000"/>
                <w:lang w:eastAsia="sk-SK"/>
              </w:rPr>
              <w:t>7,7</w:t>
            </w:r>
          </w:p>
        </w:tc>
        <w:tc>
          <w:tcPr>
            <w:tcW w:w="1144" w:type="dxa"/>
            <w:tcBorders>
              <w:top w:val="nil"/>
              <w:left w:val="nil"/>
              <w:right w:val="nil"/>
            </w:tcBorders>
            <w:shd w:val="clear" w:color="auto" w:fill="auto"/>
            <w:noWrap/>
            <w:vAlign w:val="bottom"/>
          </w:tcPr>
          <w:p w14:paraId="7645628F" w14:textId="109C5AE8" w:rsidR="007162BB" w:rsidRPr="002F71BD" w:rsidRDefault="007162BB" w:rsidP="007162BB">
            <w:pPr>
              <w:spacing w:after="0" w:line="240" w:lineRule="auto"/>
              <w:jc w:val="center"/>
              <w:rPr>
                <w:rFonts w:eastAsia="Times New Roman" w:cs="Times New Roman"/>
                <w:b/>
                <w:bCs/>
                <w:color w:val="000000"/>
                <w:lang w:eastAsia="sk-SK"/>
              </w:rPr>
            </w:pPr>
            <w:r>
              <w:rPr>
                <w:rFonts w:eastAsia="Times New Roman" w:cs="Times New Roman"/>
                <w:b/>
                <w:bCs/>
                <w:color w:val="000000"/>
                <w:lang w:eastAsia="sk-SK"/>
              </w:rPr>
              <w:t>19,4</w:t>
            </w:r>
          </w:p>
        </w:tc>
        <w:tc>
          <w:tcPr>
            <w:tcW w:w="1588" w:type="dxa"/>
            <w:tcBorders>
              <w:top w:val="nil"/>
              <w:left w:val="nil"/>
              <w:right w:val="nil"/>
            </w:tcBorders>
            <w:shd w:val="clear" w:color="auto" w:fill="auto"/>
            <w:noWrap/>
            <w:vAlign w:val="bottom"/>
          </w:tcPr>
          <w:p w14:paraId="5EE2F80A" w14:textId="59582410" w:rsidR="007162BB" w:rsidRPr="002F71BD" w:rsidRDefault="007162BB" w:rsidP="007162BB">
            <w:pPr>
              <w:spacing w:after="0" w:line="240" w:lineRule="auto"/>
              <w:jc w:val="center"/>
              <w:rPr>
                <w:rFonts w:eastAsia="Times New Roman" w:cs="Times New Roman"/>
                <w:b/>
                <w:bCs/>
                <w:color w:val="000000"/>
                <w:lang w:eastAsia="sk-SK"/>
              </w:rPr>
            </w:pPr>
            <w:r>
              <w:rPr>
                <w:rFonts w:eastAsia="Times New Roman" w:cs="Times New Roman"/>
                <w:b/>
                <w:bCs/>
                <w:color w:val="000000"/>
                <w:lang w:eastAsia="sk-SK"/>
              </w:rPr>
              <w:t>27,1</w:t>
            </w:r>
          </w:p>
        </w:tc>
      </w:tr>
      <w:tr w:rsidR="007162BB" w:rsidRPr="002F71BD" w14:paraId="587422D8" w14:textId="77777777" w:rsidTr="007162BB">
        <w:trPr>
          <w:trHeight w:val="20"/>
        </w:trPr>
        <w:tc>
          <w:tcPr>
            <w:tcW w:w="4499" w:type="dxa"/>
            <w:tcBorders>
              <w:top w:val="nil"/>
              <w:left w:val="nil"/>
              <w:bottom w:val="single" w:sz="4" w:space="0" w:color="auto"/>
              <w:right w:val="nil"/>
            </w:tcBorders>
            <w:shd w:val="clear" w:color="auto" w:fill="auto"/>
            <w:noWrap/>
            <w:vAlign w:val="bottom"/>
          </w:tcPr>
          <w:p w14:paraId="2E10D001" w14:textId="77777777" w:rsidR="007162BB" w:rsidRPr="002F71BD" w:rsidRDefault="007162BB" w:rsidP="007162BB">
            <w:pPr>
              <w:spacing w:after="0" w:line="240" w:lineRule="auto"/>
              <w:jc w:val="left"/>
              <w:rPr>
                <w:rFonts w:eastAsia="Times New Roman" w:cs="Times New Roman"/>
                <w:b/>
                <w:bCs/>
                <w:color w:val="000000"/>
                <w:lang w:eastAsia="sk-SK"/>
              </w:rPr>
            </w:pPr>
            <w:r>
              <w:rPr>
                <w:rFonts w:eastAsia="Times New Roman" w:cs="Times New Roman"/>
                <w:b/>
                <w:bCs/>
                <w:color w:val="000000"/>
                <w:lang w:eastAsia="sk-SK"/>
              </w:rPr>
              <w:t>Ú</w:t>
            </w:r>
            <w:r w:rsidRPr="002F71BD">
              <w:rPr>
                <w:rFonts w:eastAsia="Times New Roman" w:cs="Times New Roman"/>
                <w:b/>
                <w:bCs/>
                <w:color w:val="000000"/>
                <w:lang w:eastAsia="sk-SK"/>
              </w:rPr>
              <w:t>spora</w:t>
            </w:r>
            <w:r>
              <w:rPr>
                <w:rFonts w:eastAsia="Times New Roman" w:cs="Times New Roman"/>
                <w:b/>
                <w:bCs/>
                <w:color w:val="000000"/>
                <w:lang w:eastAsia="sk-SK"/>
              </w:rPr>
              <w:t xml:space="preserve"> NKIVS (mil. eur)</w:t>
            </w:r>
          </w:p>
        </w:tc>
        <w:tc>
          <w:tcPr>
            <w:tcW w:w="1841" w:type="dxa"/>
            <w:tcBorders>
              <w:top w:val="nil"/>
              <w:left w:val="nil"/>
              <w:bottom w:val="single" w:sz="4" w:space="0" w:color="auto"/>
              <w:right w:val="nil"/>
            </w:tcBorders>
            <w:shd w:val="clear" w:color="auto" w:fill="auto"/>
            <w:noWrap/>
            <w:vAlign w:val="bottom"/>
          </w:tcPr>
          <w:p w14:paraId="560880C4" w14:textId="77777777" w:rsidR="007162BB" w:rsidRPr="002F71BD" w:rsidDel="005315FF" w:rsidRDefault="007162BB" w:rsidP="007162BB">
            <w:pPr>
              <w:spacing w:after="0" w:line="240" w:lineRule="auto"/>
              <w:jc w:val="center"/>
              <w:rPr>
                <w:rFonts w:eastAsia="Times New Roman" w:cs="Times New Roman"/>
                <w:b/>
                <w:bCs/>
                <w:color w:val="000000"/>
                <w:lang w:eastAsia="sk-SK"/>
              </w:rPr>
            </w:pPr>
            <w:r>
              <w:rPr>
                <w:rFonts w:eastAsia="Times New Roman" w:cs="Times New Roman"/>
                <w:b/>
                <w:bCs/>
                <w:color w:val="000000"/>
                <w:lang w:eastAsia="sk-SK"/>
              </w:rPr>
              <w:t>9,0</w:t>
            </w:r>
          </w:p>
        </w:tc>
        <w:tc>
          <w:tcPr>
            <w:tcW w:w="1144" w:type="dxa"/>
            <w:tcBorders>
              <w:top w:val="nil"/>
              <w:left w:val="nil"/>
              <w:bottom w:val="single" w:sz="4" w:space="0" w:color="auto"/>
              <w:right w:val="nil"/>
            </w:tcBorders>
            <w:shd w:val="clear" w:color="auto" w:fill="auto"/>
            <w:noWrap/>
            <w:vAlign w:val="bottom"/>
          </w:tcPr>
          <w:p w14:paraId="1F40C735" w14:textId="77777777" w:rsidR="007162BB" w:rsidRPr="002F71BD" w:rsidDel="005315FF" w:rsidRDefault="007162BB" w:rsidP="007162BB">
            <w:pPr>
              <w:spacing w:after="0" w:line="240" w:lineRule="auto"/>
              <w:jc w:val="center"/>
              <w:rPr>
                <w:rFonts w:eastAsia="Times New Roman" w:cs="Times New Roman"/>
                <w:b/>
                <w:bCs/>
                <w:color w:val="000000"/>
                <w:lang w:eastAsia="sk-SK"/>
              </w:rPr>
            </w:pPr>
            <w:r>
              <w:rPr>
                <w:rFonts w:eastAsia="Times New Roman" w:cs="Times New Roman"/>
                <w:b/>
                <w:bCs/>
                <w:color w:val="000000"/>
                <w:lang w:eastAsia="sk-SK"/>
              </w:rPr>
              <w:t>9,8</w:t>
            </w:r>
          </w:p>
        </w:tc>
        <w:tc>
          <w:tcPr>
            <w:tcW w:w="1588" w:type="dxa"/>
            <w:tcBorders>
              <w:top w:val="nil"/>
              <w:left w:val="nil"/>
              <w:bottom w:val="single" w:sz="4" w:space="0" w:color="auto"/>
              <w:right w:val="nil"/>
            </w:tcBorders>
            <w:shd w:val="clear" w:color="auto" w:fill="auto"/>
            <w:noWrap/>
            <w:vAlign w:val="bottom"/>
          </w:tcPr>
          <w:p w14:paraId="1326F43A" w14:textId="77777777" w:rsidR="007162BB" w:rsidRPr="002F71BD" w:rsidDel="005315FF" w:rsidRDefault="007162BB" w:rsidP="007162BB">
            <w:pPr>
              <w:spacing w:after="0" w:line="240" w:lineRule="auto"/>
              <w:jc w:val="center"/>
              <w:rPr>
                <w:rFonts w:eastAsia="Times New Roman" w:cs="Times New Roman"/>
                <w:b/>
                <w:bCs/>
                <w:color w:val="000000"/>
                <w:lang w:eastAsia="sk-SK"/>
              </w:rPr>
            </w:pPr>
            <w:r>
              <w:rPr>
                <w:rFonts w:eastAsia="Times New Roman" w:cs="Times New Roman"/>
                <w:b/>
                <w:bCs/>
                <w:color w:val="000000"/>
                <w:lang w:eastAsia="sk-SK"/>
              </w:rPr>
              <w:t>18,8</w:t>
            </w:r>
          </w:p>
        </w:tc>
      </w:tr>
      <w:tr w:rsidR="007162BB" w:rsidRPr="002F71BD" w14:paraId="423DCE6B" w14:textId="77777777" w:rsidTr="007162BB">
        <w:trPr>
          <w:trHeight w:val="20"/>
        </w:trPr>
        <w:tc>
          <w:tcPr>
            <w:tcW w:w="9072" w:type="dxa"/>
            <w:gridSpan w:val="4"/>
            <w:tcBorders>
              <w:top w:val="single" w:sz="4" w:space="0" w:color="auto"/>
              <w:left w:val="nil"/>
              <w:bottom w:val="nil"/>
              <w:right w:val="nil"/>
            </w:tcBorders>
            <w:shd w:val="clear" w:color="auto" w:fill="auto"/>
            <w:noWrap/>
            <w:hideMark/>
          </w:tcPr>
          <w:p w14:paraId="7A69A722" w14:textId="77777777" w:rsidR="007162BB" w:rsidRPr="002F71BD" w:rsidRDefault="007162BB" w:rsidP="007162BB">
            <w:pPr>
              <w:spacing w:after="0" w:line="240" w:lineRule="auto"/>
              <w:jc w:val="right"/>
              <w:rPr>
                <w:rFonts w:eastAsia="Times New Roman" w:cs="Times New Roman"/>
                <w:i/>
                <w:iCs/>
                <w:color w:val="000000"/>
                <w:sz w:val="18"/>
                <w:szCs w:val="18"/>
                <w:lang w:eastAsia="sk-SK"/>
              </w:rPr>
            </w:pPr>
            <w:r w:rsidRPr="002F71BD">
              <w:rPr>
                <w:rFonts w:eastAsia="Times New Roman" w:cs="Times New Roman"/>
                <w:i/>
                <w:iCs/>
                <w:color w:val="000000"/>
                <w:sz w:val="18"/>
                <w:szCs w:val="18"/>
                <w:lang w:eastAsia="sk-SK"/>
              </w:rPr>
              <w:t>Zdroj: NKIVS, CBA Projektov DC Tajov a DC Kopčianska, Spracovanie ÚHP</w:t>
            </w:r>
          </w:p>
        </w:tc>
      </w:tr>
    </w:tbl>
    <w:p w14:paraId="5824BD81" w14:textId="256C52FB" w:rsidR="00F914E9" w:rsidRDefault="00F914E9" w:rsidP="00A115E4">
      <w:pPr>
        <w:spacing w:before="120" w:after="120"/>
      </w:pPr>
      <w:r>
        <w:rPr>
          <w:b/>
        </w:rPr>
        <w:t xml:space="preserve">Strategická priorita NKIVS na prevádzku IS celej verejnej správy vo vládnom cloude nemusí byť ekonomicky optimálnou prevádzkovou alternatívou. </w:t>
      </w:r>
      <w:r>
        <w:t>Okrem vládneho cloudu je možné prevádzkovať IS lokálne alebo v komerčných a hybridných cloudoch</w:t>
      </w:r>
      <w:r w:rsidR="00201D3A">
        <w:t xml:space="preserve"> (kombinácia prevádzky aplikácie v</w:t>
      </w:r>
      <w:r w:rsidR="004432FA">
        <w:t> </w:t>
      </w:r>
      <w:r w:rsidR="00201D3A">
        <w:t>privátnom</w:t>
      </w:r>
      <w:r w:rsidR="004432FA">
        <w:t xml:space="preserve"> vládnom</w:t>
      </w:r>
      <w:r w:rsidR="00201D3A">
        <w:t xml:space="preserve"> a komerčnom cloude)</w:t>
      </w:r>
      <w:r>
        <w:t xml:space="preserve">. S migráciou IS do cloudu sú spojené dodatočné náklady. Pre jednotlivé IS je potrebné vyhodnocovať ekonomickú efektívnosť všetkých relevantných prevádzkových modelov. </w:t>
      </w:r>
    </w:p>
    <w:p w14:paraId="1486E784" w14:textId="1141542A" w:rsidR="009E3820" w:rsidRPr="009E3820" w:rsidRDefault="009E3820" w:rsidP="008C5034">
      <w:pPr>
        <w:spacing w:after="0"/>
      </w:pPr>
      <w:r w:rsidRPr="009E3820">
        <w:rPr>
          <w:b/>
        </w:rPr>
        <w:t xml:space="preserve">Tabuľka </w:t>
      </w:r>
      <w:r w:rsidR="004177D6">
        <w:rPr>
          <w:b/>
        </w:rPr>
        <w:t>1</w:t>
      </w:r>
      <w:r w:rsidR="003326DF">
        <w:rPr>
          <w:b/>
        </w:rPr>
        <w:t>9</w:t>
      </w:r>
      <w:r w:rsidRPr="009E3820">
        <w:rPr>
          <w:b/>
        </w:rPr>
        <w:t xml:space="preserve">: Kumulatívne náklady na </w:t>
      </w:r>
      <w:r w:rsidR="008B27F1">
        <w:rPr>
          <w:b/>
        </w:rPr>
        <w:t xml:space="preserve">rozširovanie a </w:t>
      </w:r>
      <w:r w:rsidRPr="009E3820">
        <w:rPr>
          <w:b/>
        </w:rPr>
        <w:t>prevádzku vládneho cloudu</w:t>
      </w:r>
      <w:r w:rsidR="008B27F1">
        <w:rPr>
          <w:b/>
        </w:rPr>
        <w:t xml:space="preserve"> (mil. eur)</w:t>
      </w:r>
    </w:p>
    <w:tbl>
      <w:tblPr>
        <w:tblW w:w="9086" w:type="dxa"/>
        <w:tblCellMar>
          <w:left w:w="70" w:type="dxa"/>
          <w:right w:w="70" w:type="dxa"/>
        </w:tblCellMar>
        <w:tblLook w:val="04A0" w:firstRow="1" w:lastRow="0" w:firstColumn="1" w:lastColumn="0" w:noHBand="0" w:noVBand="1"/>
      </w:tblPr>
      <w:tblGrid>
        <w:gridCol w:w="1914"/>
        <w:gridCol w:w="663"/>
        <w:gridCol w:w="663"/>
        <w:gridCol w:w="663"/>
        <w:gridCol w:w="663"/>
        <w:gridCol w:w="663"/>
        <w:gridCol w:w="663"/>
        <w:gridCol w:w="798"/>
        <w:gridCol w:w="798"/>
        <w:gridCol w:w="798"/>
        <w:gridCol w:w="800"/>
      </w:tblGrid>
      <w:tr w:rsidR="009E3820" w:rsidRPr="009E3820" w14:paraId="0751216A" w14:textId="77777777" w:rsidTr="00E46436">
        <w:trPr>
          <w:trHeight w:val="274"/>
        </w:trPr>
        <w:tc>
          <w:tcPr>
            <w:tcW w:w="1914" w:type="dxa"/>
            <w:tcBorders>
              <w:top w:val="single" w:sz="4" w:space="0" w:color="auto"/>
              <w:left w:val="nil"/>
              <w:bottom w:val="single" w:sz="4" w:space="0" w:color="auto"/>
              <w:right w:val="nil"/>
            </w:tcBorders>
            <w:shd w:val="clear" w:color="auto" w:fill="auto"/>
            <w:noWrap/>
            <w:vAlign w:val="bottom"/>
            <w:hideMark/>
          </w:tcPr>
          <w:p w14:paraId="166C6AC7" w14:textId="77777777" w:rsidR="009E3820" w:rsidRPr="009E3820" w:rsidRDefault="009E3820" w:rsidP="009E3820">
            <w:pPr>
              <w:spacing w:after="0" w:line="240" w:lineRule="auto"/>
              <w:jc w:val="left"/>
              <w:rPr>
                <w:rFonts w:eastAsia="Times New Roman" w:cs="Times New Roman"/>
                <w:b/>
                <w:bCs/>
                <w:color w:val="000000"/>
                <w:lang w:eastAsia="sk-SK"/>
              </w:rPr>
            </w:pPr>
            <w:r w:rsidRPr="009E3820">
              <w:rPr>
                <w:rFonts w:eastAsia="Times New Roman" w:cs="Times New Roman"/>
                <w:b/>
                <w:bCs/>
                <w:color w:val="000000"/>
                <w:lang w:eastAsia="sk-SK"/>
              </w:rPr>
              <w:t>Lokalita</w:t>
            </w:r>
          </w:p>
        </w:tc>
        <w:tc>
          <w:tcPr>
            <w:tcW w:w="663" w:type="dxa"/>
            <w:tcBorders>
              <w:top w:val="single" w:sz="4" w:space="0" w:color="auto"/>
              <w:left w:val="nil"/>
              <w:bottom w:val="single" w:sz="4" w:space="0" w:color="auto"/>
              <w:right w:val="nil"/>
            </w:tcBorders>
            <w:shd w:val="clear" w:color="auto" w:fill="auto"/>
            <w:noWrap/>
            <w:vAlign w:val="bottom"/>
            <w:hideMark/>
          </w:tcPr>
          <w:p w14:paraId="58491421" w14:textId="77777777" w:rsidR="009E3820" w:rsidRPr="009E3820" w:rsidRDefault="009E3820" w:rsidP="009E3820">
            <w:pPr>
              <w:spacing w:after="0" w:line="240" w:lineRule="auto"/>
              <w:jc w:val="center"/>
              <w:rPr>
                <w:rFonts w:eastAsia="Times New Roman" w:cs="Times New Roman"/>
                <w:b/>
                <w:bCs/>
                <w:color w:val="000000"/>
                <w:lang w:eastAsia="sk-SK"/>
              </w:rPr>
            </w:pPr>
            <w:r w:rsidRPr="009E3820">
              <w:rPr>
                <w:rFonts w:eastAsia="Times New Roman" w:cs="Times New Roman"/>
                <w:b/>
                <w:bCs/>
                <w:color w:val="000000"/>
                <w:lang w:eastAsia="sk-SK"/>
              </w:rPr>
              <w:t>t1</w:t>
            </w:r>
          </w:p>
        </w:tc>
        <w:tc>
          <w:tcPr>
            <w:tcW w:w="663" w:type="dxa"/>
            <w:tcBorders>
              <w:top w:val="single" w:sz="4" w:space="0" w:color="auto"/>
              <w:left w:val="nil"/>
              <w:bottom w:val="single" w:sz="4" w:space="0" w:color="auto"/>
              <w:right w:val="nil"/>
            </w:tcBorders>
            <w:shd w:val="clear" w:color="auto" w:fill="auto"/>
            <w:noWrap/>
            <w:vAlign w:val="bottom"/>
            <w:hideMark/>
          </w:tcPr>
          <w:p w14:paraId="06962CE7" w14:textId="77777777" w:rsidR="009E3820" w:rsidRPr="009E3820" w:rsidRDefault="009E3820" w:rsidP="009E3820">
            <w:pPr>
              <w:spacing w:after="0" w:line="240" w:lineRule="auto"/>
              <w:jc w:val="center"/>
              <w:rPr>
                <w:rFonts w:eastAsia="Times New Roman" w:cs="Times New Roman"/>
                <w:b/>
                <w:bCs/>
                <w:color w:val="000000"/>
                <w:lang w:eastAsia="sk-SK"/>
              </w:rPr>
            </w:pPr>
            <w:r w:rsidRPr="009E3820">
              <w:rPr>
                <w:rFonts w:eastAsia="Times New Roman" w:cs="Times New Roman"/>
                <w:b/>
                <w:bCs/>
                <w:color w:val="000000"/>
                <w:lang w:eastAsia="sk-SK"/>
              </w:rPr>
              <w:t>t2</w:t>
            </w:r>
          </w:p>
        </w:tc>
        <w:tc>
          <w:tcPr>
            <w:tcW w:w="663" w:type="dxa"/>
            <w:tcBorders>
              <w:top w:val="single" w:sz="4" w:space="0" w:color="auto"/>
              <w:left w:val="nil"/>
              <w:bottom w:val="single" w:sz="4" w:space="0" w:color="auto"/>
              <w:right w:val="nil"/>
            </w:tcBorders>
            <w:shd w:val="clear" w:color="auto" w:fill="auto"/>
            <w:noWrap/>
            <w:vAlign w:val="bottom"/>
            <w:hideMark/>
          </w:tcPr>
          <w:p w14:paraId="4A455782" w14:textId="77777777" w:rsidR="009E3820" w:rsidRPr="009E3820" w:rsidRDefault="009E3820" w:rsidP="009E3820">
            <w:pPr>
              <w:spacing w:after="0" w:line="240" w:lineRule="auto"/>
              <w:jc w:val="center"/>
              <w:rPr>
                <w:rFonts w:eastAsia="Times New Roman" w:cs="Times New Roman"/>
                <w:b/>
                <w:bCs/>
                <w:color w:val="000000"/>
                <w:lang w:eastAsia="sk-SK"/>
              </w:rPr>
            </w:pPr>
            <w:r w:rsidRPr="009E3820">
              <w:rPr>
                <w:rFonts w:eastAsia="Times New Roman" w:cs="Times New Roman"/>
                <w:b/>
                <w:bCs/>
                <w:color w:val="000000"/>
                <w:lang w:eastAsia="sk-SK"/>
              </w:rPr>
              <w:t>t3</w:t>
            </w:r>
          </w:p>
        </w:tc>
        <w:tc>
          <w:tcPr>
            <w:tcW w:w="663" w:type="dxa"/>
            <w:tcBorders>
              <w:top w:val="single" w:sz="4" w:space="0" w:color="auto"/>
              <w:left w:val="nil"/>
              <w:bottom w:val="single" w:sz="4" w:space="0" w:color="auto"/>
              <w:right w:val="nil"/>
            </w:tcBorders>
            <w:shd w:val="clear" w:color="auto" w:fill="auto"/>
            <w:noWrap/>
            <w:vAlign w:val="bottom"/>
            <w:hideMark/>
          </w:tcPr>
          <w:p w14:paraId="613AFBE7" w14:textId="77777777" w:rsidR="009E3820" w:rsidRPr="009E3820" w:rsidRDefault="009E3820" w:rsidP="009E3820">
            <w:pPr>
              <w:spacing w:after="0" w:line="240" w:lineRule="auto"/>
              <w:jc w:val="center"/>
              <w:rPr>
                <w:rFonts w:eastAsia="Times New Roman" w:cs="Times New Roman"/>
                <w:b/>
                <w:bCs/>
                <w:color w:val="000000"/>
                <w:lang w:eastAsia="sk-SK"/>
              </w:rPr>
            </w:pPr>
            <w:r w:rsidRPr="009E3820">
              <w:rPr>
                <w:rFonts w:eastAsia="Times New Roman" w:cs="Times New Roman"/>
                <w:b/>
                <w:bCs/>
                <w:color w:val="000000"/>
                <w:lang w:eastAsia="sk-SK"/>
              </w:rPr>
              <w:t>t4</w:t>
            </w:r>
          </w:p>
        </w:tc>
        <w:tc>
          <w:tcPr>
            <w:tcW w:w="663" w:type="dxa"/>
            <w:tcBorders>
              <w:top w:val="single" w:sz="4" w:space="0" w:color="auto"/>
              <w:left w:val="nil"/>
              <w:bottom w:val="single" w:sz="4" w:space="0" w:color="auto"/>
              <w:right w:val="nil"/>
            </w:tcBorders>
            <w:shd w:val="clear" w:color="auto" w:fill="auto"/>
            <w:noWrap/>
            <w:vAlign w:val="bottom"/>
            <w:hideMark/>
          </w:tcPr>
          <w:p w14:paraId="2EDEB96A" w14:textId="77777777" w:rsidR="009E3820" w:rsidRPr="009E3820" w:rsidRDefault="009E3820" w:rsidP="009E3820">
            <w:pPr>
              <w:spacing w:after="0" w:line="240" w:lineRule="auto"/>
              <w:jc w:val="center"/>
              <w:rPr>
                <w:rFonts w:eastAsia="Times New Roman" w:cs="Times New Roman"/>
                <w:b/>
                <w:bCs/>
                <w:color w:val="000000"/>
                <w:lang w:eastAsia="sk-SK"/>
              </w:rPr>
            </w:pPr>
            <w:r w:rsidRPr="009E3820">
              <w:rPr>
                <w:rFonts w:eastAsia="Times New Roman" w:cs="Times New Roman"/>
                <w:b/>
                <w:bCs/>
                <w:color w:val="000000"/>
                <w:lang w:eastAsia="sk-SK"/>
              </w:rPr>
              <w:t>t5</w:t>
            </w:r>
          </w:p>
        </w:tc>
        <w:tc>
          <w:tcPr>
            <w:tcW w:w="663" w:type="dxa"/>
            <w:tcBorders>
              <w:top w:val="single" w:sz="4" w:space="0" w:color="auto"/>
              <w:left w:val="nil"/>
              <w:bottom w:val="single" w:sz="4" w:space="0" w:color="auto"/>
              <w:right w:val="nil"/>
            </w:tcBorders>
            <w:shd w:val="clear" w:color="auto" w:fill="auto"/>
            <w:noWrap/>
            <w:vAlign w:val="bottom"/>
            <w:hideMark/>
          </w:tcPr>
          <w:p w14:paraId="317BF1F3" w14:textId="77777777" w:rsidR="009E3820" w:rsidRPr="009E3820" w:rsidRDefault="009E3820" w:rsidP="009E3820">
            <w:pPr>
              <w:spacing w:after="0" w:line="240" w:lineRule="auto"/>
              <w:jc w:val="center"/>
              <w:rPr>
                <w:rFonts w:eastAsia="Times New Roman" w:cs="Times New Roman"/>
                <w:b/>
                <w:bCs/>
                <w:color w:val="000000"/>
                <w:lang w:eastAsia="sk-SK"/>
              </w:rPr>
            </w:pPr>
            <w:r w:rsidRPr="009E3820">
              <w:rPr>
                <w:rFonts w:eastAsia="Times New Roman" w:cs="Times New Roman"/>
                <w:b/>
                <w:bCs/>
                <w:color w:val="000000"/>
                <w:lang w:eastAsia="sk-SK"/>
              </w:rPr>
              <w:t>t6</w:t>
            </w:r>
          </w:p>
        </w:tc>
        <w:tc>
          <w:tcPr>
            <w:tcW w:w="798" w:type="dxa"/>
            <w:tcBorders>
              <w:top w:val="single" w:sz="4" w:space="0" w:color="auto"/>
              <w:left w:val="nil"/>
              <w:bottom w:val="single" w:sz="4" w:space="0" w:color="auto"/>
              <w:right w:val="nil"/>
            </w:tcBorders>
            <w:shd w:val="clear" w:color="auto" w:fill="auto"/>
            <w:noWrap/>
            <w:vAlign w:val="bottom"/>
            <w:hideMark/>
          </w:tcPr>
          <w:p w14:paraId="7AFDB3F7" w14:textId="77777777" w:rsidR="009E3820" w:rsidRPr="009E3820" w:rsidRDefault="009E3820" w:rsidP="009E3820">
            <w:pPr>
              <w:spacing w:after="0" w:line="240" w:lineRule="auto"/>
              <w:jc w:val="center"/>
              <w:rPr>
                <w:rFonts w:eastAsia="Times New Roman" w:cs="Times New Roman"/>
                <w:b/>
                <w:bCs/>
                <w:color w:val="000000"/>
                <w:lang w:eastAsia="sk-SK"/>
              </w:rPr>
            </w:pPr>
            <w:r w:rsidRPr="009E3820">
              <w:rPr>
                <w:rFonts w:eastAsia="Times New Roman" w:cs="Times New Roman"/>
                <w:b/>
                <w:bCs/>
                <w:color w:val="000000"/>
                <w:lang w:eastAsia="sk-SK"/>
              </w:rPr>
              <w:t>t7</w:t>
            </w:r>
          </w:p>
        </w:tc>
        <w:tc>
          <w:tcPr>
            <w:tcW w:w="798" w:type="dxa"/>
            <w:tcBorders>
              <w:top w:val="single" w:sz="4" w:space="0" w:color="auto"/>
              <w:left w:val="nil"/>
              <w:bottom w:val="single" w:sz="4" w:space="0" w:color="auto"/>
              <w:right w:val="nil"/>
            </w:tcBorders>
            <w:shd w:val="clear" w:color="auto" w:fill="auto"/>
            <w:noWrap/>
            <w:vAlign w:val="bottom"/>
            <w:hideMark/>
          </w:tcPr>
          <w:p w14:paraId="71EE0FE0" w14:textId="77777777" w:rsidR="009E3820" w:rsidRPr="009E3820" w:rsidRDefault="009E3820" w:rsidP="009E3820">
            <w:pPr>
              <w:spacing w:after="0" w:line="240" w:lineRule="auto"/>
              <w:jc w:val="center"/>
              <w:rPr>
                <w:rFonts w:eastAsia="Times New Roman" w:cs="Times New Roman"/>
                <w:b/>
                <w:bCs/>
                <w:color w:val="000000"/>
                <w:lang w:eastAsia="sk-SK"/>
              </w:rPr>
            </w:pPr>
            <w:r w:rsidRPr="009E3820">
              <w:rPr>
                <w:rFonts w:eastAsia="Times New Roman" w:cs="Times New Roman"/>
                <w:b/>
                <w:bCs/>
                <w:color w:val="000000"/>
                <w:lang w:eastAsia="sk-SK"/>
              </w:rPr>
              <w:t>t8</w:t>
            </w:r>
          </w:p>
        </w:tc>
        <w:tc>
          <w:tcPr>
            <w:tcW w:w="798" w:type="dxa"/>
            <w:tcBorders>
              <w:top w:val="single" w:sz="4" w:space="0" w:color="auto"/>
              <w:left w:val="nil"/>
              <w:bottom w:val="single" w:sz="4" w:space="0" w:color="auto"/>
              <w:right w:val="nil"/>
            </w:tcBorders>
            <w:shd w:val="clear" w:color="auto" w:fill="auto"/>
            <w:noWrap/>
            <w:vAlign w:val="bottom"/>
            <w:hideMark/>
          </w:tcPr>
          <w:p w14:paraId="54E3FC09" w14:textId="77777777" w:rsidR="009E3820" w:rsidRPr="009E3820" w:rsidRDefault="009E3820" w:rsidP="009E3820">
            <w:pPr>
              <w:spacing w:after="0" w:line="240" w:lineRule="auto"/>
              <w:jc w:val="center"/>
              <w:rPr>
                <w:rFonts w:eastAsia="Times New Roman" w:cs="Times New Roman"/>
                <w:b/>
                <w:bCs/>
                <w:color w:val="000000"/>
                <w:lang w:eastAsia="sk-SK"/>
              </w:rPr>
            </w:pPr>
            <w:r w:rsidRPr="009E3820">
              <w:rPr>
                <w:rFonts w:eastAsia="Times New Roman" w:cs="Times New Roman"/>
                <w:b/>
                <w:bCs/>
                <w:color w:val="000000"/>
                <w:lang w:eastAsia="sk-SK"/>
              </w:rPr>
              <w:t>t9</w:t>
            </w:r>
          </w:p>
        </w:tc>
        <w:tc>
          <w:tcPr>
            <w:tcW w:w="800" w:type="dxa"/>
            <w:tcBorders>
              <w:top w:val="single" w:sz="4" w:space="0" w:color="auto"/>
              <w:left w:val="nil"/>
              <w:bottom w:val="single" w:sz="4" w:space="0" w:color="auto"/>
              <w:right w:val="nil"/>
            </w:tcBorders>
            <w:shd w:val="clear" w:color="auto" w:fill="auto"/>
            <w:noWrap/>
            <w:vAlign w:val="bottom"/>
            <w:hideMark/>
          </w:tcPr>
          <w:p w14:paraId="4948C241" w14:textId="77777777" w:rsidR="009E3820" w:rsidRPr="009E3820" w:rsidRDefault="009E3820" w:rsidP="009E3820">
            <w:pPr>
              <w:spacing w:after="0" w:line="240" w:lineRule="auto"/>
              <w:jc w:val="center"/>
              <w:rPr>
                <w:rFonts w:eastAsia="Times New Roman" w:cs="Times New Roman"/>
                <w:b/>
                <w:bCs/>
                <w:color w:val="000000"/>
                <w:lang w:eastAsia="sk-SK"/>
              </w:rPr>
            </w:pPr>
            <w:r w:rsidRPr="009E3820">
              <w:rPr>
                <w:rFonts w:eastAsia="Times New Roman" w:cs="Times New Roman"/>
                <w:b/>
                <w:bCs/>
                <w:color w:val="000000"/>
                <w:lang w:eastAsia="sk-SK"/>
              </w:rPr>
              <w:t>t10</w:t>
            </w:r>
          </w:p>
        </w:tc>
      </w:tr>
      <w:tr w:rsidR="00E46436" w:rsidRPr="009E3820" w14:paraId="00D36CFD" w14:textId="77777777" w:rsidTr="00E46436">
        <w:trPr>
          <w:trHeight w:val="274"/>
        </w:trPr>
        <w:tc>
          <w:tcPr>
            <w:tcW w:w="1914" w:type="dxa"/>
            <w:tcBorders>
              <w:top w:val="nil"/>
              <w:left w:val="nil"/>
              <w:bottom w:val="nil"/>
              <w:right w:val="nil"/>
            </w:tcBorders>
            <w:shd w:val="clear" w:color="auto" w:fill="auto"/>
            <w:noWrap/>
            <w:vAlign w:val="bottom"/>
            <w:hideMark/>
          </w:tcPr>
          <w:p w14:paraId="4E7BA544" w14:textId="77777777" w:rsidR="00E46436" w:rsidRPr="009E3820" w:rsidRDefault="00E46436" w:rsidP="00E46436">
            <w:pPr>
              <w:spacing w:after="0" w:line="240" w:lineRule="auto"/>
              <w:jc w:val="left"/>
              <w:rPr>
                <w:rFonts w:eastAsia="Times New Roman" w:cs="Times New Roman"/>
                <w:color w:val="000000"/>
                <w:lang w:eastAsia="sk-SK"/>
              </w:rPr>
            </w:pPr>
            <w:r w:rsidRPr="009E3820">
              <w:rPr>
                <w:rFonts w:eastAsia="Times New Roman" w:cs="Times New Roman"/>
                <w:color w:val="000000"/>
                <w:lang w:eastAsia="sk-SK"/>
              </w:rPr>
              <w:t>DC Kopčianska</w:t>
            </w:r>
          </w:p>
        </w:tc>
        <w:tc>
          <w:tcPr>
            <w:tcW w:w="663" w:type="dxa"/>
            <w:tcBorders>
              <w:top w:val="nil"/>
              <w:left w:val="nil"/>
              <w:bottom w:val="nil"/>
              <w:right w:val="nil"/>
            </w:tcBorders>
            <w:shd w:val="clear" w:color="auto" w:fill="auto"/>
            <w:noWrap/>
            <w:hideMark/>
          </w:tcPr>
          <w:p w14:paraId="787FFFA9" w14:textId="77777777" w:rsidR="00E46436" w:rsidRPr="009E3820" w:rsidRDefault="00E46436" w:rsidP="00E46436">
            <w:pPr>
              <w:spacing w:after="0" w:line="240" w:lineRule="auto"/>
              <w:jc w:val="center"/>
              <w:rPr>
                <w:rFonts w:eastAsia="Times New Roman" w:cs="Times New Roman"/>
                <w:color w:val="000000"/>
                <w:lang w:eastAsia="sk-SK"/>
              </w:rPr>
            </w:pPr>
            <w:r w:rsidRPr="00512023">
              <w:t>37,6</w:t>
            </w:r>
          </w:p>
        </w:tc>
        <w:tc>
          <w:tcPr>
            <w:tcW w:w="663" w:type="dxa"/>
            <w:tcBorders>
              <w:top w:val="nil"/>
              <w:left w:val="nil"/>
              <w:bottom w:val="nil"/>
              <w:right w:val="nil"/>
            </w:tcBorders>
            <w:shd w:val="clear" w:color="auto" w:fill="auto"/>
            <w:noWrap/>
            <w:hideMark/>
          </w:tcPr>
          <w:p w14:paraId="617FEE0E" w14:textId="77777777" w:rsidR="00E46436" w:rsidRPr="009E3820" w:rsidRDefault="00E46436" w:rsidP="00E46436">
            <w:pPr>
              <w:spacing w:after="0" w:line="240" w:lineRule="auto"/>
              <w:jc w:val="center"/>
              <w:rPr>
                <w:rFonts w:eastAsia="Times New Roman" w:cs="Times New Roman"/>
                <w:color w:val="000000"/>
                <w:lang w:eastAsia="sk-SK"/>
              </w:rPr>
            </w:pPr>
            <w:r w:rsidRPr="00512023">
              <w:t>37,6</w:t>
            </w:r>
          </w:p>
        </w:tc>
        <w:tc>
          <w:tcPr>
            <w:tcW w:w="663" w:type="dxa"/>
            <w:tcBorders>
              <w:top w:val="nil"/>
              <w:left w:val="nil"/>
              <w:bottom w:val="nil"/>
              <w:right w:val="nil"/>
            </w:tcBorders>
            <w:shd w:val="clear" w:color="auto" w:fill="auto"/>
            <w:noWrap/>
            <w:hideMark/>
          </w:tcPr>
          <w:p w14:paraId="03DC6C13" w14:textId="77777777" w:rsidR="00E46436" w:rsidRPr="009E3820" w:rsidRDefault="00E46436" w:rsidP="00E46436">
            <w:pPr>
              <w:spacing w:after="0" w:line="240" w:lineRule="auto"/>
              <w:jc w:val="center"/>
              <w:rPr>
                <w:rFonts w:eastAsia="Times New Roman" w:cs="Times New Roman"/>
                <w:color w:val="000000"/>
                <w:lang w:eastAsia="sk-SK"/>
              </w:rPr>
            </w:pPr>
            <w:r w:rsidRPr="00512023">
              <w:t>37,8</w:t>
            </w:r>
          </w:p>
        </w:tc>
        <w:tc>
          <w:tcPr>
            <w:tcW w:w="663" w:type="dxa"/>
            <w:tcBorders>
              <w:top w:val="nil"/>
              <w:left w:val="nil"/>
              <w:bottom w:val="nil"/>
              <w:right w:val="nil"/>
            </w:tcBorders>
            <w:shd w:val="clear" w:color="auto" w:fill="auto"/>
            <w:noWrap/>
            <w:hideMark/>
          </w:tcPr>
          <w:p w14:paraId="3A2AD857" w14:textId="77777777" w:rsidR="00E46436" w:rsidRPr="009E3820" w:rsidRDefault="00E46436" w:rsidP="00E46436">
            <w:pPr>
              <w:spacing w:after="0" w:line="240" w:lineRule="auto"/>
              <w:jc w:val="center"/>
              <w:rPr>
                <w:rFonts w:eastAsia="Times New Roman" w:cs="Times New Roman"/>
                <w:color w:val="000000"/>
                <w:lang w:eastAsia="sk-SK"/>
              </w:rPr>
            </w:pPr>
            <w:r w:rsidRPr="00512023">
              <w:t>40,8</w:t>
            </w:r>
          </w:p>
        </w:tc>
        <w:tc>
          <w:tcPr>
            <w:tcW w:w="663" w:type="dxa"/>
            <w:tcBorders>
              <w:top w:val="nil"/>
              <w:left w:val="nil"/>
              <w:bottom w:val="nil"/>
              <w:right w:val="nil"/>
            </w:tcBorders>
            <w:shd w:val="clear" w:color="auto" w:fill="auto"/>
            <w:noWrap/>
            <w:hideMark/>
          </w:tcPr>
          <w:p w14:paraId="18BA475E" w14:textId="77777777" w:rsidR="00E46436" w:rsidRPr="009E3820" w:rsidRDefault="00E46436" w:rsidP="00E46436">
            <w:pPr>
              <w:spacing w:after="0" w:line="240" w:lineRule="auto"/>
              <w:jc w:val="center"/>
              <w:rPr>
                <w:rFonts w:eastAsia="Times New Roman" w:cs="Times New Roman"/>
                <w:color w:val="000000"/>
                <w:lang w:eastAsia="sk-SK"/>
              </w:rPr>
            </w:pPr>
            <w:r w:rsidRPr="00512023">
              <w:t>43,7</w:t>
            </w:r>
          </w:p>
        </w:tc>
        <w:tc>
          <w:tcPr>
            <w:tcW w:w="663" w:type="dxa"/>
            <w:tcBorders>
              <w:top w:val="nil"/>
              <w:left w:val="nil"/>
              <w:bottom w:val="nil"/>
              <w:right w:val="nil"/>
            </w:tcBorders>
            <w:shd w:val="clear" w:color="auto" w:fill="auto"/>
            <w:noWrap/>
            <w:hideMark/>
          </w:tcPr>
          <w:p w14:paraId="3D5098BF" w14:textId="77777777" w:rsidR="00E46436" w:rsidRPr="009E3820" w:rsidRDefault="00E46436" w:rsidP="00E46436">
            <w:pPr>
              <w:spacing w:after="0" w:line="240" w:lineRule="auto"/>
              <w:jc w:val="center"/>
              <w:rPr>
                <w:rFonts w:eastAsia="Times New Roman" w:cs="Times New Roman"/>
                <w:color w:val="000000"/>
                <w:lang w:eastAsia="sk-SK"/>
              </w:rPr>
            </w:pPr>
            <w:r w:rsidRPr="00512023">
              <w:t>46,7</w:t>
            </w:r>
          </w:p>
        </w:tc>
        <w:tc>
          <w:tcPr>
            <w:tcW w:w="798" w:type="dxa"/>
            <w:tcBorders>
              <w:top w:val="nil"/>
              <w:left w:val="nil"/>
              <w:bottom w:val="nil"/>
              <w:right w:val="nil"/>
            </w:tcBorders>
            <w:shd w:val="clear" w:color="auto" w:fill="auto"/>
            <w:noWrap/>
            <w:hideMark/>
          </w:tcPr>
          <w:p w14:paraId="5800A8AF" w14:textId="77777777" w:rsidR="00E46436" w:rsidRPr="009E3820" w:rsidRDefault="00E46436" w:rsidP="00E46436">
            <w:pPr>
              <w:spacing w:after="0" w:line="240" w:lineRule="auto"/>
              <w:jc w:val="center"/>
              <w:rPr>
                <w:rFonts w:eastAsia="Times New Roman" w:cs="Times New Roman"/>
                <w:color w:val="000000"/>
                <w:lang w:eastAsia="sk-SK"/>
              </w:rPr>
            </w:pPr>
            <w:r w:rsidRPr="00512023">
              <w:t>73,4</w:t>
            </w:r>
          </w:p>
        </w:tc>
        <w:tc>
          <w:tcPr>
            <w:tcW w:w="798" w:type="dxa"/>
            <w:tcBorders>
              <w:top w:val="nil"/>
              <w:left w:val="nil"/>
              <w:bottom w:val="nil"/>
              <w:right w:val="nil"/>
            </w:tcBorders>
            <w:shd w:val="clear" w:color="auto" w:fill="auto"/>
            <w:noWrap/>
            <w:hideMark/>
          </w:tcPr>
          <w:p w14:paraId="2C541E7D" w14:textId="77777777" w:rsidR="00E46436" w:rsidRPr="009E3820" w:rsidRDefault="00E46436" w:rsidP="00E46436">
            <w:pPr>
              <w:spacing w:after="0" w:line="240" w:lineRule="auto"/>
              <w:jc w:val="center"/>
              <w:rPr>
                <w:rFonts w:eastAsia="Times New Roman" w:cs="Times New Roman"/>
                <w:color w:val="000000"/>
                <w:lang w:eastAsia="sk-SK"/>
              </w:rPr>
            </w:pPr>
            <w:r w:rsidRPr="00512023">
              <w:t>76,3</w:t>
            </w:r>
          </w:p>
        </w:tc>
        <w:tc>
          <w:tcPr>
            <w:tcW w:w="798" w:type="dxa"/>
            <w:tcBorders>
              <w:top w:val="nil"/>
              <w:left w:val="nil"/>
              <w:bottom w:val="nil"/>
              <w:right w:val="nil"/>
            </w:tcBorders>
            <w:shd w:val="clear" w:color="auto" w:fill="auto"/>
            <w:noWrap/>
            <w:hideMark/>
          </w:tcPr>
          <w:p w14:paraId="32225DE1" w14:textId="77777777" w:rsidR="00E46436" w:rsidRPr="009E3820" w:rsidRDefault="00E46436" w:rsidP="00E46436">
            <w:pPr>
              <w:spacing w:after="0" w:line="240" w:lineRule="auto"/>
              <w:jc w:val="center"/>
              <w:rPr>
                <w:rFonts w:eastAsia="Times New Roman" w:cs="Times New Roman"/>
                <w:color w:val="000000"/>
                <w:lang w:eastAsia="sk-SK"/>
              </w:rPr>
            </w:pPr>
            <w:r w:rsidRPr="00512023">
              <w:t>79,3</w:t>
            </w:r>
          </w:p>
        </w:tc>
        <w:tc>
          <w:tcPr>
            <w:tcW w:w="800" w:type="dxa"/>
            <w:tcBorders>
              <w:top w:val="nil"/>
              <w:left w:val="nil"/>
              <w:bottom w:val="nil"/>
              <w:right w:val="nil"/>
            </w:tcBorders>
            <w:shd w:val="clear" w:color="auto" w:fill="auto"/>
            <w:noWrap/>
            <w:hideMark/>
          </w:tcPr>
          <w:p w14:paraId="6B784A9E" w14:textId="77777777" w:rsidR="00E46436" w:rsidRPr="009E3820" w:rsidRDefault="00E46436" w:rsidP="00E46436">
            <w:pPr>
              <w:spacing w:after="0" w:line="240" w:lineRule="auto"/>
              <w:jc w:val="center"/>
              <w:rPr>
                <w:rFonts w:eastAsia="Times New Roman" w:cs="Times New Roman"/>
                <w:color w:val="000000"/>
                <w:lang w:eastAsia="sk-SK"/>
              </w:rPr>
            </w:pPr>
            <w:r w:rsidRPr="00512023">
              <w:t>82,3</w:t>
            </w:r>
          </w:p>
        </w:tc>
      </w:tr>
      <w:tr w:rsidR="00E46436" w:rsidRPr="009E3820" w14:paraId="2BC8685E" w14:textId="77777777" w:rsidTr="00E46436">
        <w:trPr>
          <w:trHeight w:val="274"/>
        </w:trPr>
        <w:tc>
          <w:tcPr>
            <w:tcW w:w="1914" w:type="dxa"/>
            <w:tcBorders>
              <w:top w:val="nil"/>
              <w:left w:val="nil"/>
              <w:bottom w:val="nil"/>
              <w:right w:val="nil"/>
            </w:tcBorders>
            <w:shd w:val="clear" w:color="auto" w:fill="auto"/>
            <w:noWrap/>
            <w:vAlign w:val="bottom"/>
            <w:hideMark/>
          </w:tcPr>
          <w:p w14:paraId="4A08D471" w14:textId="77777777" w:rsidR="00E46436" w:rsidRPr="009E3820" w:rsidRDefault="00E46436" w:rsidP="00E46436">
            <w:pPr>
              <w:spacing w:after="0" w:line="240" w:lineRule="auto"/>
              <w:jc w:val="left"/>
              <w:rPr>
                <w:rFonts w:eastAsia="Times New Roman" w:cs="Times New Roman"/>
                <w:color w:val="000000"/>
                <w:lang w:eastAsia="sk-SK"/>
              </w:rPr>
            </w:pPr>
            <w:r w:rsidRPr="009E3820">
              <w:rPr>
                <w:rFonts w:eastAsia="Times New Roman" w:cs="Times New Roman"/>
                <w:color w:val="000000"/>
                <w:lang w:eastAsia="sk-SK"/>
              </w:rPr>
              <w:t>DC Tajov</w:t>
            </w:r>
          </w:p>
        </w:tc>
        <w:tc>
          <w:tcPr>
            <w:tcW w:w="663" w:type="dxa"/>
            <w:tcBorders>
              <w:top w:val="nil"/>
              <w:left w:val="nil"/>
              <w:bottom w:val="nil"/>
              <w:right w:val="nil"/>
            </w:tcBorders>
            <w:shd w:val="clear" w:color="auto" w:fill="auto"/>
            <w:noWrap/>
            <w:hideMark/>
          </w:tcPr>
          <w:p w14:paraId="4FCAC52C" w14:textId="77777777" w:rsidR="00E46436" w:rsidRPr="009E3820" w:rsidRDefault="00E46436" w:rsidP="00E46436">
            <w:pPr>
              <w:spacing w:after="0" w:line="240" w:lineRule="auto"/>
              <w:jc w:val="center"/>
              <w:rPr>
                <w:rFonts w:eastAsia="Times New Roman" w:cs="Times New Roman"/>
                <w:color w:val="000000"/>
                <w:lang w:eastAsia="sk-SK"/>
              </w:rPr>
            </w:pPr>
            <w:r w:rsidRPr="00512023">
              <w:t>11,7</w:t>
            </w:r>
          </w:p>
        </w:tc>
        <w:tc>
          <w:tcPr>
            <w:tcW w:w="663" w:type="dxa"/>
            <w:tcBorders>
              <w:top w:val="nil"/>
              <w:left w:val="nil"/>
              <w:bottom w:val="nil"/>
              <w:right w:val="nil"/>
            </w:tcBorders>
            <w:shd w:val="clear" w:color="auto" w:fill="auto"/>
            <w:noWrap/>
            <w:hideMark/>
          </w:tcPr>
          <w:p w14:paraId="30FB1149" w14:textId="77777777" w:rsidR="00E46436" w:rsidRPr="009E3820" w:rsidRDefault="00E46436" w:rsidP="00E46436">
            <w:pPr>
              <w:spacing w:after="0" w:line="240" w:lineRule="auto"/>
              <w:jc w:val="center"/>
              <w:rPr>
                <w:rFonts w:eastAsia="Times New Roman" w:cs="Times New Roman"/>
                <w:color w:val="000000"/>
                <w:lang w:eastAsia="sk-SK"/>
              </w:rPr>
            </w:pPr>
            <w:r w:rsidRPr="00512023">
              <w:t>37,5</w:t>
            </w:r>
          </w:p>
        </w:tc>
        <w:tc>
          <w:tcPr>
            <w:tcW w:w="663" w:type="dxa"/>
            <w:tcBorders>
              <w:top w:val="nil"/>
              <w:left w:val="nil"/>
              <w:bottom w:val="nil"/>
              <w:right w:val="nil"/>
            </w:tcBorders>
            <w:shd w:val="clear" w:color="auto" w:fill="auto"/>
            <w:noWrap/>
            <w:hideMark/>
          </w:tcPr>
          <w:p w14:paraId="2AD2F15E" w14:textId="77777777" w:rsidR="00E46436" w:rsidRPr="009E3820" w:rsidRDefault="00E46436" w:rsidP="00E46436">
            <w:pPr>
              <w:spacing w:after="0" w:line="240" w:lineRule="auto"/>
              <w:jc w:val="center"/>
              <w:rPr>
                <w:rFonts w:eastAsia="Times New Roman" w:cs="Times New Roman"/>
                <w:color w:val="000000"/>
                <w:lang w:eastAsia="sk-SK"/>
              </w:rPr>
            </w:pPr>
            <w:r w:rsidRPr="00512023">
              <w:t>37,7</w:t>
            </w:r>
          </w:p>
        </w:tc>
        <w:tc>
          <w:tcPr>
            <w:tcW w:w="663" w:type="dxa"/>
            <w:tcBorders>
              <w:top w:val="nil"/>
              <w:left w:val="nil"/>
              <w:bottom w:val="nil"/>
              <w:right w:val="nil"/>
            </w:tcBorders>
            <w:shd w:val="clear" w:color="auto" w:fill="auto"/>
            <w:noWrap/>
            <w:hideMark/>
          </w:tcPr>
          <w:p w14:paraId="79826070" w14:textId="77777777" w:rsidR="00E46436" w:rsidRPr="009E3820" w:rsidRDefault="00E46436" w:rsidP="00E46436">
            <w:pPr>
              <w:spacing w:after="0" w:line="240" w:lineRule="auto"/>
              <w:jc w:val="center"/>
              <w:rPr>
                <w:rFonts w:eastAsia="Times New Roman" w:cs="Times New Roman"/>
                <w:color w:val="000000"/>
                <w:lang w:eastAsia="sk-SK"/>
              </w:rPr>
            </w:pPr>
            <w:r w:rsidRPr="00512023">
              <w:t>38,5</w:t>
            </w:r>
          </w:p>
        </w:tc>
        <w:tc>
          <w:tcPr>
            <w:tcW w:w="663" w:type="dxa"/>
            <w:tcBorders>
              <w:top w:val="nil"/>
              <w:left w:val="nil"/>
              <w:bottom w:val="nil"/>
              <w:right w:val="nil"/>
            </w:tcBorders>
            <w:shd w:val="clear" w:color="auto" w:fill="auto"/>
            <w:noWrap/>
            <w:hideMark/>
          </w:tcPr>
          <w:p w14:paraId="19BA98DC" w14:textId="77777777" w:rsidR="00E46436" w:rsidRPr="009E3820" w:rsidRDefault="00E46436" w:rsidP="00E46436">
            <w:pPr>
              <w:spacing w:after="0" w:line="240" w:lineRule="auto"/>
              <w:jc w:val="center"/>
              <w:rPr>
                <w:rFonts w:eastAsia="Times New Roman" w:cs="Times New Roman"/>
                <w:color w:val="000000"/>
                <w:lang w:eastAsia="sk-SK"/>
              </w:rPr>
            </w:pPr>
            <w:r w:rsidRPr="00512023">
              <w:t>41,5</w:t>
            </w:r>
          </w:p>
        </w:tc>
        <w:tc>
          <w:tcPr>
            <w:tcW w:w="663" w:type="dxa"/>
            <w:tcBorders>
              <w:top w:val="nil"/>
              <w:left w:val="nil"/>
              <w:bottom w:val="nil"/>
              <w:right w:val="nil"/>
            </w:tcBorders>
            <w:shd w:val="clear" w:color="auto" w:fill="auto"/>
            <w:noWrap/>
            <w:hideMark/>
          </w:tcPr>
          <w:p w14:paraId="2686E041" w14:textId="77777777" w:rsidR="00E46436" w:rsidRPr="009E3820" w:rsidRDefault="00E46436" w:rsidP="00E46436">
            <w:pPr>
              <w:spacing w:after="0" w:line="240" w:lineRule="auto"/>
              <w:jc w:val="center"/>
              <w:rPr>
                <w:rFonts w:eastAsia="Times New Roman" w:cs="Times New Roman"/>
                <w:color w:val="000000"/>
                <w:lang w:eastAsia="sk-SK"/>
              </w:rPr>
            </w:pPr>
            <w:r w:rsidRPr="00512023">
              <w:t>44,4</w:t>
            </w:r>
          </w:p>
        </w:tc>
        <w:tc>
          <w:tcPr>
            <w:tcW w:w="798" w:type="dxa"/>
            <w:tcBorders>
              <w:top w:val="nil"/>
              <w:left w:val="nil"/>
              <w:bottom w:val="nil"/>
              <w:right w:val="nil"/>
            </w:tcBorders>
            <w:shd w:val="clear" w:color="auto" w:fill="auto"/>
            <w:noWrap/>
            <w:hideMark/>
          </w:tcPr>
          <w:p w14:paraId="1F55D729" w14:textId="77777777" w:rsidR="00E46436" w:rsidRPr="009E3820" w:rsidRDefault="00E46436" w:rsidP="00E46436">
            <w:pPr>
              <w:spacing w:after="0" w:line="240" w:lineRule="auto"/>
              <w:jc w:val="center"/>
              <w:rPr>
                <w:rFonts w:eastAsia="Times New Roman" w:cs="Times New Roman"/>
                <w:color w:val="000000"/>
                <w:lang w:eastAsia="sk-SK"/>
              </w:rPr>
            </w:pPr>
            <w:r w:rsidRPr="00512023">
              <w:t>54,3</w:t>
            </w:r>
          </w:p>
        </w:tc>
        <w:tc>
          <w:tcPr>
            <w:tcW w:w="798" w:type="dxa"/>
            <w:tcBorders>
              <w:top w:val="nil"/>
              <w:left w:val="nil"/>
              <w:bottom w:val="nil"/>
              <w:right w:val="nil"/>
            </w:tcBorders>
            <w:shd w:val="clear" w:color="auto" w:fill="auto"/>
            <w:noWrap/>
            <w:hideMark/>
          </w:tcPr>
          <w:p w14:paraId="3B2C068D" w14:textId="77777777" w:rsidR="00E46436" w:rsidRPr="009E3820" w:rsidRDefault="00E46436" w:rsidP="00E46436">
            <w:pPr>
              <w:spacing w:after="0" w:line="240" w:lineRule="auto"/>
              <w:jc w:val="center"/>
              <w:rPr>
                <w:rFonts w:eastAsia="Times New Roman" w:cs="Times New Roman"/>
                <w:color w:val="000000"/>
                <w:lang w:eastAsia="sk-SK"/>
              </w:rPr>
            </w:pPr>
            <w:r w:rsidRPr="00512023">
              <w:t>72,7</w:t>
            </w:r>
          </w:p>
        </w:tc>
        <w:tc>
          <w:tcPr>
            <w:tcW w:w="798" w:type="dxa"/>
            <w:tcBorders>
              <w:top w:val="nil"/>
              <w:left w:val="nil"/>
              <w:bottom w:val="nil"/>
              <w:right w:val="nil"/>
            </w:tcBorders>
            <w:shd w:val="clear" w:color="auto" w:fill="auto"/>
            <w:noWrap/>
            <w:hideMark/>
          </w:tcPr>
          <w:p w14:paraId="23043414" w14:textId="77777777" w:rsidR="00E46436" w:rsidRPr="009E3820" w:rsidRDefault="00E46436" w:rsidP="00E46436">
            <w:pPr>
              <w:spacing w:after="0" w:line="240" w:lineRule="auto"/>
              <w:jc w:val="center"/>
              <w:rPr>
                <w:rFonts w:eastAsia="Times New Roman" w:cs="Times New Roman"/>
                <w:color w:val="000000"/>
                <w:lang w:eastAsia="sk-SK"/>
              </w:rPr>
            </w:pPr>
            <w:r w:rsidRPr="00512023">
              <w:t>75,6</w:t>
            </w:r>
          </w:p>
        </w:tc>
        <w:tc>
          <w:tcPr>
            <w:tcW w:w="800" w:type="dxa"/>
            <w:tcBorders>
              <w:top w:val="nil"/>
              <w:left w:val="nil"/>
              <w:bottom w:val="nil"/>
              <w:right w:val="nil"/>
            </w:tcBorders>
            <w:shd w:val="clear" w:color="auto" w:fill="auto"/>
            <w:noWrap/>
            <w:hideMark/>
          </w:tcPr>
          <w:p w14:paraId="734EA978" w14:textId="77777777" w:rsidR="00E46436" w:rsidRPr="009E3820" w:rsidRDefault="00E46436" w:rsidP="00E46436">
            <w:pPr>
              <w:spacing w:after="0" w:line="240" w:lineRule="auto"/>
              <w:jc w:val="center"/>
              <w:rPr>
                <w:rFonts w:eastAsia="Times New Roman" w:cs="Times New Roman"/>
                <w:color w:val="000000"/>
                <w:lang w:eastAsia="sk-SK"/>
              </w:rPr>
            </w:pPr>
            <w:r w:rsidRPr="00512023">
              <w:t>78,5</w:t>
            </w:r>
          </w:p>
        </w:tc>
      </w:tr>
      <w:tr w:rsidR="00E46436" w:rsidRPr="009E3820" w14:paraId="4E3F4038" w14:textId="77777777" w:rsidTr="00E46436">
        <w:trPr>
          <w:trHeight w:val="274"/>
        </w:trPr>
        <w:tc>
          <w:tcPr>
            <w:tcW w:w="1914" w:type="dxa"/>
            <w:tcBorders>
              <w:top w:val="nil"/>
              <w:left w:val="nil"/>
              <w:bottom w:val="single" w:sz="4" w:space="0" w:color="auto"/>
              <w:right w:val="nil"/>
            </w:tcBorders>
            <w:shd w:val="clear" w:color="auto" w:fill="auto"/>
            <w:noWrap/>
            <w:vAlign w:val="bottom"/>
            <w:hideMark/>
          </w:tcPr>
          <w:p w14:paraId="425896B8" w14:textId="77777777" w:rsidR="00E46436" w:rsidRPr="009E3820" w:rsidRDefault="00E46436" w:rsidP="00E46436">
            <w:pPr>
              <w:spacing w:after="0" w:line="240" w:lineRule="auto"/>
              <w:jc w:val="left"/>
              <w:rPr>
                <w:rFonts w:eastAsia="Times New Roman" w:cs="Times New Roman"/>
                <w:color w:val="000000"/>
                <w:lang w:eastAsia="sk-SK"/>
              </w:rPr>
            </w:pPr>
            <w:r w:rsidRPr="009E3820">
              <w:rPr>
                <w:rFonts w:eastAsia="Times New Roman" w:cs="Times New Roman"/>
                <w:color w:val="000000"/>
                <w:lang w:eastAsia="sk-SK"/>
              </w:rPr>
              <w:t>Spolu</w:t>
            </w:r>
          </w:p>
        </w:tc>
        <w:tc>
          <w:tcPr>
            <w:tcW w:w="663" w:type="dxa"/>
            <w:tcBorders>
              <w:top w:val="nil"/>
              <w:left w:val="nil"/>
              <w:bottom w:val="single" w:sz="4" w:space="0" w:color="auto"/>
              <w:right w:val="nil"/>
            </w:tcBorders>
            <w:shd w:val="clear" w:color="auto" w:fill="auto"/>
            <w:noWrap/>
            <w:hideMark/>
          </w:tcPr>
          <w:p w14:paraId="5B9AF000" w14:textId="77777777" w:rsidR="00E46436" w:rsidRPr="009E3820" w:rsidRDefault="00E46436" w:rsidP="00E46436">
            <w:pPr>
              <w:spacing w:after="0" w:line="240" w:lineRule="auto"/>
              <w:jc w:val="center"/>
              <w:rPr>
                <w:rFonts w:eastAsia="Times New Roman" w:cs="Times New Roman"/>
                <w:color w:val="000000"/>
                <w:lang w:eastAsia="sk-SK"/>
              </w:rPr>
            </w:pPr>
            <w:r w:rsidRPr="00512023">
              <w:t>49,3</w:t>
            </w:r>
          </w:p>
        </w:tc>
        <w:tc>
          <w:tcPr>
            <w:tcW w:w="663" w:type="dxa"/>
            <w:tcBorders>
              <w:top w:val="nil"/>
              <w:left w:val="nil"/>
              <w:bottom w:val="single" w:sz="4" w:space="0" w:color="auto"/>
              <w:right w:val="nil"/>
            </w:tcBorders>
            <w:shd w:val="clear" w:color="auto" w:fill="auto"/>
            <w:noWrap/>
            <w:hideMark/>
          </w:tcPr>
          <w:p w14:paraId="61F62410" w14:textId="77777777" w:rsidR="00E46436" w:rsidRPr="009E3820" w:rsidRDefault="00E46436" w:rsidP="00E46436">
            <w:pPr>
              <w:spacing w:after="0" w:line="240" w:lineRule="auto"/>
              <w:jc w:val="center"/>
              <w:rPr>
                <w:rFonts w:eastAsia="Times New Roman" w:cs="Times New Roman"/>
                <w:color w:val="000000"/>
                <w:lang w:eastAsia="sk-SK"/>
              </w:rPr>
            </w:pPr>
            <w:r w:rsidRPr="00512023">
              <w:t>75,1</w:t>
            </w:r>
          </w:p>
        </w:tc>
        <w:tc>
          <w:tcPr>
            <w:tcW w:w="663" w:type="dxa"/>
            <w:tcBorders>
              <w:top w:val="nil"/>
              <w:left w:val="nil"/>
              <w:bottom w:val="single" w:sz="4" w:space="0" w:color="auto"/>
              <w:right w:val="nil"/>
            </w:tcBorders>
            <w:shd w:val="clear" w:color="auto" w:fill="auto"/>
            <w:noWrap/>
            <w:hideMark/>
          </w:tcPr>
          <w:p w14:paraId="3AD26184" w14:textId="77777777" w:rsidR="00E46436" w:rsidRPr="009E3820" w:rsidRDefault="00E46436" w:rsidP="00E46436">
            <w:pPr>
              <w:spacing w:after="0" w:line="240" w:lineRule="auto"/>
              <w:jc w:val="center"/>
              <w:rPr>
                <w:rFonts w:eastAsia="Times New Roman" w:cs="Times New Roman"/>
                <w:color w:val="000000"/>
                <w:lang w:eastAsia="sk-SK"/>
              </w:rPr>
            </w:pPr>
            <w:r w:rsidRPr="00512023">
              <w:t>75,5</w:t>
            </w:r>
          </w:p>
        </w:tc>
        <w:tc>
          <w:tcPr>
            <w:tcW w:w="663" w:type="dxa"/>
            <w:tcBorders>
              <w:top w:val="nil"/>
              <w:left w:val="nil"/>
              <w:bottom w:val="single" w:sz="4" w:space="0" w:color="auto"/>
              <w:right w:val="nil"/>
            </w:tcBorders>
            <w:shd w:val="clear" w:color="auto" w:fill="auto"/>
            <w:noWrap/>
            <w:hideMark/>
          </w:tcPr>
          <w:p w14:paraId="33F3C76A" w14:textId="77777777" w:rsidR="00E46436" w:rsidRPr="009E3820" w:rsidRDefault="00E46436" w:rsidP="00E46436">
            <w:pPr>
              <w:spacing w:after="0" w:line="240" w:lineRule="auto"/>
              <w:jc w:val="center"/>
              <w:rPr>
                <w:rFonts w:eastAsia="Times New Roman" w:cs="Times New Roman"/>
                <w:color w:val="000000"/>
                <w:lang w:eastAsia="sk-SK"/>
              </w:rPr>
            </w:pPr>
            <w:r w:rsidRPr="00512023">
              <w:t>79,3</w:t>
            </w:r>
          </w:p>
        </w:tc>
        <w:tc>
          <w:tcPr>
            <w:tcW w:w="663" w:type="dxa"/>
            <w:tcBorders>
              <w:top w:val="nil"/>
              <w:left w:val="nil"/>
              <w:bottom w:val="single" w:sz="4" w:space="0" w:color="auto"/>
              <w:right w:val="nil"/>
            </w:tcBorders>
            <w:shd w:val="clear" w:color="auto" w:fill="auto"/>
            <w:noWrap/>
            <w:hideMark/>
          </w:tcPr>
          <w:p w14:paraId="2A360BC5" w14:textId="77777777" w:rsidR="00E46436" w:rsidRPr="009E3820" w:rsidRDefault="00E46436" w:rsidP="00E46436">
            <w:pPr>
              <w:spacing w:after="0" w:line="240" w:lineRule="auto"/>
              <w:jc w:val="center"/>
              <w:rPr>
                <w:rFonts w:eastAsia="Times New Roman" w:cs="Times New Roman"/>
                <w:color w:val="000000"/>
                <w:lang w:eastAsia="sk-SK"/>
              </w:rPr>
            </w:pPr>
            <w:r w:rsidRPr="00512023">
              <w:t>85,2</w:t>
            </w:r>
          </w:p>
        </w:tc>
        <w:tc>
          <w:tcPr>
            <w:tcW w:w="663" w:type="dxa"/>
            <w:tcBorders>
              <w:top w:val="nil"/>
              <w:left w:val="nil"/>
              <w:bottom w:val="single" w:sz="4" w:space="0" w:color="auto"/>
              <w:right w:val="nil"/>
            </w:tcBorders>
            <w:shd w:val="clear" w:color="auto" w:fill="auto"/>
            <w:noWrap/>
            <w:hideMark/>
          </w:tcPr>
          <w:p w14:paraId="766E4B5F" w14:textId="77777777" w:rsidR="00E46436" w:rsidRPr="009E3820" w:rsidRDefault="00E46436" w:rsidP="00E46436">
            <w:pPr>
              <w:spacing w:after="0" w:line="240" w:lineRule="auto"/>
              <w:jc w:val="center"/>
              <w:rPr>
                <w:rFonts w:eastAsia="Times New Roman" w:cs="Times New Roman"/>
                <w:color w:val="000000"/>
                <w:lang w:eastAsia="sk-SK"/>
              </w:rPr>
            </w:pPr>
            <w:r w:rsidRPr="00512023">
              <w:t>91,1</w:t>
            </w:r>
          </w:p>
        </w:tc>
        <w:tc>
          <w:tcPr>
            <w:tcW w:w="798" w:type="dxa"/>
            <w:tcBorders>
              <w:top w:val="nil"/>
              <w:left w:val="nil"/>
              <w:bottom w:val="single" w:sz="4" w:space="0" w:color="auto"/>
              <w:right w:val="nil"/>
            </w:tcBorders>
            <w:shd w:val="clear" w:color="auto" w:fill="auto"/>
            <w:noWrap/>
            <w:hideMark/>
          </w:tcPr>
          <w:p w14:paraId="004E6E4E" w14:textId="77777777" w:rsidR="00E46436" w:rsidRPr="009E3820" w:rsidRDefault="00E46436" w:rsidP="00E46436">
            <w:pPr>
              <w:spacing w:after="0" w:line="240" w:lineRule="auto"/>
              <w:jc w:val="center"/>
              <w:rPr>
                <w:rFonts w:eastAsia="Times New Roman" w:cs="Times New Roman"/>
                <w:color w:val="000000"/>
                <w:lang w:eastAsia="sk-SK"/>
              </w:rPr>
            </w:pPr>
            <w:r w:rsidRPr="00512023">
              <w:t>127,7</w:t>
            </w:r>
          </w:p>
        </w:tc>
        <w:tc>
          <w:tcPr>
            <w:tcW w:w="798" w:type="dxa"/>
            <w:tcBorders>
              <w:top w:val="nil"/>
              <w:left w:val="nil"/>
              <w:bottom w:val="single" w:sz="4" w:space="0" w:color="auto"/>
              <w:right w:val="nil"/>
            </w:tcBorders>
            <w:shd w:val="clear" w:color="auto" w:fill="auto"/>
            <w:noWrap/>
            <w:hideMark/>
          </w:tcPr>
          <w:p w14:paraId="5BEA644D" w14:textId="77777777" w:rsidR="00E46436" w:rsidRPr="009E3820" w:rsidRDefault="00E46436" w:rsidP="00E46436">
            <w:pPr>
              <w:spacing w:after="0" w:line="240" w:lineRule="auto"/>
              <w:jc w:val="center"/>
              <w:rPr>
                <w:rFonts w:eastAsia="Times New Roman" w:cs="Times New Roman"/>
                <w:color w:val="000000"/>
                <w:lang w:eastAsia="sk-SK"/>
              </w:rPr>
            </w:pPr>
            <w:r w:rsidRPr="00512023">
              <w:t>149,0</w:t>
            </w:r>
          </w:p>
        </w:tc>
        <w:tc>
          <w:tcPr>
            <w:tcW w:w="798" w:type="dxa"/>
            <w:tcBorders>
              <w:top w:val="nil"/>
              <w:left w:val="nil"/>
              <w:bottom w:val="single" w:sz="4" w:space="0" w:color="auto"/>
              <w:right w:val="nil"/>
            </w:tcBorders>
            <w:shd w:val="clear" w:color="auto" w:fill="auto"/>
            <w:noWrap/>
            <w:hideMark/>
          </w:tcPr>
          <w:p w14:paraId="4A16C021" w14:textId="77777777" w:rsidR="00E46436" w:rsidRPr="009E3820" w:rsidRDefault="00E46436" w:rsidP="00E46436">
            <w:pPr>
              <w:spacing w:after="0" w:line="240" w:lineRule="auto"/>
              <w:jc w:val="center"/>
              <w:rPr>
                <w:rFonts w:eastAsia="Times New Roman" w:cs="Times New Roman"/>
                <w:color w:val="000000"/>
                <w:lang w:eastAsia="sk-SK"/>
              </w:rPr>
            </w:pPr>
            <w:r w:rsidRPr="00512023">
              <w:t>154,9</w:t>
            </w:r>
          </w:p>
        </w:tc>
        <w:tc>
          <w:tcPr>
            <w:tcW w:w="800" w:type="dxa"/>
            <w:tcBorders>
              <w:top w:val="nil"/>
              <w:left w:val="nil"/>
              <w:bottom w:val="single" w:sz="4" w:space="0" w:color="auto"/>
              <w:right w:val="nil"/>
            </w:tcBorders>
            <w:shd w:val="clear" w:color="auto" w:fill="auto"/>
            <w:noWrap/>
            <w:hideMark/>
          </w:tcPr>
          <w:p w14:paraId="65D59843" w14:textId="77777777" w:rsidR="00E46436" w:rsidRPr="009E3820" w:rsidRDefault="00E46436" w:rsidP="00E46436">
            <w:pPr>
              <w:spacing w:after="0" w:line="240" w:lineRule="auto"/>
              <w:jc w:val="center"/>
              <w:rPr>
                <w:rFonts w:eastAsia="Times New Roman" w:cs="Times New Roman"/>
                <w:color w:val="000000"/>
                <w:lang w:eastAsia="sk-SK"/>
              </w:rPr>
            </w:pPr>
            <w:r w:rsidRPr="00512023">
              <w:t>160,8</w:t>
            </w:r>
          </w:p>
        </w:tc>
      </w:tr>
      <w:tr w:rsidR="009E3820" w:rsidRPr="009E3820" w14:paraId="7BCE9866" w14:textId="77777777" w:rsidTr="008C5034">
        <w:trPr>
          <w:trHeight w:val="274"/>
        </w:trPr>
        <w:tc>
          <w:tcPr>
            <w:tcW w:w="9086" w:type="dxa"/>
            <w:gridSpan w:val="11"/>
            <w:tcBorders>
              <w:top w:val="nil"/>
              <w:left w:val="nil"/>
              <w:bottom w:val="nil"/>
              <w:right w:val="nil"/>
            </w:tcBorders>
            <w:shd w:val="clear" w:color="auto" w:fill="auto"/>
            <w:noWrap/>
            <w:hideMark/>
          </w:tcPr>
          <w:p w14:paraId="6B8F842D" w14:textId="77777777" w:rsidR="009E3820" w:rsidRPr="009E3820" w:rsidRDefault="009E3820" w:rsidP="009E3820">
            <w:pPr>
              <w:spacing w:after="0" w:line="240" w:lineRule="auto"/>
              <w:jc w:val="right"/>
              <w:rPr>
                <w:rFonts w:eastAsia="Times New Roman" w:cs="Times New Roman"/>
                <w:i/>
                <w:iCs/>
                <w:color w:val="000000"/>
                <w:sz w:val="18"/>
                <w:szCs w:val="18"/>
                <w:lang w:eastAsia="sk-SK"/>
              </w:rPr>
            </w:pPr>
            <w:r w:rsidRPr="009E3820">
              <w:rPr>
                <w:rFonts w:eastAsia="Times New Roman" w:cs="Times New Roman"/>
                <w:i/>
                <w:iCs/>
                <w:color w:val="000000"/>
                <w:sz w:val="18"/>
                <w:szCs w:val="18"/>
                <w:lang w:eastAsia="sk-SK"/>
              </w:rPr>
              <w:t>Zdroj: ŠU Projektov, spracovanie ÚHP</w:t>
            </w:r>
          </w:p>
        </w:tc>
      </w:tr>
    </w:tbl>
    <w:p w14:paraId="3FB96A2E" w14:textId="7DC3CCFA" w:rsidR="007E77BF" w:rsidRDefault="006344CD" w:rsidP="008C5034">
      <w:r>
        <w:rPr>
          <w:b/>
        </w:rPr>
        <w:t>Ministerstvo vnútra aktívne neriadi množstvo požadovaných cloudových služieb</w:t>
      </w:r>
      <w:r w:rsidR="001F74D1">
        <w:rPr>
          <w:b/>
        </w:rPr>
        <w:t xml:space="preserve"> a nedisponuje údajmi potrebnými na jeho zavedenie.</w:t>
      </w:r>
      <w:r w:rsidR="00F00496">
        <w:rPr>
          <w:b/>
        </w:rPr>
        <w:t xml:space="preserve"> </w:t>
      </w:r>
      <w:r w:rsidR="00F00496">
        <w:t xml:space="preserve">Odhad Ministerstva vnútra na dodatočnú výpočtovú silu a úložnú kapacitu vychádza z  požiadaviek projektov na alokáciu množstva CPU, RAM alebo uloženého priestoru uvedených v štúdii, alebo odhadov správcov IS. </w:t>
      </w:r>
      <w:r w:rsidRPr="005B586F">
        <w:t xml:space="preserve">Požiadavky úradov </w:t>
      </w:r>
      <w:r w:rsidR="00E46436">
        <w:t>neboli</w:t>
      </w:r>
      <w:r w:rsidRPr="005B586F">
        <w:t xml:space="preserve"> Ministerstvom vnútra prehodnocované alebo upravované</w:t>
      </w:r>
      <w:r>
        <w:t xml:space="preserve">. </w:t>
      </w:r>
      <w:r w:rsidR="00E46436">
        <w:lastRenderedPageBreak/>
        <w:t xml:space="preserve">Začiatkom roka 2020 začalo MV SR spolu s vlastníkmi IS prehodnocovať požadovanú kapacitu s cieľom optimalizácie využitia cloudu. </w:t>
      </w:r>
      <w:r w:rsidR="001F74D1" w:rsidRPr="00BC72BC">
        <w:t xml:space="preserve">Údaje o reálnom využití alokovanej kapacity nie sú </w:t>
      </w:r>
      <w:r w:rsidR="00E46436">
        <w:t>pre všetky parametre cloudu</w:t>
      </w:r>
      <w:r w:rsidR="00E46436" w:rsidRPr="00BC72BC">
        <w:t xml:space="preserve"> </w:t>
      </w:r>
      <w:r w:rsidR="001F74D1" w:rsidRPr="00BC72BC">
        <w:t>dostupné, čo neumožňuje optimalizáciu využitia zdrojov.</w:t>
      </w:r>
      <w:r w:rsidR="001F74D1">
        <w:t xml:space="preserve"> </w:t>
      </w:r>
      <w:r w:rsidRPr="006344CD">
        <w:t>Skutočn</w:t>
      </w:r>
      <w:r>
        <w:t>á potreba kapacít vládneho cloudu môže byť výrazne nižšia.</w:t>
      </w:r>
    </w:p>
    <w:p w14:paraId="472B3A8E" w14:textId="77777777" w:rsidR="006344CD" w:rsidRDefault="001F74D1" w:rsidP="008C5034">
      <w:r>
        <w:rPr>
          <w:b/>
        </w:rPr>
        <w:t xml:space="preserve">Náklady za spotrebované cloudové služby nie sú prenášané na prevádzkovateľov IS. </w:t>
      </w:r>
      <w:r>
        <w:t xml:space="preserve">Služby vládneho cloudu sú prevádzkovateľom IS poskytované bezplatne. Rozvoj a prevádzka sú financované z rozpočtu </w:t>
      </w:r>
      <w:r w:rsidR="005B5C9D">
        <w:t xml:space="preserve">ministerstva </w:t>
      </w:r>
      <w:r>
        <w:t>vnútra. Prevádzkovatelia tak nie sú ekonomicky motivovaní hľadať najefektívnejší spôsob prevádzky IS a čo najpresnejšie odhadovať požadované množstvá cloudových služieb.</w:t>
      </w:r>
      <w:r w:rsidR="009C35FC">
        <w:t xml:space="preserve"> </w:t>
      </w:r>
    </w:p>
    <w:p w14:paraId="60723D3D" w14:textId="77777777" w:rsidR="001F74D1" w:rsidRDefault="009C35FC" w:rsidP="008C5034">
      <w:r>
        <w:rPr>
          <w:b/>
        </w:rPr>
        <w:t xml:space="preserve">Existuje riziko, že bez zmeny prevádzkového modelu nebudú plánované rozšírenia dostatočné a budú potrebné ďalšie investície. </w:t>
      </w:r>
      <w:r w:rsidRPr="007D08E5">
        <w:t>V prípade, že nedôjde k jasnému meraniu vyu</w:t>
      </w:r>
      <w:r w:rsidRPr="009C35FC">
        <w:t>žívania pridelených kapacít a prehodnocovan</w:t>
      </w:r>
      <w:r>
        <w:t xml:space="preserve">iu požiadaviek zo strany úradov existuje riziko, že naďalej dochádzať k neefektívnemu alokovaniu kapacít, ktoré nebudú využité. </w:t>
      </w:r>
      <w:r w:rsidRPr="009C35FC">
        <w:t>V takom prípade súčasné rozšírenie nebude postačujúce a budú potrebné ďalšie investície do rozširovania bez zvýšenia efektivity.</w:t>
      </w:r>
    </w:p>
    <w:p w14:paraId="19A43D55" w14:textId="77777777" w:rsidR="004F3AAE" w:rsidRDefault="009C35FC">
      <w:r>
        <w:rPr>
          <w:b/>
        </w:rPr>
        <w:t xml:space="preserve">Je potrebné vytvoriť predpoklady na financovanie vládneho cloudu z predaja vlastných služieb. </w:t>
      </w:r>
      <w:r>
        <w:t xml:space="preserve">Nutným predpokladom spoplatnenia služieb je zabezpečenie pravidelného monitoringu alokovanej a reálne spotrebovanej kapacity minimálne v rozsahu VCPU, RAM a úložného priestoru. Následne je potrebné </w:t>
      </w:r>
      <w:r w:rsidRPr="009C35FC">
        <w:t xml:space="preserve">vytvoriť </w:t>
      </w:r>
      <w:r>
        <w:t>mechanizmus</w:t>
      </w:r>
      <w:r w:rsidRPr="009C35FC">
        <w:t xml:space="preserve"> </w:t>
      </w:r>
      <w:r>
        <w:t xml:space="preserve">na </w:t>
      </w:r>
      <w:r w:rsidRPr="009C35FC">
        <w:t>spoplatnenie spotrebovaných cloudových služieb a presun prostriedkov z rozpočtov kapitol na Ministerstvo vnútra SR (v budúcnosti financovanie cloudu z interného predaja služieb)</w:t>
      </w:r>
      <w:r>
        <w:t>.</w:t>
      </w:r>
    </w:p>
    <w:p w14:paraId="4CD19622" w14:textId="77777777" w:rsidR="00A55398" w:rsidRDefault="00BF624A" w:rsidP="00EF3255">
      <w:pPr>
        <w:pStyle w:val="Odsekzoznamu"/>
        <w:numPr>
          <w:ilvl w:val="0"/>
          <w:numId w:val="32"/>
        </w:numPr>
        <w:rPr>
          <w:b/>
        </w:rPr>
      </w:pPr>
      <w:r w:rsidRPr="00A55398">
        <w:rPr>
          <w:b/>
        </w:rPr>
        <w:t xml:space="preserve">Opatrenie: </w:t>
      </w:r>
      <w:r w:rsidR="00EF3255" w:rsidRPr="00EF3255">
        <w:rPr>
          <w:b/>
        </w:rPr>
        <w:t>Zabezpečiť pravidelný monitoring alokovanej a reálne spotrebovanej kapacity cloudu.</w:t>
      </w:r>
    </w:p>
    <w:p w14:paraId="1F796F4B" w14:textId="77777777" w:rsidR="00A55398" w:rsidRDefault="00A55398" w:rsidP="00EF3255">
      <w:pPr>
        <w:pStyle w:val="Odsekzoznamu"/>
        <w:numPr>
          <w:ilvl w:val="0"/>
          <w:numId w:val="32"/>
        </w:numPr>
        <w:rPr>
          <w:b/>
        </w:rPr>
      </w:pPr>
      <w:r>
        <w:rPr>
          <w:b/>
        </w:rPr>
        <w:t xml:space="preserve">Opatrenie: </w:t>
      </w:r>
      <w:r w:rsidR="00EF3255" w:rsidRPr="00EF3255">
        <w:rPr>
          <w:b/>
        </w:rPr>
        <w:t>Validovať metodiku pre výpočet nákladov spotrebovaných cloudových služieb.</w:t>
      </w:r>
    </w:p>
    <w:p w14:paraId="10AF5B07" w14:textId="77777777" w:rsidR="00A55398" w:rsidRDefault="00A55398" w:rsidP="00EF3255">
      <w:pPr>
        <w:pStyle w:val="Odsekzoznamu"/>
        <w:numPr>
          <w:ilvl w:val="0"/>
          <w:numId w:val="32"/>
        </w:numPr>
        <w:rPr>
          <w:b/>
        </w:rPr>
      </w:pPr>
      <w:r>
        <w:rPr>
          <w:b/>
        </w:rPr>
        <w:t xml:space="preserve">Opatrenie: </w:t>
      </w:r>
      <w:r w:rsidR="00EF3255" w:rsidRPr="00EF3255">
        <w:rPr>
          <w:b/>
        </w:rPr>
        <w:t>Vytvoriť predpoklady pre spoplatnenie cloudových služieb.</w:t>
      </w:r>
    </w:p>
    <w:p w14:paraId="3243D9A9" w14:textId="5B9B8409" w:rsidR="00A55398" w:rsidRDefault="00A55398" w:rsidP="00EF3255">
      <w:pPr>
        <w:pStyle w:val="Odsekzoznamu"/>
        <w:numPr>
          <w:ilvl w:val="0"/>
          <w:numId w:val="32"/>
        </w:numPr>
        <w:rPr>
          <w:b/>
        </w:rPr>
      </w:pPr>
      <w:r>
        <w:rPr>
          <w:b/>
        </w:rPr>
        <w:t xml:space="preserve">Opatrenie: </w:t>
      </w:r>
      <w:r w:rsidR="00115586">
        <w:rPr>
          <w:b/>
        </w:rPr>
        <w:t>Prehodnotiť alokáciu</w:t>
      </w:r>
      <w:r w:rsidR="00EF3255" w:rsidRPr="00EF3255">
        <w:rPr>
          <w:b/>
        </w:rPr>
        <w:t xml:space="preserve"> </w:t>
      </w:r>
      <w:r w:rsidR="00115586">
        <w:rPr>
          <w:b/>
        </w:rPr>
        <w:t xml:space="preserve">už </w:t>
      </w:r>
      <w:r w:rsidR="00EF3255" w:rsidRPr="00EF3255">
        <w:rPr>
          <w:b/>
        </w:rPr>
        <w:t>pridelených kapacít podľa údajov o reálnom využití.</w:t>
      </w:r>
    </w:p>
    <w:p w14:paraId="7001F21F" w14:textId="77777777" w:rsidR="00A55398" w:rsidRPr="00EA43F7" w:rsidRDefault="00A55398" w:rsidP="00EF3255">
      <w:pPr>
        <w:pStyle w:val="Odsekzoznamu"/>
        <w:numPr>
          <w:ilvl w:val="0"/>
          <w:numId w:val="32"/>
        </w:numPr>
        <w:rPr>
          <w:b/>
        </w:rPr>
      </w:pPr>
      <w:r>
        <w:rPr>
          <w:b/>
        </w:rPr>
        <w:t xml:space="preserve">Opatrenie: </w:t>
      </w:r>
      <w:r w:rsidR="00EF3255" w:rsidRPr="00EF3255">
        <w:rPr>
          <w:b/>
        </w:rPr>
        <w:t>Zvyšovať mieru efektivity a využívania dostupných zdrojov.</w:t>
      </w:r>
    </w:p>
    <w:p w14:paraId="15B28547" w14:textId="77777777" w:rsidR="00160503" w:rsidRDefault="00160503" w:rsidP="00A55398">
      <w:pPr>
        <w:pStyle w:val="Odsekzoznamu"/>
        <w:sectPr w:rsidR="00160503">
          <w:footerReference w:type="default" r:id="rId21"/>
          <w:pgSz w:w="11906" w:h="16838"/>
          <w:pgMar w:top="1417" w:right="1417" w:bottom="1417" w:left="1417" w:header="708" w:footer="708" w:gutter="0"/>
          <w:cols w:space="708"/>
          <w:docGrid w:linePitch="360"/>
        </w:sectPr>
      </w:pPr>
    </w:p>
    <w:p w14:paraId="11E85434" w14:textId="77777777" w:rsidR="00422D13" w:rsidRDefault="00422D13" w:rsidP="00422D13">
      <w:pPr>
        <w:pStyle w:val="Nadpis3"/>
        <w:spacing w:after="0"/>
      </w:pPr>
      <w:bookmarkStart w:id="163" w:name="_Toc35602789"/>
      <w:r>
        <w:lastRenderedPageBreak/>
        <w:t>Príloha 1: Opatrenia revízie výdavkov na informatizáciu</w:t>
      </w:r>
      <w:bookmarkEnd w:id="163"/>
    </w:p>
    <w:tbl>
      <w:tblPr>
        <w:tblW w:w="14316" w:type="dxa"/>
        <w:tblCellMar>
          <w:left w:w="70" w:type="dxa"/>
          <w:right w:w="70" w:type="dxa"/>
        </w:tblCellMar>
        <w:tblLook w:val="04A0" w:firstRow="1" w:lastRow="0" w:firstColumn="1" w:lastColumn="0" w:noHBand="0" w:noVBand="1"/>
      </w:tblPr>
      <w:tblGrid>
        <w:gridCol w:w="953"/>
        <w:gridCol w:w="5441"/>
        <w:gridCol w:w="622"/>
        <w:gridCol w:w="5731"/>
        <w:gridCol w:w="1569"/>
      </w:tblGrid>
      <w:tr w:rsidR="00422D13" w:rsidRPr="00B96F95" w14:paraId="6D163F1D" w14:textId="77777777" w:rsidTr="00E80051">
        <w:trPr>
          <w:trHeight w:val="20"/>
        </w:trPr>
        <w:tc>
          <w:tcPr>
            <w:tcW w:w="953" w:type="dxa"/>
            <w:tcBorders>
              <w:top w:val="single" w:sz="4" w:space="0" w:color="auto"/>
              <w:left w:val="nil"/>
              <w:bottom w:val="single" w:sz="4" w:space="0" w:color="auto"/>
              <w:right w:val="nil"/>
            </w:tcBorders>
            <w:shd w:val="clear" w:color="auto" w:fill="auto"/>
            <w:vAlign w:val="bottom"/>
            <w:hideMark/>
          </w:tcPr>
          <w:p w14:paraId="18F30CB6" w14:textId="77777777" w:rsidR="00422D13" w:rsidRPr="0037129E" w:rsidRDefault="00422D13" w:rsidP="00E80051">
            <w:pPr>
              <w:spacing w:after="0" w:line="240" w:lineRule="auto"/>
              <w:jc w:val="center"/>
              <w:rPr>
                <w:rFonts w:eastAsia="Times New Roman" w:cs="Times New Roman"/>
                <w:b/>
                <w:bCs/>
                <w:color w:val="000000"/>
                <w:sz w:val="18"/>
                <w:szCs w:val="18"/>
                <w:lang w:eastAsia="sk-SK"/>
              </w:rPr>
            </w:pPr>
            <w:r w:rsidRPr="0037129E">
              <w:rPr>
                <w:rFonts w:eastAsia="Times New Roman" w:cs="Times New Roman"/>
                <w:b/>
                <w:bCs/>
                <w:color w:val="000000"/>
                <w:sz w:val="18"/>
                <w:szCs w:val="18"/>
                <w:lang w:eastAsia="sk-SK"/>
              </w:rPr>
              <w:t>Číslo</w:t>
            </w:r>
            <w:r w:rsidRPr="0037129E">
              <w:rPr>
                <w:rFonts w:eastAsia="Times New Roman" w:cs="Times New Roman"/>
                <w:b/>
                <w:bCs/>
                <w:color w:val="000000"/>
                <w:sz w:val="18"/>
                <w:szCs w:val="18"/>
                <w:lang w:eastAsia="sk-SK"/>
              </w:rPr>
              <w:br/>
              <w:t>opatrenia</w:t>
            </w:r>
          </w:p>
        </w:tc>
        <w:tc>
          <w:tcPr>
            <w:tcW w:w="5441" w:type="dxa"/>
            <w:tcBorders>
              <w:top w:val="single" w:sz="4" w:space="0" w:color="auto"/>
              <w:left w:val="nil"/>
              <w:bottom w:val="single" w:sz="4" w:space="0" w:color="auto"/>
              <w:right w:val="nil"/>
            </w:tcBorders>
            <w:shd w:val="clear" w:color="auto" w:fill="auto"/>
            <w:noWrap/>
            <w:vAlign w:val="center"/>
            <w:hideMark/>
          </w:tcPr>
          <w:p w14:paraId="3F3B4FF9" w14:textId="77777777" w:rsidR="00422D13" w:rsidRPr="0037129E" w:rsidRDefault="00422D13" w:rsidP="00E80051">
            <w:pPr>
              <w:spacing w:after="0" w:line="240" w:lineRule="auto"/>
              <w:jc w:val="center"/>
              <w:rPr>
                <w:rFonts w:eastAsia="Times New Roman" w:cs="Times New Roman"/>
                <w:b/>
                <w:bCs/>
                <w:color w:val="000000"/>
                <w:sz w:val="18"/>
                <w:szCs w:val="18"/>
                <w:lang w:eastAsia="sk-SK"/>
              </w:rPr>
            </w:pPr>
            <w:r w:rsidRPr="0037129E">
              <w:rPr>
                <w:rFonts w:eastAsia="Times New Roman" w:cs="Times New Roman"/>
                <w:b/>
                <w:bCs/>
                <w:color w:val="000000"/>
                <w:sz w:val="18"/>
                <w:szCs w:val="18"/>
                <w:lang w:eastAsia="sk-SK"/>
              </w:rPr>
              <w:t>Opatrenie</w:t>
            </w:r>
          </w:p>
        </w:tc>
        <w:tc>
          <w:tcPr>
            <w:tcW w:w="622" w:type="dxa"/>
            <w:tcBorders>
              <w:top w:val="single" w:sz="4" w:space="0" w:color="auto"/>
              <w:left w:val="nil"/>
              <w:bottom w:val="single" w:sz="4" w:space="0" w:color="auto"/>
              <w:right w:val="nil"/>
            </w:tcBorders>
            <w:shd w:val="clear" w:color="auto" w:fill="auto"/>
            <w:vAlign w:val="bottom"/>
            <w:hideMark/>
          </w:tcPr>
          <w:p w14:paraId="6177E397" w14:textId="77777777" w:rsidR="00422D13" w:rsidRPr="0037129E" w:rsidRDefault="00422D13" w:rsidP="00E80051">
            <w:pPr>
              <w:spacing w:after="0" w:line="240" w:lineRule="auto"/>
              <w:jc w:val="left"/>
              <w:rPr>
                <w:rFonts w:eastAsia="Times New Roman" w:cs="Times New Roman"/>
                <w:b/>
                <w:bCs/>
                <w:color w:val="000000"/>
                <w:sz w:val="18"/>
                <w:szCs w:val="18"/>
                <w:lang w:eastAsia="sk-SK"/>
              </w:rPr>
            </w:pPr>
            <w:r w:rsidRPr="0037129E">
              <w:rPr>
                <w:rFonts w:eastAsia="Times New Roman" w:cs="Times New Roman"/>
                <w:b/>
                <w:bCs/>
                <w:color w:val="000000"/>
                <w:sz w:val="18"/>
                <w:szCs w:val="18"/>
                <w:lang w:eastAsia="sk-SK"/>
              </w:rPr>
              <w:t>Číslo</w:t>
            </w:r>
            <w:r w:rsidRPr="0037129E">
              <w:rPr>
                <w:rFonts w:eastAsia="Times New Roman" w:cs="Times New Roman"/>
                <w:b/>
                <w:bCs/>
                <w:color w:val="000000"/>
                <w:sz w:val="18"/>
                <w:szCs w:val="18"/>
                <w:lang w:eastAsia="sk-SK"/>
              </w:rPr>
              <w:br/>
              <w:t>úlohy</w:t>
            </w:r>
          </w:p>
        </w:tc>
        <w:tc>
          <w:tcPr>
            <w:tcW w:w="5731" w:type="dxa"/>
            <w:tcBorders>
              <w:top w:val="single" w:sz="4" w:space="0" w:color="auto"/>
              <w:left w:val="nil"/>
              <w:bottom w:val="single" w:sz="4" w:space="0" w:color="auto"/>
              <w:right w:val="nil"/>
            </w:tcBorders>
            <w:shd w:val="clear" w:color="auto" w:fill="auto"/>
            <w:noWrap/>
            <w:vAlign w:val="center"/>
            <w:hideMark/>
          </w:tcPr>
          <w:p w14:paraId="4F62F36B" w14:textId="77777777" w:rsidR="00422D13" w:rsidRPr="0037129E" w:rsidRDefault="00422D13" w:rsidP="00E80051">
            <w:pPr>
              <w:spacing w:after="0" w:line="240" w:lineRule="auto"/>
              <w:jc w:val="center"/>
              <w:rPr>
                <w:rFonts w:eastAsia="Times New Roman" w:cs="Times New Roman"/>
                <w:b/>
                <w:bCs/>
                <w:color w:val="000000"/>
                <w:sz w:val="18"/>
                <w:szCs w:val="18"/>
                <w:lang w:eastAsia="sk-SK"/>
              </w:rPr>
            </w:pPr>
            <w:r w:rsidRPr="0037129E">
              <w:rPr>
                <w:rFonts w:eastAsia="Times New Roman" w:cs="Times New Roman"/>
                <w:b/>
                <w:bCs/>
                <w:color w:val="000000"/>
                <w:sz w:val="18"/>
                <w:szCs w:val="18"/>
                <w:lang w:eastAsia="sk-SK"/>
              </w:rPr>
              <w:t>Čiastková úloha</w:t>
            </w:r>
          </w:p>
        </w:tc>
        <w:tc>
          <w:tcPr>
            <w:tcW w:w="1569" w:type="dxa"/>
            <w:tcBorders>
              <w:top w:val="single" w:sz="4" w:space="0" w:color="auto"/>
              <w:left w:val="nil"/>
              <w:bottom w:val="single" w:sz="4" w:space="0" w:color="auto"/>
              <w:right w:val="nil"/>
            </w:tcBorders>
            <w:shd w:val="clear" w:color="auto" w:fill="auto"/>
            <w:noWrap/>
            <w:vAlign w:val="center"/>
            <w:hideMark/>
          </w:tcPr>
          <w:p w14:paraId="2221285D" w14:textId="77777777" w:rsidR="00422D13" w:rsidRPr="0037129E" w:rsidRDefault="00422D13" w:rsidP="00E80051">
            <w:pPr>
              <w:spacing w:after="0" w:line="240" w:lineRule="auto"/>
              <w:jc w:val="center"/>
              <w:rPr>
                <w:rFonts w:eastAsia="Times New Roman" w:cs="Times New Roman"/>
                <w:b/>
                <w:bCs/>
                <w:color w:val="000000"/>
                <w:sz w:val="18"/>
                <w:szCs w:val="18"/>
                <w:lang w:eastAsia="sk-SK"/>
              </w:rPr>
            </w:pPr>
            <w:r w:rsidRPr="0037129E">
              <w:rPr>
                <w:rFonts w:eastAsia="Times New Roman" w:cs="Times New Roman"/>
                <w:b/>
                <w:bCs/>
                <w:color w:val="000000"/>
                <w:sz w:val="18"/>
                <w:szCs w:val="18"/>
                <w:lang w:eastAsia="sk-SK"/>
              </w:rPr>
              <w:t>Inštitúcia</w:t>
            </w:r>
          </w:p>
        </w:tc>
      </w:tr>
      <w:tr w:rsidR="00422D13" w:rsidRPr="00B96F95" w14:paraId="231151F6" w14:textId="77777777" w:rsidTr="00E80051">
        <w:trPr>
          <w:trHeight w:val="20"/>
        </w:trPr>
        <w:tc>
          <w:tcPr>
            <w:tcW w:w="953" w:type="dxa"/>
            <w:vMerge w:val="restart"/>
            <w:tcBorders>
              <w:top w:val="nil"/>
              <w:left w:val="nil"/>
              <w:bottom w:val="single" w:sz="4" w:space="0" w:color="000000"/>
              <w:right w:val="nil"/>
            </w:tcBorders>
            <w:shd w:val="clear" w:color="auto" w:fill="auto"/>
            <w:noWrap/>
            <w:vAlign w:val="center"/>
            <w:hideMark/>
          </w:tcPr>
          <w:p w14:paraId="098038BE"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w:t>
            </w:r>
          </w:p>
        </w:tc>
        <w:tc>
          <w:tcPr>
            <w:tcW w:w="5441" w:type="dxa"/>
            <w:vMerge w:val="restart"/>
            <w:tcBorders>
              <w:top w:val="nil"/>
              <w:left w:val="nil"/>
              <w:bottom w:val="single" w:sz="4" w:space="0" w:color="000000"/>
              <w:right w:val="nil"/>
            </w:tcBorders>
            <w:shd w:val="clear" w:color="auto" w:fill="auto"/>
            <w:vAlign w:val="center"/>
            <w:hideMark/>
          </w:tcPr>
          <w:p w14:paraId="170D9895"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Pri aktualizácii NKIVS zadefinovať agregátny ukazovateľ na hodnotenie výsledkov informatizácie so súčasnými a cieľovými hodnotami.</w:t>
            </w:r>
          </w:p>
        </w:tc>
        <w:tc>
          <w:tcPr>
            <w:tcW w:w="622" w:type="dxa"/>
            <w:tcBorders>
              <w:top w:val="nil"/>
              <w:left w:val="nil"/>
              <w:bottom w:val="nil"/>
              <w:right w:val="nil"/>
            </w:tcBorders>
            <w:shd w:val="clear" w:color="auto" w:fill="auto"/>
            <w:vAlign w:val="center"/>
            <w:hideMark/>
          </w:tcPr>
          <w:p w14:paraId="7FA3518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1.1</w:t>
            </w:r>
          </w:p>
        </w:tc>
        <w:tc>
          <w:tcPr>
            <w:tcW w:w="5731" w:type="dxa"/>
            <w:tcBorders>
              <w:top w:val="nil"/>
              <w:left w:val="nil"/>
              <w:bottom w:val="nil"/>
              <w:right w:val="nil"/>
            </w:tcBorders>
            <w:shd w:val="clear" w:color="auto" w:fill="auto"/>
            <w:vAlign w:val="center"/>
            <w:hideMark/>
          </w:tcPr>
          <w:p w14:paraId="377AF013"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 NKIVS uviesť agregátny ukazovateľ na hodnotenie celkových výsledkov informatizácie so súčasnými a cieľovými hodnotami.</w:t>
            </w:r>
          </w:p>
        </w:tc>
        <w:tc>
          <w:tcPr>
            <w:tcW w:w="1569" w:type="dxa"/>
            <w:tcBorders>
              <w:top w:val="nil"/>
              <w:left w:val="nil"/>
              <w:bottom w:val="nil"/>
              <w:right w:val="nil"/>
            </w:tcBorders>
            <w:shd w:val="clear" w:color="auto" w:fill="auto"/>
            <w:noWrap/>
            <w:vAlign w:val="center"/>
            <w:hideMark/>
          </w:tcPr>
          <w:p w14:paraId="0258C885"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19A74457" w14:textId="77777777" w:rsidTr="00E80051">
        <w:trPr>
          <w:trHeight w:val="20"/>
        </w:trPr>
        <w:tc>
          <w:tcPr>
            <w:tcW w:w="953" w:type="dxa"/>
            <w:vMerge/>
            <w:tcBorders>
              <w:top w:val="nil"/>
              <w:left w:val="nil"/>
              <w:bottom w:val="single" w:sz="4" w:space="0" w:color="000000"/>
              <w:right w:val="nil"/>
            </w:tcBorders>
            <w:vAlign w:val="center"/>
            <w:hideMark/>
          </w:tcPr>
          <w:p w14:paraId="6A821452"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1B528959"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vAlign w:val="center"/>
            <w:hideMark/>
          </w:tcPr>
          <w:p w14:paraId="486BE2F7"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1.2</w:t>
            </w:r>
          </w:p>
        </w:tc>
        <w:tc>
          <w:tcPr>
            <w:tcW w:w="5731" w:type="dxa"/>
            <w:tcBorders>
              <w:top w:val="nil"/>
              <w:left w:val="nil"/>
              <w:bottom w:val="single" w:sz="4" w:space="0" w:color="auto"/>
              <w:right w:val="nil"/>
            </w:tcBorders>
            <w:shd w:val="clear" w:color="auto" w:fill="auto"/>
            <w:vAlign w:val="center"/>
            <w:hideMark/>
          </w:tcPr>
          <w:p w14:paraId="6DEEEA14"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 informácii o plnení NKIVS odpočtovať dosiahnutý posun a formulovať odporúčania na ďalšie obdobie.</w:t>
            </w:r>
          </w:p>
        </w:tc>
        <w:tc>
          <w:tcPr>
            <w:tcW w:w="1569" w:type="dxa"/>
            <w:tcBorders>
              <w:top w:val="nil"/>
              <w:left w:val="nil"/>
              <w:bottom w:val="single" w:sz="4" w:space="0" w:color="auto"/>
              <w:right w:val="nil"/>
            </w:tcBorders>
            <w:shd w:val="clear" w:color="auto" w:fill="auto"/>
            <w:noWrap/>
            <w:vAlign w:val="center"/>
            <w:hideMark/>
          </w:tcPr>
          <w:p w14:paraId="019704FE"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01E8DF31" w14:textId="77777777" w:rsidTr="00E80051">
        <w:trPr>
          <w:trHeight w:val="20"/>
        </w:trPr>
        <w:tc>
          <w:tcPr>
            <w:tcW w:w="953" w:type="dxa"/>
            <w:vMerge w:val="restart"/>
            <w:tcBorders>
              <w:top w:val="nil"/>
              <w:left w:val="nil"/>
              <w:bottom w:val="single" w:sz="4" w:space="0" w:color="000000"/>
              <w:right w:val="nil"/>
            </w:tcBorders>
            <w:shd w:val="clear" w:color="auto" w:fill="auto"/>
            <w:vAlign w:val="center"/>
            <w:hideMark/>
          </w:tcPr>
          <w:p w14:paraId="40F57CB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w:t>
            </w:r>
          </w:p>
        </w:tc>
        <w:tc>
          <w:tcPr>
            <w:tcW w:w="5441" w:type="dxa"/>
            <w:vMerge w:val="restart"/>
            <w:tcBorders>
              <w:top w:val="nil"/>
              <w:left w:val="nil"/>
              <w:bottom w:val="single" w:sz="4" w:space="0" w:color="000000"/>
              <w:right w:val="nil"/>
            </w:tcBorders>
            <w:shd w:val="clear" w:color="auto" w:fill="auto"/>
            <w:vAlign w:val="center"/>
            <w:hideMark/>
          </w:tcPr>
          <w:p w14:paraId="24BD9BC2"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Namapovať koncové služby poskytované štátom na 20 % prioritných eGOV služieb sledovaných eGOV benchmarkom (117) s najpočetnejším zastúpením trhu a na 100% SDG služieb (23) a priorizovať ich rozvoj.</w:t>
            </w:r>
          </w:p>
        </w:tc>
        <w:tc>
          <w:tcPr>
            <w:tcW w:w="622" w:type="dxa"/>
            <w:tcBorders>
              <w:top w:val="nil"/>
              <w:left w:val="nil"/>
              <w:bottom w:val="nil"/>
              <w:right w:val="nil"/>
            </w:tcBorders>
            <w:shd w:val="clear" w:color="auto" w:fill="auto"/>
            <w:vAlign w:val="center"/>
            <w:hideMark/>
          </w:tcPr>
          <w:p w14:paraId="190D309B"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2.1</w:t>
            </w:r>
          </w:p>
        </w:tc>
        <w:tc>
          <w:tcPr>
            <w:tcW w:w="5731" w:type="dxa"/>
            <w:tcBorders>
              <w:top w:val="nil"/>
              <w:left w:val="nil"/>
              <w:bottom w:val="nil"/>
              <w:right w:val="nil"/>
            </w:tcBorders>
            <w:shd w:val="clear" w:color="auto" w:fill="auto"/>
            <w:vAlign w:val="center"/>
            <w:hideMark/>
          </w:tcPr>
          <w:p w14:paraId="2A0E5698"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Publikovanie služieb, ktoré predstavujú 20 % prioritných 117 eGOVv služieb sledovaných eGOV benchmarkom na základe analýzy trhu (celkový počet zákazníkov).</w:t>
            </w:r>
          </w:p>
        </w:tc>
        <w:tc>
          <w:tcPr>
            <w:tcW w:w="1569" w:type="dxa"/>
            <w:tcBorders>
              <w:top w:val="nil"/>
              <w:left w:val="nil"/>
              <w:bottom w:val="nil"/>
              <w:right w:val="nil"/>
            </w:tcBorders>
            <w:shd w:val="clear" w:color="auto" w:fill="auto"/>
            <w:noWrap/>
            <w:vAlign w:val="center"/>
            <w:hideMark/>
          </w:tcPr>
          <w:p w14:paraId="031CC61C"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591FD4C4" w14:textId="77777777" w:rsidTr="00E80051">
        <w:trPr>
          <w:trHeight w:val="20"/>
        </w:trPr>
        <w:tc>
          <w:tcPr>
            <w:tcW w:w="953" w:type="dxa"/>
            <w:vMerge/>
            <w:tcBorders>
              <w:top w:val="nil"/>
              <w:left w:val="nil"/>
              <w:bottom w:val="single" w:sz="4" w:space="0" w:color="000000"/>
              <w:right w:val="nil"/>
            </w:tcBorders>
            <w:vAlign w:val="center"/>
            <w:hideMark/>
          </w:tcPr>
          <w:p w14:paraId="5DC70510"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371A125F"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7E3F975B"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2.2</w:t>
            </w:r>
          </w:p>
        </w:tc>
        <w:tc>
          <w:tcPr>
            <w:tcW w:w="5731" w:type="dxa"/>
            <w:tcBorders>
              <w:top w:val="nil"/>
              <w:left w:val="nil"/>
              <w:bottom w:val="nil"/>
              <w:right w:val="nil"/>
            </w:tcBorders>
            <w:shd w:val="clear" w:color="auto" w:fill="auto"/>
            <w:vAlign w:val="center"/>
            <w:hideMark/>
          </w:tcPr>
          <w:p w14:paraId="689E7DE2"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Publikovanie služieb, ktoré predstavujú 100 % SDG služieb (23).</w:t>
            </w:r>
          </w:p>
        </w:tc>
        <w:tc>
          <w:tcPr>
            <w:tcW w:w="1569" w:type="dxa"/>
            <w:tcBorders>
              <w:top w:val="nil"/>
              <w:left w:val="nil"/>
              <w:bottom w:val="nil"/>
              <w:right w:val="nil"/>
            </w:tcBorders>
            <w:shd w:val="clear" w:color="auto" w:fill="auto"/>
            <w:noWrap/>
            <w:vAlign w:val="center"/>
            <w:hideMark/>
          </w:tcPr>
          <w:p w14:paraId="235042CF"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12DA916C" w14:textId="77777777" w:rsidTr="00E80051">
        <w:trPr>
          <w:trHeight w:val="20"/>
        </w:trPr>
        <w:tc>
          <w:tcPr>
            <w:tcW w:w="953" w:type="dxa"/>
            <w:vMerge/>
            <w:tcBorders>
              <w:top w:val="nil"/>
              <w:left w:val="nil"/>
              <w:bottom w:val="single" w:sz="4" w:space="0" w:color="000000"/>
              <w:right w:val="nil"/>
            </w:tcBorders>
            <w:vAlign w:val="center"/>
            <w:hideMark/>
          </w:tcPr>
          <w:p w14:paraId="35324DAD"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65DAC3F5"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149C6D3E"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2.3</w:t>
            </w:r>
          </w:p>
        </w:tc>
        <w:tc>
          <w:tcPr>
            <w:tcW w:w="5731" w:type="dxa"/>
            <w:tcBorders>
              <w:top w:val="nil"/>
              <w:left w:val="nil"/>
              <w:bottom w:val="nil"/>
              <w:right w:val="nil"/>
            </w:tcBorders>
            <w:shd w:val="clear" w:color="auto" w:fill="auto"/>
            <w:vAlign w:val="center"/>
            <w:hideMark/>
          </w:tcPr>
          <w:p w14:paraId="501791D4"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nedostatky identifikovaných služieb na základe metodiky merania kvality elektronických služieb (výstup Behaviorálnej kancelárie).</w:t>
            </w:r>
          </w:p>
        </w:tc>
        <w:tc>
          <w:tcPr>
            <w:tcW w:w="1569" w:type="dxa"/>
            <w:tcBorders>
              <w:top w:val="nil"/>
              <w:left w:val="nil"/>
              <w:bottom w:val="nil"/>
              <w:right w:val="nil"/>
            </w:tcBorders>
            <w:shd w:val="clear" w:color="auto" w:fill="auto"/>
            <w:noWrap/>
            <w:vAlign w:val="center"/>
            <w:hideMark/>
          </w:tcPr>
          <w:p w14:paraId="33425599"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223ECB74" w14:textId="77777777" w:rsidTr="00E80051">
        <w:trPr>
          <w:trHeight w:val="20"/>
        </w:trPr>
        <w:tc>
          <w:tcPr>
            <w:tcW w:w="953" w:type="dxa"/>
            <w:vMerge/>
            <w:tcBorders>
              <w:top w:val="nil"/>
              <w:left w:val="nil"/>
              <w:bottom w:val="single" w:sz="4" w:space="0" w:color="000000"/>
              <w:right w:val="nil"/>
            </w:tcBorders>
            <w:vAlign w:val="center"/>
            <w:hideMark/>
          </w:tcPr>
          <w:p w14:paraId="6609909B"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17FD893D"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vAlign w:val="center"/>
            <w:hideMark/>
          </w:tcPr>
          <w:p w14:paraId="7486B775"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2.4</w:t>
            </w:r>
          </w:p>
        </w:tc>
        <w:tc>
          <w:tcPr>
            <w:tcW w:w="5731" w:type="dxa"/>
            <w:tcBorders>
              <w:top w:val="nil"/>
              <w:left w:val="nil"/>
              <w:bottom w:val="single" w:sz="4" w:space="0" w:color="auto"/>
              <w:right w:val="nil"/>
            </w:tcBorders>
            <w:shd w:val="clear" w:color="auto" w:fill="auto"/>
            <w:vAlign w:val="center"/>
            <w:hideMark/>
          </w:tcPr>
          <w:p w14:paraId="6F38FC96"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 nadväznosti na úlohy 2.1-2.3 publikovať zoznam prioritných služieb na ďalší rozvoj.</w:t>
            </w:r>
          </w:p>
        </w:tc>
        <w:tc>
          <w:tcPr>
            <w:tcW w:w="1569" w:type="dxa"/>
            <w:tcBorders>
              <w:top w:val="nil"/>
              <w:left w:val="nil"/>
              <w:bottom w:val="single" w:sz="4" w:space="0" w:color="auto"/>
              <w:right w:val="nil"/>
            </w:tcBorders>
            <w:shd w:val="clear" w:color="auto" w:fill="auto"/>
            <w:noWrap/>
            <w:vAlign w:val="center"/>
            <w:hideMark/>
          </w:tcPr>
          <w:p w14:paraId="783EF4B5"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69F58D85" w14:textId="77777777" w:rsidTr="00E80051">
        <w:trPr>
          <w:trHeight w:val="20"/>
        </w:trPr>
        <w:tc>
          <w:tcPr>
            <w:tcW w:w="953" w:type="dxa"/>
            <w:vMerge w:val="restart"/>
            <w:tcBorders>
              <w:top w:val="nil"/>
              <w:left w:val="nil"/>
              <w:bottom w:val="single" w:sz="4" w:space="0" w:color="000000"/>
              <w:right w:val="nil"/>
            </w:tcBorders>
            <w:shd w:val="clear" w:color="auto" w:fill="auto"/>
            <w:vAlign w:val="center"/>
            <w:hideMark/>
          </w:tcPr>
          <w:p w14:paraId="5E0FD2D1"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w:t>
            </w:r>
          </w:p>
        </w:tc>
        <w:tc>
          <w:tcPr>
            <w:tcW w:w="5441" w:type="dxa"/>
            <w:vMerge w:val="restart"/>
            <w:tcBorders>
              <w:top w:val="nil"/>
              <w:left w:val="nil"/>
              <w:bottom w:val="single" w:sz="4" w:space="0" w:color="000000"/>
              <w:right w:val="nil"/>
            </w:tcBorders>
            <w:shd w:val="clear" w:color="auto" w:fill="auto"/>
            <w:vAlign w:val="center"/>
            <w:hideMark/>
          </w:tcPr>
          <w:p w14:paraId="2017862D"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Zaviesť systém na opakované využitie otvoreného zdrojového kódu získaného v zmysle zákona o ITVS č. 95/2019 a EUPL licencie, manažérskych a špecializovaných produktov definovaných vo vyhláške o projektovom riadení. </w:t>
            </w:r>
          </w:p>
        </w:tc>
        <w:tc>
          <w:tcPr>
            <w:tcW w:w="622" w:type="dxa"/>
            <w:tcBorders>
              <w:top w:val="nil"/>
              <w:left w:val="nil"/>
              <w:bottom w:val="nil"/>
              <w:right w:val="nil"/>
            </w:tcBorders>
            <w:shd w:val="clear" w:color="auto" w:fill="auto"/>
            <w:vAlign w:val="center"/>
            <w:hideMark/>
          </w:tcPr>
          <w:p w14:paraId="4183358E"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3.1</w:t>
            </w:r>
          </w:p>
        </w:tc>
        <w:tc>
          <w:tcPr>
            <w:tcW w:w="5731" w:type="dxa"/>
            <w:tcBorders>
              <w:top w:val="nil"/>
              <w:left w:val="nil"/>
              <w:bottom w:val="nil"/>
              <w:right w:val="nil"/>
            </w:tcBorders>
            <w:shd w:val="clear" w:color="auto" w:fill="auto"/>
            <w:vAlign w:val="center"/>
            <w:hideMark/>
          </w:tcPr>
          <w:p w14:paraId="61AA4DD1"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Vo vyhláške o projektovom riadení konkretizovať pre OVM postup pre povinnosť publikovať otvorený zdrojový kód získaný v rámci uplatňovania zákona č. 95/2019 a EUPL licencie.</w:t>
            </w:r>
          </w:p>
        </w:tc>
        <w:tc>
          <w:tcPr>
            <w:tcW w:w="1569" w:type="dxa"/>
            <w:tcBorders>
              <w:top w:val="nil"/>
              <w:left w:val="nil"/>
              <w:bottom w:val="nil"/>
              <w:right w:val="nil"/>
            </w:tcBorders>
            <w:shd w:val="clear" w:color="auto" w:fill="auto"/>
            <w:noWrap/>
            <w:vAlign w:val="center"/>
            <w:hideMark/>
          </w:tcPr>
          <w:p w14:paraId="5D7844D5"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5C58C8A5" w14:textId="77777777" w:rsidTr="00E80051">
        <w:trPr>
          <w:trHeight w:val="20"/>
        </w:trPr>
        <w:tc>
          <w:tcPr>
            <w:tcW w:w="953" w:type="dxa"/>
            <w:vMerge/>
            <w:tcBorders>
              <w:top w:val="nil"/>
              <w:left w:val="nil"/>
              <w:bottom w:val="single" w:sz="4" w:space="0" w:color="000000"/>
              <w:right w:val="nil"/>
            </w:tcBorders>
            <w:vAlign w:val="center"/>
            <w:hideMark/>
          </w:tcPr>
          <w:p w14:paraId="0C4327F9"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07612A37"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359D40A5"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3.2</w:t>
            </w:r>
          </w:p>
        </w:tc>
        <w:tc>
          <w:tcPr>
            <w:tcW w:w="5731" w:type="dxa"/>
            <w:tcBorders>
              <w:top w:val="nil"/>
              <w:left w:val="nil"/>
              <w:bottom w:val="nil"/>
              <w:right w:val="nil"/>
            </w:tcBorders>
            <w:shd w:val="clear" w:color="auto" w:fill="auto"/>
            <w:vAlign w:val="center"/>
            <w:hideMark/>
          </w:tcPr>
          <w:p w14:paraId="6CC5CA69"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Vytvorenie verejne dostupného webového priestoru s možnosťou ukladania otvoreného zdrojového kódu získaného v rámci uplatňovania povinností zákona č. 95/2019 a EUPL licencie.</w:t>
            </w:r>
          </w:p>
        </w:tc>
        <w:tc>
          <w:tcPr>
            <w:tcW w:w="1569" w:type="dxa"/>
            <w:tcBorders>
              <w:top w:val="nil"/>
              <w:left w:val="nil"/>
              <w:bottom w:val="nil"/>
              <w:right w:val="nil"/>
            </w:tcBorders>
            <w:shd w:val="clear" w:color="auto" w:fill="auto"/>
            <w:noWrap/>
            <w:vAlign w:val="center"/>
            <w:hideMark/>
          </w:tcPr>
          <w:p w14:paraId="7AF3217E"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77CC8389" w14:textId="77777777" w:rsidTr="00E80051">
        <w:trPr>
          <w:trHeight w:val="20"/>
        </w:trPr>
        <w:tc>
          <w:tcPr>
            <w:tcW w:w="953" w:type="dxa"/>
            <w:vMerge/>
            <w:tcBorders>
              <w:top w:val="nil"/>
              <w:left w:val="nil"/>
              <w:bottom w:val="single" w:sz="4" w:space="0" w:color="000000"/>
              <w:right w:val="nil"/>
            </w:tcBorders>
            <w:vAlign w:val="center"/>
            <w:hideMark/>
          </w:tcPr>
          <w:p w14:paraId="5516551B"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54CBCD9D"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299BF3F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3.3</w:t>
            </w:r>
          </w:p>
        </w:tc>
        <w:tc>
          <w:tcPr>
            <w:tcW w:w="5731" w:type="dxa"/>
            <w:tcBorders>
              <w:top w:val="nil"/>
              <w:left w:val="nil"/>
              <w:bottom w:val="nil"/>
              <w:right w:val="nil"/>
            </w:tcBorders>
            <w:shd w:val="clear" w:color="auto" w:fill="auto"/>
            <w:vAlign w:val="center"/>
            <w:hideMark/>
          </w:tcPr>
          <w:p w14:paraId="5EEA8B0A"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Zaviesť povinnosť uviesť k zverejnenému zdrojovému kódu odkazy na špecializované a manažérske produkty definované vo vyhláške o projektovom riadení v MetaIS.</w:t>
            </w:r>
          </w:p>
        </w:tc>
        <w:tc>
          <w:tcPr>
            <w:tcW w:w="1569" w:type="dxa"/>
            <w:tcBorders>
              <w:top w:val="nil"/>
              <w:left w:val="nil"/>
              <w:bottom w:val="nil"/>
              <w:right w:val="nil"/>
            </w:tcBorders>
            <w:shd w:val="clear" w:color="auto" w:fill="auto"/>
            <w:noWrap/>
            <w:vAlign w:val="center"/>
            <w:hideMark/>
          </w:tcPr>
          <w:p w14:paraId="66E4EFB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75EBD410" w14:textId="77777777" w:rsidTr="00E80051">
        <w:trPr>
          <w:trHeight w:val="20"/>
        </w:trPr>
        <w:tc>
          <w:tcPr>
            <w:tcW w:w="953" w:type="dxa"/>
            <w:vMerge/>
            <w:tcBorders>
              <w:top w:val="nil"/>
              <w:left w:val="nil"/>
              <w:bottom w:val="single" w:sz="4" w:space="0" w:color="000000"/>
              <w:right w:val="nil"/>
            </w:tcBorders>
            <w:vAlign w:val="center"/>
            <w:hideMark/>
          </w:tcPr>
          <w:p w14:paraId="7BDF12FB"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37E81CE6"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vAlign w:val="center"/>
            <w:hideMark/>
          </w:tcPr>
          <w:p w14:paraId="5EA964D1"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3.4</w:t>
            </w:r>
          </w:p>
        </w:tc>
        <w:tc>
          <w:tcPr>
            <w:tcW w:w="5731" w:type="dxa"/>
            <w:tcBorders>
              <w:top w:val="nil"/>
              <w:left w:val="nil"/>
              <w:bottom w:val="single" w:sz="4" w:space="0" w:color="auto"/>
              <w:right w:val="nil"/>
            </w:tcBorders>
            <w:shd w:val="clear" w:color="auto" w:fill="auto"/>
            <w:vAlign w:val="center"/>
            <w:hideMark/>
          </w:tcPr>
          <w:p w14:paraId="238D87C9"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Pre rezorty s najväčšími IT výdavkami zaviesť systém aktívnej kontroly zahrnutia OSS do návrhov zmenových požiadaviek a návrhu nových IS a ekonomického hodnotenia ich použitia.</w:t>
            </w:r>
          </w:p>
        </w:tc>
        <w:tc>
          <w:tcPr>
            <w:tcW w:w="1569" w:type="dxa"/>
            <w:tcBorders>
              <w:top w:val="nil"/>
              <w:left w:val="nil"/>
              <w:bottom w:val="single" w:sz="4" w:space="0" w:color="auto"/>
              <w:right w:val="nil"/>
            </w:tcBorders>
            <w:shd w:val="clear" w:color="auto" w:fill="auto"/>
            <w:noWrap/>
            <w:vAlign w:val="center"/>
            <w:hideMark/>
          </w:tcPr>
          <w:p w14:paraId="079EE60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0DBAB2A2" w14:textId="77777777" w:rsidTr="00E80051">
        <w:trPr>
          <w:trHeight w:val="20"/>
        </w:trPr>
        <w:tc>
          <w:tcPr>
            <w:tcW w:w="953" w:type="dxa"/>
            <w:tcBorders>
              <w:top w:val="nil"/>
              <w:left w:val="nil"/>
              <w:bottom w:val="single" w:sz="4" w:space="0" w:color="auto"/>
              <w:right w:val="nil"/>
            </w:tcBorders>
            <w:shd w:val="clear" w:color="auto" w:fill="auto"/>
            <w:vAlign w:val="center"/>
            <w:hideMark/>
          </w:tcPr>
          <w:p w14:paraId="7333601F"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4</w:t>
            </w:r>
          </w:p>
        </w:tc>
        <w:tc>
          <w:tcPr>
            <w:tcW w:w="5441" w:type="dxa"/>
            <w:tcBorders>
              <w:top w:val="nil"/>
              <w:left w:val="nil"/>
              <w:bottom w:val="single" w:sz="4" w:space="0" w:color="auto"/>
              <w:right w:val="nil"/>
            </w:tcBorders>
            <w:shd w:val="clear" w:color="auto" w:fill="auto"/>
            <w:vAlign w:val="center"/>
            <w:hideMark/>
          </w:tcPr>
          <w:p w14:paraId="14FB7E46"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Pr>
                <w:rFonts w:eastAsia="Times New Roman" w:cs="Times New Roman"/>
                <w:color w:val="000000"/>
                <w:sz w:val="18"/>
                <w:szCs w:val="18"/>
                <w:lang w:eastAsia="sk-SK"/>
              </w:rPr>
              <w:t>Ak</w:t>
            </w:r>
            <w:r w:rsidRPr="0037129E">
              <w:rPr>
                <w:rFonts w:eastAsia="Times New Roman" w:cs="Times New Roman"/>
                <w:color w:val="000000"/>
                <w:sz w:val="18"/>
                <w:szCs w:val="18"/>
                <w:lang w:eastAsia="sk-SK"/>
              </w:rPr>
              <w:t xml:space="preserve"> budú vysporiadavané autorské práva a zdrojové kódy</w:t>
            </w:r>
            <w:r>
              <w:rPr>
                <w:rFonts w:eastAsia="Times New Roman" w:cs="Times New Roman"/>
                <w:color w:val="000000"/>
                <w:sz w:val="18"/>
                <w:szCs w:val="18"/>
                <w:lang w:eastAsia="sk-SK"/>
              </w:rPr>
              <w:t xml:space="preserve"> </w:t>
            </w:r>
            <w:r w:rsidRPr="0037129E">
              <w:rPr>
                <w:rFonts w:eastAsia="Times New Roman" w:cs="Times New Roman"/>
                <w:color w:val="000000"/>
                <w:sz w:val="18"/>
                <w:szCs w:val="18"/>
                <w:lang w:eastAsia="sk-SK"/>
              </w:rPr>
              <w:t xml:space="preserve"> </w:t>
            </w:r>
            <w:r>
              <w:rPr>
                <w:rFonts w:eastAsia="Times New Roman" w:cs="Times New Roman"/>
                <w:color w:val="000000"/>
                <w:sz w:val="18"/>
                <w:szCs w:val="18"/>
                <w:lang w:eastAsia="sk-SK"/>
              </w:rPr>
              <w:t>k ISVS je nutné z</w:t>
            </w:r>
            <w:r w:rsidRPr="0037129E">
              <w:rPr>
                <w:rFonts w:eastAsia="Times New Roman" w:cs="Times New Roman"/>
                <w:color w:val="000000"/>
                <w:sz w:val="18"/>
                <w:szCs w:val="18"/>
                <w:lang w:eastAsia="sk-SK"/>
              </w:rPr>
              <w:t xml:space="preserve">abezpečiť dokumentáciu IS podľa štandardov definovaných </w:t>
            </w:r>
            <w:r>
              <w:rPr>
                <w:rFonts w:eastAsia="Times New Roman" w:cs="Times New Roman"/>
                <w:color w:val="000000"/>
                <w:sz w:val="18"/>
                <w:szCs w:val="18"/>
                <w:lang w:eastAsia="sk-SK"/>
              </w:rPr>
              <w:t>vo</w:t>
            </w:r>
            <w:r w:rsidRPr="0037129E">
              <w:rPr>
                <w:rFonts w:eastAsia="Times New Roman" w:cs="Times New Roman"/>
                <w:color w:val="000000"/>
                <w:sz w:val="18"/>
                <w:szCs w:val="18"/>
                <w:lang w:eastAsia="sk-SK"/>
              </w:rPr>
              <w:t xml:space="preserve"> vyhláške o riadení projektov</w:t>
            </w:r>
          </w:p>
        </w:tc>
        <w:tc>
          <w:tcPr>
            <w:tcW w:w="622" w:type="dxa"/>
            <w:tcBorders>
              <w:top w:val="nil"/>
              <w:left w:val="nil"/>
              <w:bottom w:val="single" w:sz="4" w:space="0" w:color="auto"/>
              <w:right w:val="nil"/>
            </w:tcBorders>
            <w:shd w:val="clear" w:color="auto" w:fill="auto"/>
            <w:vAlign w:val="center"/>
            <w:hideMark/>
          </w:tcPr>
          <w:p w14:paraId="0F280465"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4.1</w:t>
            </w:r>
          </w:p>
        </w:tc>
        <w:tc>
          <w:tcPr>
            <w:tcW w:w="5731" w:type="dxa"/>
            <w:tcBorders>
              <w:top w:val="nil"/>
              <w:left w:val="nil"/>
              <w:bottom w:val="single" w:sz="4" w:space="0" w:color="auto"/>
              <w:right w:val="nil"/>
            </w:tcBorders>
            <w:shd w:val="clear" w:color="auto" w:fill="auto"/>
            <w:vAlign w:val="center"/>
            <w:hideMark/>
          </w:tcPr>
          <w:p w14:paraId="0D3D5CAE"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Pr>
                <w:rFonts w:eastAsia="Times New Roman" w:cs="Times New Roman"/>
                <w:color w:val="000000"/>
                <w:sz w:val="18"/>
                <w:szCs w:val="18"/>
                <w:lang w:eastAsia="sk-SK"/>
              </w:rPr>
              <w:t xml:space="preserve">Zaviesť do Koncepcie nákupu IT vo verejnej správe proces prebrania a zverejnenia </w:t>
            </w:r>
            <w:r w:rsidRPr="0037129E">
              <w:rPr>
                <w:rFonts w:eastAsia="Times New Roman" w:cs="Times New Roman"/>
                <w:color w:val="000000"/>
                <w:sz w:val="18"/>
                <w:szCs w:val="18"/>
                <w:lang w:eastAsia="sk-SK"/>
              </w:rPr>
              <w:t>projektov</w:t>
            </w:r>
            <w:r>
              <w:rPr>
                <w:rFonts w:eastAsia="Times New Roman" w:cs="Times New Roman"/>
                <w:color w:val="000000"/>
                <w:sz w:val="18"/>
                <w:szCs w:val="18"/>
                <w:lang w:eastAsia="sk-SK"/>
              </w:rPr>
              <w:t>ej</w:t>
            </w:r>
            <w:r w:rsidRPr="0037129E">
              <w:rPr>
                <w:rFonts w:eastAsia="Times New Roman" w:cs="Times New Roman"/>
                <w:color w:val="000000"/>
                <w:sz w:val="18"/>
                <w:szCs w:val="18"/>
                <w:lang w:eastAsia="sk-SK"/>
              </w:rPr>
              <w:t xml:space="preserve"> dokumentáci</w:t>
            </w:r>
            <w:r>
              <w:rPr>
                <w:rFonts w:eastAsia="Times New Roman" w:cs="Times New Roman"/>
                <w:color w:val="000000"/>
                <w:sz w:val="18"/>
                <w:szCs w:val="18"/>
                <w:lang w:eastAsia="sk-SK"/>
              </w:rPr>
              <w:t>e</w:t>
            </w:r>
            <w:r w:rsidRPr="0037129E">
              <w:rPr>
                <w:rFonts w:eastAsia="Times New Roman" w:cs="Times New Roman"/>
                <w:color w:val="000000"/>
                <w:sz w:val="18"/>
                <w:szCs w:val="18"/>
                <w:lang w:eastAsia="sk-SK"/>
              </w:rPr>
              <w:t xml:space="preserve"> (manažérske a špecializované produkty projektového riadenia v zmysle vyhlášky o projektovom riadenú)</w:t>
            </w:r>
            <w:r>
              <w:rPr>
                <w:rFonts w:eastAsia="Times New Roman" w:cs="Times New Roman"/>
                <w:color w:val="000000"/>
                <w:sz w:val="18"/>
                <w:szCs w:val="18"/>
                <w:lang w:eastAsia="sk-SK"/>
              </w:rPr>
              <w:t xml:space="preserve"> tých</w:t>
            </w:r>
            <w:r w:rsidRPr="0037129E">
              <w:rPr>
                <w:rFonts w:eastAsia="Times New Roman" w:cs="Times New Roman"/>
                <w:color w:val="000000"/>
                <w:sz w:val="18"/>
                <w:szCs w:val="18"/>
                <w:lang w:eastAsia="sk-SK"/>
              </w:rPr>
              <w:t xml:space="preserve"> IS </w:t>
            </w:r>
            <w:r>
              <w:rPr>
                <w:rFonts w:eastAsia="Times New Roman" w:cs="Times New Roman"/>
                <w:color w:val="000000"/>
                <w:sz w:val="18"/>
                <w:szCs w:val="18"/>
                <w:lang w:eastAsia="sk-SK"/>
              </w:rPr>
              <w:t xml:space="preserve">budú vysporiadané autorské práva a zdrojove kódy </w:t>
            </w:r>
          </w:p>
        </w:tc>
        <w:tc>
          <w:tcPr>
            <w:tcW w:w="1569" w:type="dxa"/>
            <w:tcBorders>
              <w:top w:val="nil"/>
              <w:left w:val="nil"/>
              <w:bottom w:val="single" w:sz="4" w:space="0" w:color="auto"/>
              <w:right w:val="nil"/>
            </w:tcBorders>
            <w:shd w:val="clear" w:color="auto" w:fill="auto"/>
            <w:noWrap/>
            <w:vAlign w:val="center"/>
            <w:hideMark/>
          </w:tcPr>
          <w:p w14:paraId="0619255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Pr>
                <w:rFonts w:eastAsia="Times New Roman" w:cs="Times New Roman"/>
                <w:color w:val="000000"/>
                <w:sz w:val="18"/>
                <w:szCs w:val="18"/>
                <w:lang w:eastAsia="sk-SK"/>
              </w:rPr>
              <w:t>Orgány riadenia</w:t>
            </w:r>
            <w:r>
              <w:rPr>
                <w:rStyle w:val="Odkaznapoznmkupodiarou"/>
                <w:rFonts w:eastAsia="Times New Roman" w:cs="Times New Roman"/>
                <w:color w:val="000000"/>
                <w:sz w:val="18"/>
                <w:szCs w:val="18"/>
                <w:lang w:eastAsia="sk-SK"/>
              </w:rPr>
              <w:footnoteReference w:id="47"/>
            </w:r>
            <w:r>
              <w:rPr>
                <w:rFonts w:eastAsia="Times New Roman" w:cs="Times New Roman"/>
                <w:color w:val="000000"/>
                <w:sz w:val="18"/>
                <w:szCs w:val="18"/>
                <w:lang w:eastAsia="sk-SK"/>
              </w:rPr>
              <w:t xml:space="preserve">, </w:t>
            </w:r>
            <w:r w:rsidRPr="0037129E">
              <w:rPr>
                <w:rFonts w:eastAsia="Times New Roman" w:cs="Times New Roman"/>
                <w:color w:val="000000"/>
                <w:sz w:val="18"/>
                <w:szCs w:val="18"/>
                <w:lang w:eastAsia="sk-SK"/>
              </w:rPr>
              <w:t>ÚPVII</w:t>
            </w:r>
          </w:p>
        </w:tc>
      </w:tr>
      <w:tr w:rsidR="00422D13" w:rsidRPr="00B96F95" w14:paraId="77BF6987" w14:textId="77777777" w:rsidTr="00E80051">
        <w:trPr>
          <w:trHeight w:val="20"/>
        </w:trPr>
        <w:tc>
          <w:tcPr>
            <w:tcW w:w="953" w:type="dxa"/>
            <w:tcBorders>
              <w:top w:val="nil"/>
              <w:left w:val="nil"/>
              <w:bottom w:val="single" w:sz="4" w:space="0" w:color="auto"/>
              <w:right w:val="nil"/>
            </w:tcBorders>
            <w:shd w:val="clear" w:color="auto" w:fill="auto"/>
            <w:vAlign w:val="center"/>
            <w:hideMark/>
          </w:tcPr>
          <w:p w14:paraId="4E63A886"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5</w:t>
            </w:r>
          </w:p>
        </w:tc>
        <w:tc>
          <w:tcPr>
            <w:tcW w:w="5441" w:type="dxa"/>
            <w:tcBorders>
              <w:top w:val="nil"/>
              <w:left w:val="nil"/>
              <w:bottom w:val="single" w:sz="4" w:space="0" w:color="auto"/>
              <w:right w:val="nil"/>
            </w:tcBorders>
            <w:shd w:val="clear" w:color="auto" w:fill="auto"/>
            <w:vAlign w:val="center"/>
            <w:hideMark/>
          </w:tcPr>
          <w:p w14:paraId="6044F4F2"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Identifikovať požiadavky na chýbajúce spoločné moduly.</w:t>
            </w:r>
          </w:p>
        </w:tc>
        <w:tc>
          <w:tcPr>
            <w:tcW w:w="622" w:type="dxa"/>
            <w:tcBorders>
              <w:top w:val="nil"/>
              <w:left w:val="nil"/>
              <w:bottom w:val="single" w:sz="4" w:space="0" w:color="auto"/>
              <w:right w:val="nil"/>
            </w:tcBorders>
            <w:shd w:val="clear" w:color="auto" w:fill="auto"/>
            <w:vAlign w:val="center"/>
            <w:hideMark/>
          </w:tcPr>
          <w:p w14:paraId="5075C0B4"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5.1</w:t>
            </w:r>
          </w:p>
        </w:tc>
        <w:tc>
          <w:tcPr>
            <w:tcW w:w="5731" w:type="dxa"/>
            <w:tcBorders>
              <w:top w:val="nil"/>
              <w:left w:val="nil"/>
              <w:bottom w:val="single" w:sz="4" w:space="0" w:color="auto"/>
              <w:right w:val="nil"/>
            </w:tcBorders>
            <w:shd w:val="clear" w:color="auto" w:fill="auto"/>
            <w:vAlign w:val="center"/>
            <w:hideMark/>
          </w:tcPr>
          <w:p w14:paraId="506E9C98"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 novej verzii NKIVS uviesť požiadavky na nové spoločné moduly.</w:t>
            </w:r>
          </w:p>
        </w:tc>
        <w:tc>
          <w:tcPr>
            <w:tcW w:w="1569" w:type="dxa"/>
            <w:tcBorders>
              <w:top w:val="nil"/>
              <w:left w:val="nil"/>
              <w:bottom w:val="single" w:sz="4" w:space="0" w:color="auto"/>
              <w:right w:val="nil"/>
            </w:tcBorders>
            <w:shd w:val="clear" w:color="auto" w:fill="auto"/>
            <w:noWrap/>
            <w:vAlign w:val="center"/>
            <w:hideMark/>
          </w:tcPr>
          <w:p w14:paraId="3E7A5FF1"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10521080" w14:textId="77777777" w:rsidTr="00E80051">
        <w:trPr>
          <w:trHeight w:val="20"/>
        </w:trPr>
        <w:tc>
          <w:tcPr>
            <w:tcW w:w="953" w:type="dxa"/>
            <w:vMerge w:val="restart"/>
            <w:tcBorders>
              <w:top w:val="nil"/>
              <w:left w:val="nil"/>
              <w:bottom w:val="single" w:sz="4" w:space="0" w:color="000000"/>
              <w:right w:val="nil"/>
            </w:tcBorders>
            <w:shd w:val="clear" w:color="auto" w:fill="auto"/>
            <w:vAlign w:val="center"/>
            <w:hideMark/>
          </w:tcPr>
          <w:p w14:paraId="05405D1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6</w:t>
            </w:r>
          </w:p>
        </w:tc>
        <w:tc>
          <w:tcPr>
            <w:tcW w:w="5441" w:type="dxa"/>
            <w:vMerge w:val="restart"/>
            <w:tcBorders>
              <w:top w:val="nil"/>
              <w:left w:val="nil"/>
              <w:bottom w:val="single" w:sz="4" w:space="0" w:color="000000"/>
              <w:right w:val="nil"/>
            </w:tcBorders>
            <w:shd w:val="clear" w:color="auto" w:fill="auto"/>
            <w:vAlign w:val="center"/>
            <w:hideMark/>
          </w:tcPr>
          <w:p w14:paraId="11406811"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Zvýšiť efektivitu vynaložených finančných prostriedkov presunom výdavkov z externých služieb na interné kapacity. </w:t>
            </w:r>
          </w:p>
        </w:tc>
        <w:tc>
          <w:tcPr>
            <w:tcW w:w="622" w:type="dxa"/>
            <w:tcBorders>
              <w:top w:val="nil"/>
              <w:left w:val="nil"/>
              <w:bottom w:val="nil"/>
              <w:right w:val="nil"/>
            </w:tcBorders>
            <w:shd w:val="clear" w:color="auto" w:fill="auto"/>
            <w:vAlign w:val="center"/>
            <w:hideMark/>
          </w:tcPr>
          <w:p w14:paraId="6EE521CD"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6.1</w:t>
            </w:r>
          </w:p>
        </w:tc>
        <w:tc>
          <w:tcPr>
            <w:tcW w:w="5731" w:type="dxa"/>
            <w:tcBorders>
              <w:top w:val="nil"/>
              <w:left w:val="nil"/>
              <w:bottom w:val="nil"/>
              <w:right w:val="nil"/>
            </w:tcBorders>
            <w:shd w:val="clear" w:color="auto" w:fill="auto"/>
            <w:vAlign w:val="center"/>
            <w:hideMark/>
          </w:tcPr>
          <w:p w14:paraId="674E9634"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Publikovať metodiku prepočtu nákladov na externé služby podpory (úroveň L1 a L2) na interné kapacity. </w:t>
            </w:r>
          </w:p>
        </w:tc>
        <w:tc>
          <w:tcPr>
            <w:tcW w:w="1569" w:type="dxa"/>
            <w:tcBorders>
              <w:top w:val="nil"/>
              <w:left w:val="nil"/>
              <w:bottom w:val="nil"/>
              <w:right w:val="nil"/>
            </w:tcBorders>
            <w:shd w:val="clear" w:color="auto" w:fill="auto"/>
            <w:noWrap/>
            <w:vAlign w:val="center"/>
            <w:hideMark/>
          </w:tcPr>
          <w:p w14:paraId="4CE535E9"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3EA667CD" w14:textId="77777777" w:rsidTr="00E80051">
        <w:trPr>
          <w:trHeight w:val="20"/>
        </w:trPr>
        <w:tc>
          <w:tcPr>
            <w:tcW w:w="953" w:type="dxa"/>
            <w:vMerge/>
            <w:tcBorders>
              <w:top w:val="nil"/>
              <w:left w:val="nil"/>
              <w:bottom w:val="single" w:sz="4" w:space="0" w:color="000000"/>
              <w:right w:val="nil"/>
            </w:tcBorders>
            <w:vAlign w:val="center"/>
            <w:hideMark/>
          </w:tcPr>
          <w:p w14:paraId="374FC4B5"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0A3A352A"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761644D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6.2</w:t>
            </w:r>
          </w:p>
        </w:tc>
        <w:tc>
          <w:tcPr>
            <w:tcW w:w="5731" w:type="dxa"/>
            <w:tcBorders>
              <w:top w:val="nil"/>
              <w:left w:val="nil"/>
              <w:bottom w:val="nil"/>
              <w:right w:val="nil"/>
            </w:tcBorders>
            <w:shd w:val="clear" w:color="auto" w:fill="auto"/>
            <w:vAlign w:val="center"/>
            <w:hideMark/>
          </w:tcPr>
          <w:p w14:paraId="4F5B582D"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metodiku prepočtu nákladov na externé konzultačné služby na interné kapacity.</w:t>
            </w:r>
          </w:p>
        </w:tc>
        <w:tc>
          <w:tcPr>
            <w:tcW w:w="1569" w:type="dxa"/>
            <w:tcBorders>
              <w:top w:val="nil"/>
              <w:left w:val="nil"/>
              <w:bottom w:val="nil"/>
              <w:right w:val="nil"/>
            </w:tcBorders>
            <w:shd w:val="clear" w:color="auto" w:fill="auto"/>
            <w:noWrap/>
            <w:vAlign w:val="center"/>
            <w:hideMark/>
          </w:tcPr>
          <w:p w14:paraId="7E52843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20354376" w14:textId="77777777" w:rsidTr="00E80051">
        <w:trPr>
          <w:trHeight w:val="20"/>
        </w:trPr>
        <w:tc>
          <w:tcPr>
            <w:tcW w:w="953" w:type="dxa"/>
            <w:vMerge/>
            <w:tcBorders>
              <w:top w:val="nil"/>
              <w:left w:val="nil"/>
              <w:bottom w:val="single" w:sz="4" w:space="0" w:color="000000"/>
              <w:right w:val="nil"/>
            </w:tcBorders>
            <w:vAlign w:val="center"/>
            <w:hideMark/>
          </w:tcPr>
          <w:p w14:paraId="10E90435"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56532BD6"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4FC58EA0"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6.3</w:t>
            </w:r>
          </w:p>
        </w:tc>
        <w:tc>
          <w:tcPr>
            <w:tcW w:w="5731" w:type="dxa"/>
            <w:tcBorders>
              <w:top w:val="nil"/>
              <w:left w:val="nil"/>
              <w:bottom w:val="nil"/>
              <w:right w:val="nil"/>
            </w:tcBorders>
            <w:shd w:val="clear" w:color="auto" w:fill="auto"/>
            <w:vAlign w:val="center"/>
            <w:hideMark/>
          </w:tcPr>
          <w:p w14:paraId="68FD80D1"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Publikovať metodiku prepočtu nákladov z externých služieb na zmenové požiadavky na interné kapacity. </w:t>
            </w:r>
          </w:p>
        </w:tc>
        <w:tc>
          <w:tcPr>
            <w:tcW w:w="1569" w:type="dxa"/>
            <w:tcBorders>
              <w:top w:val="nil"/>
              <w:left w:val="nil"/>
              <w:bottom w:val="nil"/>
              <w:right w:val="nil"/>
            </w:tcBorders>
            <w:shd w:val="clear" w:color="auto" w:fill="auto"/>
            <w:noWrap/>
            <w:vAlign w:val="center"/>
            <w:hideMark/>
          </w:tcPr>
          <w:p w14:paraId="6043B2F5"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0D5F991B" w14:textId="77777777" w:rsidTr="00E80051">
        <w:trPr>
          <w:trHeight w:val="20"/>
        </w:trPr>
        <w:tc>
          <w:tcPr>
            <w:tcW w:w="953" w:type="dxa"/>
            <w:vMerge/>
            <w:tcBorders>
              <w:top w:val="nil"/>
              <w:left w:val="nil"/>
              <w:bottom w:val="single" w:sz="4" w:space="0" w:color="000000"/>
              <w:right w:val="nil"/>
            </w:tcBorders>
            <w:vAlign w:val="center"/>
            <w:hideMark/>
          </w:tcPr>
          <w:p w14:paraId="3669D345"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14DAC9E6"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28802924"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6.4</w:t>
            </w:r>
          </w:p>
        </w:tc>
        <w:tc>
          <w:tcPr>
            <w:tcW w:w="5731" w:type="dxa"/>
            <w:tcBorders>
              <w:top w:val="nil"/>
              <w:left w:val="nil"/>
              <w:bottom w:val="nil"/>
              <w:right w:val="nil"/>
            </w:tcBorders>
            <w:shd w:val="clear" w:color="auto" w:fill="auto"/>
            <w:vAlign w:val="center"/>
            <w:hideMark/>
          </w:tcPr>
          <w:p w14:paraId="57B7007A"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1x ročne publikovať GAP analýzu odmeňovania IT špecialistov v súkromnom a verejnom sektore.</w:t>
            </w:r>
          </w:p>
        </w:tc>
        <w:tc>
          <w:tcPr>
            <w:tcW w:w="1569" w:type="dxa"/>
            <w:tcBorders>
              <w:top w:val="nil"/>
              <w:left w:val="nil"/>
              <w:bottom w:val="nil"/>
              <w:right w:val="nil"/>
            </w:tcBorders>
            <w:shd w:val="clear" w:color="auto" w:fill="auto"/>
            <w:noWrap/>
            <w:vAlign w:val="center"/>
            <w:hideMark/>
          </w:tcPr>
          <w:p w14:paraId="229A1D37"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0C950CD9" w14:textId="77777777" w:rsidTr="00E80051">
        <w:trPr>
          <w:trHeight w:val="20"/>
        </w:trPr>
        <w:tc>
          <w:tcPr>
            <w:tcW w:w="953" w:type="dxa"/>
            <w:vMerge/>
            <w:tcBorders>
              <w:top w:val="nil"/>
              <w:left w:val="nil"/>
              <w:bottom w:val="single" w:sz="4" w:space="0" w:color="000000"/>
              <w:right w:val="nil"/>
            </w:tcBorders>
            <w:vAlign w:val="center"/>
            <w:hideMark/>
          </w:tcPr>
          <w:p w14:paraId="27815749"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27FE4105"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60112AD1"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6.5</w:t>
            </w:r>
          </w:p>
        </w:tc>
        <w:tc>
          <w:tcPr>
            <w:tcW w:w="5731" w:type="dxa"/>
            <w:tcBorders>
              <w:top w:val="nil"/>
              <w:left w:val="nil"/>
              <w:bottom w:val="nil"/>
              <w:right w:val="nil"/>
            </w:tcBorders>
            <w:shd w:val="clear" w:color="auto" w:fill="auto"/>
            <w:vAlign w:val="center"/>
            <w:hideMark/>
          </w:tcPr>
          <w:p w14:paraId="0DA47124"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Zaviesť povinnosť preukázať pri požiadavke na nákup externých služieb ekonomickú efektívnosť voči výkonu služieb internými kapacitami.</w:t>
            </w:r>
          </w:p>
        </w:tc>
        <w:tc>
          <w:tcPr>
            <w:tcW w:w="1569" w:type="dxa"/>
            <w:tcBorders>
              <w:top w:val="nil"/>
              <w:left w:val="nil"/>
              <w:bottom w:val="nil"/>
              <w:right w:val="nil"/>
            </w:tcBorders>
            <w:shd w:val="clear" w:color="auto" w:fill="auto"/>
            <w:noWrap/>
            <w:vAlign w:val="center"/>
            <w:hideMark/>
          </w:tcPr>
          <w:p w14:paraId="7895240D"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r>
              <w:rPr>
                <w:rFonts w:eastAsia="Times New Roman" w:cs="Times New Roman"/>
                <w:color w:val="000000"/>
                <w:sz w:val="18"/>
                <w:szCs w:val="18"/>
                <w:lang w:eastAsia="sk-SK"/>
              </w:rPr>
              <w:t>, MF SR</w:t>
            </w:r>
          </w:p>
        </w:tc>
      </w:tr>
      <w:tr w:rsidR="00422D13" w:rsidRPr="00B96F95" w14:paraId="7D56177A" w14:textId="77777777" w:rsidTr="00E80051">
        <w:trPr>
          <w:trHeight w:val="20"/>
        </w:trPr>
        <w:tc>
          <w:tcPr>
            <w:tcW w:w="953" w:type="dxa"/>
            <w:vMerge/>
            <w:tcBorders>
              <w:top w:val="nil"/>
              <w:left w:val="nil"/>
              <w:bottom w:val="single" w:sz="4" w:space="0" w:color="000000"/>
              <w:right w:val="nil"/>
            </w:tcBorders>
            <w:vAlign w:val="center"/>
            <w:hideMark/>
          </w:tcPr>
          <w:p w14:paraId="4D1A99B4"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10876310"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vAlign w:val="center"/>
            <w:hideMark/>
          </w:tcPr>
          <w:p w14:paraId="34F01A08"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6.6</w:t>
            </w:r>
          </w:p>
        </w:tc>
        <w:tc>
          <w:tcPr>
            <w:tcW w:w="5731" w:type="dxa"/>
            <w:tcBorders>
              <w:top w:val="nil"/>
              <w:left w:val="nil"/>
              <w:bottom w:val="single" w:sz="4" w:space="0" w:color="auto"/>
              <w:right w:val="nil"/>
            </w:tcBorders>
            <w:shd w:val="clear" w:color="auto" w:fill="auto"/>
            <w:vAlign w:val="center"/>
            <w:hideMark/>
          </w:tcPr>
          <w:p w14:paraId="7A2367BD"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Schváliť uznesenie vlády na uplatňovanie metodík MF SR a ostatných OVM.</w:t>
            </w:r>
          </w:p>
        </w:tc>
        <w:tc>
          <w:tcPr>
            <w:tcW w:w="1569" w:type="dxa"/>
            <w:tcBorders>
              <w:top w:val="nil"/>
              <w:left w:val="nil"/>
              <w:bottom w:val="single" w:sz="4" w:space="0" w:color="auto"/>
              <w:right w:val="nil"/>
            </w:tcBorders>
            <w:shd w:val="clear" w:color="auto" w:fill="auto"/>
            <w:noWrap/>
            <w:vAlign w:val="center"/>
            <w:hideMark/>
          </w:tcPr>
          <w:p w14:paraId="3B4FBEC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r>
              <w:rPr>
                <w:rFonts w:eastAsia="Times New Roman" w:cs="Times New Roman"/>
                <w:color w:val="000000"/>
                <w:sz w:val="18"/>
                <w:szCs w:val="18"/>
                <w:lang w:eastAsia="sk-SK"/>
              </w:rPr>
              <w:t>, MF SR</w:t>
            </w:r>
          </w:p>
        </w:tc>
      </w:tr>
      <w:tr w:rsidR="00422D13" w:rsidRPr="00B96F95" w14:paraId="36F0CDB5" w14:textId="77777777" w:rsidTr="00E80051">
        <w:trPr>
          <w:trHeight w:val="20"/>
        </w:trPr>
        <w:tc>
          <w:tcPr>
            <w:tcW w:w="953" w:type="dxa"/>
            <w:vMerge w:val="restart"/>
            <w:tcBorders>
              <w:top w:val="nil"/>
              <w:left w:val="nil"/>
              <w:bottom w:val="single" w:sz="4" w:space="0" w:color="000000"/>
              <w:right w:val="nil"/>
            </w:tcBorders>
            <w:shd w:val="clear" w:color="auto" w:fill="auto"/>
            <w:vAlign w:val="center"/>
            <w:hideMark/>
          </w:tcPr>
          <w:p w14:paraId="6ACF9EF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7</w:t>
            </w:r>
          </w:p>
        </w:tc>
        <w:tc>
          <w:tcPr>
            <w:tcW w:w="5441" w:type="dxa"/>
            <w:vMerge w:val="restart"/>
            <w:tcBorders>
              <w:top w:val="nil"/>
              <w:left w:val="nil"/>
              <w:bottom w:val="single" w:sz="4" w:space="0" w:color="000000"/>
              <w:right w:val="nil"/>
            </w:tcBorders>
            <w:shd w:val="clear" w:color="auto" w:fill="auto"/>
            <w:vAlign w:val="center"/>
            <w:hideMark/>
          </w:tcPr>
          <w:p w14:paraId="3A11C564"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Zrealizovať pilotný projekt na  overenie efektívnosti interného výkonu IT služieb.</w:t>
            </w:r>
          </w:p>
        </w:tc>
        <w:tc>
          <w:tcPr>
            <w:tcW w:w="622" w:type="dxa"/>
            <w:tcBorders>
              <w:top w:val="nil"/>
              <w:left w:val="nil"/>
              <w:bottom w:val="nil"/>
              <w:right w:val="nil"/>
            </w:tcBorders>
            <w:shd w:val="clear" w:color="auto" w:fill="auto"/>
            <w:vAlign w:val="center"/>
            <w:hideMark/>
          </w:tcPr>
          <w:p w14:paraId="56CE639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7.1</w:t>
            </w:r>
          </w:p>
        </w:tc>
        <w:tc>
          <w:tcPr>
            <w:tcW w:w="5731" w:type="dxa"/>
            <w:tcBorders>
              <w:top w:val="nil"/>
              <w:left w:val="nil"/>
              <w:bottom w:val="nil"/>
              <w:right w:val="nil"/>
            </w:tcBorders>
            <w:shd w:val="clear" w:color="auto" w:fill="auto"/>
            <w:vAlign w:val="center"/>
            <w:hideMark/>
          </w:tcPr>
          <w:p w14:paraId="46CEB480"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Pr>
                <w:rFonts w:eastAsia="Times New Roman" w:cs="Times New Roman"/>
                <w:color w:val="000000"/>
                <w:sz w:val="18"/>
                <w:szCs w:val="18"/>
                <w:lang w:eastAsia="sk-SK"/>
              </w:rPr>
              <w:t>Monitorovať</w:t>
            </w:r>
            <w:r w:rsidRPr="0037129E">
              <w:rPr>
                <w:rFonts w:eastAsia="Times New Roman" w:cs="Times New Roman"/>
                <w:color w:val="000000"/>
                <w:sz w:val="18"/>
                <w:szCs w:val="18"/>
                <w:lang w:eastAsia="sk-SK"/>
              </w:rPr>
              <w:t xml:space="preserve"> projekty na prebratie externe objednávaných služieb do interného výkonu z kapitoly 6 a štúdii uskutočniteľnosti OP II projektov.</w:t>
            </w:r>
          </w:p>
        </w:tc>
        <w:tc>
          <w:tcPr>
            <w:tcW w:w="1569" w:type="dxa"/>
            <w:tcBorders>
              <w:top w:val="nil"/>
              <w:left w:val="nil"/>
              <w:bottom w:val="nil"/>
              <w:right w:val="nil"/>
            </w:tcBorders>
            <w:shd w:val="clear" w:color="auto" w:fill="auto"/>
            <w:noWrap/>
            <w:vAlign w:val="center"/>
            <w:hideMark/>
          </w:tcPr>
          <w:p w14:paraId="02EF71E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r>
              <w:rPr>
                <w:rFonts w:eastAsia="Times New Roman" w:cs="Times New Roman"/>
                <w:color w:val="000000"/>
                <w:sz w:val="18"/>
                <w:szCs w:val="18"/>
                <w:lang w:eastAsia="sk-SK"/>
              </w:rPr>
              <w:t>, MF SR</w:t>
            </w:r>
          </w:p>
        </w:tc>
      </w:tr>
      <w:tr w:rsidR="00422D13" w:rsidRPr="00B96F95" w14:paraId="39ED2C22" w14:textId="77777777" w:rsidTr="00E80051">
        <w:trPr>
          <w:trHeight w:val="20"/>
        </w:trPr>
        <w:tc>
          <w:tcPr>
            <w:tcW w:w="953" w:type="dxa"/>
            <w:vMerge/>
            <w:tcBorders>
              <w:top w:val="nil"/>
              <w:left w:val="nil"/>
              <w:bottom w:val="single" w:sz="4" w:space="0" w:color="000000"/>
              <w:right w:val="nil"/>
            </w:tcBorders>
            <w:vAlign w:val="center"/>
            <w:hideMark/>
          </w:tcPr>
          <w:p w14:paraId="4F107418"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4542974F"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vAlign w:val="center"/>
            <w:hideMark/>
          </w:tcPr>
          <w:p w14:paraId="26B37C54"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7.2</w:t>
            </w:r>
          </w:p>
        </w:tc>
        <w:tc>
          <w:tcPr>
            <w:tcW w:w="5731" w:type="dxa"/>
            <w:tcBorders>
              <w:top w:val="nil"/>
              <w:left w:val="nil"/>
              <w:bottom w:val="single" w:sz="4" w:space="0" w:color="auto"/>
              <w:right w:val="nil"/>
            </w:tcBorders>
            <w:shd w:val="clear" w:color="auto" w:fill="auto"/>
            <w:vAlign w:val="center"/>
            <w:hideMark/>
          </w:tcPr>
          <w:p w14:paraId="4EB5790F"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výsledky a príklady dobrej praxe z realizovaných projektov, vrátane kvantifikácie úspory pre jednotlivé role IT špecialistov.</w:t>
            </w:r>
          </w:p>
        </w:tc>
        <w:tc>
          <w:tcPr>
            <w:tcW w:w="1569" w:type="dxa"/>
            <w:tcBorders>
              <w:top w:val="nil"/>
              <w:left w:val="nil"/>
              <w:bottom w:val="single" w:sz="4" w:space="0" w:color="auto"/>
              <w:right w:val="nil"/>
            </w:tcBorders>
            <w:shd w:val="clear" w:color="auto" w:fill="auto"/>
            <w:noWrap/>
            <w:vAlign w:val="center"/>
            <w:hideMark/>
          </w:tcPr>
          <w:p w14:paraId="22F2066C" w14:textId="6FC06334" w:rsidR="00422D13" w:rsidRPr="0037129E" w:rsidRDefault="00D10479" w:rsidP="00E80051">
            <w:pPr>
              <w:spacing w:after="0" w:line="240" w:lineRule="auto"/>
              <w:jc w:val="center"/>
              <w:rPr>
                <w:rFonts w:eastAsia="Times New Roman" w:cs="Times New Roman"/>
                <w:color w:val="000000"/>
                <w:sz w:val="18"/>
                <w:szCs w:val="18"/>
                <w:lang w:eastAsia="sk-SK"/>
              </w:rPr>
            </w:pPr>
            <w:r>
              <w:rPr>
                <w:rFonts w:eastAsia="Times New Roman" w:cs="Times New Roman"/>
                <w:color w:val="000000"/>
                <w:sz w:val="18"/>
                <w:szCs w:val="18"/>
                <w:lang w:eastAsia="sk-SK"/>
              </w:rPr>
              <w:t>ÚHP</w:t>
            </w:r>
            <w:r w:rsidR="00422D13">
              <w:rPr>
                <w:rFonts w:eastAsia="Times New Roman" w:cs="Times New Roman"/>
                <w:color w:val="000000"/>
                <w:sz w:val="18"/>
                <w:szCs w:val="18"/>
                <w:lang w:eastAsia="sk-SK"/>
              </w:rPr>
              <w:t xml:space="preserve">, </w:t>
            </w:r>
            <w:r w:rsidR="00422D13" w:rsidRPr="0037129E">
              <w:rPr>
                <w:rFonts w:eastAsia="Times New Roman" w:cs="Times New Roman"/>
                <w:color w:val="000000"/>
                <w:sz w:val="18"/>
                <w:szCs w:val="18"/>
                <w:lang w:eastAsia="sk-SK"/>
              </w:rPr>
              <w:t>ÚPVII</w:t>
            </w:r>
          </w:p>
        </w:tc>
      </w:tr>
      <w:tr w:rsidR="00422D13" w:rsidRPr="00B96F95" w14:paraId="1FC6428D" w14:textId="77777777" w:rsidTr="00E80051">
        <w:trPr>
          <w:trHeight w:val="20"/>
        </w:trPr>
        <w:tc>
          <w:tcPr>
            <w:tcW w:w="953" w:type="dxa"/>
            <w:tcBorders>
              <w:top w:val="nil"/>
              <w:left w:val="nil"/>
              <w:bottom w:val="single" w:sz="4" w:space="0" w:color="auto"/>
              <w:right w:val="nil"/>
            </w:tcBorders>
            <w:shd w:val="clear" w:color="auto" w:fill="auto"/>
            <w:vAlign w:val="center"/>
            <w:hideMark/>
          </w:tcPr>
          <w:p w14:paraId="5AC2F874"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8</w:t>
            </w:r>
          </w:p>
        </w:tc>
        <w:tc>
          <w:tcPr>
            <w:tcW w:w="5441" w:type="dxa"/>
            <w:tcBorders>
              <w:top w:val="nil"/>
              <w:left w:val="nil"/>
              <w:bottom w:val="single" w:sz="4" w:space="0" w:color="auto"/>
              <w:right w:val="nil"/>
            </w:tcBorders>
            <w:shd w:val="clear" w:color="auto" w:fill="auto"/>
            <w:vAlign w:val="center"/>
            <w:hideMark/>
          </w:tcPr>
          <w:p w14:paraId="04C26DC2"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Vo vyhláške o projektovom riadení zaviesť pilotné overenie navrhovaného konceptu do iniciačnej fázy projektového riadenia.</w:t>
            </w:r>
          </w:p>
        </w:tc>
        <w:tc>
          <w:tcPr>
            <w:tcW w:w="622" w:type="dxa"/>
            <w:tcBorders>
              <w:top w:val="nil"/>
              <w:left w:val="nil"/>
              <w:bottom w:val="single" w:sz="4" w:space="0" w:color="auto"/>
              <w:right w:val="nil"/>
            </w:tcBorders>
            <w:shd w:val="clear" w:color="auto" w:fill="auto"/>
            <w:vAlign w:val="center"/>
            <w:hideMark/>
          </w:tcPr>
          <w:p w14:paraId="31F9695E"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8.1</w:t>
            </w:r>
          </w:p>
        </w:tc>
        <w:tc>
          <w:tcPr>
            <w:tcW w:w="5731" w:type="dxa"/>
            <w:tcBorders>
              <w:top w:val="nil"/>
              <w:left w:val="nil"/>
              <w:bottom w:val="single" w:sz="4" w:space="0" w:color="auto"/>
              <w:right w:val="nil"/>
            </w:tcBorders>
            <w:shd w:val="clear" w:color="auto" w:fill="auto"/>
            <w:vAlign w:val="center"/>
            <w:hideMark/>
          </w:tcPr>
          <w:p w14:paraId="484C1656"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Vo vyhláške o projektovom riadení definovať pre veľké projekty, zmenové a servisné požiadavky povinnosť realizovať pilotné overenie navrhovaného konceptu pred predložením manažérskych a špecializovaných produktov definovaných vo vyhláške o projektovom riadení (projektový zámer a business case).</w:t>
            </w:r>
          </w:p>
        </w:tc>
        <w:tc>
          <w:tcPr>
            <w:tcW w:w="1569" w:type="dxa"/>
            <w:tcBorders>
              <w:top w:val="nil"/>
              <w:left w:val="nil"/>
              <w:bottom w:val="single" w:sz="4" w:space="0" w:color="auto"/>
              <w:right w:val="nil"/>
            </w:tcBorders>
            <w:shd w:val="clear" w:color="auto" w:fill="auto"/>
            <w:noWrap/>
            <w:vAlign w:val="center"/>
            <w:hideMark/>
          </w:tcPr>
          <w:p w14:paraId="2A01BD41"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3D1697E6" w14:textId="77777777" w:rsidTr="00E80051">
        <w:trPr>
          <w:trHeight w:val="20"/>
        </w:trPr>
        <w:tc>
          <w:tcPr>
            <w:tcW w:w="953" w:type="dxa"/>
            <w:vMerge w:val="restart"/>
            <w:tcBorders>
              <w:top w:val="nil"/>
              <w:left w:val="nil"/>
              <w:bottom w:val="single" w:sz="4" w:space="0" w:color="000000"/>
              <w:right w:val="nil"/>
            </w:tcBorders>
            <w:shd w:val="clear" w:color="auto" w:fill="auto"/>
            <w:vAlign w:val="center"/>
            <w:hideMark/>
          </w:tcPr>
          <w:p w14:paraId="13F3F03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9</w:t>
            </w:r>
          </w:p>
        </w:tc>
        <w:tc>
          <w:tcPr>
            <w:tcW w:w="5441" w:type="dxa"/>
            <w:vMerge w:val="restart"/>
            <w:tcBorders>
              <w:top w:val="nil"/>
              <w:left w:val="nil"/>
              <w:bottom w:val="single" w:sz="4" w:space="0" w:color="000000"/>
              <w:right w:val="nil"/>
            </w:tcBorders>
            <w:shd w:val="clear" w:color="auto" w:fill="auto"/>
            <w:vAlign w:val="center"/>
            <w:hideMark/>
          </w:tcPr>
          <w:p w14:paraId="105260E5"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Evidovať stav projektov, zmenových požiadaviek a nových SLA, ktoré pokrývajú min. 80% verejných výdavkov na IT, v MetaIS s napojením na rozpočet.</w:t>
            </w:r>
          </w:p>
        </w:tc>
        <w:tc>
          <w:tcPr>
            <w:tcW w:w="622" w:type="dxa"/>
            <w:tcBorders>
              <w:top w:val="nil"/>
              <w:left w:val="nil"/>
              <w:bottom w:val="nil"/>
              <w:right w:val="nil"/>
            </w:tcBorders>
            <w:shd w:val="clear" w:color="auto" w:fill="auto"/>
            <w:vAlign w:val="center"/>
            <w:hideMark/>
          </w:tcPr>
          <w:p w14:paraId="435BE38B"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9.1</w:t>
            </w:r>
          </w:p>
        </w:tc>
        <w:tc>
          <w:tcPr>
            <w:tcW w:w="5731" w:type="dxa"/>
            <w:tcBorders>
              <w:top w:val="nil"/>
              <w:left w:val="nil"/>
              <w:bottom w:val="nil"/>
              <w:right w:val="nil"/>
            </w:tcBorders>
            <w:shd w:val="clear" w:color="auto" w:fill="auto"/>
            <w:vAlign w:val="center"/>
            <w:hideMark/>
          </w:tcPr>
          <w:p w14:paraId="373527BC"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Upraviť MetaIS pre evidenciu projektov.</w:t>
            </w:r>
          </w:p>
        </w:tc>
        <w:tc>
          <w:tcPr>
            <w:tcW w:w="1569" w:type="dxa"/>
            <w:tcBorders>
              <w:top w:val="nil"/>
              <w:left w:val="nil"/>
              <w:bottom w:val="nil"/>
              <w:right w:val="nil"/>
            </w:tcBorders>
            <w:shd w:val="clear" w:color="auto" w:fill="auto"/>
            <w:noWrap/>
            <w:vAlign w:val="center"/>
            <w:hideMark/>
          </w:tcPr>
          <w:p w14:paraId="0D4221C7"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6E7A890A" w14:textId="77777777" w:rsidTr="00E80051">
        <w:trPr>
          <w:trHeight w:val="20"/>
        </w:trPr>
        <w:tc>
          <w:tcPr>
            <w:tcW w:w="953" w:type="dxa"/>
            <w:vMerge/>
            <w:tcBorders>
              <w:top w:val="nil"/>
              <w:left w:val="nil"/>
              <w:bottom w:val="single" w:sz="4" w:space="0" w:color="000000"/>
              <w:right w:val="nil"/>
            </w:tcBorders>
            <w:vAlign w:val="center"/>
            <w:hideMark/>
          </w:tcPr>
          <w:p w14:paraId="26CE2CC5"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4E984FB7"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vAlign w:val="center"/>
            <w:hideMark/>
          </w:tcPr>
          <w:p w14:paraId="44370AA1"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9.2</w:t>
            </w:r>
          </w:p>
        </w:tc>
        <w:tc>
          <w:tcPr>
            <w:tcW w:w="5731" w:type="dxa"/>
            <w:tcBorders>
              <w:top w:val="nil"/>
              <w:left w:val="nil"/>
              <w:bottom w:val="single" w:sz="4" w:space="0" w:color="auto"/>
              <w:right w:val="nil"/>
            </w:tcBorders>
            <w:shd w:val="clear" w:color="auto" w:fill="auto"/>
            <w:vAlign w:val="center"/>
            <w:hideMark/>
          </w:tcPr>
          <w:p w14:paraId="0E9F9297"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Zaviesť povinnosť evidovať  projekty, CR a nové SLA v MetaIS s napojením na rozpočet podľa pravidiel definovaných v rámci vyhlášky o projektovom riadení.</w:t>
            </w:r>
          </w:p>
        </w:tc>
        <w:tc>
          <w:tcPr>
            <w:tcW w:w="1569" w:type="dxa"/>
            <w:tcBorders>
              <w:top w:val="nil"/>
              <w:left w:val="nil"/>
              <w:bottom w:val="single" w:sz="4" w:space="0" w:color="auto"/>
              <w:right w:val="nil"/>
            </w:tcBorders>
            <w:shd w:val="clear" w:color="auto" w:fill="auto"/>
            <w:noWrap/>
            <w:vAlign w:val="center"/>
            <w:hideMark/>
          </w:tcPr>
          <w:p w14:paraId="1AC76501"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71318C3C" w14:textId="77777777" w:rsidTr="00E80051">
        <w:trPr>
          <w:trHeight w:val="20"/>
        </w:trPr>
        <w:tc>
          <w:tcPr>
            <w:tcW w:w="953" w:type="dxa"/>
            <w:tcBorders>
              <w:top w:val="nil"/>
              <w:left w:val="nil"/>
              <w:bottom w:val="single" w:sz="4" w:space="0" w:color="auto"/>
              <w:right w:val="nil"/>
            </w:tcBorders>
            <w:shd w:val="clear" w:color="auto" w:fill="auto"/>
            <w:vAlign w:val="center"/>
            <w:hideMark/>
          </w:tcPr>
          <w:p w14:paraId="6DE82EE1"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10</w:t>
            </w:r>
          </w:p>
        </w:tc>
        <w:tc>
          <w:tcPr>
            <w:tcW w:w="5441" w:type="dxa"/>
            <w:tcBorders>
              <w:top w:val="nil"/>
              <w:left w:val="nil"/>
              <w:bottom w:val="single" w:sz="4" w:space="0" w:color="auto"/>
              <w:right w:val="nil"/>
            </w:tcBorders>
            <w:shd w:val="clear" w:color="auto" w:fill="auto"/>
            <w:vAlign w:val="center"/>
            <w:hideMark/>
          </w:tcPr>
          <w:p w14:paraId="7F5B5D74"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Pripraviť metodiku verejného obstarávania pre agilný rozvoj.</w:t>
            </w:r>
          </w:p>
        </w:tc>
        <w:tc>
          <w:tcPr>
            <w:tcW w:w="622" w:type="dxa"/>
            <w:tcBorders>
              <w:top w:val="nil"/>
              <w:left w:val="nil"/>
              <w:bottom w:val="single" w:sz="4" w:space="0" w:color="auto"/>
              <w:right w:val="nil"/>
            </w:tcBorders>
            <w:shd w:val="clear" w:color="auto" w:fill="auto"/>
            <w:vAlign w:val="center"/>
            <w:hideMark/>
          </w:tcPr>
          <w:p w14:paraId="6F1D24BF"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10.1</w:t>
            </w:r>
          </w:p>
        </w:tc>
        <w:tc>
          <w:tcPr>
            <w:tcW w:w="5731" w:type="dxa"/>
            <w:tcBorders>
              <w:top w:val="nil"/>
              <w:left w:val="nil"/>
              <w:bottom w:val="single" w:sz="4" w:space="0" w:color="auto"/>
              <w:right w:val="nil"/>
            </w:tcBorders>
            <w:shd w:val="clear" w:color="auto" w:fill="auto"/>
            <w:vAlign w:val="center"/>
            <w:hideMark/>
          </w:tcPr>
          <w:p w14:paraId="4C17AC19"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Pripraviť metodiku verejného obstarávania pre agilný rozvoj.</w:t>
            </w:r>
          </w:p>
        </w:tc>
        <w:tc>
          <w:tcPr>
            <w:tcW w:w="1569" w:type="dxa"/>
            <w:tcBorders>
              <w:top w:val="nil"/>
              <w:left w:val="nil"/>
              <w:bottom w:val="single" w:sz="4" w:space="0" w:color="auto"/>
              <w:right w:val="nil"/>
            </w:tcBorders>
            <w:shd w:val="clear" w:color="auto" w:fill="auto"/>
            <w:noWrap/>
            <w:vAlign w:val="center"/>
            <w:hideMark/>
          </w:tcPr>
          <w:p w14:paraId="43320689"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ÚPVII/ÚVO</w:t>
            </w:r>
          </w:p>
        </w:tc>
      </w:tr>
      <w:tr w:rsidR="00422D13" w:rsidRPr="00B96F95" w14:paraId="4E5FDEE6" w14:textId="77777777" w:rsidTr="00E80051">
        <w:trPr>
          <w:trHeight w:val="20"/>
        </w:trPr>
        <w:tc>
          <w:tcPr>
            <w:tcW w:w="953" w:type="dxa"/>
            <w:vMerge w:val="restart"/>
            <w:tcBorders>
              <w:top w:val="nil"/>
              <w:left w:val="nil"/>
              <w:bottom w:val="single" w:sz="4" w:space="0" w:color="000000"/>
              <w:right w:val="nil"/>
            </w:tcBorders>
            <w:shd w:val="clear" w:color="auto" w:fill="auto"/>
            <w:vAlign w:val="center"/>
            <w:hideMark/>
          </w:tcPr>
          <w:p w14:paraId="14DDCB2B"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11</w:t>
            </w:r>
          </w:p>
        </w:tc>
        <w:tc>
          <w:tcPr>
            <w:tcW w:w="5441" w:type="dxa"/>
            <w:vMerge w:val="restart"/>
            <w:tcBorders>
              <w:top w:val="nil"/>
              <w:left w:val="nil"/>
              <w:bottom w:val="single" w:sz="4" w:space="0" w:color="000000"/>
              <w:right w:val="nil"/>
            </w:tcBorders>
            <w:shd w:val="clear" w:color="auto" w:fill="auto"/>
            <w:noWrap/>
            <w:vAlign w:val="center"/>
            <w:hideMark/>
          </w:tcPr>
          <w:p w14:paraId="1BC7DD5B"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Zaviesť agilný produktový manažment v podmienkach eGOV.</w:t>
            </w:r>
          </w:p>
        </w:tc>
        <w:tc>
          <w:tcPr>
            <w:tcW w:w="622" w:type="dxa"/>
            <w:tcBorders>
              <w:top w:val="nil"/>
              <w:left w:val="nil"/>
              <w:bottom w:val="nil"/>
              <w:right w:val="nil"/>
            </w:tcBorders>
            <w:shd w:val="clear" w:color="auto" w:fill="auto"/>
            <w:noWrap/>
            <w:vAlign w:val="center"/>
            <w:hideMark/>
          </w:tcPr>
          <w:p w14:paraId="5D83B064"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11.1</w:t>
            </w:r>
          </w:p>
        </w:tc>
        <w:tc>
          <w:tcPr>
            <w:tcW w:w="5731" w:type="dxa"/>
            <w:tcBorders>
              <w:top w:val="nil"/>
              <w:left w:val="nil"/>
              <w:bottom w:val="nil"/>
              <w:right w:val="nil"/>
            </w:tcBorders>
            <w:shd w:val="clear" w:color="auto" w:fill="auto"/>
            <w:vAlign w:val="center"/>
            <w:hideMark/>
          </w:tcPr>
          <w:p w14:paraId="2012DF58"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Vytvorenie role / kancelárie produktového manažmentu na UPPVII (opis činností, procesy).</w:t>
            </w:r>
          </w:p>
        </w:tc>
        <w:tc>
          <w:tcPr>
            <w:tcW w:w="1569" w:type="dxa"/>
            <w:tcBorders>
              <w:top w:val="nil"/>
              <w:left w:val="nil"/>
              <w:bottom w:val="nil"/>
              <w:right w:val="nil"/>
            </w:tcBorders>
            <w:shd w:val="clear" w:color="auto" w:fill="auto"/>
            <w:noWrap/>
            <w:vAlign w:val="center"/>
            <w:hideMark/>
          </w:tcPr>
          <w:p w14:paraId="0F0F05D8"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617DFD30" w14:textId="77777777" w:rsidTr="00E80051">
        <w:trPr>
          <w:trHeight w:val="20"/>
        </w:trPr>
        <w:tc>
          <w:tcPr>
            <w:tcW w:w="953" w:type="dxa"/>
            <w:vMerge/>
            <w:tcBorders>
              <w:top w:val="nil"/>
              <w:left w:val="nil"/>
              <w:bottom w:val="single" w:sz="4" w:space="0" w:color="000000"/>
              <w:right w:val="nil"/>
            </w:tcBorders>
            <w:vAlign w:val="center"/>
            <w:hideMark/>
          </w:tcPr>
          <w:p w14:paraId="4EF6F692"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735E10C8"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noWrap/>
            <w:vAlign w:val="bottom"/>
            <w:hideMark/>
          </w:tcPr>
          <w:p w14:paraId="7AB6CF60"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11.2</w:t>
            </w:r>
          </w:p>
        </w:tc>
        <w:tc>
          <w:tcPr>
            <w:tcW w:w="5731" w:type="dxa"/>
            <w:tcBorders>
              <w:top w:val="nil"/>
              <w:left w:val="nil"/>
              <w:bottom w:val="nil"/>
              <w:right w:val="nil"/>
            </w:tcBorders>
            <w:shd w:val="clear" w:color="auto" w:fill="auto"/>
            <w:vAlign w:val="center"/>
            <w:hideMark/>
          </w:tcPr>
          <w:p w14:paraId="523E867E"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Obsadenie produktových manažérov na ÚPVII.</w:t>
            </w:r>
          </w:p>
        </w:tc>
        <w:tc>
          <w:tcPr>
            <w:tcW w:w="1569" w:type="dxa"/>
            <w:tcBorders>
              <w:top w:val="nil"/>
              <w:left w:val="nil"/>
              <w:bottom w:val="nil"/>
              <w:right w:val="nil"/>
            </w:tcBorders>
            <w:shd w:val="clear" w:color="auto" w:fill="auto"/>
            <w:noWrap/>
            <w:vAlign w:val="center"/>
            <w:hideMark/>
          </w:tcPr>
          <w:p w14:paraId="43BA69E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0E90FDFB" w14:textId="77777777" w:rsidTr="00E80051">
        <w:trPr>
          <w:trHeight w:val="20"/>
        </w:trPr>
        <w:tc>
          <w:tcPr>
            <w:tcW w:w="953" w:type="dxa"/>
            <w:vMerge/>
            <w:tcBorders>
              <w:top w:val="nil"/>
              <w:left w:val="nil"/>
              <w:bottom w:val="single" w:sz="4" w:space="0" w:color="000000"/>
              <w:right w:val="nil"/>
            </w:tcBorders>
            <w:vAlign w:val="center"/>
            <w:hideMark/>
          </w:tcPr>
          <w:p w14:paraId="396709B5"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40EC347A"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noWrap/>
            <w:vAlign w:val="center"/>
            <w:hideMark/>
          </w:tcPr>
          <w:p w14:paraId="40A6105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11.3</w:t>
            </w:r>
          </w:p>
        </w:tc>
        <w:tc>
          <w:tcPr>
            <w:tcW w:w="5731" w:type="dxa"/>
            <w:tcBorders>
              <w:top w:val="nil"/>
              <w:left w:val="nil"/>
              <w:bottom w:val="nil"/>
              <w:right w:val="nil"/>
            </w:tcBorders>
            <w:shd w:val="clear" w:color="auto" w:fill="auto"/>
            <w:vAlign w:val="center"/>
            <w:hideMark/>
          </w:tcPr>
          <w:p w14:paraId="3DCE12FA"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Pilotná implementácia procesov agilného rozvoja podľa opisu činností a procesov na prioritné služby podľa výstupov úlohy 2.4.</w:t>
            </w:r>
          </w:p>
        </w:tc>
        <w:tc>
          <w:tcPr>
            <w:tcW w:w="1569" w:type="dxa"/>
            <w:tcBorders>
              <w:top w:val="nil"/>
              <w:left w:val="nil"/>
              <w:bottom w:val="single" w:sz="4" w:space="0" w:color="auto"/>
              <w:right w:val="nil"/>
            </w:tcBorders>
            <w:shd w:val="clear" w:color="auto" w:fill="auto"/>
            <w:noWrap/>
            <w:vAlign w:val="center"/>
            <w:hideMark/>
          </w:tcPr>
          <w:p w14:paraId="25BAE93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69B7EFC1" w14:textId="77777777" w:rsidTr="00E80051">
        <w:trPr>
          <w:trHeight w:val="20"/>
        </w:trPr>
        <w:tc>
          <w:tcPr>
            <w:tcW w:w="953" w:type="dxa"/>
            <w:vMerge w:val="restart"/>
            <w:tcBorders>
              <w:top w:val="nil"/>
              <w:left w:val="nil"/>
              <w:bottom w:val="single" w:sz="4" w:space="0" w:color="000000"/>
              <w:right w:val="nil"/>
            </w:tcBorders>
            <w:shd w:val="clear" w:color="auto" w:fill="auto"/>
            <w:vAlign w:val="center"/>
            <w:hideMark/>
          </w:tcPr>
          <w:p w14:paraId="6B6C3F5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12</w:t>
            </w:r>
          </w:p>
        </w:tc>
        <w:tc>
          <w:tcPr>
            <w:tcW w:w="5441" w:type="dxa"/>
            <w:vMerge w:val="restart"/>
            <w:tcBorders>
              <w:top w:val="nil"/>
              <w:left w:val="nil"/>
              <w:bottom w:val="single" w:sz="4" w:space="0" w:color="000000"/>
              <w:right w:val="nil"/>
            </w:tcBorders>
            <w:shd w:val="clear" w:color="auto" w:fill="auto"/>
            <w:vAlign w:val="center"/>
            <w:hideMark/>
          </w:tcPr>
          <w:p w14:paraId="32C7503D"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Zaviesť systémový prístup do monitorovania nákladov, prínosov a výkonnosti IKT projektov a systémov.</w:t>
            </w:r>
          </w:p>
        </w:tc>
        <w:tc>
          <w:tcPr>
            <w:tcW w:w="622" w:type="dxa"/>
            <w:tcBorders>
              <w:top w:val="nil"/>
              <w:left w:val="nil"/>
              <w:bottom w:val="nil"/>
              <w:right w:val="nil"/>
            </w:tcBorders>
            <w:shd w:val="clear" w:color="auto" w:fill="auto"/>
            <w:vAlign w:val="center"/>
            <w:hideMark/>
          </w:tcPr>
          <w:p w14:paraId="235E0768"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12.1</w:t>
            </w:r>
          </w:p>
        </w:tc>
        <w:tc>
          <w:tcPr>
            <w:tcW w:w="5731" w:type="dxa"/>
            <w:tcBorders>
              <w:top w:val="single" w:sz="4" w:space="0" w:color="auto"/>
              <w:left w:val="nil"/>
              <w:bottom w:val="nil"/>
              <w:right w:val="nil"/>
            </w:tcBorders>
            <w:shd w:val="clear" w:color="auto" w:fill="auto"/>
            <w:vAlign w:val="center"/>
            <w:hideMark/>
          </w:tcPr>
          <w:p w14:paraId="694EF30D"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metodiku monitorovania nákladov IT systémov, po nasadení systémov nad 100K ročne do prevádzky v programovom rozpočte a v MetaIS.</w:t>
            </w:r>
          </w:p>
        </w:tc>
        <w:tc>
          <w:tcPr>
            <w:tcW w:w="1569" w:type="dxa"/>
            <w:tcBorders>
              <w:top w:val="nil"/>
              <w:left w:val="nil"/>
              <w:bottom w:val="nil"/>
              <w:right w:val="nil"/>
            </w:tcBorders>
            <w:shd w:val="clear" w:color="auto" w:fill="auto"/>
            <w:noWrap/>
            <w:vAlign w:val="center"/>
            <w:hideMark/>
          </w:tcPr>
          <w:p w14:paraId="14CF2480"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11CCF7D9" w14:textId="77777777" w:rsidTr="00E80051">
        <w:trPr>
          <w:trHeight w:val="20"/>
        </w:trPr>
        <w:tc>
          <w:tcPr>
            <w:tcW w:w="953" w:type="dxa"/>
            <w:vMerge/>
            <w:tcBorders>
              <w:top w:val="nil"/>
              <w:left w:val="nil"/>
              <w:bottom w:val="single" w:sz="4" w:space="0" w:color="000000"/>
              <w:right w:val="nil"/>
            </w:tcBorders>
            <w:vAlign w:val="center"/>
            <w:hideMark/>
          </w:tcPr>
          <w:p w14:paraId="5075B43A"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4E8FEB3D"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024058A8"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12.2</w:t>
            </w:r>
          </w:p>
        </w:tc>
        <w:tc>
          <w:tcPr>
            <w:tcW w:w="5731" w:type="dxa"/>
            <w:tcBorders>
              <w:top w:val="nil"/>
              <w:left w:val="nil"/>
              <w:bottom w:val="nil"/>
              <w:right w:val="nil"/>
            </w:tcBorders>
            <w:shd w:val="clear" w:color="auto" w:fill="auto"/>
            <w:vAlign w:val="center"/>
            <w:hideMark/>
          </w:tcPr>
          <w:p w14:paraId="7995E22B"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metodiku monitorovania podaní IT systémov (elektronické podania vs. ostatné kanály – telefonické, papierové, atď.)</w:t>
            </w:r>
            <w:r>
              <w:rPr>
                <w:rFonts w:eastAsia="Times New Roman" w:cs="Times New Roman"/>
                <w:color w:val="000000"/>
                <w:sz w:val="18"/>
                <w:szCs w:val="18"/>
                <w:lang w:eastAsia="sk-SK"/>
              </w:rPr>
              <w:t xml:space="preserve"> ktoré zabezpečujú výkon verejnej moci</w:t>
            </w:r>
            <w:r w:rsidRPr="0037129E">
              <w:rPr>
                <w:rFonts w:eastAsia="Times New Roman" w:cs="Times New Roman"/>
                <w:color w:val="000000"/>
                <w:sz w:val="18"/>
                <w:szCs w:val="18"/>
                <w:lang w:eastAsia="sk-SK"/>
              </w:rPr>
              <w:t>, po nasadení systémov nad 100K ročne do prevádzky v MetaIS</w:t>
            </w:r>
          </w:p>
        </w:tc>
        <w:tc>
          <w:tcPr>
            <w:tcW w:w="1569" w:type="dxa"/>
            <w:tcBorders>
              <w:top w:val="nil"/>
              <w:left w:val="nil"/>
              <w:bottom w:val="nil"/>
              <w:right w:val="nil"/>
            </w:tcBorders>
            <w:shd w:val="clear" w:color="auto" w:fill="auto"/>
            <w:noWrap/>
            <w:vAlign w:val="center"/>
            <w:hideMark/>
          </w:tcPr>
          <w:p w14:paraId="06129439"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3B2629B9" w14:textId="77777777" w:rsidTr="00E80051">
        <w:trPr>
          <w:trHeight w:val="20"/>
        </w:trPr>
        <w:tc>
          <w:tcPr>
            <w:tcW w:w="953" w:type="dxa"/>
            <w:vMerge/>
            <w:tcBorders>
              <w:top w:val="nil"/>
              <w:left w:val="nil"/>
              <w:bottom w:val="single" w:sz="4" w:space="0" w:color="000000"/>
              <w:right w:val="nil"/>
            </w:tcBorders>
            <w:vAlign w:val="center"/>
            <w:hideMark/>
          </w:tcPr>
          <w:p w14:paraId="7F4CE897"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4483E1DD"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127CC29D"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12.3</w:t>
            </w:r>
          </w:p>
        </w:tc>
        <w:tc>
          <w:tcPr>
            <w:tcW w:w="5731" w:type="dxa"/>
            <w:tcBorders>
              <w:top w:val="nil"/>
              <w:left w:val="nil"/>
              <w:bottom w:val="nil"/>
              <w:right w:val="nil"/>
            </w:tcBorders>
            <w:shd w:val="clear" w:color="auto" w:fill="auto"/>
            <w:vAlign w:val="center"/>
            <w:hideMark/>
          </w:tcPr>
          <w:p w14:paraId="5742C704"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Zaviesť metodiku pre meranie a online publikovanie nákladov na transakciu</w:t>
            </w:r>
            <w:r>
              <w:rPr>
                <w:rFonts w:eastAsia="Times New Roman" w:cs="Times New Roman"/>
                <w:color w:val="000000"/>
                <w:sz w:val="18"/>
                <w:szCs w:val="18"/>
                <w:lang w:eastAsia="sk-SK"/>
              </w:rPr>
              <w:t>, alebo ekvivalent,</w:t>
            </w:r>
            <w:r w:rsidRPr="0037129E">
              <w:rPr>
                <w:rFonts w:eastAsia="Times New Roman" w:cs="Times New Roman"/>
                <w:color w:val="000000"/>
                <w:sz w:val="18"/>
                <w:szCs w:val="18"/>
                <w:lang w:eastAsia="sk-SK"/>
              </w:rPr>
              <w:t xml:space="preserve"> najmenej 80% systémov</w:t>
            </w:r>
            <w:r>
              <w:rPr>
                <w:rFonts w:eastAsia="Times New Roman" w:cs="Times New Roman"/>
                <w:color w:val="000000"/>
                <w:sz w:val="18"/>
                <w:szCs w:val="18"/>
                <w:lang w:eastAsia="sk-SK"/>
              </w:rPr>
              <w:t xml:space="preserve"> </w:t>
            </w:r>
            <w:r w:rsidRPr="0037129E">
              <w:rPr>
                <w:rFonts w:eastAsia="Times New Roman" w:cs="Times New Roman"/>
                <w:color w:val="000000"/>
                <w:sz w:val="18"/>
                <w:szCs w:val="18"/>
                <w:lang w:eastAsia="sk-SK"/>
              </w:rPr>
              <w:t>s ročnými nákladmi nad 100 tis. EUR ročne.</w:t>
            </w:r>
          </w:p>
        </w:tc>
        <w:tc>
          <w:tcPr>
            <w:tcW w:w="1569" w:type="dxa"/>
            <w:tcBorders>
              <w:top w:val="nil"/>
              <w:left w:val="nil"/>
              <w:bottom w:val="nil"/>
              <w:right w:val="nil"/>
            </w:tcBorders>
            <w:shd w:val="clear" w:color="auto" w:fill="auto"/>
            <w:noWrap/>
            <w:vAlign w:val="center"/>
            <w:hideMark/>
          </w:tcPr>
          <w:p w14:paraId="37D9D75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37798AE0" w14:textId="77777777" w:rsidTr="00E80051">
        <w:trPr>
          <w:trHeight w:val="20"/>
        </w:trPr>
        <w:tc>
          <w:tcPr>
            <w:tcW w:w="953" w:type="dxa"/>
            <w:vMerge/>
            <w:tcBorders>
              <w:top w:val="nil"/>
              <w:left w:val="nil"/>
              <w:bottom w:val="single" w:sz="4" w:space="0" w:color="000000"/>
              <w:right w:val="nil"/>
            </w:tcBorders>
            <w:vAlign w:val="center"/>
            <w:hideMark/>
          </w:tcPr>
          <w:p w14:paraId="421B7C3E"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337A2ECA"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7161D42C"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12.4</w:t>
            </w:r>
          </w:p>
        </w:tc>
        <w:tc>
          <w:tcPr>
            <w:tcW w:w="5731" w:type="dxa"/>
            <w:tcBorders>
              <w:top w:val="nil"/>
              <w:left w:val="nil"/>
              <w:bottom w:val="nil"/>
              <w:right w:val="nil"/>
            </w:tcBorders>
            <w:shd w:val="clear" w:color="auto" w:fill="auto"/>
            <w:vAlign w:val="center"/>
            <w:hideMark/>
          </w:tcPr>
          <w:p w14:paraId="51157F30"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metodiku pre monitorovanie merateľných ukazovateľov na vyhodnocovanie výkonnosti IT systémov s ročnými nákladmi nad 100 tis. EUR ročne v programovom rozpočte</w:t>
            </w:r>
          </w:p>
        </w:tc>
        <w:tc>
          <w:tcPr>
            <w:tcW w:w="1569" w:type="dxa"/>
            <w:tcBorders>
              <w:top w:val="nil"/>
              <w:left w:val="nil"/>
              <w:bottom w:val="nil"/>
              <w:right w:val="nil"/>
            </w:tcBorders>
            <w:shd w:val="clear" w:color="auto" w:fill="auto"/>
            <w:noWrap/>
            <w:vAlign w:val="center"/>
            <w:hideMark/>
          </w:tcPr>
          <w:p w14:paraId="40BD4129"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70AB1AED" w14:textId="77777777" w:rsidTr="00E80051">
        <w:trPr>
          <w:trHeight w:val="20"/>
        </w:trPr>
        <w:tc>
          <w:tcPr>
            <w:tcW w:w="953" w:type="dxa"/>
            <w:vMerge/>
            <w:tcBorders>
              <w:top w:val="nil"/>
              <w:left w:val="nil"/>
              <w:bottom w:val="single" w:sz="4" w:space="0" w:color="000000"/>
              <w:right w:val="nil"/>
            </w:tcBorders>
            <w:vAlign w:val="center"/>
            <w:hideMark/>
          </w:tcPr>
          <w:p w14:paraId="4CD18A11"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1DAA8E16"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vAlign w:val="center"/>
            <w:hideMark/>
          </w:tcPr>
          <w:p w14:paraId="3319A8A7"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12.5</w:t>
            </w:r>
          </w:p>
        </w:tc>
        <w:tc>
          <w:tcPr>
            <w:tcW w:w="5731" w:type="dxa"/>
            <w:tcBorders>
              <w:top w:val="nil"/>
              <w:left w:val="nil"/>
              <w:bottom w:val="single" w:sz="4" w:space="0" w:color="auto"/>
              <w:right w:val="nil"/>
            </w:tcBorders>
            <w:shd w:val="clear" w:color="auto" w:fill="auto"/>
            <w:vAlign w:val="center"/>
            <w:hideMark/>
          </w:tcPr>
          <w:p w14:paraId="7A67CD28"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Prostredníctvom vyhlášky o projektovom riadení zaviesť povinnosť monitorovať merateľné ukazovatele na vyhodnocovanie výkonnosti IT systémov s ročnými nákladmi nad 100 tis. EUR ročne v programovom rozpočte.</w:t>
            </w:r>
          </w:p>
        </w:tc>
        <w:tc>
          <w:tcPr>
            <w:tcW w:w="1569" w:type="dxa"/>
            <w:tcBorders>
              <w:top w:val="nil"/>
              <w:left w:val="nil"/>
              <w:bottom w:val="single" w:sz="4" w:space="0" w:color="auto"/>
              <w:right w:val="nil"/>
            </w:tcBorders>
            <w:shd w:val="clear" w:color="auto" w:fill="auto"/>
            <w:noWrap/>
            <w:vAlign w:val="center"/>
            <w:hideMark/>
          </w:tcPr>
          <w:p w14:paraId="7B366419"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39B834AF" w14:textId="77777777" w:rsidTr="00E80051">
        <w:trPr>
          <w:trHeight w:val="20"/>
        </w:trPr>
        <w:tc>
          <w:tcPr>
            <w:tcW w:w="953" w:type="dxa"/>
            <w:tcBorders>
              <w:top w:val="nil"/>
              <w:left w:val="nil"/>
              <w:bottom w:val="single" w:sz="4" w:space="0" w:color="auto"/>
              <w:right w:val="nil"/>
            </w:tcBorders>
            <w:shd w:val="clear" w:color="auto" w:fill="auto"/>
            <w:vAlign w:val="center"/>
            <w:hideMark/>
          </w:tcPr>
          <w:p w14:paraId="6F34DC1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13</w:t>
            </w:r>
          </w:p>
        </w:tc>
        <w:tc>
          <w:tcPr>
            <w:tcW w:w="5441" w:type="dxa"/>
            <w:tcBorders>
              <w:top w:val="nil"/>
              <w:left w:val="nil"/>
              <w:bottom w:val="single" w:sz="4" w:space="0" w:color="auto"/>
              <w:right w:val="nil"/>
            </w:tcBorders>
            <w:shd w:val="clear" w:color="auto" w:fill="auto"/>
            <w:vAlign w:val="center"/>
            <w:hideMark/>
          </w:tcPr>
          <w:p w14:paraId="59EBA6FB"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Prostredníctvom zavedenia konceptu tzv. account managementu kontrolovať a  vynucovať plnenie opatrení minimálne pre ÚOŠS, ktoré tvoria 80 % celkových IT výdavkov.</w:t>
            </w:r>
          </w:p>
        </w:tc>
        <w:tc>
          <w:tcPr>
            <w:tcW w:w="622" w:type="dxa"/>
            <w:tcBorders>
              <w:top w:val="nil"/>
              <w:left w:val="nil"/>
              <w:bottom w:val="single" w:sz="4" w:space="0" w:color="auto"/>
              <w:right w:val="nil"/>
            </w:tcBorders>
            <w:shd w:val="clear" w:color="auto" w:fill="auto"/>
            <w:vAlign w:val="center"/>
            <w:hideMark/>
          </w:tcPr>
          <w:p w14:paraId="4071E28B"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13.1</w:t>
            </w:r>
          </w:p>
        </w:tc>
        <w:tc>
          <w:tcPr>
            <w:tcW w:w="5731" w:type="dxa"/>
            <w:tcBorders>
              <w:top w:val="nil"/>
              <w:left w:val="nil"/>
              <w:bottom w:val="single" w:sz="4" w:space="0" w:color="auto"/>
              <w:right w:val="nil"/>
            </w:tcBorders>
            <w:shd w:val="clear" w:color="auto" w:fill="auto"/>
            <w:vAlign w:val="center"/>
            <w:hideMark/>
          </w:tcPr>
          <w:p w14:paraId="6C0CD5E5"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Zaviesť koncepciu tzv. account managementu minimálne pre ÚOŠS, ktoré tvoria 80 % celkových IT výdavkov.</w:t>
            </w:r>
          </w:p>
        </w:tc>
        <w:tc>
          <w:tcPr>
            <w:tcW w:w="1569" w:type="dxa"/>
            <w:tcBorders>
              <w:top w:val="nil"/>
              <w:left w:val="nil"/>
              <w:bottom w:val="single" w:sz="4" w:space="0" w:color="auto"/>
              <w:right w:val="nil"/>
            </w:tcBorders>
            <w:shd w:val="clear" w:color="auto" w:fill="auto"/>
            <w:noWrap/>
            <w:vAlign w:val="center"/>
            <w:hideMark/>
          </w:tcPr>
          <w:p w14:paraId="4376A58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7312DC46" w14:textId="77777777" w:rsidTr="00E80051">
        <w:trPr>
          <w:trHeight w:val="20"/>
        </w:trPr>
        <w:tc>
          <w:tcPr>
            <w:tcW w:w="953" w:type="dxa"/>
            <w:tcBorders>
              <w:top w:val="nil"/>
              <w:left w:val="nil"/>
              <w:bottom w:val="single" w:sz="4" w:space="0" w:color="auto"/>
              <w:right w:val="nil"/>
            </w:tcBorders>
            <w:shd w:val="clear" w:color="auto" w:fill="auto"/>
            <w:vAlign w:val="center"/>
            <w:hideMark/>
          </w:tcPr>
          <w:p w14:paraId="6AC9E9D9"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14</w:t>
            </w:r>
          </w:p>
        </w:tc>
        <w:tc>
          <w:tcPr>
            <w:tcW w:w="5441" w:type="dxa"/>
            <w:tcBorders>
              <w:top w:val="nil"/>
              <w:left w:val="nil"/>
              <w:bottom w:val="single" w:sz="4" w:space="0" w:color="auto"/>
              <w:right w:val="nil"/>
            </w:tcBorders>
            <w:shd w:val="clear" w:color="auto" w:fill="auto"/>
            <w:vAlign w:val="center"/>
            <w:hideMark/>
          </w:tcPr>
          <w:p w14:paraId="5F1D2696"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Zaktualizovať metodický pokyn k príprave štúdie uskutočniteľnosti IT projektov.</w:t>
            </w:r>
          </w:p>
        </w:tc>
        <w:tc>
          <w:tcPr>
            <w:tcW w:w="622" w:type="dxa"/>
            <w:tcBorders>
              <w:top w:val="nil"/>
              <w:left w:val="nil"/>
              <w:bottom w:val="single" w:sz="4" w:space="0" w:color="auto"/>
              <w:right w:val="nil"/>
            </w:tcBorders>
            <w:shd w:val="clear" w:color="auto" w:fill="auto"/>
            <w:vAlign w:val="center"/>
            <w:hideMark/>
          </w:tcPr>
          <w:p w14:paraId="7C5E32F6"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14.1</w:t>
            </w:r>
          </w:p>
        </w:tc>
        <w:tc>
          <w:tcPr>
            <w:tcW w:w="5731" w:type="dxa"/>
            <w:tcBorders>
              <w:top w:val="nil"/>
              <w:left w:val="nil"/>
              <w:bottom w:val="single" w:sz="4" w:space="0" w:color="auto"/>
              <w:right w:val="nil"/>
            </w:tcBorders>
            <w:shd w:val="clear" w:color="auto" w:fill="auto"/>
            <w:vAlign w:val="center"/>
            <w:hideMark/>
          </w:tcPr>
          <w:p w14:paraId="44D60BD7"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Zaktualizovať metodický pokyn k príprave štúdie uskutočniteľnosti IT projektov.</w:t>
            </w:r>
          </w:p>
        </w:tc>
        <w:tc>
          <w:tcPr>
            <w:tcW w:w="1569" w:type="dxa"/>
            <w:tcBorders>
              <w:top w:val="nil"/>
              <w:left w:val="nil"/>
              <w:bottom w:val="single" w:sz="4" w:space="0" w:color="auto"/>
              <w:right w:val="nil"/>
            </w:tcBorders>
            <w:shd w:val="clear" w:color="auto" w:fill="auto"/>
            <w:noWrap/>
            <w:vAlign w:val="center"/>
            <w:hideMark/>
          </w:tcPr>
          <w:p w14:paraId="62911656"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ÚPVII/ÚHP</w:t>
            </w:r>
          </w:p>
        </w:tc>
      </w:tr>
      <w:tr w:rsidR="00422D13" w:rsidRPr="00B96F95" w14:paraId="121AB918" w14:textId="77777777" w:rsidTr="00E80051">
        <w:trPr>
          <w:trHeight w:val="20"/>
        </w:trPr>
        <w:tc>
          <w:tcPr>
            <w:tcW w:w="953" w:type="dxa"/>
            <w:tcBorders>
              <w:top w:val="nil"/>
              <w:left w:val="nil"/>
              <w:bottom w:val="single" w:sz="4" w:space="0" w:color="auto"/>
              <w:right w:val="nil"/>
            </w:tcBorders>
            <w:shd w:val="clear" w:color="auto" w:fill="auto"/>
            <w:vAlign w:val="center"/>
            <w:hideMark/>
          </w:tcPr>
          <w:p w14:paraId="35994D0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15</w:t>
            </w:r>
          </w:p>
        </w:tc>
        <w:tc>
          <w:tcPr>
            <w:tcW w:w="5441" w:type="dxa"/>
            <w:tcBorders>
              <w:top w:val="nil"/>
              <w:left w:val="nil"/>
              <w:bottom w:val="single" w:sz="4" w:space="0" w:color="auto"/>
              <w:right w:val="nil"/>
            </w:tcBorders>
            <w:shd w:val="clear" w:color="auto" w:fill="auto"/>
            <w:vAlign w:val="center"/>
            <w:hideMark/>
          </w:tcPr>
          <w:p w14:paraId="552C2F00"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Pr>
                <w:rFonts w:eastAsia="Times New Roman" w:cs="Times New Roman"/>
                <w:color w:val="000000"/>
                <w:sz w:val="18"/>
                <w:szCs w:val="18"/>
                <w:lang w:eastAsia="sk-SK"/>
              </w:rPr>
              <w:t>S</w:t>
            </w:r>
            <w:r w:rsidRPr="0037129E">
              <w:rPr>
                <w:rFonts w:eastAsia="Times New Roman" w:cs="Times New Roman"/>
                <w:color w:val="000000"/>
                <w:sz w:val="18"/>
                <w:szCs w:val="18"/>
                <w:lang w:eastAsia="sk-SK"/>
              </w:rPr>
              <w:t xml:space="preserve">tanoviť pravidlá na delenie IT projektov na čiastkové plnenia, ktoré budú obstarané a dodané samostatne. </w:t>
            </w:r>
          </w:p>
        </w:tc>
        <w:tc>
          <w:tcPr>
            <w:tcW w:w="622" w:type="dxa"/>
            <w:tcBorders>
              <w:top w:val="nil"/>
              <w:left w:val="nil"/>
              <w:bottom w:val="single" w:sz="4" w:space="0" w:color="auto"/>
              <w:right w:val="nil"/>
            </w:tcBorders>
            <w:shd w:val="clear" w:color="auto" w:fill="auto"/>
            <w:vAlign w:val="center"/>
            <w:hideMark/>
          </w:tcPr>
          <w:p w14:paraId="1B13F4B6"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15.1</w:t>
            </w:r>
          </w:p>
        </w:tc>
        <w:tc>
          <w:tcPr>
            <w:tcW w:w="5731" w:type="dxa"/>
            <w:tcBorders>
              <w:top w:val="nil"/>
              <w:left w:val="nil"/>
              <w:bottom w:val="single" w:sz="4" w:space="0" w:color="auto"/>
              <w:right w:val="nil"/>
            </w:tcBorders>
            <w:shd w:val="clear" w:color="auto" w:fill="auto"/>
            <w:vAlign w:val="center"/>
            <w:hideMark/>
          </w:tcPr>
          <w:p w14:paraId="679F9832"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Pr>
                <w:rFonts w:eastAsia="Times New Roman" w:cs="Times New Roman"/>
                <w:color w:val="000000"/>
                <w:sz w:val="18"/>
                <w:szCs w:val="18"/>
                <w:lang w:eastAsia="sk-SK"/>
              </w:rPr>
              <w:t>S</w:t>
            </w:r>
            <w:r w:rsidRPr="0037129E">
              <w:rPr>
                <w:rFonts w:eastAsia="Times New Roman" w:cs="Times New Roman"/>
                <w:color w:val="000000"/>
                <w:sz w:val="18"/>
                <w:szCs w:val="18"/>
                <w:lang w:eastAsia="sk-SK"/>
              </w:rPr>
              <w:t xml:space="preserve">tanoviť pravidlá na delenie IT projektov na čiastkové plnenia, ktoré budú obstarané a dodané samostatne (minimálne oddelenie častí vývoj diela, prevádzka IS a rozvoj IS) </w:t>
            </w:r>
          </w:p>
        </w:tc>
        <w:tc>
          <w:tcPr>
            <w:tcW w:w="1569" w:type="dxa"/>
            <w:tcBorders>
              <w:top w:val="nil"/>
              <w:left w:val="nil"/>
              <w:bottom w:val="single" w:sz="4" w:space="0" w:color="auto"/>
              <w:right w:val="nil"/>
            </w:tcBorders>
            <w:shd w:val="clear" w:color="auto" w:fill="auto"/>
            <w:noWrap/>
            <w:vAlign w:val="center"/>
            <w:hideMark/>
          </w:tcPr>
          <w:p w14:paraId="709EAB3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6682C27B" w14:textId="77777777" w:rsidTr="00E80051">
        <w:trPr>
          <w:trHeight w:val="20"/>
        </w:trPr>
        <w:tc>
          <w:tcPr>
            <w:tcW w:w="953" w:type="dxa"/>
            <w:tcBorders>
              <w:top w:val="nil"/>
              <w:left w:val="nil"/>
              <w:bottom w:val="single" w:sz="4" w:space="0" w:color="auto"/>
              <w:right w:val="nil"/>
            </w:tcBorders>
            <w:shd w:val="clear" w:color="auto" w:fill="auto"/>
            <w:vAlign w:val="center"/>
            <w:hideMark/>
          </w:tcPr>
          <w:p w14:paraId="263B810C"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16</w:t>
            </w:r>
          </w:p>
        </w:tc>
        <w:tc>
          <w:tcPr>
            <w:tcW w:w="5441" w:type="dxa"/>
            <w:tcBorders>
              <w:top w:val="nil"/>
              <w:left w:val="nil"/>
              <w:bottom w:val="single" w:sz="4" w:space="0" w:color="auto"/>
              <w:right w:val="nil"/>
            </w:tcBorders>
            <w:shd w:val="clear" w:color="auto" w:fill="auto"/>
            <w:vAlign w:val="center"/>
            <w:hideMark/>
          </w:tcPr>
          <w:p w14:paraId="53D26D18"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Publikovať na webe všetky manažérske a špecializované produkty zmenových požiadaviek podľa pravidiel definovaných vo vyhláške o projektovom riadení v IT. </w:t>
            </w:r>
          </w:p>
        </w:tc>
        <w:tc>
          <w:tcPr>
            <w:tcW w:w="622" w:type="dxa"/>
            <w:tcBorders>
              <w:top w:val="nil"/>
              <w:left w:val="nil"/>
              <w:bottom w:val="single" w:sz="4" w:space="0" w:color="auto"/>
              <w:right w:val="nil"/>
            </w:tcBorders>
            <w:shd w:val="clear" w:color="auto" w:fill="auto"/>
            <w:vAlign w:val="center"/>
            <w:hideMark/>
          </w:tcPr>
          <w:p w14:paraId="4AB0135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16.1</w:t>
            </w:r>
          </w:p>
        </w:tc>
        <w:tc>
          <w:tcPr>
            <w:tcW w:w="5731" w:type="dxa"/>
            <w:tcBorders>
              <w:top w:val="nil"/>
              <w:left w:val="nil"/>
              <w:bottom w:val="single" w:sz="4" w:space="0" w:color="auto"/>
              <w:right w:val="nil"/>
            </w:tcBorders>
            <w:shd w:val="clear" w:color="auto" w:fill="auto"/>
            <w:vAlign w:val="center"/>
            <w:hideMark/>
          </w:tcPr>
          <w:p w14:paraId="5FE3312B"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na webe manažérske a špecializované produkty zmenových požiadaviek podľa pravidiel definovaných vo vyhláške o projektovom riadení v IT.</w:t>
            </w:r>
          </w:p>
        </w:tc>
        <w:tc>
          <w:tcPr>
            <w:tcW w:w="1569" w:type="dxa"/>
            <w:tcBorders>
              <w:top w:val="nil"/>
              <w:left w:val="nil"/>
              <w:bottom w:val="single" w:sz="4" w:space="0" w:color="auto"/>
              <w:right w:val="nil"/>
            </w:tcBorders>
            <w:shd w:val="clear" w:color="auto" w:fill="auto"/>
            <w:noWrap/>
            <w:vAlign w:val="center"/>
            <w:hideMark/>
          </w:tcPr>
          <w:p w14:paraId="29E237C8"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Pr>
                <w:rFonts w:eastAsia="Times New Roman" w:cs="Times New Roman"/>
                <w:color w:val="000000"/>
                <w:sz w:val="18"/>
                <w:szCs w:val="18"/>
                <w:lang w:eastAsia="sk-SK"/>
              </w:rPr>
              <w:t>Orgány riadenia</w:t>
            </w:r>
            <w:r>
              <w:rPr>
                <w:rStyle w:val="Odkaznapoznmkupodiarou"/>
                <w:rFonts w:eastAsia="Times New Roman" w:cs="Times New Roman"/>
                <w:color w:val="000000"/>
                <w:sz w:val="18"/>
                <w:szCs w:val="18"/>
                <w:lang w:eastAsia="sk-SK"/>
              </w:rPr>
              <w:footnoteReference w:id="48"/>
            </w:r>
            <w:r>
              <w:rPr>
                <w:rFonts w:eastAsia="Times New Roman" w:cs="Times New Roman"/>
                <w:color w:val="000000"/>
                <w:sz w:val="18"/>
                <w:szCs w:val="18"/>
                <w:lang w:eastAsia="sk-SK"/>
              </w:rPr>
              <w:t xml:space="preserve">, </w:t>
            </w:r>
            <w:r w:rsidRPr="0037129E">
              <w:rPr>
                <w:rFonts w:eastAsia="Times New Roman" w:cs="Times New Roman"/>
                <w:color w:val="000000"/>
                <w:sz w:val="18"/>
                <w:szCs w:val="18"/>
                <w:lang w:eastAsia="sk-SK"/>
              </w:rPr>
              <w:t>ÚPVII</w:t>
            </w:r>
          </w:p>
        </w:tc>
      </w:tr>
      <w:tr w:rsidR="00422D13" w:rsidRPr="00B96F95" w14:paraId="3FA0F305" w14:textId="77777777" w:rsidTr="00E80051">
        <w:trPr>
          <w:trHeight w:val="20"/>
        </w:trPr>
        <w:tc>
          <w:tcPr>
            <w:tcW w:w="953" w:type="dxa"/>
            <w:vMerge w:val="restart"/>
            <w:tcBorders>
              <w:top w:val="nil"/>
              <w:left w:val="nil"/>
              <w:bottom w:val="single" w:sz="4" w:space="0" w:color="000000"/>
              <w:right w:val="nil"/>
            </w:tcBorders>
            <w:shd w:val="clear" w:color="auto" w:fill="auto"/>
            <w:vAlign w:val="center"/>
            <w:hideMark/>
          </w:tcPr>
          <w:p w14:paraId="416BC5D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lastRenderedPageBreak/>
              <w:t>17</w:t>
            </w:r>
          </w:p>
        </w:tc>
        <w:tc>
          <w:tcPr>
            <w:tcW w:w="5441" w:type="dxa"/>
            <w:vMerge w:val="restart"/>
            <w:tcBorders>
              <w:top w:val="nil"/>
              <w:left w:val="nil"/>
              <w:bottom w:val="single" w:sz="4" w:space="0" w:color="000000"/>
              <w:right w:val="nil"/>
            </w:tcBorders>
            <w:shd w:val="clear" w:color="auto" w:fill="auto"/>
            <w:noWrap/>
            <w:vAlign w:val="center"/>
            <w:hideMark/>
          </w:tcPr>
          <w:p w14:paraId="5E90DAA9"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Zaviesť rámec na kontrolu IT výdavkov.</w:t>
            </w:r>
          </w:p>
        </w:tc>
        <w:tc>
          <w:tcPr>
            <w:tcW w:w="622" w:type="dxa"/>
            <w:tcBorders>
              <w:top w:val="nil"/>
              <w:left w:val="nil"/>
              <w:bottom w:val="nil"/>
              <w:right w:val="nil"/>
            </w:tcBorders>
            <w:shd w:val="clear" w:color="auto" w:fill="auto"/>
            <w:vAlign w:val="center"/>
            <w:hideMark/>
          </w:tcPr>
          <w:p w14:paraId="76216945"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17.1</w:t>
            </w:r>
          </w:p>
        </w:tc>
        <w:tc>
          <w:tcPr>
            <w:tcW w:w="5731" w:type="dxa"/>
            <w:tcBorders>
              <w:top w:val="nil"/>
              <w:left w:val="nil"/>
              <w:bottom w:val="nil"/>
              <w:right w:val="nil"/>
            </w:tcBorders>
            <w:shd w:val="clear" w:color="auto" w:fill="auto"/>
            <w:vAlign w:val="center"/>
            <w:hideMark/>
          </w:tcPr>
          <w:p w14:paraId="7AD08123"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Vypracovať príručku posúdenia IT výdavkov pre rozpočtové sekcie UOŠS.</w:t>
            </w:r>
          </w:p>
        </w:tc>
        <w:tc>
          <w:tcPr>
            <w:tcW w:w="1569" w:type="dxa"/>
            <w:tcBorders>
              <w:top w:val="nil"/>
              <w:left w:val="nil"/>
              <w:bottom w:val="nil"/>
              <w:right w:val="nil"/>
            </w:tcBorders>
            <w:shd w:val="clear" w:color="auto" w:fill="auto"/>
            <w:noWrap/>
            <w:vAlign w:val="bottom"/>
            <w:hideMark/>
          </w:tcPr>
          <w:p w14:paraId="2BF70C55"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4DAB3CD5" w14:textId="77777777" w:rsidTr="00E80051">
        <w:trPr>
          <w:trHeight w:val="20"/>
        </w:trPr>
        <w:tc>
          <w:tcPr>
            <w:tcW w:w="953" w:type="dxa"/>
            <w:vMerge/>
            <w:tcBorders>
              <w:top w:val="nil"/>
              <w:left w:val="nil"/>
              <w:bottom w:val="single" w:sz="4" w:space="0" w:color="000000"/>
              <w:right w:val="nil"/>
            </w:tcBorders>
            <w:vAlign w:val="center"/>
            <w:hideMark/>
          </w:tcPr>
          <w:p w14:paraId="1C97CE00"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06C69EE9"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0CCAFA0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17.2</w:t>
            </w:r>
          </w:p>
        </w:tc>
        <w:tc>
          <w:tcPr>
            <w:tcW w:w="5731" w:type="dxa"/>
            <w:tcBorders>
              <w:top w:val="nil"/>
              <w:left w:val="nil"/>
              <w:bottom w:val="nil"/>
              <w:right w:val="nil"/>
            </w:tcBorders>
            <w:shd w:val="clear" w:color="auto" w:fill="auto"/>
            <w:vAlign w:val="center"/>
            <w:hideMark/>
          </w:tcPr>
          <w:p w14:paraId="61E5DC64"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Schváliť uznesenie vlády na dodržiavanie príručky.</w:t>
            </w:r>
          </w:p>
        </w:tc>
        <w:tc>
          <w:tcPr>
            <w:tcW w:w="1569" w:type="dxa"/>
            <w:tcBorders>
              <w:top w:val="nil"/>
              <w:left w:val="nil"/>
              <w:bottom w:val="nil"/>
              <w:right w:val="nil"/>
            </w:tcBorders>
            <w:shd w:val="clear" w:color="auto" w:fill="auto"/>
            <w:noWrap/>
            <w:vAlign w:val="center"/>
            <w:hideMark/>
          </w:tcPr>
          <w:p w14:paraId="4A44D4F9"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3A5DEBA2" w14:textId="77777777" w:rsidTr="00E80051">
        <w:trPr>
          <w:trHeight w:val="20"/>
        </w:trPr>
        <w:tc>
          <w:tcPr>
            <w:tcW w:w="953" w:type="dxa"/>
            <w:vMerge/>
            <w:tcBorders>
              <w:top w:val="nil"/>
              <w:left w:val="nil"/>
              <w:bottom w:val="single" w:sz="4" w:space="0" w:color="000000"/>
              <w:right w:val="nil"/>
            </w:tcBorders>
            <w:vAlign w:val="center"/>
            <w:hideMark/>
          </w:tcPr>
          <w:p w14:paraId="3D499231"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4A7A4156"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4F294A6C"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17.3</w:t>
            </w:r>
          </w:p>
        </w:tc>
        <w:tc>
          <w:tcPr>
            <w:tcW w:w="5731" w:type="dxa"/>
            <w:tcBorders>
              <w:top w:val="nil"/>
              <w:left w:val="nil"/>
              <w:bottom w:val="nil"/>
              <w:right w:val="nil"/>
            </w:tcBorders>
            <w:shd w:val="clear" w:color="auto" w:fill="auto"/>
            <w:vAlign w:val="center"/>
            <w:hideMark/>
          </w:tcPr>
          <w:p w14:paraId="7E18E454"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Zaviesť povinnosť predložiť hodnotiaci hárok od rozpočtovej sekcie kapitoly pri RO predkladaných na MF SR.</w:t>
            </w:r>
          </w:p>
        </w:tc>
        <w:tc>
          <w:tcPr>
            <w:tcW w:w="1569" w:type="dxa"/>
            <w:tcBorders>
              <w:top w:val="nil"/>
              <w:left w:val="nil"/>
              <w:bottom w:val="nil"/>
              <w:right w:val="nil"/>
            </w:tcBorders>
            <w:shd w:val="clear" w:color="auto" w:fill="auto"/>
            <w:noWrap/>
            <w:vAlign w:val="center"/>
            <w:hideMark/>
          </w:tcPr>
          <w:p w14:paraId="1BFC5537"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Pr>
                <w:rFonts w:eastAsia="Times New Roman" w:cs="Times New Roman"/>
                <w:color w:val="000000"/>
                <w:sz w:val="18"/>
                <w:szCs w:val="18"/>
                <w:lang w:eastAsia="sk-SK"/>
              </w:rPr>
              <w:t xml:space="preserve">MF SR, </w:t>
            </w:r>
            <w:r w:rsidRPr="0037129E">
              <w:rPr>
                <w:rFonts w:eastAsia="Times New Roman" w:cs="Times New Roman"/>
                <w:color w:val="000000"/>
                <w:sz w:val="18"/>
                <w:szCs w:val="18"/>
                <w:lang w:eastAsia="sk-SK"/>
              </w:rPr>
              <w:t>ÚPVII</w:t>
            </w:r>
          </w:p>
        </w:tc>
      </w:tr>
      <w:tr w:rsidR="00422D13" w:rsidRPr="00B96F95" w14:paraId="3800D992" w14:textId="77777777" w:rsidTr="00E80051">
        <w:trPr>
          <w:trHeight w:val="20"/>
        </w:trPr>
        <w:tc>
          <w:tcPr>
            <w:tcW w:w="953" w:type="dxa"/>
            <w:vMerge/>
            <w:tcBorders>
              <w:top w:val="nil"/>
              <w:left w:val="nil"/>
              <w:bottom w:val="single" w:sz="4" w:space="0" w:color="000000"/>
              <w:right w:val="nil"/>
            </w:tcBorders>
            <w:vAlign w:val="center"/>
            <w:hideMark/>
          </w:tcPr>
          <w:p w14:paraId="402578B9"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789526FF"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vAlign w:val="center"/>
            <w:hideMark/>
          </w:tcPr>
          <w:p w14:paraId="0D060405"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17.4</w:t>
            </w:r>
          </w:p>
        </w:tc>
        <w:tc>
          <w:tcPr>
            <w:tcW w:w="5731" w:type="dxa"/>
            <w:tcBorders>
              <w:top w:val="nil"/>
              <w:left w:val="nil"/>
              <w:bottom w:val="single" w:sz="4" w:space="0" w:color="auto"/>
              <w:right w:val="nil"/>
            </w:tcBorders>
            <w:shd w:val="clear" w:color="auto" w:fill="auto"/>
            <w:vAlign w:val="center"/>
            <w:hideMark/>
          </w:tcPr>
          <w:p w14:paraId="3AD4DF33"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Vytvoriť a online publikovať služby posúdenia IT výdavkov na UPPVII (referenčné jednotkové ceny, limity, kalkulačky).</w:t>
            </w:r>
          </w:p>
        </w:tc>
        <w:tc>
          <w:tcPr>
            <w:tcW w:w="1569" w:type="dxa"/>
            <w:tcBorders>
              <w:top w:val="nil"/>
              <w:left w:val="nil"/>
              <w:bottom w:val="single" w:sz="4" w:space="0" w:color="auto"/>
              <w:right w:val="nil"/>
            </w:tcBorders>
            <w:shd w:val="clear" w:color="auto" w:fill="auto"/>
            <w:noWrap/>
            <w:vAlign w:val="center"/>
            <w:hideMark/>
          </w:tcPr>
          <w:p w14:paraId="138387E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47F9906D" w14:textId="77777777" w:rsidTr="00E80051">
        <w:trPr>
          <w:trHeight w:val="20"/>
        </w:trPr>
        <w:tc>
          <w:tcPr>
            <w:tcW w:w="953" w:type="dxa"/>
            <w:tcBorders>
              <w:top w:val="nil"/>
              <w:left w:val="nil"/>
              <w:bottom w:val="single" w:sz="4" w:space="0" w:color="auto"/>
              <w:right w:val="nil"/>
            </w:tcBorders>
            <w:shd w:val="clear" w:color="auto" w:fill="auto"/>
            <w:vAlign w:val="center"/>
            <w:hideMark/>
          </w:tcPr>
          <w:p w14:paraId="13A7822B"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18</w:t>
            </w:r>
          </w:p>
        </w:tc>
        <w:tc>
          <w:tcPr>
            <w:tcW w:w="5441" w:type="dxa"/>
            <w:tcBorders>
              <w:top w:val="nil"/>
              <w:left w:val="nil"/>
              <w:bottom w:val="single" w:sz="4" w:space="0" w:color="auto"/>
              <w:right w:val="nil"/>
            </w:tcBorders>
            <w:shd w:val="clear" w:color="auto" w:fill="auto"/>
            <w:vAlign w:val="center"/>
            <w:hideMark/>
          </w:tcPr>
          <w:p w14:paraId="1C397414"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 pilotnom projekte vytvoriť štruktúru údajov a nákladový model na vyhodnocovanie celkových  a jednotkových nákladov individuálnych vybraných IT služieb.</w:t>
            </w:r>
          </w:p>
        </w:tc>
        <w:tc>
          <w:tcPr>
            <w:tcW w:w="622" w:type="dxa"/>
            <w:tcBorders>
              <w:top w:val="nil"/>
              <w:left w:val="nil"/>
              <w:bottom w:val="single" w:sz="4" w:space="0" w:color="auto"/>
              <w:right w:val="nil"/>
            </w:tcBorders>
            <w:shd w:val="clear" w:color="auto" w:fill="auto"/>
            <w:vAlign w:val="center"/>
            <w:hideMark/>
          </w:tcPr>
          <w:p w14:paraId="6326EF8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18.1</w:t>
            </w:r>
          </w:p>
        </w:tc>
        <w:tc>
          <w:tcPr>
            <w:tcW w:w="5731" w:type="dxa"/>
            <w:tcBorders>
              <w:top w:val="nil"/>
              <w:left w:val="nil"/>
              <w:bottom w:val="single" w:sz="4" w:space="0" w:color="auto"/>
              <w:right w:val="nil"/>
            </w:tcBorders>
            <w:shd w:val="clear" w:color="auto" w:fill="auto"/>
            <w:vAlign w:val="center"/>
            <w:hideMark/>
          </w:tcPr>
          <w:p w14:paraId="67C07DE3"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Zrealizovať pilotný projekt na 1 organizácii a jej vybraných IS VS.</w:t>
            </w:r>
          </w:p>
        </w:tc>
        <w:tc>
          <w:tcPr>
            <w:tcW w:w="1569" w:type="dxa"/>
            <w:tcBorders>
              <w:top w:val="nil"/>
              <w:left w:val="nil"/>
              <w:bottom w:val="single" w:sz="4" w:space="0" w:color="auto"/>
              <w:right w:val="nil"/>
            </w:tcBorders>
            <w:shd w:val="clear" w:color="auto" w:fill="auto"/>
            <w:noWrap/>
            <w:vAlign w:val="center"/>
            <w:hideMark/>
          </w:tcPr>
          <w:p w14:paraId="5EAA57DD"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1B7160D0" w14:textId="77777777" w:rsidTr="00E80051">
        <w:trPr>
          <w:trHeight w:val="20"/>
        </w:trPr>
        <w:tc>
          <w:tcPr>
            <w:tcW w:w="953" w:type="dxa"/>
            <w:tcBorders>
              <w:top w:val="nil"/>
              <w:left w:val="nil"/>
              <w:bottom w:val="single" w:sz="4" w:space="0" w:color="auto"/>
              <w:right w:val="nil"/>
            </w:tcBorders>
            <w:shd w:val="clear" w:color="auto" w:fill="auto"/>
            <w:vAlign w:val="center"/>
            <w:hideMark/>
          </w:tcPr>
          <w:p w14:paraId="4C2688F4"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19</w:t>
            </w:r>
          </w:p>
        </w:tc>
        <w:tc>
          <w:tcPr>
            <w:tcW w:w="5441" w:type="dxa"/>
            <w:tcBorders>
              <w:top w:val="nil"/>
              <w:left w:val="nil"/>
              <w:bottom w:val="single" w:sz="4" w:space="0" w:color="auto"/>
              <w:right w:val="nil"/>
            </w:tcBorders>
            <w:shd w:val="clear" w:color="auto" w:fill="auto"/>
            <w:vAlign w:val="center"/>
            <w:hideMark/>
          </w:tcPr>
          <w:p w14:paraId="7D60CCEE"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Spracovať implementačný plán na rozšírenie sledovania IT výdavkov na všetky rozpočtové kapitoly. </w:t>
            </w:r>
          </w:p>
        </w:tc>
        <w:tc>
          <w:tcPr>
            <w:tcW w:w="622" w:type="dxa"/>
            <w:tcBorders>
              <w:top w:val="nil"/>
              <w:left w:val="nil"/>
              <w:bottom w:val="single" w:sz="4" w:space="0" w:color="auto"/>
              <w:right w:val="nil"/>
            </w:tcBorders>
            <w:shd w:val="clear" w:color="auto" w:fill="auto"/>
            <w:vAlign w:val="center"/>
            <w:hideMark/>
          </w:tcPr>
          <w:p w14:paraId="05A2D3EE"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19.1</w:t>
            </w:r>
          </w:p>
        </w:tc>
        <w:tc>
          <w:tcPr>
            <w:tcW w:w="5731" w:type="dxa"/>
            <w:tcBorders>
              <w:top w:val="nil"/>
              <w:left w:val="nil"/>
              <w:bottom w:val="single" w:sz="4" w:space="0" w:color="auto"/>
              <w:right w:val="nil"/>
            </w:tcBorders>
            <w:shd w:val="clear" w:color="auto" w:fill="auto"/>
            <w:vAlign w:val="center"/>
            <w:hideMark/>
          </w:tcPr>
          <w:p w14:paraId="52A9028A" w14:textId="585E44CD"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Spracovať implementačný plán na rozšírenie sledovania IT výdavkov na všetky rozpočtové kapitoly v zmysle výsledkov opatrenia </w:t>
            </w:r>
            <w:r w:rsidR="00911213">
              <w:rPr>
                <w:rFonts w:eastAsia="Times New Roman" w:cs="Times New Roman"/>
                <w:color w:val="000000"/>
                <w:sz w:val="18"/>
                <w:szCs w:val="18"/>
                <w:lang w:eastAsia="sk-SK"/>
              </w:rPr>
              <w:t>18</w:t>
            </w:r>
            <w:r w:rsidRPr="0037129E">
              <w:rPr>
                <w:rFonts w:eastAsia="Times New Roman" w:cs="Times New Roman"/>
                <w:color w:val="000000"/>
                <w:sz w:val="18"/>
                <w:szCs w:val="18"/>
                <w:lang w:eastAsia="sk-SK"/>
              </w:rPr>
              <w:t>.</w:t>
            </w:r>
          </w:p>
        </w:tc>
        <w:tc>
          <w:tcPr>
            <w:tcW w:w="1569" w:type="dxa"/>
            <w:tcBorders>
              <w:top w:val="nil"/>
              <w:left w:val="nil"/>
              <w:bottom w:val="single" w:sz="4" w:space="0" w:color="auto"/>
              <w:right w:val="nil"/>
            </w:tcBorders>
            <w:shd w:val="clear" w:color="auto" w:fill="auto"/>
            <w:noWrap/>
            <w:vAlign w:val="center"/>
            <w:hideMark/>
          </w:tcPr>
          <w:p w14:paraId="38D34100"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4254A5D5" w14:textId="77777777" w:rsidTr="00E80051">
        <w:trPr>
          <w:trHeight w:val="20"/>
        </w:trPr>
        <w:tc>
          <w:tcPr>
            <w:tcW w:w="953" w:type="dxa"/>
            <w:vMerge w:val="restart"/>
            <w:tcBorders>
              <w:top w:val="nil"/>
              <w:left w:val="nil"/>
              <w:bottom w:val="single" w:sz="4" w:space="0" w:color="000000"/>
              <w:right w:val="nil"/>
            </w:tcBorders>
            <w:shd w:val="clear" w:color="auto" w:fill="auto"/>
            <w:vAlign w:val="center"/>
            <w:hideMark/>
          </w:tcPr>
          <w:p w14:paraId="679BCDCC"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20</w:t>
            </w:r>
          </w:p>
        </w:tc>
        <w:tc>
          <w:tcPr>
            <w:tcW w:w="5441" w:type="dxa"/>
            <w:vMerge w:val="restart"/>
            <w:tcBorders>
              <w:top w:val="nil"/>
              <w:left w:val="nil"/>
              <w:bottom w:val="single" w:sz="4" w:space="0" w:color="000000"/>
              <w:right w:val="nil"/>
            </w:tcBorders>
            <w:shd w:val="clear" w:color="auto" w:fill="auto"/>
            <w:vAlign w:val="center"/>
            <w:hideMark/>
          </w:tcPr>
          <w:p w14:paraId="5F32FAD3"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Vytvoriť jednotnú štruktúru, v ktorej majú byť definované všetky obstarávania IT tovarov a služieb.</w:t>
            </w:r>
          </w:p>
        </w:tc>
        <w:tc>
          <w:tcPr>
            <w:tcW w:w="622" w:type="dxa"/>
            <w:tcBorders>
              <w:top w:val="nil"/>
              <w:left w:val="nil"/>
              <w:bottom w:val="nil"/>
              <w:right w:val="nil"/>
            </w:tcBorders>
            <w:shd w:val="clear" w:color="auto" w:fill="auto"/>
            <w:vAlign w:val="center"/>
            <w:hideMark/>
          </w:tcPr>
          <w:p w14:paraId="41CD6A30"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20.1</w:t>
            </w:r>
          </w:p>
        </w:tc>
        <w:tc>
          <w:tcPr>
            <w:tcW w:w="5731" w:type="dxa"/>
            <w:tcBorders>
              <w:top w:val="nil"/>
              <w:left w:val="nil"/>
              <w:bottom w:val="nil"/>
              <w:right w:val="nil"/>
            </w:tcBorders>
            <w:shd w:val="clear" w:color="auto" w:fill="auto"/>
            <w:vAlign w:val="center"/>
            <w:hideMark/>
          </w:tcPr>
          <w:p w14:paraId="006F7EBF"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generickú štruktúru položiek v obstarávaní vývoja SW a konzultačných služieb spojených s IS VS.</w:t>
            </w:r>
          </w:p>
        </w:tc>
        <w:tc>
          <w:tcPr>
            <w:tcW w:w="1569" w:type="dxa"/>
            <w:tcBorders>
              <w:top w:val="nil"/>
              <w:left w:val="nil"/>
              <w:bottom w:val="nil"/>
              <w:right w:val="nil"/>
            </w:tcBorders>
            <w:shd w:val="clear" w:color="auto" w:fill="auto"/>
            <w:noWrap/>
            <w:vAlign w:val="center"/>
            <w:hideMark/>
          </w:tcPr>
          <w:p w14:paraId="505E078E"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58CD5DFB" w14:textId="77777777" w:rsidTr="00E80051">
        <w:trPr>
          <w:trHeight w:val="20"/>
        </w:trPr>
        <w:tc>
          <w:tcPr>
            <w:tcW w:w="953" w:type="dxa"/>
            <w:vMerge/>
            <w:tcBorders>
              <w:top w:val="nil"/>
              <w:left w:val="nil"/>
              <w:bottom w:val="single" w:sz="4" w:space="0" w:color="000000"/>
              <w:right w:val="nil"/>
            </w:tcBorders>
            <w:vAlign w:val="center"/>
            <w:hideMark/>
          </w:tcPr>
          <w:p w14:paraId="446ABA1D"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4D72CD4A"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483A7928"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20.2</w:t>
            </w:r>
          </w:p>
        </w:tc>
        <w:tc>
          <w:tcPr>
            <w:tcW w:w="5731" w:type="dxa"/>
            <w:tcBorders>
              <w:top w:val="nil"/>
              <w:left w:val="nil"/>
              <w:bottom w:val="nil"/>
              <w:right w:val="nil"/>
            </w:tcBorders>
            <w:shd w:val="clear" w:color="auto" w:fill="auto"/>
            <w:vAlign w:val="center"/>
            <w:hideMark/>
          </w:tcPr>
          <w:p w14:paraId="0646D53E"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generickú štruktúru položiek v obstarávaní komodít (licencie, HW).</w:t>
            </w:r>
          </w:p>
        </w:tc>
        <w:tc>
          <w:tcPr>
            <w:tcW w:w="1569" w:type="dxa"/>
            <w:tcBorders>
              <w:top w:val="nil"/>
              <w:left w:val="nil"/>
              <w:bottom w:val="nil"/>
              <w:right w:val="nil"/>
            </w:tcBorders>
            <w:shd w:val="clear" w:color="auto" w:fill="auto"/>
            <w:noWrap/>
            <w:vAlign w:val="center"/>
            <w:hideMark/>
          </w:tcPr>
          <w:p w14:paraId="666F599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02FB55F2" w14:textId="77777777" w:rsidTr="00E80051">
        <w:trPr>
          <w:trHeight w:val="20"/>
        </w:trPr>
        <w:tc>
          <w:tcPr>
            <w:tcW w:w="953" w:type="dxa"/>
            <w:vMerge/>
            <w:tcBorders>
              <w:top w:val="nil"/>
              <w:left w:val="nil"/>
              <w:bottom w:val="single" w:sz="4" w:space="0" w:color="000000"/>
              <w:right w:val="nil"/>
            </w:tcBorders>
            <w:vAlign w:val="center"/>
            <w:hideMark/>
          </w:tcPr>
          <w:p w14:paraId="599B5BBF"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381B8800"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vAlign w:val="center"/>
            <w:hideMark/>
          </w:tcPr>
          <w:p w14:paraId="133D4B2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20.3</w:t>
            </w:r>
          </w:p>
        </w:tc>
        <w:tc>
          <w:tcPr>
            <w:tcW w:w="5731" w:type="dxa"/>
            <w:tcBorders>
              <w:top w:val="nil"/>
              <w:left w:val="nil"/>
              <w:bottom w:val="single" w:sz="4" w:space="0" w:color="auto"/>
              <w:right w:val="nil"/>
            </w:tcBorders>
            <w:shd w:val="clear" w:color="auto" w:fill="auto"/>
            <w:vAlign w:val="center"/>
            <w:hideMark/>
          </w:tcPr>
          <w:p w14:paraId="317816BE"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Zaviesť povinnosť publikovať všetky jednotkové ceny a množstvo tovarov a služieb vo vopred definovanej jednotnej štruktúre ako prílohu zmluvy.</w:t>
            </w:r>
          </w:p>
        </w:tc>
        <w:tc>
          <w:tcPr>
            <w:tcW w:w="1569" w:type="dxa"/>
            <w:tcBorders>
              <w:top w:val="nil"/>
              <w:left w:val="nil"/>
              <w:bottom w:val="single" w:sz="4" w:space="0" w:color="auto"/>
              <w:right w:val="nil"/>
            </w:tcBorders>
            <w:shd w:val="clear" w:color="auto" w:fill="auto"/>
            <w:noWrap/>
            <w:vAlign w:val="center"/>
            <w:hideMark/>
          </w:tcPr>
          <w:p w14:paraId="670D441F"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5CE3AC0F" w14:textId="77777777" w:rsidTr="00E80051">
        <w:trPr>
          <w:trHeight w:val="20"/>
        </w:trPr>
        <w:tc>
          <w:tcPr>
            <w:tcW w:w="953" w:type="dxa"/>
            <w:vMerge w:val="restart"/>
            <w:tcBorders>
              <w:top w:val="nil"/>
              <w:left w:val="nil"/>
              <w:bottom w:val="single" w:sz="4" w:space="0" w:color="000000"/>
              <w:right w:val="nil"/>
            </w:tcBorders>
            <w:shd w:val="clear" w:color="auto" w:fill="auto"/>
            <w:vAlign w:val="center"/>
            <w:hideMark/>
          </w:tcPr>
          <w:p w14:paraId="7F1CE1F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21</w:t>
            </w:r>
          </w:p>
        </w:tc>
        <w:tc>
          <w:tcPr>
            <w:tcW w:w="5441" w:type="dxa"/>
            <w:vMerge w:val="restart"/>
            <w:tcBorders>
              <w:top w:val="nil"/>
              <w:left w:val="nil"/>
              <w:bottom w:val="single" w:sz="4" w:space="0" w:color="000000"/>
              <w:right w:val="nil"/>
            </w:tcBorders>
            <w:shd w:val="clear" w:color="auto" w:fill="auto"/>
            <w:vAlign w:val="center"/>
            <w:hideMark/>
          </w:tcPr>
          <w:p w14:paraId="12163574"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Vytvoriť a pravidelne aktualizovať databázu jednotkových cien IT prác, tovarov a služieb.</w:t>
            </w:r>
          </w:p>
        </w:tc>
        <w:tc>
          <w:tcPr>
            <w:tcW w:w="622" w:type="dxa"/>
            <w:tcBorders>
              <w:top w:val="nil"/>
              <w:left w:val="nil"/>
              <w:bottom w:val="nil"/>
              <w:right w:val="nil"/>
            </w:tcBorders>
            <w:shd w:val="clear" w:color="auto" w:fill="auto"/>
            <w:vAlign w:val="center"/>
            <w:hideMark/>
          </w:tcPr>
          <w:p w14:paraId="790D5078"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21.1</w:t>
            </w:r>
          </w:p>
        </w:tc>
        <w:tc>
          <w:tcPr>
            <w:tcW w:w="5731" w:type="dxa"/>
            <w:tcBorders>
              <w:top w:val="nil"/>
              <w:left w:val="nil"/>
              <w:bottom w:val="nil"/>
              <w:right w:val="nil"/>
            </w:tcBorders>
            <w:shd w:val="clear" w:color="auto" w:fill="auto"/>
            <w:vAlign w:val="center"/>
            <w:hideMark/>
          </w:tcPr>
          <w:p w14:paraId="0ED507AE"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priemerné sadzby za človekodeň jednotlivých rolí spojených s vývojom aplikácií.</w:t>
            </w:r>
          </w:p>
        </w:tc>
        <w:tc>
          <w:tcPr>
            <w:tcW w:w="1569" w:type="dxa"/>
            <w:tcBorders>
              <w:top w:val="nil"/>
              <w:left w:val="nil"/>
              <w:bottom w:val="nil"/>
              <w:right w:val="nil"/>
            </w:tcBorders>
            <w:shd w:val="clear" w:color="auto" w:fill="auto"/>
            <w:noWrap/>
            <w:vAlign w:val="center"/>
            <w:hideMark/>
          </w:tcPr>
          <w:p w14:paraId="1D9449E6"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15F1F0EB" w14:textId="77777777" w:rsidTr="00E80051">
        <w:trPr>
          <w:trHeight w:val="20"/>
        </w:trPr>
        <w:tc>
          <w:tcPr>
            <w:tcW w:w="953" w:type="dxa"/>
            <w:vMerge/>
            <w:tcBorders>
              <w:top w:val="nil"/>
              <w:left w:val="nil"/>
              <w:bottom w:val="single" w:sz="4" w:space="0" w:color="000000"/>
              <w:right w:val="nil"/>
            </w:tcBorders>
            <w:vAlign w:val="center"/>
            <w:hideMark/>
          </w:tcPr>
          <w:p w14:paraId="254C9B6F"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06F3BEF4"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4FF1510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21.2</w:t>
            </w:r>
          </w:p>
        </w:tc>
        <w:tc>
          <w:tcPr>
            <w:tcW w:w="5731" w:type="dxa"/>
            <w:tcBorders>
              <w:top w:val="nil"/>
              <w:left w:val="nil"/>
              <w:bottom w:val="nil"/>
              <w:right w:val="nil"/>
            </w:tcBorders>
            <w:shd w:val="clear" w:color="auto" w:fill="auto"/>
            <w:vAlign w:val="center"/>
            <w:hideMark/>
          </w:tcPr>
          <w:p w14:paraId="77BDA6AB"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Publikovať priemerné ceny SW produktov, ktoré sú súčasťou CLZ a </w:t>
            </w:r>
            <w:r>
              <w:rPr>
                <w:rFonts w:eastAsia="Times New Roman" w:cs="Times New Roman"/>
                <w:color w:val="000000"/>
                <w:sz w:val="18"/>
                <w:szCs w:val="18"/>
                <w:lang w:eastAsia="sk-SK"/>
              </w:rPr>
              <w:t>3</w:t>
            </w:r>
            <w:r w:rsidRPr="0037129E">
              <w:rPr>
                <w:rFonts w:eastAsia="Times New Roman" w:cs="Times New Roman"/>
                <w:color w:val="000000"/>
                <w:sz w:val="18"/>
                <w:szCs w:val="18"/>
                <w:lang w:eastAsia="sk-SK"/>
              </w:rPr>
              <w:t xml:space="preserve"> dodávateľov, ktorých produkty nie sú v CLZ a patria medzi najčastejšie nakupované SW produkty s najvyššími nákladmi.</w:t>
            </w:r>
          </w:p>
        </w:tc>
        <w:tc>
          <w:tcPr>
            <w:tcW w:w="1569" w:type="dxa"/>
            <w:tcBorders>
              <w:top w:val="nil"/>
              <w:left w:val="nil"/>
              <w:bottom w:val="nil"/>
              <w:right w:val="nil"/>
            </w:tcBorders>
            <w:shd w:val="clear" w:color="auto" w:fill="auto"/>
            <w:noWrap/>
            <w:vAlign w:val="center"/>
            <w:hideMark/>
          </w:tcPr>
          <w:p w14:paraId="41AFF25F"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5019E16B" w14:textId="77777777" w:rsidTr="00E80051">
        <w:trPr>
          <w:trHeight w:val="20"/>
        </w:trPr>
        <w:tc>
          <w:tcPr>
            <w:tcW w:w="953" w:type="dxa"/>
            <w:vMerge/>
            <w:tcBorders>
              <w:top w:val="nil"/>
              <w:left w:val="nil"/>
              <w:bottom w:val="single" w:sz="4" w:space="0" w:color="000000"/>
              <w:right w:val="nil"/>
            </w:tcBorders>
            <w:vAlign w:val="center"/>
            <w:hideMark/>
          </w:tcPr>
          <w:p w14:paraId="7DB42901"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03961011"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2EF303A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21.3</w:t>
            </w:r>
          </w:p>
        </w:tc>
        <w:tc>
          <w:tcPr>
            <w:tcW w:w="5731" w:type="dxa"/>
            <w:tcBorders>
              <w:top w:val="nil"/>
              <w:left w:val="nil"/>
              <w:bottom w:val="nil"/>
              <w:right w:val="nil"/>
            </w:tcBorders>
            <w:shd w:val="clear" w:color="auto" w:fill="auto"/>
            <w:vAlign w:val="center"/>
            <w:hideMark/>
          </w:tcPr>
          <w:p w14:paraId="3BE06008"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priemerné ceny HW produktov 5 dodávateľov, ktorých produkty sú najčastejšie nakupované SW produkty s najvyššími nákladmi.</w:t>
            </w:r>
          </w:p>
        </w:tc>
        <w:tc>
          <w:tcPr>
            <w:tcW w:w="1569" w:type="dxa"/>
            <w:tcBorders>
              <w:top w:val="nil"/>
              <w:left w:val="nil"/>
              <w:bottom w:val="nil"/>
              <w:right w:val="nil"/>
            </w:tcBorders>
            <w:shd w:val="clear" w:color="auto" w:fill="auto"/>
            <w:noWrap/>
            <w:vAlign w:val="center"/>
            <w:hideMark/>
          </w:tcPr>
          <w:p w14:paraId="29D0F37E"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1B255528" w14:textId="77777777" w:rsidTr="00E80051">
        <w:trPr>
          <w:trHeight w:val="20"/>
        </w:trPr>
        <w:tc>
          <w:tcPr>
            <w:tcW w:w="953" w:type="dxa"/>
            <w:vMerge/>
            <w:tcBorders>
              <w:top w:val="nil"/>
              <w:left w:val="nil"/>
              <w:bottom w:val="single" w:sz="4" w:space="0" w:color="000000"/>
              <w:right w:val="nil"/>
            </w:tcBorders>
            <w:vAlign w:val="center"/>
            <w:hideMark/>
          </w:tcPr>
          <w:p w14:paraId="0BE9AC00"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1E784595"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vAlign w:val="center"/>
            <w:hideMark/>
          </w:tcPr>
          <w:p w14:paraId="071226D8"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21.4</w:t>
            </w:r>
          </w:p>
        </w:tc>
        <w:tc>
          <w:tcPr>
            <w:tcW w:w="5731" w:type="dxa"/>
            <w:tcBorders>
              <w:top w:val="nil"/>
              <w:left w:val="nil"/>
              <w:bottom w:val="single" w:sz="4" w:space="0" w:color="auto"/>
              <w:right w:val="nil"/>
            </w:tcBorders>
            <w:shd w:val="clear" w:color="auto" w:fill="auto"/>
            <w:vAlign w:val="center"/>
            <w:hideMark/>
          </w:tcPr>
          <w:p w14:paraId="5E68EB68"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Stanoviť priemerné ceny ako referenčné ceny pre nákup IT tovarov a služieb.</w:t>
            </w:r>
          </w:p>
        </w:tc>
        <w:tc>
          <w:tcPr>
            <w:tcW w:w="1569" w:type="dxa"/>
            <w:tcBorders>
              <w:top w:val="nil"/>
              <w:left w:val="nil"/>
              <w:bottom w:val="single" w:sz="4" w:space="0" w:color="auto"/>
              <w:right w:val="nil"/>
            </w:tcBorders>
            <w:shd w:val="clear" w:color="auto" w:fill="auto"/>
            <w:noWrap/>
            <w:vAlign w:val="center"/>
            <w:hideMark/>
          </w:tcPr>
          <w:p w14:paraId="7A1BE4CC"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451033B8" w14:textId="77777777" w:rsidTr="00E80051">
        <w:trPr>
          <w:trHeight w:val="20"/>
        </w:trPr>
        <w:tc>
          <w:tcPr>
            <w:tcW w:w="953" w:type="dxa"/>
            <w:vMerge w:val="restart"/>
            <w:tcBorders>
              <w:top w:val="nil"/>
              <w:left w:val="nil"/>
              <w:bottom w:val="nil"/>
              <w:right w:val="nil"/>
            </w:tcBorders>
            <w:shd w:val="clear" w:color="auto" w:fill="auto"/>
            <w:vAlign w:val="center"/>
            <w:hideMark/>
          </w:tcPr>
          <w:p w14:paraId="02409A81"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22</w:t>
            </w:r>
          </w:p>
        </w:tc>
        <w:tc>
          <w:tcPr>
            <w:tcW w:w="5441" w:type="dxa"/>
            <w:vMerge w:val="restart"/>
            <w:tcBorders>
              <w:top w:val="nil"/>
              <w:left w:val="nil"/>
              <w:bottom w:val="nil"/>
              <w:right w:val="nil"/>
            </w:tcBorders>
            <w:shd w:val="clear" w:color="auto" w:fill="auto"/>
            <w:vAlign w:val="center"/>
            <w:hideMark/>
          </w:tcPr>
          <w:p w14:paraId="0373F878"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Štandardizovať SLA zmluvy a v metodickom pokyne zadefinovať postup pre prípravu štúdie uskutočniteľnosti novej zmluvy na prevádzku alebo rozvoj IS.</w:t>
            </w:r>
          </w:p>
        </w:tc>
        <w:tc>
          <w:tcPr>
            <w:tcW w:w="622" w:type="dxa"/>
            <w:tcBorders>
              <w:top w:val="nil"/>
              <w:left w:val="nil"/>
              <w:bottom w:val="nil"/>
              <w:right w:val="nil"/>
            </w:tcBorders>
            <w:shd w:val="clear" w:color="auto" w:fill="auto"/>
            <w:vAlign w:val="center"/>
            <w:hideMark/>
          </w:tcPr>
          <w:p w14:paraId="130FD084"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22.1</w:t>
            </w:r>
          </w:p>
        </w:tc>
        <w:tc>
          <w:tcPr>
            <w:tcW w:w="5731" w:type="dxa"/>
            <w:tcBorders>
              <w:top w:val="nil"/>
              <w:left w:val="nil"/>
              <w:bottom w:val="nil"/>
              <w:right w:val="nil"/>
            </w:tcBorders>
            <w:shd w:val="clear" w:color="auto" w:fill="auto"/>
            <w:vAlign w:val="center"/>
            <w:hideMark/>
          </w:tcPr>
          <w:p w14:paraId="60BF15E8"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vzorovú štruktúru zmluvy na obstaranie SLA.</w:t>
            </w:r>
          </w:p>
        </w:tc>
        <w:tc>
          <w:tcPr>
            <w:tcW w:w="1569" w:type="dxa"/>
            <w:tcBorders>
              <w:top w:val="nil"/>
              <w:left w:val="nil"/>
              <w:bottom w:val="nil"/>
              <w:right w:val="nil"/>
            </w:tcBorders>
            <w:shd w:val="clear" w:color="auto" w:fill="auto"/>
            <w:noWrap/>
            <w:vAlign w:val="center"/>
            <w:hideMark/>
          </w:tcPr>
          <w:p w14:paraId="1DB85E8E"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29C22945" w14:textId="77777777" w:rsidTr="00E80051">
        <w:trPr>
          <w:trHeight w:val="20"/>
        </w:trPr>
        <w:tc>
          <w:tcPr>
            <w:tcW w:w="953" w:type="dxa"/>
            <w:vMerge/>
            <w:tcBorders>
              <w:top w:val="nil"/>
              <w:left w:val="nil"/>
              <w:bottom w:val="nil"/>
              <w:right w:val="nil"/>
            </w:tcBorders>
            <w:vAlign w:val="center"/>
            <w:hideMark/>
          </w:tcPr>
          <w:p w14:paraId="199CF449"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nil"/>
              <w:right w:val="nil"/>
            </w:tcBorders>
            <w:vAlign w:val="center"/>
            <w:hideMark/>
          </w:tcPr>
          <w:p w14:paraId="35545136"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7EBC6366"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22.2</w:t>
            </w:r>
          </w:p>
        </w:tc>
        <w:tc>
          <w:tcPr>
            <w:tcW w:w="5731" w:type="dxa"/>
            <w:tcBorders>
              <w:top w:val="nil"/>
              <w:left w:val="nil"/>
              <w:bottom w:val="nil"/>
              <w:right w:val="nil"/>
            </w:tcBorders>
            <w:shd w:val="clear" w:color="auto" w:fill="auto"/>
            <w:vAlign w:val="center"/>
            <w:hideMark/>
          </w:tcPr>
          <w:p w14:paraId="1C3E37A5"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Schváliť uznesenie vlády o povinnosti používať vzorovú zmluvu na SLA.</w:t>
            </w:r>
          </w:p>
        </w:tc>
        <w:tc>
          <w:tcPr>
            <w:tcW w:w="1569" w:type="dxa"/>
            <w:tcBorders>
              <w:top w:val="nil"/>
              <w:left w:val="nil"/>
              <w:bottom w:val="nil"/>
              <w:right w:val="nil"/>
            </w:tcBorders>
            <w:shd w:val="clear" w:color="auto" w:fill="auto"/>
            <w:noWrap/>
            <w:vAlign w:val="center"/>
            <w:hideMark/>
          </w:tcPr>
          <w:p w14:paraId="19E96486"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1A9FA32F" w14:textId="77777777" w:rsidTr="00E80051">
        <w:trPr>
          <w:trHeight w:val="20"/>
        </w:trPr>
        <w:tc>
          <w:tcPr>
            <w:tcW w:w="953" w:type="dxa"/>
            <w:vMerge/>
            <w:tcBorders>
              <w:top w:val="nil"/>
              <w:left w:val="nil"/>
              <w:bottom w:val="nil"/>
              <w:right w:val="nil"/>
            </w:tcBorders>
            <w:vAlign w:val="center"/>
            <w:hideMark/>
          </w:tcPr>
          <w:p w14:paraId="18B60593"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nil"/>
              <w:right w:val="nil"/>
            </w:tcBorders>
            <w:vAlign w:val="center"/>
            <w:hideMark/>
          </w:tcPr>
          <w:p w14:paraId="1A009326"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vAlign w:val="center"/>
            <w:hideMark/>
          </w:tcPr>
          <w:p w14:paraId="2319DBDE"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22.3</w:t>
            </w:r>
          </w:p>
        </w:tc>
        <w:tc>
          <w:tcPr>
            <w:tcW w:w="5731" w:type="dxa"/>
            <w:tcBorders>
              <w:top w:val="nil"/>
              <w:left w:val="nil"/>
              <w:bottom w:val="nil"/>
              <w:right w:val="nil"/>
            </w:tcBorders>
            <w:shd w:val="clear" w:color="auto" w:fill="auto"/>
            <w:vAlign w:val="center"/>
            <w:hideMark/>
          </w:tcPr>
          <w:p w14:paraId="32149CEE"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 metodickom pokyne k príprave štúdie uskutočniteľnosti IT projektov zadefinovať postup pri príprave novej zmluvy na prevádzku alebo rozvoj IS.</w:t>
            </w:r>
          </w:p>
        </w:tc>
        <w:tc>
          <w:tcPr>
            <w:tcW w:w="1569" w:type="dxa"/>
            <w:tcBorders>
              <w:top w:val="nil"/>
              <w:left w:val="nil"/>
              <w:bottom w:val="nil"/>
              <w:right w:val="nil"/>
            </w:tcBorders>
            <w:shd w:val="clear" w:color="auto" w:fill="auto"/>
            <w:noWrap/>
            <w:vAlign w:val="center"/>
            <w:hideMark/>
          </w:tcPr>
          <w:p w14:paraId="5BD522A9"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ÚPVII/ÚHP</w:t>
            </w:r>
          </w:p>
        </w:tc>
      </w:tr>
      <w:tr w:rsidR="00422D13" w:rsidRPr="00B96F95" w14:paraId="5148971F" w14:textId="77777777" w:rsidTr="00E80051">
        <w:trPr>
          <w:trHeight w:val="20"/>
        </w:trPr>
        <w:tc>
          <w:tcPr>
            <w:tcW w:w="953" w:type="dxa"/>
            <w:tcBorders>
              <w:top w:val="single" w:sz="4" w:space="0" w:color="auto"/>
              <w:left w:val="nil"/>
              <w:bottom w:val="single" w:sz="4" w:space="0" w:color="auto"/>
              <w:right w:val="nil"/>
            </w:tcBorders>
            <w:shd w:val="clear" w:color="auto" w:fill="auto"/>
            <w:vAlign w:val="center"/>
            <w:hideMark/>
          </w:tcPr>
          <w:p w14:paraId="79440A3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23</w:t>
            </w:r>
          </w:p>
        </w:tc>
        <w:tc>
          <w:tcPr>
            <w:tcW w:w="5441" w:type="dxa"/>
            <w:tcBorders>
              <w:top w:val="single" w:sz="4" w:space="0" w:color="auto"/>
              <w:left w:val="nil"/>
              <w:bottom w:val="single" w:sz="4" w:space="0" w:color="auto"/>
              <w:right w:val="nil"/>
            </w:tcBorders>
            <w:shd w:val="clear" w:color="auto" w:fill="auto"/>
            <w:vAlign w:val="center"/>
            <w:hideMark/>
          </w:tcPr>
          <w:p w14:paraId="42495033"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Pri obnove zmlúv na prevádzku (SLA) a rozvoj zanalyzovať potrebnú úroveň dostupnosti a rámca na zmenové požiadavky a adekvátne upraviť budúcu zmluvu. </w:t>
            </w:r>
          </w:p>
        </w:tc>
        <w:tc>
          <w:tcPr>
            <w:tcW w:w="622" w:type="dxa"/>
            <w:tcBorders>
              <w:top w:val="single" w:sz="4" w:space="0" w:color="auto"/>
              <w:left w:val="nil"/>
              <w:bottom w:val="single" w:sz="4" w:space="0" w:color="auto"/>
              <w:right w:val="nil"/>
            </w:tcBorders>
            <w:shd w:val="clear" w:color="auto" w:fill="auto"/>
            <w:vAlign w:val="center"/>
            <w:hideMark/>
          </w:tcPr>
          <w:p w14:paraId="11969B8F"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23.1</w:t>
            </w:r>
          </w:p>
        </w:tc>
        <w:tc>
          <w:tcPr>
            <w:tcW w:w="5731" w:type="dxa"/>
            <w:tcBorders>
              <w:top w:val="single" w:sz="4" w:space="0" w:color="auto"/>
              <w:left w:val="nil"/>
              <w:bottom w:val="single" w:sz="4" w:space="0" w:color="auto"/>
              <w:right w:val="nil"/>
            </w:tcBorders>
            <w:shd w:val="clear" w:color="auto" w:fill="auto"/>
            <w:vAlign w:val="center"/>
            <w:hideMark/>
          </w:tcPr>
          <w:p w14:paraId="59DA670F"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Zaviesť povinnosť pre OVM a UPPVII prostredníctvom vyhlášky o projektovom riadení posudzovať nové SLA s hodnotou nad 1mil. EUR ako projekt ku ktorému bude vydávané stanovisko ÚPVII.</w:t>
            </w:r>
          </w:p>
        </w:tc>
        <w:tc>
          <w:tcPr>
            <w:tcW w:w="1569" w:type="dxa"/>
            <w:tcBorders>
              <w:top w:val="single" w:sz="4" w:space="0" w:color="auto"/>
              <w:left w:val="nil"/>
              <w:bottom w:val="single" w:sz="4" w:space="0" w:color="auto"/>
              <w:right w:val="nil"/>
            </w:tcBorders>
            <w:shd w:val="clear" w:color="auto" w:fill="auto"/>
            <w:noWrap/>
            <w:vAlign w:val="center"/>
            <w:hideMark/>
          </w:tcPr>
          <w:p w14:paraId="2AB08770"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22D03C40" w14:textId="77777777" w:rsidTr="00E80051">
        <w:trPr>
          <w:trHeight w:val="20"/>
        </w:trPr>
        <w:tc>
          <w:tcPr>
            <w:tcW w:w="953" w:type="dxa"/>
            <w:vMerge w:val="restart"/>
            <w:tcBorders>
              <w:top w:val="nil"/>
              <w:left w:val="nil"/>
              <w:bottom w:val="single" w:sz="4" w:space="0" w:color="000000"/>
              <w:right w:val="nil"/>
            </w:tcBorders>
            <w:shd w:val="clear" w:color="auto" w:fill="auto"/>
            <w:vAlign w:val="center"/>
            <w:hideMark/>
          </w:tcPr>
          <w:p w14:paraId="68DA6C6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24</w:t>
            </w:r>
          </w:p>
        </w:tc>
        <w:tc>
          <w:tcPr>
            <w:tcW w:w="5441" w:type="dxa"/>
            <w:vMerge w:val="restart"/>
            <w:tcBorders>
              <w:top w:val="nil"/>
              <w:left w:val="nil"/>
              <w:bottom w:val="single" w:sz="4" w:space="0" w:color="000000"/>
              <w:right w:val="nil"/>
            </w:tcBorders>
            <w:shd w:val="clear" w:color="auto" w:fill="auto"/>
            <w:vAlign w:val="center"/>
            <w:hideMark/>
          </w:tcPr>
          <w:p w14:paraId="1E7CC990"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Spracovať hodnotenie 9 vybraných zmlúv na prevádzku a rozvoj s najvyššími nákladmi vrátane návrhu ďalšieho postupu zabezpečenia služieb.</w:t>
            </w:r>
          </w:p>
        </w:tc>
        <w:tc>
          <w:tcPr>
            <w:tcW w:w="622" w:type="dxa"/>
            <w:tcBorders>
              <w:top w:val="nil"/>
              <w:left w:val="nil"/>
              <w:bottom w:val="nil"/>
              <w:right w:val="nil"/>
            </w:tcBorders>
            <w:shd w:val="clear" w:color="auto" w:fill="auto"/>
            <w:noWrap/>
            <w:vAlign w:val="center"/>
            <w:hideMark/>
          </w:tcPr>
          <w:p w14:paraId="344D6A9C"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24.1</w:t>
            </w:r>
          </w:p>
        </w:tc>
        <w:tc>
          <w:tcPr>
            <w:tcW w:w="5731" w:type="dxa"/>
            <w:tcBorders>
              <w:top w:val="nil"/>
              <w:left w:val="nil"/>
              <w:bottom w:val="nil"/>
              <w:right w:val="nil"/>
            </w:tcBorders>
            <w:shd w:val="clear" w:color="auto" w:fill="auto"/>
            <w:vAlign w:val="center"/>
            <w:hideMark/>
          </w:tcPr>
          <w:p w14:paraId="18FFBF96"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 roku 2020 spracovať priebehu 3 rokov spracovať hodnotenie a návrh ďalšieho postupu pre 2 vybrané zmluvy s najvyššími nákladmi.</w:t>
            </w:r>
          </w:p>
        </w:tc>
        <w:tc>
          <w:tcPr>
            <w:tcW w:w="1569" w:type="dxa"/>
            <w:tcBorders>
              <w:top w:val="nil"/>
              <w:left w:val="nil"/>
              <w:bottom w:val="nil"/>
              <w:right w:val="nil"/>
            </w:tcBorders>
            <w:shd w:val="clear" w:color="auto" w:fill="auto"/>
            <w:noWrap/>
            <w:vAlign w:val="center"/>
            <w:hideMark/>
          </w:tcPr>
          <w:p w14:paraId="266599F6"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3B5AA899" w14:textId="77777777" w:rsidTr="00E80051">
        <w:trPr>
          <w:trHeight w:val="20"/>
        </w:trPr>
        <w:tc>
          <w:tcPr>
            <w:tcW w:w="953" w:type="dxa"/>
            <w:vMerge/>
            <w:tcBorders>
              <w:top w:val="nil"/>
              <w:left w:val="nil"/>
              <w:bottom w:val="single" w:sz="4" w:space="0" w:color="000000"/>
              <w:right w:val="nil"/>
            </w:tcBorders>
            <w:vAlign w:val="center"/>
            <w:hideMark/>
          </w:tcPr>
          <w:p w14:paraId="29A41A79"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179868C7"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noWrap/>
            <w:vAlign w:val="center"/>
            <w:hideMark/>
          </w:tcPr>
          <w:p w14:paraId="4CF8657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24.2</w:t>
            </w:r>
          </w:p>
        </w:tc>
        <w:tc>
          <w:tcPr>
            <w:tcW w:w="5731" w:type="dxa"/>
            <w:tcBorders>
              <w:top w:val="nil"/>
              <w:left w:val="nil"/>
              <w:bottom w:val="nil"/>
              <w:right w:val="nil"/>
            </w:tcBorders>
            <w:shd w:val="clear" w:color="auto" w:fill="auto"/>
            <w:vAlign w:val="center"/>
            <w:hideMark/>
          </w:tcPr>
          <w:p w14:paraId="7058A75E"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 roku 2021 spracovať priebehu 3 rokov spracovať hodnotenie a návrh ďalšieho postupu pre 3 vybrané zmluvy s najvyššími nákladmi.</w:t>
            </w:r>
          </w:p>
        </w:tc>
        <w:tc>
          <w:tcPr>
            <w:tcW w:w="1569" w:type="dxa"/>
            <w:tcBorders>
              <w:top w:val="nil"/>
              <w:left w:val="nil"/>
              <w:bottom w:val="nil"/>
              <w:right w:val="nil"/>
            </w:tcBorders>
            <w:shd w:val="clear" w:color="auto" w:fill="auto"/>
            <w:noWrap/>
            <w:vAlign w:val="center"/>
            <w:hideMark/>
          </w:tcPr>
          <w:p w14:paraId="1419C301"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78256C40" w14:textId="77777777" w:rsidTr="00E80051">
        <w:trPr>
          <w:trHeight w:val="20"/>
        </w:trPr>
        <w:tc>
          <w:tcPr>
            <w:tcW w:w="953" w:type="dxa"/>
            <w:vMerge/>
            <w:tcBorders>
              <w:top w:val="nil"/>
              <w:left w:val="nil"/>
              <w:bottom w:val="single" w:sz="4" w:space="0" w:color="000000"/>
              <w:right w:val="nil"/>
            </w:tcBorders>
            <w:vAlign w:val="center"/>
            <w:hideMark/>
          </w:tcPr>
          <w:p w14:paraId="2002C801"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25BFA0B6"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noWrap/>
            <w:vAlign w:val="center"/>
            <w:hideMark/>
          </w:tcPr>
          <w:p w14:paraId="4385317F"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24.3</w:t>
            </w:r>
          </w:p>
        </w:tc>
        <w:tc>
          <w:tcPr>
            <w:tcW w:w="5731" w:type="dxa"/>
            <w:tcBorders>
              <w:top w:val="nil"/>
              <w:left w:val="nil"/>
              <w:bottom w:val="single" w:sz="4" w:space="0" w:color="auto"/>
              <w:right w:val="nil"/>
            </w:tcBorders>
            <w:shd w:val="clear" w:color="auto" w:fill="auto"/>
            <w:vAlign w:val="center"/>
            <w:hideMark/>
          </w:tcPr>
          <w:p w14:paraId="67C8A4A2"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 roku 2022 spracovať priebehu 3 rokov spracovať hodnotenie a návrh ďalšieho postupu pre 4 vybrané zmluvy s najvyššími nákladmi.</w:t>
            </w:r>
          </w:p>
        </w:tc>
        <w:tc>
          <w:tcPr>
            <w:tcW w:w="1569" w:type="dxa"/>
            <w:tcBorders>
              <w:top w:val="nil"/>
              <w:left w:val="nil"/>
              <w:bottom w:val="single" w:sz="4" w:space="0" w:color="auto"/>
              <w:right w:val="nil"/>
            </w:tcBorders>
            <w:shd w:val="clear" w:color="auto" w:fill="auto"/>
            <w:noWrap/>
            <w:vAlign w:val="center"/>
            <w:hideMark/>
          </w:tcPr>
          <w:p w14:paraId="1760D058"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0CFB8E4B" w14:textId="77777777" w:rsidTr="00E80051">
        <w:trPr>
          <w:trHeight w:val="20"/>
        </w:trPr>
        <w:tc>
          <w:tcPr>
            <w:tcW w:w="953" w:type="dxa"/>
            <w:vMerge w:val="restart"/>
            <w:tcBorders>
              <w:top w:val="nil"/>
              <w:left w:val="nil"/>
              <w:bottom w:val="single" w:sz="4" w:space="0" w:color="000000"/>
              <w:right w:val="nil"/>
            </w:tcBorders>
            <w:shd w:val="clear" w:color="auto" w:fill="auto"/>
            <w:noWrap/>
            <w:vAlign w:val="center"/>
            <w:hideMark/>
          </w:tcPr>
          <w:p w14:paraId="4EB6BA80"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25</w:t>
            </w:r>
          </w:p>
        </w:tc>
        <w:tc>
          <w:tcPr>
            <w:tcW w:w="5441" w:type="dxa"/>
            <w:vMerge w:val="restart"/>
            <w:tcBorders>
              <w:top w:val="nil"/>
              <w:left w:val="nil"/>
              <w:bottom w:val="single" w:sz="4" w:space="0" w:color="000000"/>
              <w:right w:val="nil"/>
            </w:tcBorders>
            <w:shd w:val="clear" w:color="auto" w:fill="auto"/>
            <w:vAlign w:val="center"/>
            <w:hideMark/>
          </w:tcPr>
          <w:p w14:paraId="531DA607"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Aktualizovať kategorizáciu výdavkov podľa rozpočtovej klasifikácie a vytvoriť databázu zmenových požiadaviek.</w:t>
            </w:r>
          </w:p>
        </w:tc>
        <w:tc>
          <w:tcPr>
            <w:tcW w:w="622" w:type="dxa"/>
            <w:tcBorders>
              <w:top w:val="nil"/>
              <w:left w:val="nil"/>
              <w:bottom w:val="nil"/>
              <w:right w:val="nil"/>
            </w:tcBorders>
            <w:shd w:val="clear" w:color="auto" w:fill="auto"/>
            <w:noWrap/>
            <w:vAlign w:val="center"/>
            <w:hideMark/>
          </w:tcPr>
          <w:p w14:paraId="3377391B"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25.1</w:t>
            </w:r>
          </w:p>
        </w:tc>
        <w:tc>
          <w:tcPr>
            <w:tcW w:w="5731" w:type="dxa"/>
            <w:tcBorders>
              <w:top w:val="nil"/>
              <w:left w:val="nil"/>
              <w:bottom w:val="nil"/>
              <w:right w:val="nil"/>
            </w:tcBorders>
            <w:shd w:val="clear" w:color="auto" w:fill="auto"/>
            <w:vAlign w:val="center"/>
            <w:hideMark/>
          </w:tcPr>
          <w:p w14:paraId="7FD67D1F"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Aktualizovať štruktúru výdavkov ekonomickej klasifikácie rozpočtovej klasifikácie, ktorá bude samostatne evidovať obstaranie SW (licencie), obstaranie a rozvoj aplikácií (MD), personálne náklady na interných IT zamestnancov, obstaranie HW, prenájom SW (cloudové služby), údržbu SW, údržbu HW, údržbu aplikácií a predprojektovú a projektovú prípravu.</w:t>
            </w:r>
          </w:p>
        </w:tc>
        <w:tc>
          <w:tcPr>
            <w:tcW w:w="1569" w:type="dxa"/>
            <w:tcBorders>
              <w:top w:val="nil"/>
              <w:left w:val="nil"/>
              <w:bottom w:val="nil"/>
              <w:right w:val="nil"/>
            </w:tcBorders>
            <w:shd w:val="clear" w:color="auto" w:fill="auto"/>
            <w:noWrap/>
            <w:vAlign w:val="center"/>
            <w:hideMark/>
          </w:tcPr>
          <w:p w14:paraId="628B16EE"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453A6A7A" w14:textId="77777777" w:rsidTr="00E80051">
        <w:trPr>
          <w:trHeight w:val="20"/>
        </w:trPr>
        <w:tc>
          <w:tcPr>
            <w:tcW w:w="953" w:type="dxa"/>
            <w:vMerge/>
            <w:tcBorders>
              <w:top w:val="nil"/>
              <w:left w:val="nil"/>
              <w:bottom w:val="single" w:sz="4" w:space="0" w:color="000000"/>
              <w:right w:val="nil"/>
            </w:tcBorders>
            <w:vAlign w:val="center"/>
            <w:hideMark/>
          </w:tcPr>
          <w:p w14:paraId="298E80F4"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5AF5E2D6"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noWrap/>
            <w:vAlign w:val="center"/>
            <w:hideMark/>
          </w:tcPr>
          <w:p w14:paraId="260C0F8C"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25.2</w:t>
            </w:r>
          </w:p>
        </w:tc>
        <w:tc>
          <w:tcPr>
            <w:tcW w:w="5731" w:type="dxa"/>
            <w:tcBorders>
              <w:top w:val="nil"/>
              <w:left w:val="nil"/>
              <w:bottom w:val="single" w:sz="4" w:space="0" w:color="auto"/>
              <w:right w:val="nil"/>
            </w:tcBorders>
            <w:shd w:val="clear" w:color="auto" w:fill="auto"/>
            <w:vAlign w:val="center"/>
            <w:hideMark/>
          </w:tcPr>
          <w:p w14:paraId="37BD459A"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na webe strojovo spracovateľnú databázu s opisom a nákladmi jednotlivých zmenových požiadaviek.</w:t>
            </w:r>
          </w:p>
        </w:tc>
        <w:tc>
          <w:tcPr>
            <w:tcW w:w="1569" w:type="dxa"/>
            <w:tcBorders>
              <w:top w:val="nil"/>
              <w:left w:val="nil"/>
              <w:bottom w:val="single" w:sz="4" w:space="0" w:color="auto"/>
              <w:right w:val="nil"/>
            </w:tcBorders>
            <w:shd w:val="clear" w:color="auto" w:fill="auto"/>
            <w:noWrap/>
            <w:vAlign w:val="center"/>
            <w:hideMark/>
          </w:tcPr>
          <w:p w14:paraId="7323F351"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690C0490" w14:textId="77777777" w:rsidTr="00E80051">
        <w:trPr>
          <w:trHeight w:val="20"/>
        </w:trPr>
        <w:tc>
          <w:tcPr>
            <w:tcW w:w="953" w:type="dxa"/>
            <w:tcBorders>
              <w:top w:val="nil"/>
              <w:left w:val="nil"/>
              <w:bottom w:val="single" w:sz="4" w:space="0" w:color="auto"/>
              <w:right w:val="nil"/>
            </w:tcBorders>
            <w:shd w:val="clear" w:color="auto" w:fill="auto"/>
            <w:noWrap/>
            <w:vAlign w:val="center"/>
            <w:hideMark/>
          </w:tcPr>
          <w:p w14:paraId="6D13B47E"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26</w:t>
            </w:r>
          </w:p>
        </w:tc>
        <w:tc>
          <w:tcPr>
            <w:tcW w:w="5441" w:type="dxa"/>
            <w:tcBorders>
              <w:top w:val="nil"/>
              <w:left w:val="nil"/>
              <w:bottom w:val="single" w:sz="4" w:space="0" w:color="auto"/>
              <w:right w:val="nil"/>
            </w:tcBorders>
            <w:shd w:val="clear" w:color="auto" w:fill="auto"/>
            <w:vAlign w:val="center"/>
            <w:hideMark/>
          </w:tcPr>
          <w:p w14:paraId="28002E60"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Hodnotiť ekonomickú efektívnosť servisných a zmenových požiadaviek s výdavkami nad 1 mil. eur s DPH.</w:t>
            </w:r>
          </w:p>
        </w:tc>
        <w:tc>
          <w:tcPr>
            <w:tcW w:w="622" w:type="dxa"/>
            <w:tcBorders>
              <w:top w:val="nil"/>
              <w:left w:val="nil"/>
              <w:bottom w:val="single" w:sz="4" w:space="0" w:color="auto"/>
              <w:right w:val="nil"/>
            </w:tcBorders>
            <w:shd w:val="clear" w:color="auto" w:fill="auto"/>
            <w:noWrap/>
            <w:vAlign w:val="center"/>
            <w:hideMark/>
          </w:tcPr>
          <w:p w14:paraId="29FFE23B"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26.1</w:t>
            </w:r>
          </w:p>
        </w:tc>
        <w:tc>
          <w:tcPr>
            <w:tcW w:w="5731" w:type="dxa"/>
            <w:tcBorders>
              <w:top w:val="nil"/>
              <w:left w:val="nil"/>
              <w:bottom w:val="single" w:sz="4" w:space="0" w:color="auto"/>
              <w:right w:val="nil"/>
            </w:tcBorders>
            <w:shd w:val="clear" w:color="auto" w:fill="auto"/>
            <w:vAlign w:val="center"/>
            <w:hideMark/>
          </w:tcPr>
          <w:p w14:paraId="5896C49A"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Hodnotiť ekonomickú efektívnosť servisných a zmenových požiadaviek s výdavkami nad 1 mil. eur s DPH.</w:t>
            </w:r>
          </w:p>
        </w:tc>
        <w:tc>
          <w:tcPr>
            <w:tcW w:w="1569" w:type="dxa"/>
            <w:tcBorders>
              <w:top w:val="nil"/>
              <w:left w:val="nil"/>
              <w:bottom w:val="single" w:sz="4" w:space="0" w:color="auto"/>
              <w:right w:val="nil"/>
            </w:tcBorders>
            <w:shd w:val="clear" w:color="auto" w:fill="auto"/>
            <w:noWrap/>
            <w:vAlign w:val="center"/>
            <w:hideMark/>
          </w:tcPr>
          <w:p w14:paraId="2B01399D"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7BB43154" w14:textId="77777777" w:rsidTr="00E80051">
        <w:trPr>
          <w:trHeight w:val="20"/>
        </w:trPr>
        <w:tc>
          <w:tcPr>
            <w:tcW w:w="953" w:type="dxa"/>
            <w:tcBorders>
              <w:top w:val="nil"/>
              <w:left w:val="nil"/>
              <w:bottom w:val="single" w:sz="4" w:space="0" w:color="auto"/>
              <w:right w:val="nil"/>
            </w:tcBorders>
            <w:shd w:val="clear" w:color="auto" w:fill="auto"/>
            <w:noWrap/>
            <w:vAlign w:val="center"/>
            <w:hideMark/>
          </w:tcPr>
          <w:p w14:paraId="0D1801ED"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27</w:t>
            </w:r>
          </w:p>
        </w:tc>
        <w:tc>
          <w:tcPr>
            <w:tcW w:w="5441" w:type="dxa"/>
            <w:tcBorders>
              <w:top w:val="nil"/>
              <w:left w:val="nil"/>
              <w:bottom w:val="single" w:sz="4" w:space="0" w:color="auto"/>
              <w:right w:val="nil"/>
            </w:tcBorders>
            <w:shd w:val="clear" w:color="auto" w:fill="auto"/>
            <w:vAlign w:val="center"/>
            <w:hideMark/>
          </w:tcPr>
          <w:p w14:paraId="6D0E8D01"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Zaviesť samostatné rozpočtovanie a sledovanie výdavkov do IT bezpečnosti.</w:t>
            </w:r>
          </w:p>
        </w:tc>
        <w:tc>
          <w:tcPr>
            <w:tcW w:w="622" w:type="dxa"/>
            <w:tcBorders>
              <w:top w:val="nil"/>
              <w:left w:val="nil"/>
              <w:bottom w:val="single" w:sz="4" w:space="0" w:color="auto"/>
              <w:right w:val="nil"/>
            </w:tcBorders>
            <w:shd w:val="clear" w:color="auto" w:fill="auto"/>
            <w:noWrap/>
            <w:vAlign w:val="center"/>
            <w:hideMark/>
          </w:tcPr>
          <w:p w14:paraId="62444A2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27.1</w:t>
            </w:r>
          </w:p>
        </w:tc>
        <w:tc>
          <w:tcPr>
            <w:tcW w:w="5731" w:type="dxa"/>
            <w:tcBorders>
              <w:top w:val="nil"/>
              <w:left w:val="nil"/>
              <w:bottom w:val="single" w:sz="4" w:space="0" w:color="auto"/>
              <w:right w:val="nil"/>
            </w:tcBorders>
            <w:shd w:val="clear" w:color="auto" w:fill="auto"/>
            <w:vAlign w:val="center"/>
            <w:hideMark/>
          </w:tcPr>
          <w:p w14:paraId="70DCF468"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Zaviesť samostatné rozpočtovanie a sledovanie výdavkov do IT bezpečnosti.</w:t>
            </w:r>
          </w:p>
        </w:tc>
        <w:tc>
          <w:tcPr>
            <w:tcW w:w="1569" w:type="dxa"/>
            <w:tcBorders>
              <w:top w:val="nil"/>
              <w:left w:val="nil"/>
              <w:bottom w:val="single" w:sz="4" w:space="0" w:color="auto"/>
              <w:right w:val="nil"/>
            </w:tcBorders>
            <w:shd w:val="clear" w:color="auto" w:fill="auto"/>
            <w:noWrap/>
            <w:vAlign w:val="center"/>
            <w:hideMark/>
          </w:tcPr>
          <w:p w14:paraId="679935DC"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45D70ED4" w14:textId="77777777" w:rsidTr="00E80051">
        <w:trPr>
          <w:trHeight w:val="20"/>
        </w:trPr>
        <w:tc>
          <w:tcPr>
            <w:tcW w:w="953" w:type="dxa"/>
            <w:tcBorders>
              <w:top w:val="nil"/>
              <w:left w:val="nil"/>
              <w:bottom w:val="single" w:sz="4" w:space="0" w:color="auto"/>
              <w:right w:val="nil"/>
            </w:tcBorders>
            <w:shd w:val="clear" w:color="auto" w:fill="auto"/>
            <w:noWrap/>
            <w:vAlign w:val="center"/>
            <w:hideMark/>
          </w:tcPr>
          <w:p w14:paraId="4AD55FBF"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28</w:t>
            </w:r>
          </w:p>
        </w:tc>
        <w:tc>
          <w:tcPr>
            <w:tcW w:w="5441" w:type="dxa"/>
            <w:tcBorders>
              <w:top w:val="nil"/>
              <w:left w:val="nil"/>
              <w:bottom w:val="single" w:sz="4" w:space="0" w:color="auto"/>
              <w:right w:val="nil"/>
            </w:tcBorders>
            <w:shd w:val="clear" w:color="auto" w:fill="auto"/>
            <w:vAlign w:val="center"/>
            <w:hideMark/>
          </w:tcPr>
          <w:p w14:paraId="76C70284"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Definovať bezpečnostné procesy a kritéria,  ktoré musí organizácia plniť pred investovaním do IT bezpečnostných technológií.</w:t>
            </w:r>
          </w:p>
        </w:tc>
        <w:tc>
          <w:tcPr>
            <w:tcW w:w="622" w:type="dxa"/>
            <w:tcBorders>
              <w:top w:val="nil"/>
              <w:left w:val="nil"/>
              <w:bottom w:val="single" w:sz="4" w:space="0" w:color="auto"/>
              <w:right w:val="nil"/>
            </w:tcBorders>
            <w:shd w:val="clear" w:color="auto" w:fill="auto"/>
            <w:noWrap/>
            <w:vAlign w:val="center"/>
            <w:hideMark/>
          </w:tcPr>
          <w:p w14:paraId="4BB883E1"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28.1</w:t>
            </w:r>
          </w:p>
        </w:tc>
        <w:tc>
          <w:tcPr>
            <w:tcW w:w="5731" w:type="dxa"/>
            <w:tcBorders>
              <w:top w:val="nil"/>
              <w:left w:val="nil"/>
              <w:bottom w:val="single" w:sz="4" w:space="0" w:color="auto"/>
              <w:right w:val="nil"/>
            </w:tcBorders>
            <w:shd w:val="clear" w:color="auto" w:fill="auto"/>
            <w:vAlign w:val="center"/>
            <w:hideMark/>
          </w:tcPr>
          <w:p w14:paraId="00A82762"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Definovať bezpečnostné procesy a kritéria,  ktoré musí organizácia plniť pred investovaním do IT bezpečnostných technológií.</w:t>
            </w:r>
          </w:p>
        </w:tc>
        <w:tc>
          <w:tcPr>
            <w:tcW w:w="1569" w:type="dxa"/>
            <w:tcBorders>
              <w:top w:val="nil"/>
              <w:left w:val="nil"/>
              <w:bottom w:val="single" w:sz="4" w:space="0" w:color="auto"/>
              <w:right w:val="nil"/>
            </w:tcBorders>
            <w:shd w:val="clear" w:color="auto" w:fill="auto"/>
            <w:noWrap/>
            <w:vAlign w:val="center"/>
            <w:hideMark/>
          </w:tcPr>
          <w:p w14:paraId="4DFB898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00CCD4EE" w14:textId="77777777" w:rsidTr="00E80051">
        <w:trPr>
          <w:trHeight w:val="20"/>
        </w:trPr>
        <w:tc>
          <w:tcPr>
            <w:tcW w:w="953" w:type="dxa"/>
            <w:tcBorders>
              <w:top w:val="nil"/>
              <w:left w:val="nil"/>
              <w:bottom w:val="single" w:sz="4" w:space="0" w:color="auto"/>
              <w:right w:val="nil"/>
            </w:tcBorders>
            <w:shd w:val="clear" w:color="auto" w:fill="auto"/>
            <w:noWrap/>
            <w:vAlign w:val="center"/>
            <w:hideMark/>
          </w:tcPr>
          <w:p w14:paraId="6660AEB5"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29</w:t>
            </w:r>
          </w:p>
        </w:tc>
        <w:tc>
          <w:tcPr>
            <w:tcW w:w="5441" w:type="dxa"/>
            <w:tcBorders>
              <w:top w:val="nil"/>
              <w:left w:val="nil"/>
              <w:bottom w:val="single" w:sz="4" w:space="0" w:color="auto"/>
              <w:right w:val="nil"/>
            </w:tcBorders>
            <w:shd w:val="clear" w:color="auto" w:fill="auto"/>
            <w:vAlign w:val="center"/>
            <w:hideMark/>
          </w:tcPr>
          <w:p w14:paraId="261B51D6"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Definovať kategórie IT služieb a štandardy ich zabezpečenia.</w:t>
            </w:r>
          </w:p>
        </w:tc>
        <w:tc>
          <w:tcPr>
            <w:tcW w:w="622" w:type="dxa"/>
            <w:tcBorders>
              <w:top w:val="nil"/>
              <w:left w:val="nil"/>
              <w:bottom w:val="single" w:sz="4" w:space="0" w:color="auto"/>
              <w:right w:val="nil"/>
            </w:tcBorders>
            <w:shd w:val="clear" w:color="auto" w:fill="auto"/>
            <w:noWrap/>
            <w:vAlign w:val="center"/>
            <w:hideMark/>
          </w:tcPr>
          <w:p w14:paraId="011F50CB"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29.1</w:t>
            </w:r>
          </w:p>
        </w:tc>
        <w:tc>
          <w:tcPr>
            <w:tcW w:w="5731" w:type="dxa"/>
            <w:tcBorders>
              <w:top w:val="nil"/>
              <w:left w:val="nil"/>
              <w:bottom w:val="single" w:sz="4" w:space="0" w:color="auto"/>
              <w:right w:val="nil"/>
            </w:tcBorders>
            <w:shd w:val="clear" w:color="auto" w:fill="auto"/>
            <w:vAlign w:val="center"/>
            <w:hideMark/>
          </w:tcPr>
          <w:p w14:paraId="296B2B41"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Definovať kategórie IT služieb a štandardy ich zabezpečenia.</w:t>
            </w:r>
          </w:p>
        </w:tc>
        <w:tc>
          <w:tcPr>
            <w:tcW w:w="1569" w:type="dxa"/>
            <w:tcBorders>
              <w:top w:val="nil"/>
              <w:left w:val="nil"/>
              <w:bottom w:val="single" w:sz="4" w:space="0" w:color="auto"/>
              <w:right w:val="nil"/>
            </w:tcBorders>
            <w:shd w:val="clear" w:color="auto" w:fill="auto"/>
            <w:noWrap/>
            <w:vAlign w:val="center"/>
            <w:hideMark/>
          </w:tcPr>
          <w:p w14:paraId="0F67163D"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38144AD2" w14:textId="77777777" w:rsidTr="00E80051">
        <w:trPr>
          <w:trHeight w:val="20"/>
        </w:trPr>
        <w:tc>
          <w:tcPr>
            <w:tcW w:w="953" w:type="dxa"/>
            <w:vMerge w:val="restart"/>
            <w:tcBorders>
              <w:top w:val="nil"/>
              <w:left w:val="nil"/>
              <w:bottom w:val="single" w:sz="4" w:space="0" w:color="000000"/>
              <w:right w:val="nil"/>
            </w:tcBorders>
            <w:shd w:val="clear" w:color="auto" w:fill="auto"/>
            <w:noWrap/>
            <w:vAlign w:val="center"/>
            <w:hideMark/>
          </w:tcPr>
          <w:p w14:paraId="4D11511D"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30</w:t>
            </w:r>
          </w:p>
        </w:tc>
        <w:tc>
          <w:tcPr>
            <w:tcW w:w="5441" w:type="dxa"/>
            <w:vMerge w:val="restart"/>
            <w:tcBorders>
              <w:top w:val="nil"/>
              <w:left w:val="nil"/>
              <w:bottom w:val="single" w:sz="4" w:space="0" w:color="000000"/>
              <w:right w:val="nil"/>
            </w:tcBorders>
            <w:shd w:val="clear" w:color="auto" w:fill="auto"/>
            <w:noWrap/>
            <w:vAlign w:val="center"/>
            <w:hideMark/>
          </w:tcPr>
          <w:p w14:paraId="2C61B2E5"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Centralizovať nákup softvérových licencií.</w:t>
            </w:r>
          </w:p>
        </w:tc>
        <w:tc>
          <w:tcPr>
            <w:tcW w:w="622" w:type="dxa"/>
            <w:tcBorders>
              <w:top w:val="nil"/>
              <w:left w:val="nil"/>
              <w:bottom w:val="nil"/>
              <w:right w:val="nil"/>
            </w:tcBorders>
            <w:shd w:val="clear" w:color="auto" w:fill="auto"/>
            <w:noWrap/>
            <w:vAlign w:val="center"/>
            <w:hideMark/>
          </w:tcPr>
          <w:p w14:paraId="3B18D15C"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30.1</w:t>
            </w:r>
          </w:p>
        </w:tc>
        <w:tc>
          <w:tcPr>
            <w:tcW w:w="5731" w:type="dxa"/>
            <w:tcBorders>
              <w:top w:val="nil"/>
              <w:left w:val="nil"/>
              <w:bottom w:val="nil"/>
              <w:right w:val="nil"/>
            </w:tcBorders>
            <w:shd w:val="clear" w:color="auto" w:fill="auto"/>
            <w:vAlign w:val="center"/>
            <w:hideMark/>
          </w:tcPr>
          <w:p w14:paraId="42248BEA"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Vyhlásiť postupne obstarávania na CLZ 3 najpoužívanejších produktov.</w:t>
            </w:r>
          </w:p>
        </w:tc>
        <w:tc>
          <w:tcPr>
            <w:tcW w:w="1569" w:type="dxa"/>
            <w:tcBorders>
              <w:top w:val="nil"/>
              <w:left w:val="nil"/>
              <w:bottom w:val="nil"/>
              <w:right w:val="nil"/>
            </w:tcBorders>
            <w:shd w:val="clear" w:color="auto" w:fill="auto"/>
            <w:noWrap/>
            <w:vAlign w:val="center"/>
            <w:hideMark/>
          </w:tcPr>
          <w:p w14:paraId="0F187384"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234D467E" w14:textId="77777777" w:rsidTr="00E80051">
        <w:trPr>
          <w:trHeight w:val="20"/>
        </w:trPr>
        <w:tc>
          <w:tcPr>
            <w:tcW w:w="953" w:type="dxa"/>
            <w:vMerge/>
            <w:tcBorders>
              <w:top w:val="nil"/>
              <w:left w:val="nil"/>
              <w:bottom w:val="single" w:sz="4" w:space="0" w:color="000000"/>
              <w:right w:val="nil"/>
            </w:tcBorders>
            <w:shd w:val="clear" w:color="auto" w:fill="auto"/>
            <w:noWrap/>
            <w:vAlign w:val="center"/>
          </w:tcPr>
          <w:p w14:paraId="7D873925" w14:textId="77777777" w:rsidR="00422D13" w:rsidRPr="0037129E" w:rsidRDefault="00422D13" w:rsidP="00E80051">
            <w:pPr>
              <w:spacing w:after="0" w:line="240" w:lineRule="auto"/>
              <w:jc w:val="center"/>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shd w:val="clear" w:color="auto" w:fill="auto"/>
            <w:noWrap/>
            <w:vAlign w:val="center"/>
          </w:tcPr>
          <w:p w14:paraId="47A83EFF"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noWrap/>
            <w:vAlign w:val="center"/>
          </w:tcPr>
          <w:p w14:paraId="1C858E89"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Pr>
                <w:rFonts w:eastAsia="Times New Roman" w:cs="Times New Roman"/>
                <w:color w:val="000000"/>
                <w:sz w:val="18"/>
                <w:szCs w:val="18"/>
                <w:lang w:eastAsia="sk-SK"/>
              </w:rPr>
              <w:t>30.2</w:t>
            </w:r>
          </w:p>
        </w:tc>
        <w:tc>
          <w:tcPr>
            <w:tcW w:w="5731" w:type="dxa"/>
            <w:tcBorders>
              <w:top w:val="nil"/>
              <w:left w:val="nil"/>
              <w:bottom w:val="nil"/>
              <w:right w:val="nil"/>
            </w:tcBorders>
            <w:shd w:val="clear" w:color="auto" w:fill="auto"/>
            <w:vAlign w:val="center"/>
          </w:tcPr>
          <w:p w14:paraId="4AB9E5B3"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Pr>
                <w:rFonts w:eastAsia="Times New Roman" w:cs="Times New Roman"/>
                <w:color w:val="000000"/>
                <w:sz w:val="18"/>
                <w:szCs w:val="18"/>
                <w:lang w:eastAsia="sk-SK"/>
              </w:rPr>
              <w:t>Uzavrieť centrálne zmluvy na 3 najpoužívanejšie produkty</w:t>
            </w:r>
          </w:p>
        </w:tc>
        <w:tc>
          <w:tcPr>
            <w:tcW w:w="1569" w:type="dxa"/>
            <w:tcBorders>
              <w:top w:val="nil"/>
              <w:left w:val="nil"/>
              <w:bottom w:val="nil"/>
              <w:right w:val="nil"/>
            </w:tcBorders>
            <w:shd w:val="clear" w:color="auto" w:fill="auto"/>
            <w:noWrap/>
            <w:vAlign w:val="center"/>
          </w:tcPr>
          <w:p w14:paraId="58ADEC40"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Pr>
                <w:rFonts w:eastAsia="Times New Roman" w:cs="Times New Roman"/>
                <w:color w:val="000000"/>
                <w:sz w:val="18"/>
                <w:szCs w:val="18"/>
                <w:lang w:eastAsia="sk-SK"/>
              </w:rPr>
              <w:t>ÚPVII</w:t>
            </w:r>
          </w:p>
        </w:tc>
      </w:tr>
      <w:tr w:rsidR="00422D13" w:rsidRPr="00B96F95" w14:paraId="10725399" w14:textId="77777777" w:rsidTr="00E80051">
        <w:trPr>
          <w:trHeight w:val="20"/>
        </w:trPr>
        <w:tc>
          <w:tcPr>
            <w:tcW w:w="953" w:type="dxa"/>
            <w:vMerge/>
            <w:tcBorders>
              <w:top w:val="nil"/>
              <w:left w:val="nil"/>
              <w:bottom w:val="single" w:sz="4" w:space="0" w:color="000000"/>
              <w:right w:val="nil"/>
            </w:tcBorders>
            <w:vAlign w:val="center"/>
            <w:hideMark/>
          </w:tcPr>
          <w:p w14:paraId="6696112F"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261E27DE"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noWrap/>
            <w:vAlign w:val="center"/>
            <w:hideMark/>
          </w:tcPr>
          <w:p w14:paraId="6DEC49C9"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30.</w:t>
            </w:r>
            <w:r>
              <w:rPr>
                <w:rFonts w:eastAsia="Times New Roman" w:cs="Times New Roman"/>
                <w:color w:val="000000"/>
                <w:sz w:val="18"/>
                <w:szCs w:val="18"/>
                <w:lang w:eastAsia="sk-SK"/>
              </w:rPr>
              <w:t>3</w:t>
            </w:r>
          </w:p>
        </w:tc>
        <w:tc>
          <w:tcPr>
            <w:tcW w:w="5731" w:type="dxa"/>
            <w:tcBorders>
              <w:top w:val="nil"/>
              <w:left w:val="nil"/>
              <w:bottom w:val="single" w:sz="4" w:space="0" w:color="auto"/>
              <w:right w:val="nil"/>
            </w:tcBorders>
            <w:shd w:val="clear" w:color="auto" w:fill="auto"/>
            <w:vAlign w:val="center"/>
            <w:hideMark/>
          </w:tcPr>
          <w:p w14:paraId="1CD79191"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a 1x ročne aktualizovať verejný zoznam úradov, ktoré nedodržujú centrálne zmluvy, spolu s vyčíslením potenciálnej úspory zo zapojenia do CLZ.</w:t>
            </w:r>
          </w:p>
        </w:tc>
        <w:tc>
          <w:tcPr>
            <w:tcW w:w="1569" w:type="dxa"/>
            <w:tcBorders>
              <w:top w:val="nil"/>
              <w:left w:val="nil"/>
              <w:bottom w:val="single" w:sz="4" w:space="0" w:color="auto"/>
              <w:right w:val="nil"/>
            </w:tcBorders>
            <w:shd w:val="clear" w:color="auto" w:fill="auto"/>
            <w:noWrap/>
            <w:vAlign w:val="center"/>
            <w:hideMark/>
          </w:tcPr>
          <w:p w14:paraId="14F830BC"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55146459" w14:textId="77777777" w:rsidTr="00E80051">
        <w:trPr>
          <w:trHeight w:val="20"/>
        </w:trPr>
        <w:tc>
          <w:tcPr>
            <w:tcW w:w="953" w:type="dxa"/>
            <w:vMerge w:val="restart"/>
            <w:tcBorders>
              <w:top w:val="nil"/>
              <w:left w:val="nil"/>
              <w:bottom w:val="single" w:sz="4" w:space="0" w:color="000000"/>
              <w:right w:val="nil"/>
            </w:tcBorders>
            <w:shd w:val="clear" w:color="auto" w:fill="auto"/>
            <w:noWrap/>
            <w:vAlign w:val="center"/>
            <w:hideMark/>
          </w:tcPr>
          <w:p w14:paraId="0CFDCA0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31</w:t>
            </w:r>
          </w:p>
        </w:tc>
        <w:tc>
          <w:tcPr>
            <w:tcW w:w="5441" w:type="dxa"/>
            <w:vMerge w:val="restart"/>
            <w:tcBorders>
              <w:top w:val="nil"/>
              <w:left w:val="nil"/>
              <w:bottom w:val="single" w:sz="4" w:space="0" w:color="000000"/>
              <w:right w:val="nil"/>
            </w:tcBorders>
            <w:shd w:val="clear" w:color="auto" w:fill="auto"/>
            <w:vAlign w:val="center"/>
            <w:hideMark/>
          </w:tcPr>
          <w:p w14:paraId="7F3B75C1"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Audit licenčných a nákupných modelov softvéru a vytvorenie pravidiel ich použitia.</w:t>
            </w:r>
          </w:p>
        </w:tc>
        <w:tc>
          <w:tcPr>
            <w:tcW w:w="622" w:type="dxa"/>
            <w:tcBorders>
              <w:top w:val="nil"/>
              <w:left w:val="nil"/>
              <w:bottom w:val="nil"/>
              <w:right w:val="nil"/>
            </w:tcBorders>
            <w:shd w:val="clear" w:color="auto" w:fill="auto"/>
            <w:noWrap/>
            <w:vAlign w:val="center"/>
            <w:hideMark/>
          </w:tcPr>
          <w:p w14:paraId="272174CF"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31.1</w:t>
            </w:r>
          </w:p>
        </w:tc>
        <w:tc>
          <w:tcPr>
            <w:tcW w:w="5731" w:type="dxa"/>
            <w:tcBorders>
              <w:top w:val="nil"/>
              <w:left w:val="nil"/>
              <w:bottom w:val="nil"/>
              <w:right w:val="nil"/>
            </w:tcBorders>
            <w:shd w:val="clear" w:color="000000" w:fill="FFFFFF"/>
            <w:vAlign w:val="center"/>
            <w:hideMark/>
          </w:tcPr>
          <w:p w14:paraId="498B013D"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 metodickom pokyne k príprave štúdie uskutočniteľnosti IT projektov zadefinovať postup pre porovnanie alternatívnych licenčných modelov.</w:t>
            </w:r>
          </w:p>
        </w:tc>
        <w:tc>
          <w:tcPr>
            <w:tcW w:w="1569" w:type="dxa"/>
            <w:tcBorders>
              <w:top w:val="nil"/>
              <w:left w:val="nil"/>
              <w:bottom w:val="nil"/>
              <w:right w:val="nil"/>
            </w:tcBorders>
            <w:shd w:val="clear" w:color="auto" w:fill="auto"/>
            <w:noWrap/>
            <w:vAlign w:val="center"/>
            <w:hideMark/>
          </w:tcPr>
          <w:p w14:paraId="74BB6B68"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ÚPVII/ÚHP</w:t>
            </w:r>
          </w:p>
        </w:tc>
      </w:tr>
      <w:tr w:rsidR="00422D13" w:rsidRPr="00B96F95" w14:paraId="3D32D579" w14:textId="77777777" w:rsidTr="00E80051">
        <w:trPr>
          <w:trHeight w:val="20"/>
        </w:trPr>
        <w:tc>
          <w:tcPr>
            <w:tcW w:w="953" w:type="dxa"/>
            <w:vMerge/>
            <w:tcBorders>
              <w:top w:val="nil"/>
              <w:left w:val="nil"/>
              <w:bottom w:val="single" w:sz="4" w:space="0" w:color="000000"/>
              <w:right w:val="nil"/>
            </w:tcBorders>
            <w:vAlign w:val="center"/>
            <w:hideMark/>
          </w:tcPr>
          <w:p w14:paraId="0A5A9602"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50397EE0"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noWrap/>
            <w:vAlign w:val="bottom"/>
            <w:hideMark/>
          </w:tcPr>
          <w:p w14:paraId="48C54166"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31.2</w:t>
            </w:r>
          </w:p>
        </w:tc>
        <w:tc>
          <w:tcPr>
            <w:tcW w:w="5731" w:type="dxa"/>
            <w:tcBorders>
              <w:top w:val="nil"/>
              <w:left w:val="nil"/>
              <w:bottom w:val="nil"/>
              <w:right w:val="nil"/>
            </w:tcBorders>
            <w:shd w:val="clear" w:color="auto" w:fill="auto"/>
            <w:vAlign w:val="center"/>
            <w:hideMark/>
          </w:tcPr>
          <w:p w14:paraId="526AC0B8"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Certifikovať aspoň 100 cloudových služieb SaaS.</w:t>
            </w:r>
          </w:p>
        </w:tc>
        <w:tc>
          <w:tcPr>
            <w:tcW w:w="1569" w:type="dxa"/>
            <w:tcBorders>
              <w:top w:val="nil"/>
              <w:left w:val="nil"/>
              <w:bottom w:val="nil"/>
              <w:right w:val="nil"/>
            </w:tcBorders>
            <w:shd w:val="clear" w:color="auto" w:fill="auto"/>
            <w:noWrap/>
            <w:vAlign w:val="center"/>
            <w:hideMark/>
          </w:tcPr>
          <w:p w14:paraId="64702470"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52B18B4B" w14:textId="77777777" w:rsidTr="00E80051">
        <w:trPr>
          <w:trHeight w:val="20"/>
        </w:trPr>
        <w:tc>
          <w:tcPr>
            <w:tcW w:w="953" w:type="dxa"/>
            <w:vMerge/>
            <w:tcBorders>
              <w:top w:val="nil"/>
              <w:left w:val="nil"/>
              <w:bottom w:val="single" w:sz="4" w:space="0" w:color="000000"/>
              <w:right w:val="nil"/>
            </w:tcBorders>
            <w:vAlign w:val="center"/>
            <w:hideMark/>
          </w:tcPr>
          <w:p w14:paraId="6234554D"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0CB95CB8"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noWrap/>
            <w:vAlign w:val="bottom"/>
            <w:hideMark/>
          </w:tcPr>
          <w:p w14:paraId="3E26A7FB"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31.3</w:t>
            </w:r>
          </w:p>
        </w:tc>
        <w:tc>
          <w:tcPr>
            <w:tcW w:w="5731" w:type="dxa"/>
            <w:tcBorders>
              <w:top w:val="nil"/>
              <w:left w:val="nil"/>
              <w:bottom w:val="nil"/>
              <w:right w:val="nil"/>
            </w:tcBorders>
            <w:shd w:val="clear" w:color="auto" w:fill="auto"/>
            <w:vAlign w:val="center"/>
            <w:hideMark/>
          </w:tcPr>
          <w:p w14:paraId="6C07174E"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Certifikovať aspoň </w:t>
            </w:r>
            <w:r>
              <w:rPr>
                <w:rFonts w:eastAsia="Times New Roman" w:cs="Times New Roman"/>
                <w:color w:val="000000"/>
                <w:sz w:val="18"/>
                <w:szCs w:val="18"/>
                <w:lang w:eastAsia="sk-SK"/>
              </w:rPr>
              <w:t>50</w:t>
            </w:r>
            <w:r w:rsidRPr="0037129E">
              <w:rPr>
                <w:rFonts w:eastAsia="Times New Roman" w:cs="Times New Roman"/>
                <w:color w:val="000000"/>
                <w:sz w:val="18"/>
                <w:szCs w:val="18"/>
                <w:lang w:eastAsia="sk-SK"/>
              </w:rPr>
              <w:t xml:space="preserve"> cloudových služieb PaaS.</w:t>
            </w:r>
          </w:p>
        </w:tc>
        <w:tc>
          <w:tcPr>
            <w:tcW w:w="1569" w:type="dxa"/>
            <w:tcBorders>
              <w:top w:val="nil"/>
              <w:left w:val="nil"/>
              <w:bottom w:val="nil"/>
              <w:right w:val="nil"/>
            </w:tcBorders>
            <w:shd w:val="clear" w:color="auto" w:fill="auto"/>
            <w:noWrap/>
            <w:vAlign w:val="center"/>
            <w:hideMark/>
          </w:tcPr>
          <w:p w14:paraId="67160458"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05520846" w14:textId="77777777" w:rsidTr="00E80051">
        <w:trPr>
          <w:trHeight w:val="20"/>
        </w:trPr>
        <w:tc>
          <w:tcPr>
            <w:tcW w:w="953" w:type="dxa"/>
            <w:vMerge/>
            <w:tcBorders>
              <w:top w:val="nil"/>
              <w:left w:val="nil"/>
              <w:bottom w:val="single" w:sz="4" w:space="0" w:color="000000"/>
              <w:right w:val="nil"/>
            </w:tcBorders>
            <w:vAlign w:val="center"/>
            <w:hideMark/>
          </w:tcPr>
          <w:p w14:paraId="0039A899"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3F059BB9"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noWrap/>
            <w:vAlign w:val="bottom"/>
            <w:hideMark/>
          </w:tcPr>
          <w:p w14:paraId="5533CD24"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31.4</w:t>
            </w:r>
          </w:p>
        </w:tc>
        <w:tc>
          <w:tcPr>
            <w:tcW w:w="5731" w:type="dxa"/>
            <w:tcBorders>
              <w:top w:val="nil"/>
              <w:left w:val="nil"/>
              <w:bottom w:val="single" w:sz="4" w:space="0" w:color="auto"/>
              <w:right w:val="nil"/>
            </w:tcBorders>
            <w:shd w:val="clear" w:color="auto" w:fill="auto"/>
            <w:vAlign w:val="center"/>
            <w:hideMark/>
          </w:tcPr>
          <w:p w14:paraId="3F51CA80"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Certifikovať aspoň </w:t>
            </w:r>
            <w:r>
              <w:rPr>
                <w:rFonts w:eastAsia="Times New Roman" w:cs="Times New Roman"/>
                <w:color w:val="000000"/>
                <w:sz w:val="18"/>
                <w:szCs w:val="18"/>
                <w:lang w:eastAsia="sk-SK"/>
              </w:rPr>
              <w:t>50</w:t>
            </w:r>
            <w:r w:rsidRPr="0037129E">
              <w:rPr>
                <w:rFonts w:eastAsia="Times New Roman" w:cs="Times New Roman"/>
                <w:color w:val="000000"/>
                <w:sz w:val="18"/>
                <w:szCs w:val="18"/>
                <w:lang w:eastAsia="sk-SK"/>
              </w:rPr>
              <w:t xml:space="preserve"> cloudových služieb IaaS.</w:t>
            </w:r>
          </w:p>
        </w:tc>
        <w:tc>
          <w:tcPr>
            <w:tcW w:w="1569" w:type="dxa"/>
            <w:tcBorders>
              <w:top w:val="nil"/>
              <w:left w:val="nil"/>
              <w:bottom w:val="single" w:sz="4" w:space="0" w:color="auto"/>
              <w:right w:val="nil"/>
            </w:tcBorders>
            <w:shd w:val="clear" w:color="auto" w:fill="auto"/>
            <w:noWrap/>
            <w:vAlign w:val="center"/>
            <w:hideMark/>
          </w:tcPr>
          <w:p w14:paraId="3FD263F8"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334F5514" w14:textId="77777777" w:rsidTr="00E80051">
        <w:trPr>
          <w:trHeight w:val="20"/>
        </w:trPr>
        <w:tc>
          <w:tcPr>
            <w:tcW w:w="953" w:type="dxa"/>
            <w:vMerge w:val="restart"/>
            <w:tcBorders>
              <w:top w:val="nil"/>
              <w:left w:val="nil"/>
              <w:bottom w:val="single" w:sz="4" w:space="0" w:color="000000"/>
              <w:right w:val="nil"/>
            </w:tcBorders>
            <w:shd w:val="clear" w:color="auto" w:fill="auto"/>
            <w:noWrap/>
            <w:vAlign w:val="center"/>
            <w:hideMark/>
          </w:tcPr>
          <w:p w14:paraId="37141D7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32</w:t>
            </w:r>
          </w:p>
        </w:tc>
        <w:tc>
          <w:tcPr>
            <w:tcW w:w="5441" w:type="dxa"/>
            <w:vMerge w:val="restart"/>
            <w:tcBorders>
              <w:top w:val="nil"/>
              <w:left w:val="nil"/>
              <w:bottom w:val="single" w:sz="4" w:space="0" w:color="000000"/>
              <w:right w:val="nil"/>
            </w:tcBorders>
            <w:shd w:val="clear" w:color="auto" w:fill="auto"/>
            <w:vAlign w:val="center"/>
            <w:hideMark/>
          </w:tcPr>
          <w:p w14:paraId="19BBA611"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Vytvoriť mechanizmus na efektívne riadenie spotreby licencií.</w:t>
            </w:r>
          </w:p>
        </w:tc>
        <w:tc>
          <w:tcPr>
            <w:tcW w:w="622" w:type="dxa"/>
            <w:tcBorders>
              <w:top w:val="nil"/>
              <w:left w:val="nil"/>
              <w:bottom w:val="nil"/>
              <w:right w:val="nil"/>
            </w:tcBorders>
            <w:shd w:val="clear" w:color="auto" w:fill="auto"/>
            <w:noWrap/>
            <w:vAlign w:val="center"/>
            <w:hideMark/>
          </w:tcPr>
          <w:p w14:paraId="4EDE9E5C"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32.1</w:t>
            </w:r>
          </w:p>
        </w:tc>
        <w:tc>
          <w:tcPr>
            <w:tcW w:w="5731" w:type="dxa"/>
            <w:tcBorders>
              <w:top w:val="nil"/>
              <w:left w:val="nil"/>
              <w:bottom w:val="nil"/>
              <w:right w:val="nil"/>
            </w:tcBorders>
            <w:shd w:val="clear" w:color="000000" w:fill="FFFFFF"/>
            <w:vAlign w:val="center"/>
            <w:hideMark/>
          </w:tcPr>
          <w:p w14:paraId="4D6E1480"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Hodnotiť ekonomickú efektívnosť (počet a typ licencie) nakupovaných licencií prostredníctvom CLZ v zmysle vyhlášky o projektovom riadení.</w:t>
            </w:r>
          </w:p>
        </w:tc>
        <w:tc>
          <w:tcPr>
            <w:tcW w:w="1569" w:type="dxa"/>
            <w:tcBorders>
              <w:top w:val="nil"/>
              <w:left w:val="nil"/>
              <w:bottom w:val="nil"/>
              <w:right w:val="nil"/>
            </w:tcBorders>
            <w:shd w:val="clear" w:color="auto" w:fill="auto"/>
            <w:noWrap/>
            <w:vAlign w:val="center"/>
            <w:hideMark/>
          </w:tcPr>
          <w:p w14:paraId="13154D9E"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13C8C563" w14:textId="77777777" w:rsidTr="00E80051">
        <w:trPr>
          <w:trHeight w:val="20"/>
        </w:trPr>
        <w:tc>
          <w:tcPr>
            <w:tcW w:w="953" w:type="dxa"/>
            <w:vMerge/>
            <w:tcBorders>
              <w:top w:val="nil"/>
              <w:left w:val="nil"/>
              <w:bottom w:val="single" w:sz="4" w:space="0" w:color="000000"/>
              <w:right w:val="nil"/>
            </w:tcBorders>
            <w:vAlign w:val="center"/>
            <w:hideMark/>
          </w:tcPr>
          <w:p w14:paraId="057FC054"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110204C0"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noWrap/>
            <w:vAlign w:val="center"/>
            <w:hideMark/>
          </w:tcPr>
          <w:p w14:paraId="157CF000"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32.2</w:t>
            </w:r>
          </w:p>
        </w:tc>
        <w:tc>
          <w:tcPr>
            <w:tcW w:w="5731" w:type="dxa"/>
            <w:tcBorders>
              <w:top w:val="nil"/>
              <w:left w:val="nil"/>
              <w:bottom w:val="single" w:sz="4" w:space="0" w:color="auto"/>
              <w:right w:val="nil"/>
            </w:tcBorders>
            <w:shd w:val="clear" w:color="auto" w:fill="auto"/>
            <w:vAlign w:val="center"/>
            <w:hideMark/>
          </w:tcPr>
          <w:p w14:paraId="750FF6F4"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Po spustení ITSM (ITAM) rozšíriť stanovenie referenčných hodnôt na nakupované SW licencie sledované v systéme ITAM. </w:t>
            </w:r>
          </w:p>
        </w:tc>
        <w:tc>
          <w:tcPr>
            <w:tcW w:w="1569" w:type="dxa"/>
            <w:tcBorders>
              <w:top w:val="nil"/>
              <w:left w:val="nil"/>
              <w:bottom w:val="single" w:sz="4" w:space="0" w:color="auto"/>
              <w:right w:val="nil"/>
            </w:tcBorders>
            <w:shd w:val="clear" w:color="auto" w:fill="auto"/>
            <w:noWrap/>
            <w:vAlign w:val="center"/>
            <w:hideMark/>
          </w:tcPr>
          <w:p w14:paraId="0081EF5F"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47329617" w14:textId="77777777" w:rsidTr="00E80051">
        <w:trPr>
          <w:trHeight w:val="20"/>
        </w:trPr>
        <w:tc>
          <w:tcPr>
            <w:tcW w:w="953" w:type="dxa"/>
            <w:vMerge w:val="restart"/>
            <w:tcBorders>
              <w:top w:val="nil"/>
              <w:left w:val="nil"/>
              <w:bottom w:val="single" w:sz="4" w:space="0" w:color="000000"/>
              <w:right w:val="nil"/>
            </w:tcBorders>
            <w:shd w:val="clear" w:color="auto" w:fill="auto"/>
            <w:noWrap/>
            <w:vAlign w:val="center"/>
            <w:hideMark/>
          </w:tcPr>
          <w:p w14:paraId="1849317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33</w:t>
            </w:r>
          </w:p>
        </w:tc>
        <w:tc>
          <w:tcPr>
            <w:tcW w:w="5441" w:type="dxa"/>
            <w:vMerge w:val="restart"/>
            <w:tcBorders>
              <w:top w:val="nil"/>
              <w:left w:val="nil"/>
              <w:bottom w:val="single" w:sz="4" w:space="0" w:color="000000"/>
              <w:right w:val="nil"/>
            </w:tcBorders>
            <w:shd w:val="clear" w:color="auto" w:fill="auto"/>
            <w:vAlign w:val="center"/>
            <w:hideMark/>
          </w:tcPr>
          <w:p w14:paraId="4AFAB685"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Centralizovať zabezpečenie podporných IT služieb.</w:t>
            </w:r>
          </w:p>
        </w:tc>
        <w:tc>
          <w:tcPr>
            <w:tcW w:w="622" w:type="dxa"/>
            <w:tcBorders>
              <w:top w:val="nil"/>
              <w:left w:val="nil"/>
              <w:bottom w:val="nil"/>
              <w:right w:val="nil"/>
            </w:tcBorders>
            <w:shd w:val="clear" w:color="auto" w:fill="auto"/>
            <w:noWrap/>
            <w:vAlign w:val="center"/>
            <w:hideMark/>
          </w:tcPr>
          <w:p w14:paraId="0F38F52F"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33.1</w:t>
            </w:r>
          </w:p>
        </w:tc>
        <w:tc>
          <w:tcPr>
            <w:tcW w:w="5731" w:type="dxa"/>
            <w:tcBorders>
              <w:top w:val="nil"/>
              <w:left w:val="nil"/>
              <w:bottom w:val="nil"/>
              <w:right w:val="nil"/>
            </w:tcBorders>
            <w:shd w:val="clear" w:color="auto" w:fill="auto"/>
            <w:vAlign w:val="center"/>
            <w:hideMark/>
          </w:tcPr>
          <w:p w14:paraId="1722B43D"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Stanoviť </w:t>
            </w:r>
            <w:r>
              <w:rPr>
                <w:rFonts w:eastAsia="Times New Roman" w:cs="Times New Roman"/>
                <w:color w:val="000000"/>
                <w:sz w:val="18"/>
                <w:szCs w:val="18"/>
                <w:lang w:eastAsia="sk-SK"/>
              </w:rPr>
              <w:t>model</w:t>
            </w:r>
            <w:r w:rsidRPr="0037129E">
              <w:rPr>
                <w:rFonts w:eastAsia="Times New Roman" w:cs="Times New Roman"/>
                <w:color w:val="000000"/>
                <w:sz w:val="18"/>
                <w:szCs w:val="18"/>
                <w:lang w:eastAsia="sk-SK"/>
              </w:rPr>
              <w:t xml:space="preserve"> </w:t>
            </w:r>
            <w:r>
              <w:rPr>
                <w:rFonts w:eastAsia="Times New Roman" w:cs="Times New Roman"/>
                <w:color w:val="000000"/>
                <w:sz w:val="18"/>
                <w:szCs w:val="18"/>
                <w:lang w:eastAsia="sk-SK"/>
              </w:rPr>
              <w:t xml:space="preserve">na štruktúru a počet </w:t>
            </w:r>
            <w:r w:rsidRPr="0037129E">
              <w:rPr>
                <w:rFonts w:eastAsia="Times New Roman" w:cs="Times New Roman"/>
                <w:color w:val="000000"/>
                <w:sz w:val="18"/>
                <w:szCs w:val="18"/>
                <w:lang w:eastAsia="sk-SK"/>
              </w:rPr>
              <w:t>zamestnancov vykonávajúcich podporné IT-backoffice činnosti.</w:t>
            </w:r>
          </w:p>
        </w:tc>
        <w:tc>
          <w:tcPr>
            <w:tcW w:w="1569" w:type="dxa"/>
            <w:tcBorders>
              <w:top w:val="nil"/>
              <w:left w:val="nil"/>
              <w:bottom w:val="nil"/>
              <w:right w:val="nil"/>
            </w:tcBorders>
            <w:shd w:val="clear" w:color="auto" w:fill="auto"/>
            <w:noWrap/>
            <w:vAlign w:val="center"/>
            <w:hideMark/>
          </w:tcPr>
          <w:p w14:paraId="2969496D"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18BDA8B5" w14:textId="77777777" w:rsidTr="00E80051">
        <w:trPr>
          <w:trHeight w:val="20"/>
        </w:trPr>
        <w:tc>
          <w:tcPr>
            <w:tcW w:w="953" w:type="dxa"/>
            <w:vMerge/>
            <w:tcBorders>
              <w:top w:val="nil"/>
              <w:left w:val="nil"/>
              <w:bottom w:val="single" w:sz="4" w:space="0" w:color="000000"/>
              <w:right w:val="nil"/>
            </w:tcBorders>
            <w:vAlign w:val="center"/>
            <w:hideMark/>
          </w:tcPr>
          <w:p w14:paraId="7AB4D2BC"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06056319"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noWrap/>
            <w:vAlign w:val="center"/>
            <w:hideMark/>
          </w:tcPr>
          <w:p w14:paraId="17B75FAC"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33.2</w:t>
            </w:r>
          </w:p>
        </w:tc>
        <w:tc>
          <w:tcPr>
            <w:tcW w:w="5731" w:type="dxa"/>
            <w:tcBorders>
              <w:top w:val="nil"/>
              <w:left w:val="nil"/>
              <w:bottom w:val="nil"/>
              <w:right w:val="nil"/>
            </w:tcBorders>
            <w:shd w:val="clear" w:color="auto" w:fill="auto"/>
            <w:vAlign w:val="center"/>
            <w:hideMark/>
          </w:tcPr>
          <w:p w14:paraId="70DDF5B0"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Zrealizovať </w:t>
            </w:r>
            <w:r>
              <w:rPr>
                <w:rFonts w:eastAsia="Times New Roman" w:cs="Times New Roman"/>
                <w:color w:val="000000"/>
                <w:sz w:val="18"/>
                <w:szCs w:val="18"/>
                <w:lang w:eastAsia="sk-SK"/>
              </w:rPr>
              <w:t xml:space="preserve">overenie modelu </w:t>
            </w:r>
            <w:r w:rsidRPr="0037129E">
              <w:rPr>
                <w:rFonts w:eastAsia="Times New Roman" w:cs="Times New Roman"/>
                <w:color w:val="000000"/>
                <w:sz w:val="18"/>
                <w:szCs w:val="18"/>
                <w:lang w:eastAsia="sk-SK"/>
              </w:rPr>
              <w:t>pilotný</w:t>
            </w:r>
            <w:r>
              <w:rPr>
                <w:rFonts w:eastAsia="Times New Roman" w:cs="Times New Roman"/>
                <w:color w:val="000000"/>
                <w:sz w:val="18"/>
                <w:szCs w:val="18"/>
                <w:lang w:eastAsia="sk-SK"/>
              </w:rPr>
              <w:t>m</w:t>
            </w:r>
            <w:r w:rsidRPr="0037129E">
              <w:rPr>
                <w:rFonts w:eastAsia="Times New Roman" w:cs="Times New Roman"/>
                <w:color w:val="000000"/>
                <w:sz w:val="18"/>
                <w:szCs w:val="18"/>
                <w:lang w:eastAsia="sk-SK"/>
              </w:rPr>
              <w:t xml:space="preserve"> projekt</w:t>
            </w:r>
            <w:r>
              <w:rPr>
                <w:rFonts w:eastAsia="Times New Roman" w:cs="Times New Roman"/>
                <w:color w:val="000000"/>
                <w:sz w:val="18"/>
                <w:szCs w:val="18"/>
                <w:lang w:eastAsia="sk-SK"/>
              </w:rPr>
              <w:t>om</w:t>
            </w:r>
            <w:r w:rsidRPr="0037129E">
              <w:rPr>
                <w:rFonts w:eastAsia="Times New Roman" w:cs="Times New Roman"/>
                <w:color w:val="000000"/>
                <w:sz w:val="18"/>
                <w:szCs w:val="18"/>
                <w:lang w:eastAsia="sk-SK"/>
              </w:rPr>
              <w:t xml:space="preserve"> na možnosti centralizácie IT činností.</w:t>
            </w:r>
          </w:p>
        </w:tc>
        <w:tc>
          <w:tcPr>
            <w:tcW w:w="1569" w:type="dxa"/>
            <w:tcBorders>
              <w:top w:val="nil"/>
              <w:left w:val="nil"/>
              <w:bottom w:val="nil"/>
              <w:right w:val="nil"/>
            </w:tcBorders>
            <w:shd w:val="clear" w:color="auto" w:fill="auto"/>
            <w:noWrap/>
            <w:vAlign w:val="center"/>
            <w:hideMark/>
          </w:tcPr>
          <w:p w14:paraId="0E276796"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327E18E7" w14:textId="77777777" w:rsidTr="00E80051">
        <w:trPr>
          <w:trHeight w:val="20"/>
        </w:trPr>
        <w:tc>
          <w:tcPr>
            <w:tcW w:w="953" w:type="dxa"/>
            <w:vMerge/>
            <w:tcBorders>
              <w:top w:val="nil"/>
              <w:left w:val="nil"/>
              <w:bottom w:val="single" w:sz="4" w:space="0" w:color="000000"/>
              <w:right w:val="nil"/>
            </w:tcBorders>
            <w:vAlign w:val="center"/>
            <w:hideMark/>
          </w:tcPr>
          <w:p w14:paraId="3EFDD89C"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single" w:sz="4" w:space="0" w:color="000000"/>
              <w:right w:val="nil"/>
            </w:tcBorders>
            <w:vAlign w:val="center"/>
            <w:hideMark/>
          </w:tcPr>
          <w:p w14:paraId="2B6B9CA2"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single" w:sz="4" w:space="0" w:color="auto"/>
              <w:right w:val="nil"/>
            </w:tcBorders>
            <w:shd w:val="clear" w:color="auto" w:fill="auto"/>
            <w:noWrap/>
            <w:vAlign w:val="center"/>
            <w:hideMark/>
          </w:tcPr>
          <w:p w14:paraId="5A64C306"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33.3</w:t>
            </w:r>
          </w:p>
        </w:tc>
        <w:tc>
          <w:tcPr>
            <w:tcW w:w="5731" w:type="dxa"/>
            <w:tcBorders>
              <w:top w:val="nil"/>
              <w:left w:val="nil"/>
              <w:bottom w:val="single" w:sz="4" w:space="0" w:color="auto"/>
              <w:right w:val="nil"/>
            </w:tcBorders>
            <w:shd w:val="clear" w:color="auto" w:fill="auto"/>
            <w:vAlign w:val="center"/>
            <w:hideMark/>
          </w:tcPr>
          <w:p w14:paraId="669AA4A7"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Vytvoriť metodiku na centralizáciu IT služieb podľa výsledkov pilotného projektu.</w:t>
            </w:r>
          </w:p>
        </w:tc>
        <w:tc>
          <w:tcPr>
            <w:tcW w:w="1569" w:type="dxa"/>
            <w:tcBorders>
              <w:top w:val="nil"/>
              <w:left w:val="nil"/>
              <w:bottom w:val="single" w:sz="4" w:space="0" w:color="auto"/>
              <w:right w:val="nil"/>
            </w:tcBorders>
            <w:shd w:val="clear" w:color="auto" w:fill="auto"/>
            <w:noWrap/>
            <w:vAlign w:val="center"/>
            <w:hideMark/>
          </w:tcPr>
          <w:p w14:paraId="55AB94F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527855C6" w14:textId="77777777" w:rsidTr="00E80051">
        <w:trPr>
          <w:trHeight w:val="20"/>
        </w:trPr>
        <w:tc>
          <w:tcPr>
            <w:tcW w:w="953" w:type="dxa"/>
            <w:vMerge w:val="restart"/>
            <w:tcBorders>
              <w:top w:val="nil"/>
              <w:left w:val="nil"/>
              <w:bottom w:val="nil"/>
              <w:right w:val="nil"/>
            </w:tcBorders>
            <w:shd w:val="clear" w:color="auto" w:fill="auto"/>
            <w:noWrap/>
            <w:vAlign w:val="center"/>
            <w:hideMark/>
          </w:tcPr>
          <w:p w14:paraId="2A8E1B9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34</w:t>
            </w:r>
          </w:p>
        </w:tc>
        <w:tc>
          <w:tcPr>
            <w:tcW w:w="5441" w:type="dxa"/>
            <w:vMerge w:val="restart"/>
            <w:tcBorders>
              <w:top w:val="nil"/>
              <w:left w:val="nil"/>
              <w:bottom w:val="nil"/>
              <w:right w:val="nil"/>
            </w:tcBorders>
            <w:shd w:val="clear" w:color="auto" w:fill="auto"/>
            <w:noWrap/>
            <w:vAlign w:val="center"/>
            <w:hideMark/>
          </w:tcPr>
          <w:p w14:paraId="28C5B9F0"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Zvýšiť efektivitu nákupu telekomunikačných služieb.</w:t>
            </w:r>
          </w:p>
        </w:tc>
        <w:tc>
          <w:tcPr>
            <w:tcW w:w="622" w:type="dxa"/>
            <w:tcBorders>
              <w:top w:val="nil"/>
              <w:left w:val="nil"/>
              <w:bottom w:val="nil"/>
              <w:right w:val="nil"/>
            </w:tcBorders>
            <w:shd w:val="clear" w:color="auto" w:fill="auto"/>
            <w:noWrap/>
            <w:vAlign w:val="center"/>
            <w:hideMark/>
          </w:tcPr>
          <w:p w14:paraId="447B019B"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34.1</w:t>
            </w:r>
          </w:p>
        </w:tc>
        <w:tc>
          <w:tcPr>
            <w:tcW w:w="5731" w:type="dxa"/>
            <w:tcBorders>
              <w:top w:val="nil"/>
              <w:left w:val="nil"/>
              <w:bottom w:val="nil"/>
              <w:right w:val="nil"/>
            </w:tcBorders>
            <w:shd w:val="clear" w:color="auto" w:fill="auto"/>
            <w:vAlign w:val="center"/>
            <w:hideMark/>
          </w:tcPr>
          <w:p w14:paraId="3DF973D8"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cenové limity na nákup internetových služieb.</w:t>
            </w:r>
          </w:p>
        </w:tc>
        <w:tc>
          <w:tcPr>
            <w:tcW w:w="1569" w:type="dxa"/>
            <w:tcBorders>
              <w:top w:val="nil"/>
              <w:left w:val="nil"/>
              <w:bottom w:val="nil"/>
              <w:right w:val="nil"/>
            </w:tcBorders>
            <w:shd w:val="clear" w:color="auto" w:fill="auto"/>
            <w:noWrap/>
            <w:vAlign w:val="center"/>
            <w:hideMark/>
          </w:tcPr>
          <w:p w14:paraId="25DE0BD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3FF59E3F" w14:textId="77777777" w:rsidTr="00E80051">
        <w:trPr>
          <w:trHeight w:val="20"/>
        </w:trPr>
        <w:tc>
          <w:tcPr>
            <w:tcW w:w="953" w:type="dxa"/>
            <w:vMerge/>
            <w:tcBorders>
              <w:top w:val="nil"/>
              <w:left w:val="nil"/>
              <w:bottom w:val="nil"/>
              <w:right w:val="nil"/>
            </w:tcBorders>
            <w:vAlign w:val="center"/>
            <w:hideMark/>
          </w:tcPr>
          <w:p w14:paraId="6D7F68A4"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nil"/>
              <w:right w:val="nil"/>
            </w:tcBorders>
            <w:vAlign w:val="center"/>
            <w:hideMark/>
          </w:tcPr>
          <w:p w14:paraId="4BDE4201"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noWrap/>
            <w:vAlign w:val="center"/>
            <w:hideMark/>
          </w:tcPr>
          <w:p w14:paraId="289705E5"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34.2</w:t>
            </w:r>
          </w:p>
        </w:tc>
        <w:tc>
          <w:tcPr>
            <w:tcW w:w="5731" w:type="dxa"/>
            <w:tcBorders>
              <w:top w:val="nil"/>
              <w:left w:val="nil"/>
              <w:bottom w:val="nil"/>
              <w:right w:val="nil"/>
            </w:tcBorders>
            <w:shd w:val="clear" w:color="auto" w:fill="auto"/>
            <w:vAlign w:val="center"/>
            <w:hideMark/>
          </w:tcPr>
          <w:p w14:paraId="44C9DA63"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Publikovať cenové limity na nákup mobilných služieb.</w:t>
            </w:r>
          </w:p>
        </w:tc>
        <w:tc>
          <w:tcPr>
            <w:tcW w:w="1569" w:type="dxa"/>
            <w:tcBorders>
              <w:top w:val="nil"/>
              <w:left w:val="nil"/>
              <w:bottom w:val="nil"/>
              <w:right w:val="nil"/>
            </w:tcBorders>
            <w:shd w:val="clear" w:color="auto" w:fill="auto"/>
            <w:noWrap/>
            <w:vAlign w:val="center"/>
            <w:hideMark/>
          </w:tcPr>
          <w:p w14:paraId="0ECBEAA6"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7991FA4D" w14:textId="77777777" w:rsidTr="00E80051">
        <w:trPr>
          <w:trHeight w:val="20"/>
        </w:trPr>
        <w:tc>
          <w:tcPr>
            <w:tcW w:w="953" w:type="dxa"/>
            <w:vMerge/>
            <w:tcBorders>
              <w:top w:val="nil"/>
              <w:left w:val="nil"/>
              <w:bottom w:val="nil"/>
              <w:right w:val="nil"/>
            </w:tcBorders>
            <w:vAlign w:val="center"/>
            <w:hideMark/>
          </w:tcPr>
          <w:p w14:paraId="4CC4BCB7"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nil"/>
              <w:right w:val="nil"/>
            </w:tcBorders>
            <w:vAlign w:val="center"/>
            <w:hideMark/>
          </w:tcPr>
          <w:p w14:paraId="32888C8D"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noWrap/>
            <w:vAlign w:val="center"/>
            <w:hideMark/>
          </w:tcPr>
          <w:p w14:paraId="3B84CF6B"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34.3</w:t>
            </w:r>
          </w:p>
        </w:tc>
        <w:tc>
          <w:tcPr>
            <w:tcW w:w="5731" w:type="dxa"/>
            <w:tcBorders>
              <w:top w:val="nil"/>
              <w:left w:val="nil"/>
              <w:bottom w:val="nil"/>
              <w:right w:val="nil"/>
            </w:tcBorders>
            <w:shd w:val="clear" w:color="auto" w:fill="auto"/>
            <w:vAlign w:val="center"/>
            <w:hideMark/>
          </w:tcPr>
          <w:p w14:paraId="71161FAC"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Schváliť uznesenie vlády na dodržiavanie cenových limitov a reportovanie aktuálnych cien v zmluvách.</w:t>
            </w:r>
          </w:p>
        </w:tc>
        <w:tc>
          <w:tcPr>
            <w:tcW w:w="1569" w:type="dxa"/>
            <w:tcBorders>
              <w:top w:val="nil"/>
              <w:left w:val="nil"/>
              <w:bottom w:val="nil"/>
              <w:right w:val="nil"/>
            </w:tcBorders>
            <w:shd w:val="clear" w:color="auto" w:fill="auto"/>
            <w:noWrap/>
            <w:vAlign w:val="center"/>
            <w:hideMark/>
          </w:tcPr>
          <w:p w14:paraId="78CA0796"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3B3189A1" w14:textId="77777777" w:rsidTr="00E80051">
        <w:trPr>
          <w:trHeight w:val="20"/>
        </w:trPr>
        <w:tc>
          <w:tcPr>
            <w:tcW w:w="953" w:type="dxa"/>
            <w:vMerge/>
            <w:tcBorders>
              <w:top w:val="nil"/>
              <w:left w:val="nil"/>
              <w:bottom w:val="nil"/>
              <w:right w:val="nil"/>
            </w:tcBorders>
            <w:vAlign w:val="center"/>
            <w:hideMark/>
          </w:tcPr>
          <w:p w14:paraId="703C6311"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5441" w:type="dxa"/>
            <w:vMerge/>
            <w:tcBorders>
              <w:top w:val="nil"/>
              <w:left w:val="nil"/>
              <w:bottom w:val="nil"/>
              <w:right w:val="nil"/>
            </w:tcBorders>
            <w:vAlign w:val="center"/>
            <w:hideMark/>
          </w:tcPr>
          <w:p w14:paraId="57B17032" w14:textId="77777777" w:rsidR="00422D13" w:rsidRPr="0037129E" w:rsidRDefault="00422D13" w:rsidP="00E80051">
            <w:pPr>
              <w:spacing w:after="0" w:line="240" w:lineRule="auto"/>
              <w:jc w:val="left"/>
              <w:rPr>
                <w:rFonts w:eastAsia="Times New Roman" w:cs="Times New Roman"/>
                <w:color w:val="000000"/>
                <w:sz w:val="18"/>
                <w:szCs w:val="18"/>
                <w:lang w:eastAsia="sk-SK"/>
              </w:rPr>
            </w:pPr>
          </w:p>
        </w:tc>
        <w:tc>
          <w:tcPr>
            <w:tcW w:w="622" w:type="dxa"/>
            <w:tcBorders>
              <w:top w:val="nil"/>
              <w:left w:val="nil"/>
              <w:bottom w:val="nil"/>
              <w:right w:val="nil"/>
            </w:tcBorders>
            <w:shd w:val="clear" w:color="auto" w:fill="auto"/>
            <w:noWrap/>
            <w:vAlign w:val="center"/>
            <w:hideMark/>
          </w:tcPr>
          <w:p w14:paraId="4D2A1318"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34.4</w:t>
            </w:r>
          </w:p>
        </w:tc>
        <w:tc>
          <w:tcPr>
            <w:tcW w:w="5731" w:type="dxa"/>
            <w:tcBorders>
              <w:top w:val="nil"/>
              <w:left w:val="nil"/>
              <w:bottom w:val="nil"/>
              <w:right w:val="nil"/>
            </w:tcBorders>
            <w:shd w:val="clear" w:color="auto" w:fill="auto"/>
            <w:vAlign w:val="center"/>
            <w:hideMark/>
          </w:tcPr>
          <w:p w14:paraId="622B4CE5"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 xml:space="preserve">Pre 5 rozpočtových kapitol s najvyššími výdavkami proaktívne kontrolovať dodržovanie limitov </w:t>
            </w:r>
          </w:p>
        </w:tc>
        <w:tc>
          <w:tcPr>
            <w:tcW w:w="1569" w:type="dxa"/>
            <w:tcBorders>
              <w:top w:val="nil"/>
              <w:left w:val="nil"/>
              <w:bottom w:val="nil"/>
              <w:right w:val="nil"/>
            </w:tcBorders>
            <w:shd w:val="clear" w:color="auto" w:fill="auto"/>
            <w:noWrap/>
            <w:vAlign w:val="center"/>
            <w:hideMark/>
          </w:tcPr>
          <w:p w14:paraId="3231CA7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w:t>
            </w:r>
          </w:p>
        </w:tc>
      </w:tr>
      <w:tr w:rsidR="00422D13" w:rsidRPr="00B96F95" w14:paraId="23E06BAC" w14:textId="77777777" w:rsidTr="00E80051">
        <w:trPr>
          <w:trHeight w:val="20"/>
        </w:trPr>
        <w:tc>
          <w:tcPr>
            <w:tcW w:w="953" w:type="dxa"/>
            <w:tcBorders>
              <w:top w:val="single" w:sz="4" w:space="0" w:color="auto"/>
              <w:left w:val="nil"/>
              <w:bottom w:val="single" w:sz="4" w:space="0" w:color="auto"/>
              <w:right w:val="nil"/>
            </w:tcBorders>
            <w:shd w:val="clear" w:color="auto" w:fill="auto"/>
            <w:noWrap/>
            <w:vAlign w:val="center"/>
            <w:hideMark/>
          </w:tcPr>
          <w:p w14:paraId="7679C11F"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35</w:t>
            </w:r>
          </w:p>
        </w:tc>
        <w:tc>
          <w:tcPr>
            <w:tcW w:w="5441" w:type="dxa"/>
            <w:tcBorders>
              <w:top w:val="single" w:sz="4" w:space="0" w:color="auto"/>
              <w:left w:val="nil"/>
              <w:bottom w:val="single" w:sz="4" w:space="0" w:color="auto"/>
              <w:right w:val="nil"/>
            </w:tcBorders>
            <w:shd w:val="clear" w:color="auto" w:fill="auto"/>
            <w:vAlign w:val="center"/>
            <w:hideMark/>
          </w:tcPr>
          <w:p w14:paraId="37F2C816"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Zabezpečiť pravidelný monitoring alokovanej a reálne spotrebovanej kapacity cloudu.</w:t>
            </w:r>
          </w:p>
        </w:tc>
        <w:tc>
          <w:tcPr>
            <w:tcW w:w="622" w:type="dxa"/>
            <w:tcBorders>
              <w:top w:val="single" w:sz="4" w:space="0" w:color="auto"/>
              <w:left w:val="nil"/>
              <w:bottom w:val="single" w:sz="4" w:space="0" w:color="auto"/>
              <w:right w:val="nil"/>
            </w:tcBorders>
            <w:shd w:val="clear" w:color="auto" w:fill="auto"/>
            <w:noWrap/>
            <w:vAlign w:val="center"/>
            <w:hideMark/>
          </w:tcPr>
          <w:p w14:paraId="77F2B75A"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35.1</w:t>
            </w:r>
          </w:p>
        </w:tc>
        <w:tc>
          <w:tcPr>
            <w:tcW w:w="5731" w:type="dxa"/>
            <w:tcBorders>
              <w:top w:val="single" w:sz="4" w:space="0" w:color="auto"/>
              <w:left w:val="nil"/>
              <w:bottom w:val="single" w:sz="4" w:space="0" w:color="auto"/>
              <w:right w:val="nil"/>
            </w:tcBorders>
            <w:shd w:val="clear" w:color="auto" w:fill="auto"/>
            <w:vAlign w:val="center"/>
            <w:hideMark/>
          </w:tcPr>
          <w:p w14:paraId="3570DCD9"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Zabezpečiť pravidelný monitoring alokovanej a reálne spotrebovanej kapacity minimálne v rozsahu VCPU, RAM, storage a na mesačnej báze vykazovať Ministerstvu financií SR (MF SR) a Úradu podpredsedovi vlády SR pre investície a informatizáciu (ÚPVII).</w:t>
            </w:r>
          </w:p>
        </w:tc>
        <w:tc>
          <w:tcPr>
            <w:tcW w:w="1569" w:type="dxa"/>
            <w:tcBorders>
              <w:top w:val="single" w:sz="4" w:space="0" w:color="auto"/>
              <w:left w:val="nil"/>
              <w:bottom w:val="single" w:sz="4" w:space="0" w:color="auto"/>
              <w:right w:val="nil"/>
            </w:tcBorders>
            <w:shd w:val="clear" w:color="auto" w:fill="auto"/>
            <w:noWrap/>
            <w:vAlign w:val="center"/>
            <w:hideMark/>
          </w:tcPr>
          <w:p w14:paraId="45D55310"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MV SR</w:t>
            </w:r>
          </w:p>
        </w:tc>
      </w:tr>
      <w:tr w:rsidR="00422D13" w:rsidRPr="00B96F95" w14:paraId="1F5608E8" w14:textId="77777777" w:rsidTr="00E80051">
        <w:trPr>
          <w:trHeight w:val="20"/>
        </w:trPr>
        <w:tc>
          <w:tcPr>
            <w:tcW w:w="953" w:type="dxa"/>
            <w:tcBorders>
              <w:top w:val="nil"/>
              <w:left w:val="nil"/>
              <w:bottom w:val="single" w:sz="4" w:space="0" w:color="auto"/>
              <w:right w:val="nil"/>
            </w:tcBorders>
            <w:shd w:val="clear" w:color="auto" w:fill="auto"/>
            <w:noWrap/>
            <w:vAlign w:val="center"/>
            <w:hideMark/>
          </w:tcPr>
          <w:p w14:paraId="738F7DAC"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36</w:t>
            </w:r>
          </w:p>
        </w:tc>
        <w:tc>
          <w:tcPr>
            <w:tcW w:w="5441" w:type="dxa"/>
            <w:tcBorders>
              <w:top w:val="nil"/>
              <w:left w:val="nil"/>
              <w:bottom w:val="single" w:sz="4" w:space="0" w:color="auto"/>
              <w:right w:val="nil"/>
            </w:tcBorders>
            <w:shd w:val="clear" w:color="auto" w:fill="auto"/>
            <w:noWrap/>
            <w:vAlign w:val="center"/>
            <w:hideMark/>
          </w:tcPr>
          <w:p w14:paraId="62D527AB"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Validovať metodiku pre výpočet nákladov spotrebovaných cloudových služieb.</w:t>
            </w:r>
          </w:p>
        </w:tc>
        <w:tc>
          <w:tcPr>
            <w:tcW w:w="622" w:type="dxa"/>
            <w:tcBorders>
              <w:top w:val="nil"/>
              <w:left w:val="nil"/>
              <w:bottom w:val="single" w:sz="4" w:space="0" w:color="auto"/>
              <w:right w:val="nil"/>
            </w:tcBorders>
            <w:shd w:val="clear" w:color="auto" w:fill="auto"/>
            <w:noWrap/>
            <w:vAlign w:val="center"/>
            <w:hideMark/>
          </w:tcPr>
          <w:p w14:paraId="265FB273"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36.1</w:t>
            </w:r>
          </w:p>
        </w:tc>
        <w:tc>
          <w:tcPr>
            <w:tcW w:w="5731" w:type="dxa"/>
            <w:tcBorders>
              <w:top w:val="nil"/>
              <w:left w:val="nil"/>
              <w:bottom w:val="single" w:sz="4" w:space="0" w:color="auto"/>
              <w:right w:val="nil"/>
            </w:tcBorders>
            <w:shd w:val="clear" w:color="auto" w:fill="auto"/>
            <w:vAlign w:val="center"/>
            <w:hideMark/>
          </w:tcPr>
          <w:p w14:paraId="404DABC3"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Spolu s UPVII a MF SR validovať metodiku pre výpočet nákladov spotrebovaných cloudových služieb na základe skutočnej spotreby a alokovanej kapacity.</w:t>
            </w:r>
          </w:p>
        </w:tc>
        <w:tc>
          <w:tcPr>
            <w:tcW w:w="1569" w:type="dxa"/>
            <w:tcBorders>
              <w:top w:val="nil"/>
              <w:left w:val="nil"/>
              <w:bottom w:val="single" w:sz="4" w:space="0" w:color="auto"/>
              <w:right w:val="nil"/>
            </w:tcBorders>
            <w:shd w:val="clear" w:color="auto" w:fill="auto"/>
            <w:noWrap/>
            <w:vAlign w:val="center"/>
            <w:hideMark/>
          </w:tcPr>
          <w:p w14:paraId="7EC32457"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ÚPVII/MF SR/MV SR</w:t>
            </w:r>
          </w:p>
        </w:tc>
      </w:tr>
      <w:tr w:rsidR="00422D13" w:rsidRPr="00B96F95" w14:paraId="0061B65F" w14:textId="77777777" w:rsidTr="00E80051">
        <w:trPr>
          <w:trHeight w:val="20"/>
        </w:trPr>
        <w:tc>
          <w:tcPr>
            <w:tcW w:w="953" w:type="dxa"/>
            <w:tcBorders>
              <w:top w:val="nil"/>
              <w:left w:val="nil"/>
              <w:bottom w:val="single" w:sz="4" w:space="0" w:color="auto"/>
              <w:right w:val="nil"/>
            </w:tcBorders>
            <w:shd w:val="clear" w:color="auto" w:fill="auto"/>
            <w:noWrap/>
            <w:vAlign w:val="center"/>
            <w:hideMark/>
          </w:tcPr>
          <w:p w14:paraId="42A063F4"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37</w:t>
            </w:r>
          </w:p>
        </w:tc>
        <w:tc>
          <w:tcPr>
            <w:tcW w:w="5441" w:type="dxa"/>
            <w:tcBorders>
              <w:top w:val="nil"/>
              <w:left w:val="nil"/>
              <w:bottom w:val="single" w:sz="4" w:space="0" w:color="auto"/>
              <w:right w:val="nil"/>
            </w:tcBorders>
            <w:shd w:val="clear" w:color="auto" w:fill="auto"/>
            <w:noWrap/>
            <w:vAlign w:val="center"/>
            <w:hideMark/>
          </w:tcPr>
          <w:p w14:paraId="1E275FE9"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Vytvoriť predpoklady pre spoplatnenie cloudových služieb.</w:t>
            </w:r>
          </w:p>
        </w:tc>
        <w:tc>
          <w:tcPr>
            <w:tcW w:w="622" w:type="dxa"/>
            <w:tcBorders>
              <w:top w:val="nil"/>
              <w:left w:val="nil"/>
              <w:bottom w:val="single" w:sz="4" w:space="0" w:color="auto"/>
              <w:right w:val="nil"/>
            </w:tcBorders>
            <w:shd w:val="clear" w:color="auto" w:fill="auto"/>
            <w:noWrap/>
            <w:vAlign w:val="center"/>
            <w:hideMark/>
          </w:tcPr>
          <w:p w14:paraId="67972012"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37.1</w:t>
            </w:r>
          </w:p>
        </w:tc>
        <w:tc>
          <w:tcPr>
            <w:tcW w:w="5731" w:type="dxa"/>
            <w:tcBorders>
              <w:top w:val="nil"/>
              <w:left w:val="nil"/>
              <w:bottom w:val="single" w:sz="4" w:space="0" w:color="auto"/>
              <w:right w:val="nil"/>
            </w:tcBorders>
            <w:shd w:val="clear" w:color="auto" w:fill="auto"/>
            <w:vAlign w:val="center"/>
            <w:hideMark/>
          </w:tcPr>
          <w:p w14:paraId="2BB635BF" w14:textId="77777777" w:rsidR="00422D13" w:rsidRPr="0037129E" w:rsidRDefault="00422D13" w:rsidP="00E80051">
            <w:pPr>
              <w:spacing w:after="0" w:line="240" w:lineRule="auto"/>
              <w:jc w:val="left"/>
              <w:rPr>
                <w:rFonts w:eastAsia="Times New Roman" w:cs="Times New Roman"/>
                <w:color w:val="000000"/>
                <w:sz w:val="18"/>
                <w:szCs w:val="18"/>
                <w:lang w:eastAsia="sk-SK"/>
              </w:rPr>
            </w:pPr>
            <w:r w:rsidRPr="0037129E">
              <w:rPr>
                <w:rFonts w:eastAsia="Times New Roman" w:cs="Times New Roman"/>
                <w:color w:val="000000"/>
                <w:sz w:val="18"/>
                <w:szCs w:val="18"/>
                <w:lang w:eastAsia="sk-SK"/>
              </w:rPr>
              <w:t>Vytvoriť predpoklady pre spoplatnenie spotrebovaných cloudových služieb a presun prostriedkov z rozpočtov kapitol na Ministerstvo vnútra SR (v budúcnosti financovanie cloudu z interného predaja služieb).</w:t>
            </w:r>
          </w:p>
        </w:tc>
        <w:tc>
          <w:tcPr>
            <w:tcW w:w="1569" w:type="dxa"/>
            <w:tcBorders>
              <w:top w:val="nil"/>
              <w:left w:val="nil"/>
              <w:bottom w:val="single" w:sz="4" w:space="0" w:color="auto"/>
              <w:right w:val="nil"/>
            </w:tcBorders>
            <w:shd w:val="clear" w:color="auto" w:fill="auto"/>
            <w:noWrap/>
            <w:vAlign w:val="center"/>
            <w:hideMark/>
          </w:tcPr>
          <w:p w14:paraId="0838A6C0" w14:textId="77777777" w:rsidR="00422D13" w:rsidRPr="0037129E" w:rsidRDefault="00422D13" w:rsidP="00E80051">
            <w:pPr>
              <w:spacing w:after="0" w:line="240" w:lineRule="auto"/>
              <w:jc w:val="center"/>
              <w:rPr>
                <w:rFonts w:eastAsia="Times New Roman" w:cs="Times New Roman"/>
                <w:color w:val="000000"/>
                <w:sz w:val="18"/>
                <w:szCs w:val="18"/>
                <w:lang w:eastAsia="sk-SK"/>
              </w:rPr>
            </w:pPr>
            <w:r w:rsidRPr="0037129E">
              <w:rPr>
                <w:rFonts w:eastAsia="Times New Roman" w:cs="Times New Roman"/>
                <w:color w:val="000000"/>
                <w:sz w:val="18"/>
                <w:szCs w:val="18"/>
                <w:lang w:eastAsia="sk-SK"/>
              </w:rPr>
              <w:t>ÚPVII/MF SR/MV SR</w:t>
            </w:r>
          </w:p>
        </w:tc>
      </w:tr>
    </w:tbl>
    <w:p w14:paraId="22A3C448" w14:textId="77777777" w:rsidR="002F4AE6" w:rsidRDefault="002F4AE6" w:rsidP="00160503">
      <w:pPr>
        <w:rPr>
          <w:sz w:val="18"/>
          <w:szCs w:val="18"/>
        </w:rPr>
      </w:pPr>
    </w:p>
    <w:p w14:paraId="7FADB42D" w14:textId="77777777" w:rsidR="005118FB" w:rsidRPr="00EA43F7" w:rsidRDefault="005118FB" w:rsidP="00160503">
      <w:pPr>
        <w:rPr>
          <w:sz w:val="18"/>
          <w:szCs w:val="18"/>
        </w:rPr>
      </w:pPr>
    </w:p>
    <w:p w14:paraId="45E62120" w14:textId="77777777" w:rsidR="00697665" w:rsidRDefault="00697665">
      <w:pPr>
        <w:jc w:val="left"/>
        <w:rPr>
          <w:b/>
        </w:rPr>
      </w:pPr>
    </w:p>
    <w:p w14:paraId="1C810C74" w14:textId="33A00D6C" w:rsidR="00697665" w:rsidRDefault="00DD351B" w:rsidP="0037129E">
      <w:pPr>
        <w:spacing w:after="0"/>
        <w:jc w:val="left"/>
        <w:rPr>
          <w:b/>
        </w:rPr>
      </w:pPr>
      <w:r>
        <w:rPr>
          <w:b/>
        </w:rPr>
        <w:br w:type="page"/>
      </w:r>
      <w:r w:rsidRPr="0037129E">
        <w:rPr>
          <w:b/>
        </w:rPr>
        <w:lastRenderedPageBreak/>
        <w:t>Príloha 2:</w:t>
      </w:r>
      <w:r w:rsidR="00FC6400">
        <w:rPr>
          <w:b/>
        </w:rPr>
        <w:t xml:space="preserve"> Benchmarking nákladov na externý vývoj OP II projektov (náklady a úspora v mil. eur) </w:t>
      </w:r>
    </w:p>
    <w:tbl>
      <w:tblPr>
        <w:tblW w:w="14716" w:type="dxa"/>
        <w:tblLook w:val="04A0" w:firstRow="1" w:lastRow="0" w:firstColumn="1" w:lastColumn="0" w:noHBand="0" w:noVBand="1"/>
      </w:tblPr>
      <w:tblGrid>
        <w:gridCol w:w="5387"/>
        <w:gridCol w:w="992"/>
        <w:gridCol w:w="925"/>
        <w:gridCol w:w="1343"/>
        <w:gridCol w:w="851"/>
        <w:gridCol w:w="992"/>
        <w:gridCol w:w="1276"/>
        <w:gridCol w:w="1275"/>
        <w:gridCol w:w="851"/>
        <w:gridCol w:w="824"/>
      </w:tblGrid>
      <w:tr w:rsidR="00FC6400" w:rsidRPr="00FC6400" w14:paraId="2F0DFAD8" w14:textId="77777777" w:rsidTr="0037129E">
        <w:trPr>
          <w:trHeight w:val="20"/>
        </w:trPr>
        <w:tc>
          <w:tcPr>
            <w:tcW w:w="5387" w:type="dxa"/>
            <w:tcBorders>
              <w:top w:val="single" w:sz="4" w:space="0" w:color="auto"/>
              <w:left w:val="nil"/>
              <w:bottom w:val="single" w:sz="4" w:space="0" w:color="auto"/>
              <w:right w:val="nil"/>
            </w:tcBorders>
            <w:shd w:val="clear" w:color="auto" w:fill="auto"/>
            <w:vAlign w:val="bottom"/>
            <w:hideMark/>
          </w:tcPr>
          <w:p w14:paraId="2D9168E3" w14:textId="77777777" w:rsidR="00FC6400" w:rsidRPr="0037129E" w:rsidRDefault="00FC6400" w:rsidP="00FC6400">
            <w:pPr>
              <w:spacing w:after="0" w:line="240" w:lineRule="auto"/>
              <w:jc w:val="left"/>
              <w:rPr>
                <w:rFonts w:eastAsia="Times New Roman" w:cs="Calibri"/>
                <w:b/>
                <w:bCs/>
                <w:color w:val="000000"/>
                <w:sz w:val="18"/>
                <w:szCs w:val="18"/>
                <w:lang w:eastAsia="en-GB"/>
              </w:rPr>
            </w:pPr>
            <w:r w:rsidRPr="0037129E">
              <w:rPr>
                <w:rFonts w:eastAsia="Times New Roman" w:cs="Calibri"/>
                <w:b/>
                <w:bCs/>
                <w:color w:val="000000"/>
                <w:sz w:val="18"/>
                <w:szCs w:val="18"/>
                <w:lang w:eastAsia="en-GB"/>
              </w:rPr>
              <w:t>Projekt</w:t>
            </w:r>
          </w:p>
        </w:tc>
        <w:tc>
          <w:tcPr>
            <w:tcW w:w="992" w:type="dxa"/>
            <w:tcBorders>
              <w:top w:val="single" w:sz="4" w:space="0" w:color="auto"/>
              <w:left w:val="nil"/>
              <w:bottom w:val="single" w:sz="4" w:space="0" w:color="auto"/>
              <w:right w:val="nil"/>
            </w:tcBorders>
            <w:shd w:val="clear" w:color="auto" w:fill="auto"/>
            <w:vAlign w:val="bottom"/>
            <w:hideMark/>
          </w:tcPr>
          <w:p w14:paraId="3E719E70" w14:textId="28D0891A" w:rsidR="00FC6400" w:rsidRPr="0037129E" w:rsidRDefault="00FC6400">
            <w:pPr>
              <w:spacing w:after="0" w:line="240" w:lineRule="auto"/>
              <w:jc w:val="center"/>
              <w:rPr>
                <w:rFonts w:eastAsia="Times New Roman" w:cs="Calibri"/>
                <w:b/>
                <w:bCs/>
                <w:color w:val="000000"/>
                <w:sz w:val="18"/>
                <w:szCs w:val="18"/>
                <w:lang w:eastAsia="en-GB"/>
              </w:rPr>
            </w:pPr>
            <w:r w:rsidRPr="0037129E">
              <w:rPr>
                <w:rFonts w:eastAsia="Times New Roman" w:cs="Calibri"/>
                <w:b/>
                <w:bCs/>
                <w:color w:val="000000"/>
                <w:sz w:val="18"/>
                <w:szCs w:val="18"/>
                <w:lang w:eastAsia="en-GB"/>
              </w:rPr>
              <w:t>Celkov</w:t>
            </w:r>
            <w:r>
              <w:rPr>
                <w:rFonts w:eastAsia="Times New Roman" w:cs="Calibri"/>
                <w:b/>
                <w:bCs/>
                <w:color w:val="000000"/>
                <w:sz w:val="18"/>
                <w:szCs w:val="18"/>
                <w:lang w:eastAsia="en-GB"/>
              </w:rPr>
              <w:t>á investícia</w:t>
            </w:r>
          </w:p>
        </w:tc>
        <w:tc>
          <w:tcPr>
            <w:tcW w:w="925" w:type="dxa"/>
            <w:tcBorders>
              <w:top w:val="single" w:sz="4" w:space="0" w:color="auto"/>
              <w:left w:val="nil"/>
              <w:bottom w:val="single" w:sz="4" w:space="0" w:color="auto"/>
              <w:right w:val="nil"/>
            </w:tcBorders>
            <w:shd w:val="clear" w:color="auto" w:fill="auto"/>
            <w:vAlign w:val="bottom"/>
            <w:hideMark/>
          </w:tcPr>
          <w:p w14:paraId="27D7FD97" w14:textId="77777777" w:rsidR="00FC6400" w:rsidRPr="0037129E" w:rsidRDefault="00FC6400" w:rsidP="00FC6400">
            <w:pPr>
              <w:spacing w:after="0" w:line="240" w:lineRule="auto"/>
              <w:jc w:val="center"/>
              <w:rPr>
                <w:rFonts w:eastAsia="Times New Roman" w:cs="Calibri"/>
                <w:b/>
                <w:bCs/>
                <w:color w:val="000000"/>
                <w:sz w:val="18"/>
                <w:szCs w:val="18"/>
                <w:lang w:eastAsia="en-GB"/>
              </w:rPr>
            </w:pPr>
            <w:r w:rsidRPr="0037129E">
              <w:rPr>
                <w:rFonts w:eastAsia="Times New Roman" w:cs="Calibri"/>
                <w:b/>
                <w:bCs/>
                <w:color w:val="000000"/>
                <w:sz w:val="18"/>
                <w:szCs w:val="18"/>
                <w:lang w:eastAsia="en-GB"/>
              </w:rPr>
              <w:t>Náklady na vývoj</w:t>
            </w:r>
          </w:p>
        </w:tc>
        <w:tc>
          <w:tcPr>
            <w:tcW w:w="1343" w:type="dxa"/>
            <w:tcBorders>
              <w:top w:val="single" w:sz="4" w:space="0" w:color="auto"/>
              <w:left w:val="nil"/>
              <w:bottom w:val="single" w:sz="4" w:space="0" w:color="auto"/>
              <w:right w:val="nil"/>
            </w:tcBorders>
            <w:shd w:val="clear" w:color="auto" w:fill="auto"/>
            <w:vAlign w:val="bottom"/>
            <w:hideMark/>
          </w:tcPr>
          <w:p w14:paraId="24284799" w14:textId="77777777" w:rsidR="00FC6400" w:rsidRPr="0037129E" w:rsidRDefault="00FC6400" w:rsidP="00FC6400">
            <w:pPr>
              <w:spacing w:after="0" w:line="240" w:lineRule="auto"/>
              <w:jc w:val="center"/>
              <w:rPr>
                <w:rFonts w:eastAsia="Times New Roman" w:cs="Calibri"/>
                <w:b/>
                <w:bCs/>
                <w:color w:val="000000"/>
                <w:sz w:val="18"/>
                <w:szCs w:val="18"/>
                <w:lang w:eastAsia="en-GB"/>
              </w:rPr>
            </w:pPr>
            <w:r w:rsidRPr="0037129E">
              <w:rPr>
                <w:rFonts w:eastAsia="Times New Roman" w:cs="Calibri"/>
                <w:b/>
                <w:bCs/>
                <w:color w:val="000000"/>
                <w:sz w:val="18"/>
                <w:szCs w:val="18"/>
                <w:lang w:eastAsia="en-GB"/>
              </w:rPr>
              <w:t>Podiel nákladov na vývoj</w:t>
            </w:r>
          </w:p>
        </w:tc>
        <w:tc>
          <w:tcPr>
            <w:tcW w:w="851" w:type="dxa"/>
            <w:tcBorders>
              <w:top w:val="single" w:sz="4" w:space="0" w:color="auto"/>
              <w:left w:val="nil"/>
              <w:bottom w:val="single" w:sz="4" w:space="0" w:color="auto"/>
              <w:right w:val="nil"/>
            </w:tcBorders>
            <w:shd w:val="clear" w:color="auto" w:fill="auto"/>
            <w:vAlign w:val="bottom"/>
            <w:hideMark/>
          </w:tcPr>
          <w:p w14:paraId="384F85D5" w14:textId="77777777" w:rsidR="00FC6400" w:rsidRPr="0037129E" w:rsidRDefault="00FC6400" w:rsidP="00FC6400">
            <w:pPr>
              <w:spacing w:after="0" w:line="240" w:lineRule="auto"/>
              <w:jc w:val="center"/>
              <w:rPr>
                <w:rFonts w:eastAsia="Times New Roman" w:cs="Calibri"/>
                <w:b/>
                <w:bCs/>
                <w:color w:val="000000"/>
                <w:sz w:val="18"/>
                <w:szCs w:val="18"/>
                <w:lang w:eastAsia="en-GB"/>
              </w:rPr>
            </w:pPr>
            <w:r w:rsidRPr="0037129E">
              <w:rPr>
                <w:rFonts w:eastAsia="Times New Roman" w:cs="Calibri"/>
                <w:b/>
                <w:bCs/>
                <w:color w:val="000000"/>
                <w:sz w:val="18"/>
                <w:szCs w:val="18"/>
                <w:lang w:eastAsia="en-GB"/>
              </w:rPr>
              <w:t>Počet MDs</w:t>
            </w:r>
          </w:p>
        </w:tc>
        <w:tc>
          <w:tcPr>
            <w:tcW w:w="992" w:type="dxa"/>
            <w:tcBorders>
              <w:top w:val="single" w:sz="4" w:space="0" w:color="auto"/>
              <w:left w:val="nil"/>
              <w:bottom w:val="single" w:sz="4" w:space="0" w:color="auto"/>
              <w:right w:val="nil"/>
            </w:tcBorders>
            <w:shd w:val="clear" w:color="auto" w:fill="auto"/>
            <w:vAlign w:val="bottom"/>
            <w:hideMark/>
          </w:tcPr>
          <w:p w14:paraId="5DCE20A2" w14:textId="77777777" w:rsidR="00FC6400" w:rsidRPr="0037129E" w:rsidRDefault="00FC6400" w:rsidP="00FC6400">
            <w:pPr>
              <w:spacing w:after="0" w:line="240" w:lineRule="auto"/>
              <w:jc w:val="center"/>
              <w:rPr>
                <w:rFonts w:eastAsia="Times New Roman" w:cs="Calibri"/>
                <w:b/>
                <w:bCs/>
                <w:color w:val="000000"/>
                <w:sz w:val="18"/>
                <w:szCs w:val="18"/>
                <w:lang w:eastAsia="en-GB"/>
              </w:rPr>
            </w:pPr>
            <w:r w:rsidRPr="0037129E">
              <w:rPr>
                <w:rFonts w:eastAsia="Times New Roman" w:cs="Calibri"/>
                <w:b/>
                <w:bCs/>
                <w:color w:val="000000"/>
                <w:sz w:val="18"/>
                <w:szCs w:val="18"/>
                <w:lang w:eastAsia="en-GB"/>
              </w:rPr>
              <w:t>Priemerný MD rate</w:t>
            </w:r>
          </w:p>
        </w:tc>
        <w:tc>
          <w:tcPr>
            <w:tcW w:w="1276" w:type="dxa"/>
            <w:tcBorders>
              <w:top w:val="single" w:sz="4" w:space="0" w:color="auto"/>
              <w:left w:val="nil"/>
              <w:bottom w:val="single" w:sz="4" w:space="0" w:color="auto"/>
              <w:right w:val="nil"/>
            </w:tcBorders>
            <w:shd w:val="clear" w:color="auto" w:fill="auto"/>
            <w:vAlign w:val="bottom"/>
            <w:hideMark/>
          </w:tcPr>
          <w:p w14:paraId="47C6C20A" w14:textId="77777777" w:rsidR="00FC6400" w:rsidRPr="0037129E" w:rsidRDefault="00FC6400" w:rsidP="00FC6400">
            <w:pPr>
              <w:spacing w:after="0" w:line="240" w:lineRule="auto"/>
              <w:jc w:val="center"/>
              <w:rPr>
                <w:rFonts w:eastAsia="Times New Roman" w:cs="Calibri"/>
                <w:b/>
                <w:bCs/>
                <w:color w:val="000000"/>
                <w:sz w:val="18"/>
                <w:szCs w:val="18"/>
                <w:lang w:eastAsia="en-GB"/>
              </w:rPr>
            </w:pPr>
            <w:r w:rsidRPr="0037129E">
              <w:rPr>
                <w:rFonts w:eastAsia="Times New Roman" w:cs="Calibri"/>
                <w:b/>
                <w:bCs/>
                <w:color w:val="000000"/>
                <w:sz w:val="18"/>
                <w:szCs w:val="18"/>
                <w:lang w:eastAsia="en-GB"/>
              </w:rPr>
              <w:t>Náklady na vývoj SK REF</w:t>
            </w:r>
          </w:p>
        </w:tc>
        <w:tc>
          <w:tcPr>
            <w:tcW w:w="1275" w:type="dxa"/>
            <w:tcBorders>
              <w:top w:val="single" w:sz="4" w:space="0" w:color="auto"/>
              <w:left w:val="nil"/>
              <w:bottom w:val="single" w:sz="4" w:space="0" w:color="auto"/>
              <w:right w:val="nil"/>
            </w:tcBorders>
            <w:shd w:val="clear" w:color="auto" w:fill="auto"/>
            <w:vAlign w:val="bottom"/>
            <w:hideMark/>
          </w:tcPr>
          <w:p w14:paraId="2F0ED5A5" w14:textId="77777777" w:rsidR="00FC6400" w:rsidRPr="0037129E" w:rsidRDefault="00FC6400" w:rsidP="00FC6400">
            <w:pPr>
              <w:spacing w:after="0" w:line="240" w:lineRule="auto"/>
              <w:jc w:val="center"/>
              <w:rPr>
                <w:rFonts w:eastAsia="Times New Roman" w:cs="Calibri"/>
                <w:b/>
                <w:bCs/>
                <w:color w:val="000000"/>
                <w:sz w:val="18"/>
                <w:szCs w:val="18"/>
                <w:lang w:eastAsia="en-GB"/>
              </w:rPr>
            </w:pPr>
            <w:r w:rsidRPr="0037129E">
              <w:rPr>
                <w:rFonts w:eastAsia="Times New Roman" w:cs="Calibri"/>
                <w:b/>
                <w:bCs/>
                <w:color w:val="000000"/>
                <w:sz w:val="18"/>
                <w:szCs w:val="18"/>
                <w:lang w:eastAsia="en-GB"/>
              </w:rPr>
              <w:t>Náklady na vývoj CZ REF</w:t>
            </w:r>
          </w:p>
        </w:tc>
        <w:tc>
          <w:tcPr>
            <w:tcW w:w="851" w:type="dxa"/>
            <w:tcBorders>
              <w:top w:val="single" w:sz="4" w:space="0" w:color="auto"/>
              <w:left w:val="nil"/>
              <w:bottom w:val="single" w:sz="4" w:space="0" w:color="auto"/>
              <w:right w:val="nil"/>
            </w:tcBorders>
            <w:shd w:val="clear" w:color="auto" w:fill="auto"/>
            <w:vAlign w:val="bottom"/>
            <w:hideMark/>
          </w:tcPr>
          <w:p w14:paraId="6726F6E0" w14:textId="77777777" w:rsidR="00FC6400" w:rsidRPr="0037129E" w:rsidRDefault="00FC6400" w:rsidP="00FC6400">
            <w:pPr>
              <w:spacing w:after="0" w:line="240" w:lineRule="auto"/>
              <w:jc w:val="center"/>
              <w:rPr>
                <w:rFonts w:eastAsia="Times New Roman" w:cs="Calibri"/>
                <w:b/>
                <w:bCs/>
                <w:color w:val="000000"/>
                <w:sz w:val="18"/>
                <w:szCs w:val="18"/>
                <w:lang w:eastAsia="en-GB"/>
              </w:rPr>
            </w:pPr>
            <w:r w:rsidRPr="0037129E">
              <w:rPr>
                <w:rFonts w:eastAsia="Times New Roman" w:cs="Calibri"/>
                <w:b/>
                <w:bCs/>
                <w:color w:val="000000"/>
                <w:sz w:val="18"/>
                <w:szCs w:val="18"/>
                <w:lang w:eastAsia="en-GB"/>
              </w:rPr>
              <w:t>Úspora SK REF</w:t>
            </w:r>
          </w:p>
        </w:tc>
        <w:tc>
          <w:tcPr>
            <w:tcW w:w="824" w:type="dxa"/>
            <w:tcBorders>
              <w:top w:val="single" w:sz="4" w:space="0" w:color="auto"/>
              <w:left w:val="nil"/>
              <w:bottom w:val="single" w:sz="4" w:space="0" w:color="auto"/>
              <w:right w:val="nil"/>
            </w:tcBorders>
            <w:shd w:val="clear" w:color="auto" w:fill="auto"/>
            <w:vAlign w:val="bottom"/>
            <w:hideMark/>
          </w:tcPr>
          <w:p w14:paraId="5CD9EAB5" w14:textId="77777777" w:rsidR="00FC6400" w:rsidRPr="0037129E" w:rsidRDefault="00FC6400" w:rsidP="00FC6400">
            <w:pPr>
              <w:spacing w:after="0" w:line="240" w:lineRule="auto"/>
              <w:jc w:val="center"/>
              <w:rPr>
                <w:rFonts w:eastAsia="Times New Roman" w:cs="Calibri"/>
                <w:b/>
                <w:bCs/>
                <w:color w:val="000000"/>
                <w:sz w:val="18"/>
                <w:szCs w:val="18"/>
                <w:lang w:eastAsia="en-GB"/>
              </w:rPr>
            </w:pPr>
            <w:r w:rsidRPr="0037129E">
              <w:rPr>
                <w:rFonts w:eastAsia="Times New Roman" w:cs="Calibri"/>
                <w:b/>
                <w:bCs/>
                <w:color w:val="000000"/>
                <w:sz w:val="18"/>
                <w:szCs w:val="18"/>
                <w:lang w:eastAsia="en-GB"/>
              </w:rPr>
              <w:t>Úspora CZ REF</w:t>
            </w:r>
          </w:p>
        </w:tc>
      </w:tr>
      <w:tr w:rsidR="00FC6400" w:rsidRPr="00FC6400" w14:paraId="723B7C5C" w14:textId="77777777" w:rsidTr="0037129E">
        <w:trPr>
          <w:trHeight w:val="20"/>
        </w:trPr>
        <w:tc>
          <w:tcPr>
            <w:tcW w:w="5387" w:type="dxa"/>
            <w:tcBorders>
              <w:top w:val="nil"/>
              <w:left w:val="nil"/>
              <w:bottom w:val="nil"/>
              <w:right w:val="nil"/>
            </w:tcBorders>
            <w:shd w:val="clear" w:color="auto" w:fill="auto"/>
            <w:vAlign w:val="center"/>
            <w:hideMark/>
          </w:tcPr>
          <w:p w14:paraId="465D092F"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Informačný systém elektronickej fakturácie (IS EFA)</w:t>
            </w:r>
          </w:p>
        </w:tc>
        <w:tc>
          <w:tcPr>
            <w:tcW w:w="992" w:type="dxa"/>
            <w:tcBorders>
              <w:top w:val="nil"/>
              <w:left w:val="nil"/>
              <w:bottom w:val="nil"/>
              <w:right w:val="nil"/>
            </w:tcBorders>
            <w:shd w:val="clear" w:color="auto" w:fill="auto"/>
            <w:noWrap/>
            <w:vAlign w:val="center"/>
            <w:hideMark/>
          </w:tcPr>
          <w:p w14:paraId="7A362C4F"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4,7</w:t>
            </w:r>
          </w:p>
        </w:tc>
        <w:tc>
          <w:tcPr>
            <w:tcW w:w="925" w:type="dxa"/>
            <w:tcBorders>
              <w:top w:val="nil"/>
              <w:left w:val="nil"/>
              <w:bottom w:val="nil"/>
              <w:right w:val="nil"/>
            </w:tcBorders>
            <w:shd w:val="clear" w:color="auto" w:fill="auto"/>
            <w:noWrap/>
            <w:vAlign w:val="center"/>
            <w:hideMark/>
          </w:tcPr>
          <w:p w14:paraId="0B4EC38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4,5</w:t>
            </w:r>
          </w:p>
        </w:tc>
        <w:tc>
          <w:tcPr>
            <w:tcW w:w="1343" w:type="dxa"/>
            <w:tcBorders>
              <w:top w:val="nil"/>
              <w:left w:val="nil"/>
              <w:bottom w:val="nil"/>
              <w:right w:val="nil"/>
            </w:tcBorders>
            <w:shd w:val="clear" w:color="auto" w:fill="auto"/>
            <w:noWrap/>
            <w:vAlign w:val="center"/>
            <w:hideMark/>
          </w:tcPr>
          <w:p w14:paraId="67B0744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96%</w:t>
            </w:r>
          </w:p>
        </w:tc>
        <w:tc>
          <w:tcPr>
            <w:tcW w:w="851" w:type="dxa"/>
            <w:tcBorders>
              <w:top w:val="nil"/>
              <w:left w:val="nil"/>
              <w:bottom w:val="nil"/>
              <w:right w:val="nil"/>
            </w:tcBorders>
            <w:shd w:val="clear" w:color="auto" w:fill="auto"/>
            <w:noWrap/>
            <w:vAlign w:val="center"/>
            <w:hideMark/>
          </w:tcPr>
          <w:p w14:paraId="7768A366"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5 398</w:t>
            </w:r>
          </w:p>
        </w:tc>
        <w:tc>
          <w:tcPr>
            <w:tcW w:w="992" w:type="dxa"/>
            <w:tcBorders>
              <w:top w:val="nil"/>
              <w:left w:val="nil"/>
              <w:bottom w:val="nil"/>
              <w:right w:val="nil"/>
            </w:tcBorders>
            <w:shd w:val="clear" w:color="auto" w:fill="auto"/>
            <w:noWrap/>
            <w:vAlign w:val="center"/>
            <w:hideMark/>
          </w:tcPr>
          <w:p w14:paraId="04516C5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837</w:t>
            </w:r>
          </w:p>
        </w:tc>
        <w:tc>
          <w:tcPr>
            <w:tcW w:w="1276" w:type="dxa"/>
            <w:tcBorders>
              <w:top w:val="nil"/>
              <w:left w:val="nil"/>
              <w:bottom w:val="nil"/>
              <w:right w:val="nil"/>
            </w:tcBorders>
            <w:shd w:val="clear" w:color="auto" w:fill="auto"/>
            <w:noWrap/>
            <w:vAlign w:val="center"/>
            <w:hideMark/>
          </w:tcPr>
          <w:p w14:paraId="42B5982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3,6</w:t>
            </w:r>
          </w:p>
        </w:tc>
        <w:tc>
          <w:tcPr>
            <w:tcW w:w="1275" w:type="dxa"/>
            <w:tcBorders>
              <w:top w:val="nil"/>
              <w:left w:val="nil"/>
              <w:bottom w:val="nil"/>
              <w:right w:val="nil"/>
            </w:tcBorders>
            <w:shd w:val="clear" w:color="auto" w:fill="auto"/>
            <w:noWrap/>
            <w:vAlign w:val="center"/>
            <w:hideMark/>
          </w:tcPr>
          <w:p w14:paraId="4B99D3A6"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2,5</w:t>
            </w:r>
          </w:p>
        </w:tc>
        <w:tc>
          <w:tcPr>
            <w:tcW w:w="851" w:type="dxa"/>
            <w:tcBorders>
              <w:top w:val="nil"/>
              <w:left w:val="nil"/>
              <w:bottom w:val="nil"/>
              <w:right w:val="nil"/>
            </w:tcBorders>
            <w:shd w:val="clear" w:color="auto" w:fill="auto"/>
            <w:noWrap/>
            <w:vAlign w:val="center"/>
            <w:hideMark/>
          </w:tcPr>
          <w:p w14:paraId="675960D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-0,9</w:t>
            </w:r>
          </w:p>
        </w:tc>
        <w:tc>
          <w:tcPr>
            <w:tcW w:w="824" w:type="dxa"/>
            <w:tcBorders>
              <w:top w:val="nil"/>
              <w:left w:val="nil"/>
              <w:bottom w:val="nil"/>
              <w:right w:val="nil"/>
            </w:tcBorders>
            <w:shd w:val="clear" w:color="auto" w:fill="auto"/>
            <w:noWrap/>
            <w:vAlign w:val="center"/>
            <w:hideMark/>
          </w:tcPr>
          <w:p w14:paraId="6AE51AA1"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-2,0</w:t>
            </w:r>
          </w:p>
        </w:tc>
      </w:tr>
      <w:tr w:rsidR="00FC6400" w:rsidRPr="00FC6400" w14:paraId="0361FCAC" w14:textId="77777777" w:rsidTr="0037129E">
        <w:trPr>
          <w:trHeight w:val="20"/>
        </w:trPr>
        <w:tc>
          <w:tcPr>
            <w:tcW w:w="5387" w:type="dxa"/>
            <w:tcBorders>
              <w:top w:val="nil"/>
              <w:left w:val="nil"/>
              <w:bottom w:val="nil"/>
              <w:right w:val="nil"/>
            </w:tcBorders>
            <w:shd w:val="clear" w:color="auto" w:fill="auto"/>
            <w:vAlign w:val="center"/>
            <w:hideMark/>
          </w:tcPr>
          <w:p w14:paraId="6F1EC896"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eInklúzia prostredníctvom komplexného elektronického riešenia problematiky parkovania osôb s ťažkým zdravotným postihnutím</w:t>
            </w:r>
          </w:p>
        </w:tc>
        <w:tc>
          <w:tcPr>
            <w:tcW w:w="992" w:type="dxa"/>
            <w:tcBorders>
              <w:top w:val="nil"/>
              <w:left w:val="nil"/>
              <w:bottom w:val="nil"/>
              <w:right w:val="nil"/>
            </w:tcBorders>
            <w:shd w:val="clear" w:color="auto" w:fill="auto"/>
            <w:noWrap/>
            <w:vAlign w:val="center"/>
            <w:hideMark/>
          </w:tcPr>
          <w:p w14:paraId="0B020361"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13,1</w:t>
            </w:r>
          </w:p>
        </w:tc>
        <w:tc>
          <w:tcPr>
            <w:tcW w:w="925" w:type="dxa"/>
            <w:tcBorders>
              <w:top w:val="nil"/>
              <w:left w:val="nil"/>
              <w:bottom w:val="nil"/>
              <w:right w:val="nil"/>
            </w:tcBorders>
            <w:shd w:val="clear" w:color="auto" w:fill="auto"/>
            <w:noWrap/>
            <w:vAlign w:val="center"/>
            <w:hideMark/>
          </w:tcPr>
          <w:p w14:paraId="67484E7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0,5</w:t>
            </w:r>
          </w:p>
        </w:tc>
        <w:tc>
          <w:tcPr>
            <w:tcW w:w="1343" w:type="dxa"/>
            <w:tcBorders>
              <w:top w:val="nil"/>
              <w:left w:val="nil"/>
              <w:bottom w:val="nil"/>
              <w:right w:val="nil"/>
            </w:tcBorders>
            <w:shd w:val="clear" w:color="auto" w:fill="auto"/>
            <w:noWrap/>
            <w:vAlign w:val="center"/>
            <w:hideMark/>
          </w:tcPr>
          <w:p w14:paraId="5BF72E3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w:t>
            </w:r>
          </w:p>
        </w:tc>
        <w:tc>
          <w:tcPr>
            <w:tcW w:w="851" w:type="dxa"/>
            <w:tcBorders>
              <w:top w:val="nil"/>
              <w:left w:val="nil"/>
              <w:bottom w:val="nil"/>
              <w:right w:val="nil"/>
            </w:tcBorders>
            <w:shd w:val="clear" w:color="auto" w:fill="auto"/>
            <w:noWrap/>
            <w:vAlign w:val="center"/>
            <w:hideMark/>
          </w:tcPr>
          <w:p w14:paraId="34B46E36"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599</w:t>
            </w:r>
          </w:p>
        </w:tc>
        <w:tc>
          <w:tcPr>
            <w:tcW w:w="992" w:type="dxa"/>
            <w:tcBorders>
              <w:top w:val="nil"/>
              <w:left w:val="nil"/>
              <w:bottom w:val="nil"/>
              <w:right w:val="nil"/>
            </w:tcBorders>
            <w:shd w:val="clear" w:color="auto" w:fill="auto"/>
            <w:noWrap/>
            <w:vAlign w:val="center"/>
            <w:hideMark/>
          </w:tcPr>
          <w:p w14:paraId="08F4E7F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787</w:t>
            </w:r>
          </w:p>
        </w:tc>
        <w:tc>
          <w:tcPr>
            <w:tcW w:w="1276" w:type="dxa"/>
            <w:tcBorders>
              <w:top w:val="nil"/>
              <w:left w:val="nil"/>
              <w:bottom w:val="nil"/>
              <w:right w:val="nil"/>
            </w:tcBorders>
            <w:shd w:val="clear" w:color="auto" w:fill="auto"/>
            <w:noWrap/>
            <w:vAlign w:val="center"/>
            <w:hideMark/>
          </w:tcPr>
          <w:p w14:paraId="3674644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0,4</w:t>
            </w:r>
          </w:p>
        </w:tc>
        <w:tc>
          <w:tcPr>
            <w:tcW w:w="1275" w:type="dxa"/>
            <w:tcBorders>
              <w:top w:val="nil"/>
              <w:left w:val="nil"/>
              <w:bottom w:val="nil"/>
              <w:right w:val="nil"/>
            </w:tcBorders>
            <w:shd w:val="clear" w:color="auto" w:fill="auto"/>
            <w:noWrap/>
            <w:vAlign w:val="center"/>
            <w:hideMark/>
          </w:tcPr>
          <w:p w14:paraId="2A378DF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0,3</w:t>
            </w:r>
          </w:p>
        </w:tc>
        <w:tc>
          <w:tcPr>
            <w:tcW w:w="851" w:type="dxa"/>
            <w:tcBorders>
              <w:top w:val="nil"/>
              <w:left w:val="nil"/>
              <w:bottom w:val="nil"/>
              <w:right w:val="nil"/>
            </w:tcBorders>
            <w:shd w:val="clear" w:color="auto" w:fill="auto"/>
            <w:noWrap/>
            <w:vAlign w:val="center"/>
            <w:hideMark/>
          </w:tcPr>
          <w:p w14:paraId="304E5A4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-0,1</w:t>
            </w:r>
          </w:p>
        </w:tc>
        <w:tc>
          <w:tcPr>
            <w:tcW w:w="824" w:type="dxa"/>
            <w:tcBorders>
              <w:top w:val="nil"/>
              <w:left w:val="nil"/>
              <w:bottom w:val="nil"/>
              <w:right w:val="nil"/>
            </w:tcBorders>
            <w:shd w:val="clear" w:color="auto" w:fill="auto"/>
            <w:noWrap/>
            <w:vAlign w:val="center"/>
            <w:hideMark/>
          </w:tcPr>
          <w:p w14:paraId="48EB3BCD"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-0,2</w:t>
            </w:r>
          </w:p>
        </w:tc>
      </w:tr>
      <w:tr w:rsidR="00FC6400" w:rsidRPr="00FC6400" w14:paraId="164AB848" w14:textId="77777777" w:rsidTr="0037129E">
        <w:trPr>
          <w:trHeight w:val="20"/>
        </w:trPr>
        <w:tc>
          <w:tcPr>
            <w:tcW w:w="5387" w:type="dxa"/>
            <w:tcBorders>
              <w:top w:val="nil"/>
              <w:left w:val="nil"/>
              <w:bottom w:val="nil"/>
              <w:right w:val="nil"/>
            </w:tcBorders>
            <w:shd w:val="clear" w:color="auto" w:fill="auto"/>
            <w:vAlign w:val="center"/>
            <w:hideMark/>
          </w:tcPr>
          <w:p w14:paraId="6126F3C0"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Redizajn siete GOVNET</w:t>
            </w:r>
          </w:p>
        </w:tc>
        <w:tc>
          <w:tcPr>
            <w:tcW w:w="992" w:type="dxa"/>
            <w:tcBorders>
              <w:top w:val="nil"/>
              <w:left w:val="nil"/>
              <w:bottom w:val="nil"/>
              <w:right w:val="nil"/>
            </w:tcBorders>
            <w:shd w:val="clear" w:color="auto" w:fill="auto"/>
            <w:noWrap/>
            <w:vAlign w:val="center"/>
            <w:hideMark/>
          </w:tcPr>
          <w:p w14:paraId="2E61FF7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10,1</w:t>
            </w:r>
          </w:p>
        </w:tc>
        <w:tc>
          <w:tcPr>
            <w:tcW w:w="925" w:type="dxa"/>
            <w:tcBorders>
              <w:top w:val="nil"/>
              <w:left w:val="nil"/>
              <w:bottom w:val="nil"/>
              <w:right w:val="nil"/>
            </w:tcBorders>
            <w:shd w:val="clear" w:color="auto" w:fill="auto"/>
            <w:noWrap/>
            <w:vAlign w:val="center"/>
            <w:hideMark/>
          </w:tcPr>
          <w:p w14:paraId="0092559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1343" w:type="dxa"/>
            <w:tcBorders>
              <w:top w:val="nil"/>
              <w:left w:val="nil"/>
              <w:bottom w:val="nil"/>
              <w:right w:val="nil"/>
            </w:tcBorders>
            <w:shd w:val="clear" w:color="auto" w:fill="auto"/>
            <w:noWrap/>
            <w:vAlign w:val="center"/>
            <w:hideMark/>
          </w:tcPr>
          <w:p w14:paraId="08EA682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w:t>
            </w:r>
          </w:p>
        </w:tc>
        <w:tc>
          <w:tcPr>
            <w:tcW w:w="851" w:type="dxa"/>
            <w:tcBorders>
              <w:top w:val="nil"/>
              <w:left w:val="nil"/>
              <w:bottom w:val="nil"/>
              <w:right w:val="nil"/>
            </w:tcBorders>
            <w:shd w:val="clear" w:color="auto" w:fill="auto"/>
            <w:noWrap/>
            <w:vAlign w:val="center"/>
            <w:hideMark/>
          </w:tcPr>
          <w:p w14:paraId="23A9B7DF"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w:t>
            </w:r>
          </w:p>
        </w:tc>
        <w:tc>
          <w:tcPr>
            <w:tcW w:w="992" w:type="dxa"/>
            <w:tcBorders>
              <w:top w:val="nil"/>
              <w:left w:val="nil"/>
              <w:bottom w:val="nil"/>
              <w:right w:val="nil"/>
            </w:tcBorders>
            <w:shd w:val="clear" w:color="auto" w:fill="auto"/>
            <w:noWrap/>
            <w:vAlign w:val="center"/>
            <w:hideMark/>
          </w:tcPr>
          <w:p w14:paraId="40FFAAF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w:t>
            </w:r>
          </w:p>
        </w:tc>
        <w:tc>
          <w:tcPr>
            <w:tcW w:w="1276" w:type="dxa"/>
            <w:tcBorders>
              <w:top w:val="nil"/>
              <w:left w:val="nil"/>
              <w:bottom w:val="nil"/>
              <w:right w:val="nil"/>
            </w:tcBorders>
            <w:shd w:val="clear" w:color="auto" w:fill="auto"/>
            <w:noWrap/>
            <w:vAlign w:val="center"/>
            <w:hideMark/>
          </w:tcPr>
          <w:p w14:paraId="2B4F53E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1275" w:type="dxa"/>
            <w:tcBorders>
              <w:top w:val="nil"/>
              <w:left w:val="nil"/>
              <w:bottom w:val="nil"/>
              <w:right w:val="nil"/>
            </w:tcBorders>
            <w:shd w:val="clear" w:color="auto" w:fill="auto"/>
            <w:noWrap/>
            <w:vAlign w:val="center"/>
            <w:hideMark/>
          </w:tcPr>
          <w:p w14:paraId="1D51EE7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851" w:type="dxa"/>
            <w:tcBorders>
              <w:top w:val="nil"/>
              <w:left w:val="nil"/>
              <w:bottom w:val="nil"/>
              <w:right w:val="nil"/>
            </w:tcBorders>
            <w:shd w:val="clear" w:color="auto" w:fill="auto"/>
            <w:noWrap/>
            <w:vAlign w:val="center"/>
            <w:hideMark/>
          </w:tcPr>
          <w:p w14:paraId="6B359A7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824" w:type="dxa"/>
            <w:tcBorders>
              <w:top w:val="nil"/>
              <w:left w:val="nil"/>
              <w:bottom w:val="nil"/>
              <w:right w:val="nil"/>
            </w:tcBorders>
            <w:shd w:val="clear" w:color="auto" w:fill="auto"/>
            <w:noWrap/>
            <w:vAlign w:val="center"/>
            <w:hideMark/>
          </w:tcPr>
          <w:p w14:paraId="0273247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r>
      <w:tr w:rsidR="00FC6400" w:rsidRPr="00FC6400" w14:paraId="248083BB" w14:textId="77777777" w:rsidTr="0037129E">
        <w:trPr>
          <w:trHeight w:val="20"/>
        </w:trPr>
        <w:tc>
          <w:tcPr>
            <w:tcW w:w="5387" w:type="dxa"/>
            <w:tcBorders>
              <w:top w:val="nil"/>
              <w:left w:val="nil"/>
              <w:bottom w:val="nil"/>
              <w:right w:val="nil"/>
            </w:tcBorders>
            <w:shd w:val="clear" w:color="auto" w:fill="auto"/>
            <w:vAlign w:val="center"/>
            <w:hideMark/>
          </w:tcPr>
          <w:p w14:paraId="4B8C6DD6"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Informačný systém Kancelárie Najvyššieho súdu</w:t>
            </w:r>
          </w:p>
        </w:tc>
        <w:tc>
          <w:tcPr>
            <w:tcW w:w="992" w:type="dxa"/>
            <w:tcBorders>
              <w:top w:val="nil"/>
              <w:left w:val="nil"/>
              <w:bottom w:val="nil"/>
              <w:right w:val="nil"/>
            </w:tcBorders>
            <w:shd w:val="clear" w:color="auto" w:fill="auto"/>
            <w:noWrap/>
            <w:vAlign w:val="center"/>
            <w:hideMark/>
          </w:tcPr>
          <w:p w14:paraId="655E86C1"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5,8</w:t>
            </w:r>
          </w:p>
        </w:tc>
        <w:tc>
          <w:tcPr>
            <w:tcW w:w="925" w:type="dxa"/>
            <w:tcBorders>
              <w:top w:val="nil"/>
              <w:left w:val="nil"/>
              <w:bottom w:val="nil"/>
              <w:right w:val="nil"/>
            </w:tcBorders>
            <w:shd w:val="clear" w:color="auto" w:fill="auto"/>
            <w:noWrap/>
            <w:vAlign w:val="center"/>
            <w:hideMark/>
          </w:tcPr>
          <w:p w14:paraId="7664760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3,8</w:t>
            </w:r>
          </w:p>
        </w:tc>
        <w:tc>
          <w:tcPr>
            <w:tcW w:w="1343" w:type="dxa"/>
            <w:tcBorders>
              <w:top w:val="nil"/>
              <w:left w:val="nil"/>
              <w:bottom w:val="nil"/>
              <w:right w:val="nil"/>
            </w:tcBorders>
            <w:shd w:val="clear" w:color="auto" w:fill="auto"/>
            <w:noWrap/>
            <w:vAlign w:val="center"/>
            <w:hideMark/>
          </w:tcPr>
          <w:p w14:paraId="0711A5B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65%</w:t>
            </w:r>
          </w:p>
        </w:tc>
        <w:tc>
          <w:tcPr>
            <w:tcW w:w="851" w:type="dxa"/>
            <w:tcBorders>
              <w:top w:val="nil"/>
              <w:left w:val="nil"/>
              <w:bottom w:val="nil"/>
              <w:right w:val="nil"/>
            </w:tcBorders>
            <w:shd w:val="clear" w:color="auto" w:fill="auto"/>
            <w:noWrap/>
            <w:vAlign w:val="center"/>
            <w:hideMark/>
          </w:tcPr>
          <w:p w14:paraId="4B0E508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4 977</w:t>
            </w:r>
          </w:p>
        </w:tc>
        <w:tc>
          <w:tcPr>
            <w:tcW w:w="992" w:type="dxa"/>
            <w:tcBorders>
              <w:top w:val="nil"/>
              <w:left w:val="nil"/>
              <w:bottom w:val="nil"/>
              <w:right w:val="nil"/>
            </w:tcBorders>
            <w:shd w:val="clear" w:color="auto" w:fill="auto"/>
            <w:noWrap/>
            <w:vAlign w:val="center"/>
            <w:hideMark/>
          </w:tcPr>
          <w:p w14:paraId="7F34A4C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757</w:t>
            </w:r>
          </w:p>
        </w:tc>
        <w:tc>
          <w:tcPr>
            <w:tcW w:w="1276" w:type="dxa"/>
            <w:tcBorders>
              <w:top w:val="nil"/>
              <w:left w:val="nil"/>
              <w:bottom w:val="nil"/>
              <w:right w:val="nil"/>
            </w:tcBorders>
            <w:shd w:val="clear" w:color="auto" w:fill="auto"/>
            <w:noWrap/>
            <w:vAlign w:val="center"/>
            <w:hideMark/>
          </w:tcPr>
          <w:p w14:paraId="21A2870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3,3</w:t>
            </w:r>
          </w:p>
        </w:tc>
        <w:tc>
          <w:tcPr>
            <w:tcW w:w="1275" w:type="dxa"/>
            <w:tcBorders>
              <w:top w:val="nil"/>
              <w:left w:val="nil"/>
              <w:bottom w:val="nil"/>
              <w:right w:val="nil"/>
            </w:tcBorders>
            <w:shd w:val="clear" w:color="auto" w:fill="auto"/>
            <w:noWrap/>
            <w:vAlign w:val="center"/>
            <w:hideMark/>
          </w:tcPr>
          <w:p w14:paraId="73226FC1"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2,3</w:t>
            </w:r>
          </w:p>
        </w:tc>
        <w:tc>
          <w:tcPr>
            <w:tcW w:w="851" w:type="dxa"/>
            <w:tcBorders>
              <w:top w:val="nil"/>
              <w:left w:val="nil"/>
              <w:bottom w:val="nil"/>
              <w:right w:val="nil"/>
            </w:tcBorders>
            <w:shd w:val="clear" w:color="auto" w:fill="auto"/>
            <w:noWrap/>
            <w:vAlign w:val="center"/>
            <w:hideMark/>
          </w:tcPr>
          <w:p w14:paraId="0B262E0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-0,4</w:t>
            </w:r>
          </w:p>
        </w:tc>
        <w:tc>
          <w:tcPr>
            <w:tcW w:w="824" w:type="dxa"/>
            <w:tcBorders>
              <w:top w:val="nil"/>
              <w:left w:val="nil"/>
              <w:bottom w:val="nil"/>
              <w:right w:val="nil"/>
            </w:tcBorders>
            <w:shd w:val="clear" w:color="auto" w:fill="auto"/>
            <w:noWrap/>
            <w:vAlign w:val="center"/>
            <w:hideMark/>
          </w:tcPr>
          <w:p w14:paraId="52BFD5F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-1,5</w:t>
            </w:r>
          </w:p>
        </w:tc>
      </w:tr>
      <w:tr w:rsidR="00FC6400" w:rsidRPr="00FC6400" w14:paraId="471E844A" w14:textId="77777777" w:rsidTr="0037129E">
        <w:trPr>
          <w:trHeight w:val="20"/>
        </w:trPr>
        <w:tc>
          <w:tcPr>
            <w:tcW w:w="5387" w:type="dxa"/>
            <w:tcBorders>
              <w:top w:val="nil"/>
              <w:left w:val="nil"/>
              <w:bottom w:val="nil"/>
              <w:right w:val="nil"/>
            </w:tcBorders>
            <w:shd w:val="clear" w:color="auto" w:fill="auto"/>
            <w:vAlign w:val="center"/>
            <w:hideMark/>
          </w:tcPr>
          <w:p w14:paraId="714A6157"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Integrovaný systém úradov verejného zdravotníctva</w:t>
            </w:r>
          </w:p>
        </w:tc>
        <w:tc>
          <w:tcPr>
            <w:tcW w:w="992" w:type="dxa"/>
            <w:tcBorders>
              <w:top w:val="nil"/>
              <w:left w:val="nil"/>
              <w:bottom w:val="nil"/>
              <w:right w:val="nil"/>
            </w:tcBorders>
            <w:shd w:val="clear" w:color="auto" w:fill="auto"/>
            <w:noWrap/>
            <w:vAlign w:val="center"/>
            <w:hideMark/>
          </w:tcPr>
          <w:p w14:paraId="4D85409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18,0</w:t>
            </w:r>
          </w:p>
        </w:tc>
        <w:tc>
          <w:tcPr>
            <w:tcW w:w="925" w:type="dxa"/>
            <w:tcBorders>
              <w:top w:val="nil"/>
              <w:left w:val="nil"/>
              <w:bottom w:val="nil"/>
              <w:right w:val="nil"/>
            </w:tcBorders>
            <w:shd w:val="clear" w:color="auto" w:fill="auto"/>
            <w:noWrap/>
            <w:vAlign w:val="center"/>
            <w:hideMark/>
          </w:tcPr>
          <w:p w14:paraId="0C0BAF9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17,2</w:t>
            </w:r>
          </w:p>
        </w:tc>
        <w:tc>
          <w:tcPr>
            <w:tcW w:w="1343" w:type="dxa"/>
            <w:tcBorders>
              <w:top w:val="nil"/>
              <w:left w:val="nil"/>
              <w:bottom w:val="nil"/>
              <w:right w:val="nil"/>
            </w:tcBorders>
            <w:shd w:val="clear" w:color="auto" w:fill="auto"/>
            <w:noWrap/>
            <w:vAlign w:val="center"/>
            <w:hideMark/>
          </w:tcPr>
          <w:p w14:paraId="375CA37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96%</w:t>
            </w:r>
          </w:p>
        </w:tc>
        <w:tc>
          <w:tcPr>
            <w:tcW w:w="851" w:type="dxa"/>
            <w:tcBorders>
              <w:top w:val="nil"/>
              <w:left w:val="nil"/>
              <w:bottom w:val="nil"/>
              <w:right w:val="nil"/>
            </w:tcBorders>
            <w:shd w:val="clear" w:color="auto" w:fill="auto"/>
            <w:noWrap/>
            <w:vAlign w:val="center"/>
            <w:hideMark/>
          </w:tcPr>
          <w:p w14:paraId="77F854CF"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22 650</w:t>
            </w:r>
          </w:p>
        </w:tc>
        <w:tc>
          <w:tcPr>
            <w:tcW w:w="992" w:type="dxa"/>
            <w:tcBorders>
              <w:top w:val="nil"/>
              <w:left w:val="nil"/>
              <w:bottom w:val="nil"/>
              <w:right w:val="nil"/>
            </w:tcBorders>
            <w:shd w:val="clear" w:color="auto" w:fill="auto"/>
            <w:noWrap/>
            <w:vAlign w:val="center"/>
            <w:hideMark/>
          </w:tcPr>
          <w:p w14:paraId="0CDA931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758</w:t>
            </w:r>
          </w:p>
        </w:tc>
        <w:tc>
          <w:tcPr>
            <w:tcW w:w="1276" w:type="dxa"/>
            <w:tcBorders>
              <w:top w:val="nil"/>
              <w:left w:val="nil"/>
              <w:bottom w:val="nil"/>
              <w:right w:val="nil"/>
            </w:tcBorders>
            <w:shd w:val="clear" w:color="auto" w:fill="auto"/>
            <w:noWrap/>
            <w:vAlign w:val="center"/>
            <w:hideMark/>
          </w:tcPr>
          <w:p w14:paraId="3848D56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15,2</w:t>
            </w:r>
          </w:p>
        </w:tc>
        <w:tc>
          <w:tcPr>
            <w:tcW w:w="1275" w:type="dxa"/>
            <w:tcBorders>
              <w:top w:val="nil"/>
              <w:left w:val="nil"/>
              <w:bottom w:val="nil"/>
              <w:right w:val="nil"/>
            </w:tcBorders>
            <w:shd w:val="clear" w:color="auto" w:fill="auto"/>
            <w:noWrap/>
            <w:vAlign w:val="center"/>
            <w:hideMark/>
          </w:tcPr>
          <w:p w14:paraId="5D2FD5A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10,4</w:t>
            </w:r>
          </w:p>
        </w:tc>
        <w:tc>
          <w:tcPr>
            <w:tcW w:w="851" w:type="dxa"/>
            <w:tcBorders>
              <w:top w:val="nil"/>
              <w:left w:val="nil"/>
              <w:bottom w:val="nil"/>
              <w:right w:val="nil"/>
            </w:tcBorders>
            <w:shd w:val="clear" w:color="auto" w:fill="auto"/>
            <w:noWrap/>
            <w:vAlign w:val="center"/>
            <w:hideMark/>
          </w:tcPr>
          <w:p w14:paraId="0F23CCC6"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-2,0</w:t>
            </w:r>
          </w:p>
        </w:tc>
        <w:tc>
          <w:tcPr>
            <w:tcW w:w="824" w:type="dxa"/>
            <w:tcBorders>
              <w:top w:val="nil"/>
              <w:left w:val="nil"/>
              <w:bottom w:val="nil"/>
              <w:right w:val="nil"/>
            </w:tcBorders>
            <w:shd w:val="clear" w:color="auto" w:fill="auto"/>
            <w:noWrap/>
            <w:vAlign w:val="center"/>
            <w:hideMark/>
          </w:tcPr>
          <w:p w14:paraId="6B73736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-6,8</w:t>
            </w:r>
          </w:p>
        </w:tc>
      </w:tr>
      <w:tr w:rsidR="00FC6400" w:rsidRPr="00FC6400" w14:paraId="7539BAD5" w14:textId="77777777" w:rsidTr="0037129E">
        <w:trPr>
          <w:trHeight w:val="20"/>
        </w:trPr>
        <w:tc>
          <w:tcPr>
            <w:tcW w:w="5387" w:type="dxa"/>
            <w:tcBorders>
              <w:top w:val="nil"/>
              <w:left w:val="nil"/>
              <w:bottom w:val="nil"/>
              <w:right w:val="nil"/>
            </w:tcBorders>
            <w:shd w:val="clear" w:color="auto" w:fill="auto"/>
            <w:vAlign w:val="center"/>
            <w:hideMark/>
          </w:tcPr>
          <w:p w14:paraId="78C5F74D"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Jednotný prístup k priestorovým údajom a službám – JPPÚS</w:t>
            </w:r>
          </w:p>
        </w:tc>
        <w:tc>
          <w:tcPr>
            <w:tcW w:w="992" w:type="dxa"/>
            <w:tcBorders>
              <w:top w:val="nil"/>
              <w:left w:val="nil"/>
              <w:bottom w:val="nil"/>
              <w:right w:val="nil"/>
            </w:tcBorders>
            <w:shd w:val="clear" w:color="auto" w:fill="auto"/>
            <w:noWrap/>
            <w:vAlign w:val="center"/>
            <w:hideMark/>
          </w:tcPr>
          <w:p w14:paraId="5DAD3EC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9,3</w:t>
            </w:r>
          </w:p>
        </w:tc>
        <w:tc>
          <w:tcPr>
            <w:tcW w:w="925" w:type="dxa"/>
            <w:tcBorders>
              <w:top w:val="nil"/>
              <w:left w:val="nil"/>
              <w:bottom w:val="nil"/>
              <w:right w:val="nil"/>
            </w:tcBorders>
            <w:shd w:val="clear" w:color="auto" w:fill="auto"/>
            <w:noWrap/>
            <w:vAlign w:val="center"/>
            <w:hideMark/>
          </w:tcPr>
          <w:p w14:paraId="5A4F4C2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7,2</w:t>
            </w:r>
          </w:p>
        </w:tc>
        <w:tc>
          <w:tcPr>
            <w:tcW w:w="1343" w:type="dxa"/>
            <w:tcBorders>
              <w:top w:val="nil"/>
              <w:left w:val="nil"/>
              <w:bottom w:val="nil"/>
              <w:right w:val="nil"/>
            </w:tcBorders>
            <w:shd w:val="clear" w:color="auto" w:fill="auto"/>
            <w:noWrap/>
            <w:vAlign w:val="center"/>
            <w:hideMark/>
          </w:tcPr>
          <w:p w14:paraId="2F29AD3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77%</w:t>
            </w:r>
          </w:p>
        </w:tc>
        <w:tc>
          <w:tcPr>
            <w:tcW w:w="851" w:type="dxa"/>
            <w:tcBorders>
              <w:top w:val="nil"/>
              <w:left w:val="nil"/>
              <w:bottom w:val="nil"/>
              <w:right w:val="nil"/>
            </w:tcBorders>
            <w:shd w:val="clear" w:color="auto" w:fill="auto"/>
            <w:noWrap/>
            <w:vAlign w:val="center"/>
            <w:hideMark/>
          </w:tcPr>
          <w:p w14:paraId="6CE7F006"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10 097</w:t>
            </w:r>
          </w:p>
        </w:tc>
        <w:tc>
          <w:tcPr>
            <w:tcW w:w="992" w:type="dxa"/>
            <w:tcBorders>
              <w:top w:val="nil"/>
              <w:left w:val="nil"/>
              <w:bottom w:val="nil"/>
              <w:right w:val="nil"/>
            </w:tcBorders>
            <w:shd w:val="clear" w:color="auto" w:fill="auto"/>
            <w:noWrap/>
            <w:vAlign w:val="center"/>
            <w:hideMark/>
          </w:tcPr>
          <w:p w14:paraId="18F0017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712</w:t>
            </w:r>
          </w:p>
        </w:tc>
        <w:tc>
          <w:tcPr>
            <w:tcW w:w="1276" w:type="dxa"/>
            <w:tcBorders>
              <w:top w:val="nil"/>
              <w:left w:val="nil"/>
              <w:bottom w:val="nil"/>
              <w:right w:val="nil"/>
            </w:tcBorders>
            <w:shd w:val="clear" w:color="auto" w:fill="auto"/>
            <w:noWrap/>
            <w:vAlign w:val="center"/>
            <w:hideMark/>
          </w:tcPr>
          <w:p w14:paraId="4A75835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6,8</w:t>
            </w:r>
          </w:p>
        </w:tc>
        <w:tc>
          <w:tcPr>
            <w:tcW w:w="1275" w:type="dxa"/>
            <w:tcBorders>
              <w:top w:val="nil"/>
              <w:left w:val="nil"/>
              <w:bottom w:val="nil"/>
              <w:right w:val="nil"/>
            </w:tcBorders>
            <w:shd w:val="clear" w:color="auto" w:fill="auto"/>
            <w:noWrap/>
            <w:vAlign w:val="center"/>
            <w:hideMark/>
          </w:tcPr>
          <w:p w14:paraId="193D125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4,6</w:t>
            </w:r>
          </w:p>
        </w:tc>
        <w:tc>
          <w:tcPr>
            <w:tcW w:w="851" w:type="dxa"/>
            <w:tcBorders>
              <w:top w:val="nil"/>
              <w:left w:val="nil"/>
              <w:bottom w:val="nil"/>
              <w:right w:val="nil"/>
            </w:tcBorders>
            <w:shd w:val="clear" w:color="auto" w:fill="auto"/>
            <w:noWrap/>
            <w:vAlign w:val="center"/>
            <w:hideMark/>
          </w:tcPr>
          <w:p w14:paraId="56F4D2F1"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-0,4</w:t>
            </w:r>
          </w:p>
        </w:tc>
        <w:tc>
          <w:tcPr>
            <w:tcW w:w="824" w:type="dxa"/>
            <w:tcBorders>
              <w:top w:val="nil"/>
              <w:left w:val="nil"/>
              <w:bottom w:val="nil"/>
              <w:right w:val="nil"/>
            </w:tcBorders>
            <w:shd w:val="clear" w:color="auto" w:fill="auto"/>
            <w:noWrap/>
            <w:vAlign w:val="center"/>
            <w:hideMark/>
          </w:tcPr>
          <w:p w14:paraId="094D4AC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-2,6</w:t>
            </w:r>
          </w:p>
        </w:tc>
      </w:tr>
      <w:tr w:rsidR="00FC6400" w:rsidRPr="00FC6400" w14:paraId="4F429A85" w14:textId="77777777" w:rsidTr="0037129E">
        <w:trPr>
          <w:trHeight w:val="20"/>
        </w:trPr>
        <w:tc>
          <w:tcPr>
            <w:tcW w:w="5387" w:type="dxa"/>
            <w:tcBorders>
              <w:top w:val="nil"/>
              <w:left w:val="nil"/>
              <w:bottom w:val="nil"/>
              <w:right w:val="nil"/>
            </w:tcBorders>
            <w:shd w:val="clear" w:color="auto" w:fill="auto"/>
            <w:vAlign w:val="center"/>
            <w:hideMark/>
          </w:tcPr>
          <w:p w14:paraId="42C16CB9"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Elektronizácia služieb NIP</w:t>
            </w:r>
          </w:p>
        </w:tc>
        <w:tc>
          <w:tcPr>
            <w:tcW w:w="992" w:type="dxa"/>
            <w:tcBorders>
              <w:top w:val="nil"/>
              <w:left w:val="nil"/>
              <w:bottom w:val="nil"/>
              <w:right w:val="nil"/>
            </w:tcBorders>
            <w:shd w:val="clear" w:color="auto" w:fill="auto"/>
            <w:noWrap/>
            <w:vAlign w:val="center"/>
            <w:hideMark/>
          </w:tcPr>
          <w:p w14:paraId="1174CC0D"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5,5</w:t>
            </w:r>
          </w:p>
        </w:tc>
        <w:tc>
          <w:tcPr>
            <w:tcW w:w="925" w:type="dxa"/>
            <w:tcBorders>
              <w:top w:val="nil"/>
              <w:left w:val="nil"/>
              <w:bottom w:val="nil"/>
              <w:right w:val="nil"/>
            </w:tcBorders>
            <w:shd w:val="clear" w:color="auto" w:fill="auto"/>
            <w:noWrap/>
            <w:vAlign w:val="center"/>
            <w:hideMark/>
          </w:tcPr>
          <w:p w14:paraId="48C4D63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4,5</w:t>
            </w:r>
          </w:p>
        </w:tc>
        <w:tc>
          <w:tcPr>
            <w:tcW w:w="1343" w:type="dxa"/>
            <w:tcBorders>
              <w:top w:val="nil"/>
              <w:left w:val="nil"/>
              <w:bottom w:val="nil"/>
              <w:right w:val="nil"/>
            </w:tcBorders>
            <w:shd w:val="clear" w:color="auto" w:fill="auto"/>
            <w:noWrap/>
            <w:vAlign w:val="center"/>
            <w:hideMark/>
          </w:tcPr>
          <w:p w14:paraId="425A6DA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82%</w:t>
            </w:r>
          </w:p>
        </w:tc>
        <w:tc>
          <w:tcPr>
            <w:tcW w:w="851" w:type="dxa"/>
            <w:tcBorders>
              <w:top w:val="nil"/>
              <w:left w:val="nil"/>
              <w:bottom w:val="nil"/>
              <w:right w:val="nil"/>
            </w:tcBorders>
            <w:shd w:val="clear" w:color="auto" w:fill="auto"/>
            <w:noWrap/>
            <w:vAlign w:val="center"/>
            <w:hideMark/>
          </w:tcPr>
          <w:p w14:paraId="222E1EB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5 368</w:t>
            </w:r>
          </w:p>
        </w:tc>
        <w:tc>
          <w:tcPr>
            <w:tcW w:w="992" w:type="dxa"/>
            <w:tcBorders>
              <w:top w:val="nil"/>
              <w:left w:val="nil"/>
              <w:bottom w:val="nil"/>
              <w:right w:val="nil"/>
            </w:tcBorders>
            <w:shd w:val="clear" w:color="auto" w:fill="auto"/>
            <w:noWrap/>
            <w:vAlign w:val="center"/>
            <w:hideMark/>
          </w:tcPr>
          <w:p w14:paraId="5E5D84B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841</w:t>
            </w:r>
          </w:p>
        </w:tc>
        <w:tc>
          <w:tcPr>
            <w:tcW w:w="1276" w:type="dxa"/>
            <w:tcBorders>
              <w:top w:val="nil"/>
              <w:left w:val="nil"/>
              <w:bottom w:val="nil"/>
              <w:right w:val="nil"/>
            </w:tcBorders>
            <w:shd w:val="clear" w:color="auto" w:fill="auto"/>
            <w:noWrap/>
            <w:vAlign w:val="center"/>
            <w:hideMark/>
          </w:tcPr>
          <w:p w14:paraId="44B9FED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3,6</w:t>
            </w:r>
          </w:p>
        </w:tc>
        <w:tc>
          <w:tcPr>
            <w:tcW w:w="1275" w:type="dxa"/>
            <w:tcBorders>
              <w:top w:val="nil"/>
              <w:left w:val="nil"/>
              <w:bottom w:val="nil"/>
              <w:right w:val="nil"/>
            </w:tcBorders>
            <w:shd w:val="clear" w:color="auto" w:fill="auto"/>
            <w:noWrap/>
            <w:vAlign w:val="center"/>
            <w:hideMark/>
          </w:tcPr>
          <w:p w14:paraId="2E72FA3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2,5</w:t>
            </w:r>
          </w:p>
        </w:tc>
        <w:tc>
          <w:tcPr>
            <w:tcW w:w="851" w:type="dxa"/>
            <w:tcBorders>
              <w:top w:val="nil"/>
              <w:left w:val="nil"/>
              <w:bottom w:val="nil"/>
              <w:right w:val="nil"/>
            </w:tcBorders>
            <w:shd w:val="clear" w:color="auto" w:fill="auto"/>
            <w:noWrap/>
            <w:vAlign w:val="center"/>
            <w:hideMark/>
          </w:tcPr>
          <w:p w14:paraId="0BF6D87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-0,9</w:t>
            </w:r>
          </w:p>
        </w:tc>
        <w:tc>
          <w:tcPr>
            <w:tcW w:w="824" w:type="dxa"/>
            <w:tcBorders>
              <w:top w:val="nil"/>
              <w:left w:val="nil"/>
              <w:bottom w:val="nil"/>
              <w:right w:val="nil"/>
            </w:tcBorders>
            <w:shd w:val="clear" w:color="auto" w:fill="auto"/>
            <w:noWrap/>
            <w:vAlign w:val="center"/>
            <w:hideMark/>
          </w:tcPr>
          <w:p w14:paraId="17DB331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-2,0</w:t>
            </w:r>
          </w:p>
        </w:tc>
      </w:tr>
      <w:tr w:rsidR="00FC6400" w:rsidRPr="00FC6400" w14:paraId="3CCC269E" w14:textId="77777777" w:rsidTr="0037129E">
        <w:trPr>
          <w:trHeight w:val="20"/>
        </w:trPr>
        <w:tc>
          <w:tcPr>
            <w:tcW w:w="5387" w:type="dxa"/>
            <w:tcBorders>
              <w:top w:val="nil"/>
              <w:left w:val="nil"/>
              <w:bottom w:val="nil"/>
              <w:right w:val="nil"/>
            </w:tcBorders>
            <w:shd w:val="clear" w:color="auto" w:fill="auto"/>
            <w:vAlign w:val="center"/>
            <w:hideMark/>
          </w:tcPr>
          <w:p w14:paraId="492EB283"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Analytický nástroj pre podporu ekonomickej regulácie zo strany MZ SR</w:t>
            </w:r>
          </w:p>
        </w:tc>
        <w:tc>
          <w:tcPr>
            <w:tcW w:w="992" w:type="dxa"/>
            <w:tcBorders>
              <w:top w:val="nil"/>
              <w:left w:val="nil"/>
              <w:bottom w:val="nil"/>
              <w:right w:val="nil"/>
            </w:tcBorders>
            <w:shd w:val="clear" w:color="auto" w:fill="auto"/>
            <w:noWrap/>
            <w:vAlign w:val="center"/>
            <w:hideMark/>
          </w:tcPr>
          <w:p w14:paraId="1F832F66"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1,2</w:t>
            </w:r>
          </w:p>
        </w:tc>
        <w:tc>
          <w:tcPr>
            <w:tcW w:w="925" w:type="dxa"/>
            <w:tcBorders>
              <w:top w:val="nil"/>
              <w:left w:val="nil"/>
              <w:bottom w:val="nil"/>
              <w:right w:val="nil"/>
            </w:tcBorders>
            <w:shd w:val="clear" w:color="auto" w:fill="auto"/>
            <w:noWrap/>
            <w:vAlign w:val="center"/>
            <w:hideMark/>
          </w:tcPr>
          <w:p w14:paraId="06BE0D7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0,7</w:t>
            </w:r>
          </w:p>
        </w:tc>
        <w:tc>
          <w:tcPr>
            <w:tcW w:w="1343" w:type="dxa"/>
            <w:tcBorders>
              <w:top w:val="nil"/>
              <w:left w:val="nil"/>
              <w:bottom w:val="nil"/>
              <w:right w:val="nil"/>
            </w:tcBorders>
            <w:shd w:val="clear" w:color="auto" w:fill="auto"/>
            <w:noWrap/>
            <w:vAlign w:val="center"/>
            <w:hideMark/>
          </w:tcPr>
          <w:p w14:paraId="441629B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62%</w:t>
            </w:r>
          </w:p>
        </w:tc>
        <w:tc>
          <w:tcPr>
            <w:tcW w:w="851" w:type="dxa"/>
            <w:tcBorders>
              <w:top w:val="nil"/>
              <w:left w:val="nil"/>
              <w:bottom w:val="nil"/>
              <w:right w:val="nil"/>
            </w:tcBorders>
            <w:shd w:val="clear" w:color="auto" w:fill="auto"/>
            <w:noWrap/>
            <w:vAlign w:val="center"/>
            <w:hideMark/>
          </w:tcPr>
          <w:p w14:paraId="214A91B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1 109</w:t>
            </w:r>
          </w:p>
        </w:tc>
        <w:tc>
          <w:tcPr>
            <w:tcW w:w="992" w:type="dxa"/>
            <w:tcBorders>
              <w:top w:val="nil"/>
              <w:left w:val="nil"/>
              <w:bottom w:val="nil"/>
              <w:right w:val="nil"/>
            </w:tcBorders>
            <w:shd w:val="clear" w:color="auto" w:fill="auto"/>
            <w:noWrap/>
            <w:vAlign w:val="center"/>
            <w:hideMark/>
          </w:tcPr>
          <w:p w14:paraId="44C5039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669</w:t>
            </w:r>
          </w:p>
        </w:tc>
        <w:tc>
          <w:tcPr>
            <w:tcW w:w="1276" w:type="dxa"/>
            <w:tcBorders>
              <w:top w:val="nil"/>
              <w:left w:val="nil"/>
              <w:bottom w:val="nil"/>
              <w:right w:val="nil"/>
            </w:tcBorders>
            <w:shd w:val="clear" w:color="auto" w:fill="auto"/>
            <w:noWrap/>
            <w:vAlign w:val="center"/>
            <w:hideMark/>
          </w:tcPr>
          <w:p w14:paraId="5527266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0,7</w:t>
            </w:r>
          </w:p>
        </w:tc>
        <w:tc>
          <w:tcPr>
            <w:tcW w:w="1275" w:type="dxa"/>
            <w:tcBorders>
              <w:top w:val="nil"/>
              <w:left w:val="nil"/>
              <w:bottom w:val="nil"/>
              <w:right w:val="nil"/>
            </w:tcBorders>
            <w:shd w:val="clear" w:color="auto" w:fill="auto"/>
            <w:noWrap/>
            <w:vAlign w:val="center"/>
            <w:hideMark/>
          </w:tcPr>
          <w:p w14:paraId="59F8E48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0,5</w:t>
            </w:r>
          </w:p>
        </w:tc>
        <w:tc>
          <w:tcPr>
            <w:tcW w:w="851" w:type="dxa"/>
            <w:tcBorders>
              <w:top w:val="nil"/>
              <w:left w:val="nil"/>
              <w:bottom w:val="nil"/>
              <w:right w:val="nil"/>
            </w:tcBorders>
            <w:shd w:val="clear" w:color="auto" w:fill="auto"/>
            <w:noWrap/>
            <w:vAlign w:val="center"/>
            <w:hideMark/>
          </w:tcPr>
          <w:p w14:paraId="3C64083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824" w:type="dxa"/>
            <w:tcBorders>
              <w:top w:val="nil"/>
              <w:left w:val="nil"/>
              <w:bottom w:val="nil"/>
              <w:right w:val="nil"/>
            </w:tcBorders>
            <w:shd w:val="clear" w:color="auto" w:fill="auto"/>
            <w:noWrap/>
            <w:vAlign w:val="center"/>
            <w:hideMark/>
          </w:tcPr>
          <w:p w14:paraId="649B81B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-0,2</w:t>
            </w:r>
          </w:p>
        </w:tc>
      </w:tr>
      <w:tr w:rsidR="00FC6400" w:rsidRPr="00FC6400" w14:paraId="76DBC41B" w14:textId="77777777" w:rsidTr="0037129E">
        <w:trPr>
          <w:trHeight w:val="20"/>
        </w:trPr>
        <w:tc>
          <w:tcPr>
            <w:tcW w:w="5387" w:type="dxa"/>
            <w:tcBorders>
              <w:top w:val="nil"/>
              <w:left w:val="nil"/>
              <w:bottom w:val="nil"/>
              <w:right w:val="nil"/>
            </w:tcBorders>
            <w:shd w:val="clear" w:color="auto" w:fill="auto"/>
            <w:vAlign w:val="center"/>
            <w:hideMark/>
          </w:tcPr>
          <w:p w14:paraId="7EF24CC4"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Monitorovací systém pre reguláciu a štátny dohľad (MSRŠD)</w:t>
            </w:r>
          </w:p>
        </w:tc>
        <w:tc>
          <w:tcPr>
            <w:tcW w:w="992" w:type="dxa"/>
            <w:tcBorders>
              <w:top w:val="nil"/>
              <w:left w:val="nil"/>
              <w:bottom w:val="nil"/>
              <w:right w:val="nil"/>
            </w:tcBorders>
            <w:shd w:val="clear" w:color="auto" w:fill="auto"/>
            <w:noWrap/>
            <w:vAlign w:val="center"/>
            <w:hideMark/>
          </w:tcPr>
          <w:p w14:paraId="3078057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8,7</w:t>
            </w:r>
          </w:p>
        </w:tc>
        <w:tc>
          <w:tcPr>
            <w:tcW w:w="925" w:type="dxa"/>
            <w:tcBorders>
              <w:top w:val="nil"/>
              <w:left w:val="nil"/>
              <w:bottom w:val="nil"/>
              <w:right w:val="nil"/>
            </w:tcBorders>
            <w:shd w:val="clear" w:color="auto" w:fill="auto"/>
            <w:noWrap/>
            <w:vAlign w:val="center"/>
            <w:hideMark/>
          </w:tcPr>
          <w:p w14:paraId="0775C53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2,6</w:t>
            </w:r>
          </w:p>
        </w:tc>
        <w:tc>
          <w:tcPr>
            <w:tcW w:w="1343" w:type="dxa"/>
            <w:tcBorders>
              <w:top w:val="nil"/>
              <w:left w:val="nil"/>
              <w:bottom w:val="nil"/>
              <w:right w:val="nil"/>
            </w:tcBorders>
            <w:shd w:val="clear" w:color="auto" w:fill="auto"/>
            <w:noWrap/>
            <w:vAlign w:val="center"/>
            <w:hideMark/>
          </w:tcPr>
          <w:p w14:paraId="4C1B06C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29%</w:t>
            </w:r>
          </w:p>
        </w:tc>
        <w:tc>
          <w:tcPr>
            <w:tcW w:w="851" w:type="dxa"/>
            <w:tcBorders>
              <w:top w:val="nil"/>
              <w:left w:val="nil"/>
              <w:bottom w:val="nil"/>
              <w:right w:val="nil"/>
            </w:tcBorders>
            <w:shd w:val="clear" w:color="auto" w:fill="auto"/>
            <w:noWrap/>
            <w:vAlign w:val="center"/>
            <w:hideMark/>
          </w:tcPr>
          <w:p w14:paraId="43DEC9B1"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4 239</w:t>
            </w:r>
          </w:p>
        </w:tc>
        <w:tc>
          <w:tcPr>
            <w:tcW w:w="992" w:type="dxa"/>
            <w:tcBorders>
              <w:top w:val="nil"/>
              <w:left w:val="nil"/>
              <w:bottom w:val="nil"/>
              <w:right w:val="nil"/>
            </w:tcBorders>
            <w:shd w:val="clear" w:color="auto" w:fill="auto"/>
            <w:noWrap/>
            <w:vAlign w:val="center"/>
            <w:hideMark/>
          </w:tcPr>
          <w:p w14:paraId="54EC724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602</w:t>
            </w:r>
          </w:p>
        </w:tc>
        <w:tc>
          <w:tcPr>
            <w:tcW w:w="1276" w:type="dxa"/>
            <w:tcBorders>
              <w:top w:val="nil"/>
              <w:left w:val="nil"/>
              <w:bottom w:val="nil"/>
              <w:right w:val="nil"/>
            </w:tcBorders>
            <w:shd w:val="clear" w:color="auto" w:fill="auto"/>
            <w:noWrap/>
            <w:vAlign w:val="center"/>
            <w:hideMark/>
          </w:tcPr>
          <w:p w14:paraId="0DE7F11F"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2,6</w:t>
            </w:r>
          </w:p>
        </w:tc>
        <w:tc>
          <w:tcPr>
            <w:tcW w:w="1275" w:type="dxa"/>
            <w:tcBorders>
              <w:top w:val="nil"/>
              <w:left w:val="nil"/>
              <w:bottom w:val="nil"/>
              <w:right w:val="nil"/>
            </w:tcBorders>
            <w:shd w:val="clear" w:color="auto" w:fill="auto"/>
            <w:noWrap/>
            <w:vAlign w:val="center"/>
            <w:hideMark/>
          </w:tcPr>
          <w:p w14:paraId="1619ED0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1,9</w:t>
            </w:r>
          </w:p>
        </w:tc>
        <w:tc>
          <w:tcPr>
            <w:tcW w:w="851" w:type="dxa"/>
            <w:tcBorders>
              <w:top w:val="nil"/>
              <w:left w:val="nil"/>
              <w:bottom w:val="nil"/>
              <w:right w:val="nil"/>
            </w:tcBorders>
            <w:shd w:val="clear" w:color="auto" w:fill="auto"/>
            <w:noWrap/>
            <w:vAlign w:val="center"/>
            <w:hideMark/>
          </w:tcPr>
          <w:p w14:paraId="7BA628C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824" w:type="dxa"/>
            <w:tcBorders>
              <w:top w:val="nil"/>
              <w:left w:val="nil"/>
              <w:bottom w:val="nil"/>
              <w:right w:val="nil"/>
            </w:tcBorders>
            <w:shd w:val="clear" w:color="auto" w:fill="auto"/>
            <w:noWrap/>
            <w:vAlign w:val="center"/>
            <w:hideMark/>
          </w:tcPr>
          <w:p w14:paraId="307796A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-0,6</w:t>
            </w:r>
          </w:p>
        </w:tc>
      </w:tr>
      <w:tr w:rsidR="00FC6400" w:rsidRPr="00FC6400" w14:paraId="46A5E93E" w14:textId="77777777" w:rsidTr="0037129E">
        <w:trPr>
          <w:trHeight w:val="20"/>
        </w:trPr>
        <w:tc>
          <w:tcPr>
            <w:tcW w:w="5387" w:type="dxa"/>
            <w:tcBorders>
              <w:top w:val="nil"/>
              <w:left w:val="nil"/>
              <w:bottom w:val="nil"/>
              <w:right w:val="nil"/>
            </w:tcBorders>
            <w:shd w:val="clear" w:color="auto" w:fill="auto"/>
            <w:vAlign w:val="center"/>
            <w:hideMark/>
          </w:tcPr>
          <w:p w14:paraId="67FF4388"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Elektronický register MNO</w:t>
            </w:r>
          </w:p>
        </w:tc>
        <w:tc>
          <w:tcPr>
            <w:tcW w:w="992" w:type="dxa"/>
            <w:tcBorders>
              <w:top w:val="nil"/>
              <w:left w:val="nil"/>
              <w:bottom w:val="nil"/>
              <w:right w:val="nil"/>
            </w:tcBorders>
            <w:shd w:val="clear" w:color="auto" w:fill="auto"/>
            <w:noWrap/>
            <w:vAlign w:val="center"/>
            <w:hideMark/>
          </w:tcPr>
          <w:p w14:paraId="46CE9ED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4,6</w:t>
            </w:r>
          </w:p>
        </w:tc>
        <w:tc>
          <w:tcPr>
            <w:tcW w:w="925" w:type="dxa"/>
            <w:tcBorders>
              <w:top w:val="nil"/>
              <w:left w:val="nil"/>
              <w:bottom w:val="nil"/>
              <w:right w:val="nil"/>
            </w:tcBorders>
            <w:shd w:val="clear" w:color="auto" w:fill="auto"/>
            <w:noWrap/>
            <w:vAlign w:val="center"/>
            <w:hideMark/>
          </w:tcPr>
          <w:p w14:paraId="7FB036D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4,6</w:t>
            </w:r>
          </w:p>
        </w:tc>
        <w:tc>
          <w:tcPr>
            <w:tcW w:w="1343" w:type="dxa"/>
            <w:tcBorders>
              <w:top w:val="nil"/>
              <w:left w:val="nil"/>
              <w:bottom w:val="nil"/>
              <w:right w:val="nil"/>
            </w:tcBorders>
            <w:shd w:val="clear" w:color="auto" w:fill="auto"/>
            <w:noWrap/>
            <w:vAlign w:val="center"/>
            <w:hideMark/>
          </w:tcPr>
          <w:p w14:paraId="263460F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100%</w:t>
            </w:r>
          </w:p>
        </w:tc>
        <w:tc>
          <w:tcPr>
            <w:tcW w:w="851" w:type="dxa"/>
            <w:tcBorders>
              <w:top w:val="nil"/>
              <w:left w:val="nil"/>
              <w:bottom w:val="nil"/>
              <w:right w:val="nil"/>
            </w:tcBorders>
            <w:shd w:val="clear" w:color="auto" w:fill="auto"/>
            <w:noWrap/>
            <w:vAlign w:val="center"/>
            <w:hideMark/>
          </w:tcPr>
          <w:p w14:paraId="4278F0F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6 027</w:t>
            </w:r>
          </w:p>
        </w:tc>
        <w:tc>
          <w:tcPr>
            <w:tcW w:w="992" w:type="dxa"/>
            <w:tcBorders>
              <w:top w:val="nil"/>
              <w:left w:val="nil"/>
              <w:bottom w:val="nil"/>
              <w:right w:val="nil"/>
            </w:tcBorders>
            <w:shd w:val="clear" w:color="auto" w:fill="auto"/>
            <w:noWrap/>
            <w:vAlign w:val="center"/>
            <w:hideMark/>
          </w:tcPr>
          <w:p w14:paraId="34C142FF"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757</w:t>
            </w:r>
          </w:p>
        </w:tc>
        <w:tc>
          <w:tcPr>
            <w:tcW w:w="1276" w:type="dxa"/>
            <w:tcBorders>
              <w:top w:val="nil"/>
              <w:left w:val="nil"/>
              <w:bottom w:val="nil"/>
              <w:right w:val="nil"/>
            </w:tcBorders>
            <w:shd w:val="clear" w:color="auto" w:fill="auto"/>
            <w:noWrap/>
            <w:vAlign w:val="center"/>
            <w:hideMark/>
          </w:tcPr>
          <w:p w14:paraId="7533EF8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4,1</w:t>
            </w:r>
          </w:p>
        </w:tc>
        <w:tc>
          <w:tcPr>
            <w:tcW w:w="1275" w:type="dxa"/>
            <w:tcBorders>
              <w:top w:val="nil"/>
              <w:left w:val="nil"/>
              <w:bottom w:val="nil"/>
              <w:right w:val="nil"/>
            </w:tcBorders>
            <w:shd w:val="clear" w:color="auto" w:fill="auto"/>
            <w:noWrap/>
            <w:vAlign w:val="center"/>
            <w:hideMark/>
          </w:tcPr>
          <w:p w14:paraId="6477EA8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2,8</w:t>
            </w:r>
          </w:p>
        </w:tc>
        <w:tc>
          <w:tcPr>
            <w:tcW w:w="851" w:type="dxa"/>
            <w:tcBorders>
              <w:top w:val="nil"/>
              <w:left w:val="nil"/>
              <w:bottom w:val="nil"/>
              <w:right w:val="nil"/>
            </w:tcBorders>
            <w:shd w:val="clear" w:color="auto" w:fill="auto"/>
            <w:noWrap/>
            <w:vAlign w:val="center"/>
            <w:hideMark/>
          </w:tcPr>
          <w:p w14:paraId="676DF02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-0,5</w:t>
            </w:r>
          </w:p>
        </w:tc>
        <w:tc>
          <w:tcPr>
            <w:tcW w:w="824" w:type="dxa"/>
            <w:tcBorders>
              <w:top w:val="nil"/>
              <w:left w:val="nil"/>
              <w:bottom w:val="nil"/>
              <w:right w:val="nil"/>
            </w:tcBorders>
            <w:shd w:val="clear" w:color="auto" w:fill="auto"/>
            <w:noWrap/>
            <w:vAlign w:val="center"/>
            <w:hideMark/>
          </w:tcPr>
          <w:p w14:paraId="7FA3B6B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-1,8</w:t>
            </w:r>
          </w:p>
        </w:tc>
      </w:tr>
      <w:tr w:rsidR="00FC6400" w:rsidRPr="00FC6400" w14:paraId="412BA30B" w14:textId="77777777" w:rsidTr="0037129E">
        <w:trPr>
          <w:trHeight w:val="20"/>
        </w:trPr>
        <w:tc>
          <w:tcPr>
            <w:tcW w:w="5387" w:type="dxa"/>
            <w:tcBorders>
              <w:top w:val="nil"/>
              <w:left w:val="nil"/>
              <w:bottom w:val="nil"/>
              <w:right w:val="nil"/>
            </w:tcBorders>
            <w:shd w:val="clear" w:color="auto" w:fill="auto"/>
            <w:vAlign w:val="center"/>
            <w:hideMark/>
          </w:tcPr>
          <w:p w14:paraId="65F1CA1C"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Monitorovací systém pre reguláciu a štátny dohľad</w:t>
            </w:r>
          </w:p>
        </w:tc>
        <w:tc>
          <w:tcPr>
            <w:tcW w:w="992" w:type="dxa"/>
            <w:tcBorders>
              <w:top w:val="nil"/>
              <w:left w:val="nil"/>
              <w:bottom w:val="nil"/>
              <w:right w:val="nil"/>
            </w:tcBorders>
            <w:shd w:val="clear" w:color="auto" w:fill="auto"/>
            <w:noWrap/>
            <w:vAlign w:val="center"/>
            <w:hideMark/>
          </w:tcPr>
          <w:p w14:paraId="07E3852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4,3</w:t>
            </w:r>
          </w:p>
        </w:tc>
        <w:tc>
          <w:tcPr>
            <w:tcW w:w="925" w:type="dxa"/>
            <w:tcBorders>
              <w:top w:val="nil"/>
              <w:left w:val="nil"/>
              <w:bottom w:val="nil"/>
              <w:right w:val="nil"/>
            </w:tcBorders>
            <w:shd w:val="clear" w:color="auto" w:fill="auto"/>
            <w:noWrap/>
            <w:vAlign w:val="center"/>
            <w:hideMark/>
          </w:tcPr>
          <w:p w14:paraId="3E7872CD"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3,1</w:t>
            </w:r>
          </w:p>
        </w:tc>
        <w:tc>
          <w:tcPr>
            <w:tcW w:w="1343" w:type="dxa"/>
            <w:tcBorders>
              <w:top w:val="nil"/>
              <w:left w:val="nil"/>
              <w:bottom w:val="nil"/>
              <w:right w:val="nil"/>
            </w:tcBorders>
            <w:shd w:val="clear" w:color="auto" w:fill="auto"/>
            <w:noWrap/>
            <w:vAlign w:val="center"/>
            <w:hideMark/>
          </w:tcPr>
          <w:p w14:paraId="2DD8F47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73%</w:t>
            </w:r>
          </w:p>
        </w:tc>
        <w:tc>
          <w:tcPr>
            <w:tcW w:w="851" w:type="dxa"/>
            <w:tcBorders>
              <w:top w:val="nil"/>
              <w:left w:val="nil"/>
              <w:bottom w:val="nil"/>
              <w:right w:val="nil"/>
            </w:tcBorders>
            <w:shd w:val="clear" w:color="auto" w:fill="auto"/>
            <w:noWrap/>
            <w:vAlign w:val="center"/>
            <w:hideMark/>
          </w:tcPr>
          <w:p w14:paraId="7726884F"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3 801</w:t>
            </w:r>
          </w:p>
        </w:tc>
        <w:tc>
          <w:tcPr>
            <w:tcW w:w="992" w:type="dxa"/>
            <w:tcBorders>
              <w:top w:val="nil"/>
              <w:left w:val="nil"/>
              <w:bottom w:val="nil"/>
              <w:right w:val="nil"/>
            </w:tcBorders>
            <w:shd w:val="clear" w:color="auto" w:fill="auto"/>
            <w:noWrap/>
            <w:vAlign w:val="center"/>
            <w:hideMark/>
          </w:tcPr>
          <w:p w14:paraId="1C48492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827</w:t>
            </w:r>
          </w:p>
        </w:tc>
        <w:tc>
          <w:tcPr>
            <w:tcW w:w="1276" w:type="dxa"/>
            <w:tcBorders>
              <w:top w:val="nil"/>
              <w:left w:val="nil"/>
              <w:bottom w:val="nil"/>
              <w:right w:val="nil"/>
            </w:tcBorders>
            <w:shd w:val="clear" w:color="auto" w:fill="auto"/>
            <w:noWrap/>
            <w:vAlign w:val="center"/>
            <w:hideMark/>
          </w:tcPr>
          <w:p w14:paraId="1C2BC3E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2,6</w:t>
            </w:r>
          </w:p>
        </w:tc>
        <w:tc>
          <w:tcPr>
            <w:tcW w:w="1275" w:type="dxa"/>
            <w:tcBorders>
              <w:top w:val="nil"/>
              <w:left w:val="nil"/>
              <w:bottom w:val="nil"/>
              <w:right w:val="nil"/>
            </w:tcBorders>
            <w:shd w:val="clear" w:color="auto" w:fill="auto"/>
            <w:noWrap/>
            <w:vAlign w:val="center"/>
            <w:hideMark/>
          </w:tcPr>
          <w:p w14:paraId="5606264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1,7</w:t>
            </w:r>
          </w:p>
        </w:tc>
        <w:tc>
          <w:tcPr>
            <w:tcW w:w="851" w:type="dxa"/>
            <w:tcBorders>
              <w:top w:val="nil"/>
              <w:left w:val="nil"/>
              <w:bottom w:val="nil"/>
              <w:right w:val="nil"/>
            </w:tcBorders>
            <w:shd w:val="clear" w:color="auto" w:fill="auto"/>
            <w:noWrap/>
            <w:vAlign w:val="center"/>
            <w:hideMark/>
          </w:tcPr>
          <w:p w14:paraId="44F6D9E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-0,6</w:t>
            </w:r>
          </w:p>
        </w:tc>
        <w:tc>
          <w:tcPr>
            <w:tcW w:w="824" w:type="dxa"/>
            <w:tcBorders>
              <w:top w:val="nil"/>
              <w:left w:val="nil"/>
              <w:bottom w:val="nil"/>
              <w:right w:val="nil"/>
            </w:tcBorders>
            <w:shd w:val="clear" w:color="auto" w:fill="auto"/>
            <w:noWrap/>
            <w:vAlign w:val="center"/>
            <w:hideMark/>
          </w:tcPr>
          <w:p w14:paraId="4D11DBD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-1,4</w:t>
            </w:r>
          </w:p>
        </w:tc>
      </w:tr>
      <w:tr w:rsidR="00FC6400" w:rsidRPr="00FC6400" w14:paraId="70CCA894" w14:textId="77777777" w:rsidTr="0037129E">
        <w:trPr>
          <w:trHeight w:val="20"/>
        </w:trPr>
        <w:tc>
          <w:tcPr>
            <w:tcW w:w="5387" w:type="dxa"/>
            <w:tcBorders>
              <w:top w:val="nil"/>
              <w:left w:val="nil"/>
              <w:bottom w:val="nil"/>
              <w:right w:val="nil"/>
            </w:tcBorders>
            <w:shd w:val="clear" w:color="auto" w:fill="auto"/>
            <w:vAlign w:val="center"/>
            <w:hideMark/>
          </w:tcPr>
          <w:p w14:paraId="421AB1F7"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 xml:space="preserve">Centrálna API Manažment Platforma </w:t>
            </w:r>
          </w:p>
        </w:tc>
        <w:tc>
          <w:tcPr>
            <w:tcW w:w="992" w:type="dxa"/>
            <w:tcBorders>
              <w:top w:val="nil"/>
              <w:left w:val="nil"/>
              <w:bottom w:val="nil"/>
              <w:right w:val="nil"/>
            </w:tcBorders>
            <w:shd w:val="clear" w:color="auto" w:fill="auto"/>
            <w:noWrap/>
            <w:vAlign w:val="center"/>
            <w:hideMark/>
          </w:tcPr>
          <w:p w14:paraId="152A29D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6,9</w:t>
            </w:r>
          </w:p>
        </w:tc>
        <w:tc>
          <w:tcPr>
            <w:tcW w:w="925" w:type="dxa"/>
            <w:tcBorders>
              <w:top w:val="nil"/>
              <w:left w:val="nil"/>
              <w:bottom w:val="nil"/>
              <w:right w:val="nil"/>
            </w:tcBorders>
            <w:shd w:val="clear" w:color="auto" w:fill="auto"/>
            <w:noWrap/>
            <w:vAlign w:val="center"/>
            <w:hideMark/>
          </w:tcPr>
          <w:p w14:paraId="0D93360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6,8</w:t>
            </w:r>
          </w:p>
        </w:tc>
        <w:tc>
          <w:tcPr>
            <w:tcW w:w="1343" w:type="dxa"/>
            <w:tcBorders>
              <w:top w:val="nil"/>
              <w:left w:val="nil"/>
              <w:bottom w:val="nil"/>
              <w:right w:val="nil"/>
            </w:tcBorders>
            <w:shd w:val="clear" w:color="auto" w:fill="auto"/>
            <w:noWrap/>
            <w:vAlign w:val="center"/>
            <w:hideMark/>
          </w:tcPr>
          <w:p w14:paraId="638BA09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97%</w:t>
            </w:r>
          </w:p>
        </w:tc>
        <w:tc>
          <w:tcPr>
            <w:tcW w:w="851" w:type="dxa"/>
            <w:tcBorders>
              <w:top w:val="nil"/>
              <w:left w:val="nil"/>
              <w:bottom w:val="nil"/>
              <w:right w:val="nil"/>
            </w:tcBorders>
            <w:shd w:val="clear" w:color="auto" w:fill="auto"/>
            <w:noWrap/>
            <w:vAlign w:val="center"/>
            <w:hideMark/>
          </w:tcPr>
          <w:p w14:paraId="7E9CFE6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9 471</w:t>
            </w:r>
          </w:p>
        </w:tc>
        <w:tc>
          <w:tcPr>
            <w:tcW w:w="992" w:type="dxa"/>
            <w:tcBorders>
              <w:top w:val="nil"/>
              <w:left w:val="nil"/>
              <w:bottom w:val="nil"/>
              <w:right w:val="nil"/>
            </w:tcBorders>
            <w:shd w:val="clear" w:color="auto" w:fill="auto"/>
            <w:noWrap/>
            <w:vAlign w:val="center"/>
            <w:hideMark/>
          </w:tcPr>
          <w:p w14:paraId="67D9643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714</w:t>
            </w:r>
          </w:p>
        </w:tc>
        <w:tc>
          <w:tcPr>
            <w:tcW w:w="1276" w:type="dxa"/>
            <w:tcBorders>
              <w:top w:val="nil"/>
              <w:left w:val="nil"/>
              <w:bottom w:val="nil"/>
              <w:right w:val="nil"/>
            </w:tcBorders>
            <w:shd w:val="clear" w:color="auto" w:fill="auto"/>
            <w:noWrap/>
            <w:vAlign w:val="center"/>
            <w:hideMark/>
          </w:tcPr>
          <w:p w14:paraId="19E5F92F"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6,4</w:t>
            </w:r>
          </w:p>
        </w:tc>
        <w:tc>
          <w:tcPr>
            <w:tcW w:w="1275" w:type="dxa"/>
            <w:tcBorders>
              <w:top w:val="nil"/>
              <w:left w:val="nil"/>
              <w:bottom w:val="nil"/>
              <w:right w:val="nil"/>
            </w:tcBorders>
            <w:shd w:val="clear" w:color="auto" w:fill="auto"/>
            <w:noWrap/>
            <w:vAlign w:val="center"/>
            <w:hideMark/>
          </w:tcPr>
          <w:p w14:paraId="26952ED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4,3</w:t>
            </w:r>
          </w:p>
        </w:tc>
        <w:tc>
          <w:tcPr>
            <w:tcW w:w="851" w:type="dxa"/>
            <w:tcBorders>
              <w:top w:val="nil"/>
              <w:left w:val="nil"/>
              <w:bottom w:val="nil"/>
              <w:right w:val="nil"/>
            </w:tcBorders>
            <w:shd w:val="clear" w:color="auto" w:fill="auto"/>
            <w:noWrap/>
            <w:vAlign w:val="center"/>
            <w:hideMark/>
          </w:tcPr>
          <w:p w14:paraId="4432620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-0,4</w:t>
            </w:r>
          </w:p>
        </w:tc>
        <w:tc>
          <w:tcPr>
            <w:tcW w:w="824" w:type="dxa"/>
            <w:tcBorders>
              <w:top w:val="nil"/>
              <w:left w:val="nil"/>
              <w:bottom w:val="nil"/>
              <w:right w:val="nil"/>
            </w:tcBorders>
            <w:shd w:val="clear" w:color="auto" w:fill="auto"/>
            <w:noWrap/>
            <w:vAlign w:val="center"/>
            <w:hideMark/>
          </w:tcPr>
          <w:p w14:paraId="5BE8107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-2,4</w:t>
            </w:r>
          </w:p>
        </w:tc>
      </w:tr>
      <w:tr w:rsidR="00FC6400" w:rsidRPr="00FC6400" w14:paraId="114A096D" w14:textId="77777777" w:rsidTr="0037129E">
        <w:trPr>
          <w:trHeight w:val="20"/>
        </w:trPr>
        <w:tc>
          <w:tcPr>
            <w:tcW w:w="5387" w:type="dxa"/>
            <w:tcBorders>
              <w:top w:val="nil"/>
              <w:left w:val="nil"/>
              <w:bottom w:val="nil"/>
              <w:right w:val="nil"/>
            </w:tcBorders>
            <w:shd w:val="clear" w:color="auto" w:fill="auto"/>
            <w:vAlign w:val="center"/>
            <w:hideMark/>
          </w:tcPr>
          <w:p w14:paraId="766C1F90"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Digitálny ekosystém inklúzie</w:t>
            </w:r>
          </w:p>
        </w:tc>
        <w:tc>
          <w:tcPr>
            <w:tcW w:w="992" w:type="dxa"/>
            <w:tcBorders>
              <w:top w:val="nil"/>
              <w:left w:val="nil"/>
              <w:bottom w:val="nil"/>
              <w:right w:val="nil"/>
            </w:tcBorders>
            <w:shd w:val="clear" w:color="auto" w:fill="auto"/>
            <w:noWrap/>
            <w:vAlign w:val="center"/>
            <w:hideMark/>
          </w:tcPr>
          <w:p w14:paraId="2D03C36F"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7,9</w:t>
            </w:r>
          </w:p>
        </w:tc>
        <w:tc>
          <w:tcPr>
            <w:tcW w:w="925" w:type="dxa"/>
            <w:tcBorders>
              <w:top w:val="nil"/>
              <w:left w:val="nil"/>
              <w:bottom w:val="nil"/>
              <w:right w:val="nil"/>
            </w:tcBorders>
            <w:shd w:val="clear" w:color="auto" w:fill="auto"/>
            <w:noWrap/>
            <w:vAlign w:val="center"/>
            <w:hideMark/>
          </w:tcPr>
          <w:p w14:paraId="046D575D"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7,8</w:t>
            </w:r>
          </w:p>
        </w:tc>
        <w:tc>
          <w:tcPr>
            <w:tcW w:w="1343" w:type="dxa"/>
            <w:tcBorders>
              <w:top w:val="nil"/>
              <w:left w:val="nil"/>
              <w:bottom w:val="nil"/>
              <w:right w:val="nil"/>
            </w:tcBorders>
            <w:shd w:val="clear" w:color="auto" w:fill="auto"/>
            <w:noWrap/>
            <w:vAlign w:val="center"/>
            <w:hideMark/>
          </w:tcPr>
          <w:p w14:paraId="71BD3CAF"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99%</w:t>
            </w:r>
          </w:p>
        </w:tc>
        <w:tc>
          <w:tcPr>
            <w:tcW w:w="851" w:type="dxa"/>
            <w:tcBorders>
              <w:top w:val="nil"/>
              <w:left w:val="nil"/>
              <w:bottom w:val="nil"/>
              <w:right w:val="nil"/>
            </w:tcBorders>
            <w:shd w:val="clear" w:color="auto" w:fill="auto"/>
            <w:noWrap/>
            <w:vAlign w:val="center"/>
            <w:hideMark/>
          </w:tcPr>
          <w:p w14:paraId="03CE04B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12 700</w:t>
            </w:r>
          </w:p>
        </w:tc>
        <w:tc>
          <w:tcPr>
            <w:tcW w:w="992" w:type="dxa"/>
            <w:tcBorders>
              <w:top w:val="nil"/>
              <w:left w:val="nil"/>
              <w:bottom w:val="nil"/>
              <w:right w:val="nil"/>
            </w:tcBorders>
            <w:shd w:val="clear" w:color="auto" w:fill="auto"/>
            <w:noWrap/>
            <w:vAlign w:val="center"/>
            <w:hideMark/>
          </w:tcPr>
          <w:p w14:paraId="119836D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613</w:t>
            </w:r>
          </w:p>
        </w:tc>
        <w:tc>
          <w:tcPr>
            <w:tcW w:w="1276" w:type="dxa"/>
            <w:tcBorders>
              <w:top w:val="nil"/>
              <w:left w:val="nil"/>
              <w:bottom w:val="nil"/>
              <w:right w:val="nil"/>
            </w:tcBorders>
            <w:shd w:val="clear" w:color="auto" w:fill="auto"/>
            <w:noWrap/>
            <w:vAlign w:val="center"/>
            <w:hideMark/>
          </w:tcPr>
          <w:p w14:paraId="177D1686"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7,8</w:t>
            </w:r>
          </w:p>
        </w:tc>
        <w:tc>
          <w:tcPr>
            <w:tcW w:w="1275" w:type="dxa"/>
            <w:tcBorders>
              <w:top w:val="nil"/>
              <w:left w:val="nil"/>
              <w:bottom w:val="nil"/>
              <w:right w:val="nil"/>
            </w:tcBorders>
            <w:shd w:val="clear" w:color="auto" w:fill="auto"/>
            <w:noWrap/>
            <w:vAlign w:val="center"/>
            <w:hideMark/>
          </w:tcPr>
          <w:p w14:paraId="34D5D78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5,8</w:t>
            </w:r>
          </w:p>
        </w:tc>
        <w:tc>
          <w:tcPr>
            <w:tcW w:w="851" w:type="dxa"/>
            <w:tcBorders>
              <w:top w:val="nil"/>
              <w:left w:val="nil"/>
              <w:bottom w:val="nil"/>
              <w:right w:val="nil"/>
            </w:tcBorders>
            <w:shd w:val="clear" w:color="auto" w:fill="auto"/>
            <w:noWrap/>
            <w:vAlign w:val="center"/>
            <w:hideMark/>
          </w:tcPr>
          <w:p w14:paraId="0ABAA03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824" w:type="dxa"/>
            <w:tcBorders>
              <w:top w:val="nil"/>
              <w:left w:val="nil"/>
              <w:bottom w:val="nil"/>
              <w:right w:val="nil"/>
            </w:tcBorders>
            <w:shd w:val="clear" w:color="auto" w:fill="auto"/>
            <w:noWrap/>
            <w:vAlign w:val="center"/>
            <w:hideMark/>
          </w:tcPr>
          <w:p w14:paraId="34A0A0E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-2,0</w:t>
            </w:r>
          </w:p>
        </w:tc>
      </w:tr>
      <w:tr w:rsidR="00FC6400" w:rsidRPr="00FC6400" w14:paraId="7D0B76E3" w14:textId="77777777" w:rsidTr="0037129E">
        <w:trPr>
          <w:trHeight w:val="20"/>
        </w:trPr>
        <w:tc>
          <w:tcPr>
            <w:tcW w:w="5387" w:type="dxa"/>
            <w:tcBorders>
              <w:top w:val="nil"/>
              <w:left w:val="nil"/>
              <w:bottom w:val="nil"/>
              <w:right w:val="nil"/>
            </w:tcBorders>
            <w:shd w:val="clear" w:color="auto" w:fill="auto"/>
            <w:vAlign w:val="center"/>
            <w:hideMark/>
          </w:tcPr>
          <w:p w14:paraId="60585AF6"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Pamiatkový informačný systém</w:t>
            </w:r>
          </w:p>
        </w:tc>
        <w:tc>
          <w:tcPr>
            <w:tcW w:w="992" w:type="dxa"/>
            <w:tcBorders>
              <w:top w:val="nil"/>
              <w:left w:val="nil"/>
              <w:bottom w:val="nil"/>
              <w:right w:val="nil"/>
            </w:tcBorders>
            <w:shd w:val="clear" w:color="auto" w:fill="auto"/>
            <w:noWrap/>
            <w:vAlign w:val="center"/>
            <w:hideMark/>
          </w:tcPr>
          <w:p w14:paraId="38A66A5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11,6</w:t>
            </w:r>
          </w:p>
        </w:tc>
        <w:tc>
          <w:tcPr>
            <w:tcW w:w="925" w:type="dxa"/>
            <w:tcBorders>
              <w:top w:val="nil"/>
              <w:left w:val="nil"/>
              <w:bottom w:val="nil"/>
              <w:right w:val="nil"/>
            </w:tcBorders>
            <w:shd w:val="clear" w:color="auto" w:fill="auto"/>
            <w:noWrap/>
            <w:vAlign w:val="center"/>
            <w:hideMark/>
          </w:tcPr>
          <w:p w14:paraId="634A05F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10,7</w:t>
            </w:r>
          </w:p>
        </w:tc>
        <w:tc>
          <w:tcPr>
            <w:tcW w:w="1343" w:type="dxa"/>
            <w:tcBorders>
              <w:top w:val="nil"/>
              <w:left w:val="nil"/>
              <w:bottom w:val="nil"/>
              <w:right w:val="nil"/>
            </w:tcBorders>
            <w:shd w:val="clear" w:color="auto" w:fill="auto"/>
            <w:noWrap/>
            <w:vAlign w:val="center"/>
            <w:hideMark/>
          </w:tcPr>
          <w:p w14:paraId="29D47CD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92%</w:t>
            </w:r>
          </w:p>
        </w:tc>
        <w:tc>
          <w:tcPr>
            <w:tcW w:w="851" w:type="dxa"/>
            <w:tcBorders>
              <w:top w:val="nil"/>
              <w:left w:val="nil"/>
              <w:bottom w:val="nil"/>
              <w:right w:val="nil"/>
            </w:tcBorders>
            <w:shd w:val="clear" w:color="auto" w:fill="auto"/>
            <w:noWrap/>
            <w:vAlign w:val="center"/>
            <w:hideMark/>
          </w:tcPr>
          <w:p w14:paraId="57C664AD"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14 994</w:t>
            </w:r>
          </w:p>
        </w:tc>
        <w:tc>
          <w:tcPr>
            <w:tcW w:w="992" w:type="dxa"/>
            <w:tcBorders>
              <w:top w:val="nil"/>
              <w:left w:val="nil"/>
              <w:bottom w:val="nil"/>
              <w:right w:val="nil"/>
            </w:tcBorders>
            <w:shd w:val="clear" w:color="auto" w:fill="auto"/>
            <w:noWrap/>
            <w:vAlign w:val="center"/>
            <w:hideMark/>
          </w:tcPr>
          <w:p w14:paraId="7111248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716</w:t>
            </w:r>
          </w:p>
        </w:tc>
        <w:tc>
          <w:tcPr>
            <w:tcW w:w="1276" w:type="dxa"/>
            <w:tcBorders>
              <w:top w:val="nil"/>
              <w:left w:val="nil"/>
              <w:bottom w:val="nil"/>
              <w:right w:val="nil"/>
            </w:tcBorders>
            <w:shd w:val="clear" w:color="auto" w:fill="auto"/>
            <w:noWrap/>
            <w:vAlign w:val="center"/>
            <w:hideMark/>
          </w:tcPr>
          <w:p w14:paraId="39B232A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10,1</w:t>
            </w:r>
          </w:p>
        </w:tc>
        <w:tc>
          <w:tcPr>
            <w:tcW w:w="1275" w:type="dxa"/>
            <w:tcBorders>
              <w:top w:val="nil"/>
              <w:left w:val="nil"/>
              <w:bottom w:val="nil"/>
              <w:right w:val="nil"/>
            </w:tcBorders>
            <w:shd w:val="clear" w:color="auto" w:fill="auto"/>
            <w:noWrap/>
            <w:vAlign w:val="center"/>
            <w:hideMark/>
          </w:tcPr>
          <w:p w14:paraId="044EA0D1"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6,9</w:t>
            </w:r>
          </w:p>
        </w:tc>
        <w:tc>
          <w:tcPr>
            <w:tcW w:w="851" w:type="dxa"/>
            <w:tcBorders>
              <w:top w:val="nil"/>
              <w:left w:val="nil"/>
              <w:bottom w:val="nil"/>
              <w:right w:val="nil"/>
            </w:tcBorders>
            <w:shd w:val="clear" w:color="auto" w:fill="auto"/>
            <w:noWrap/>
            <w:vAlign w:val="center"/>
            <w:hideMark/>
          </w:tcPr>
          <w:p w14:paraId="577C2B7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-0,7</w:t>
            </w:r>
          </w:p>
        </w:tc>
        <w:tc>
          <w:tcPr>
            <w:tcW w:w="824" w:type="dxa"/>
            <w:tcBorders>
              <w:top w:val="nil"/>
              <w:left w:val="nil"/>
              <w:bottom w:val="nil"/>
              <w:right w:val="nil"/>
            </w:tcBorders>
            <w:shd w:val="clear" w:color="auto" w:fill="auto"/>
            <w:noWrap/>
            <w:vAlign w:val="center"/>
            <w:hideMark/>
          </w:tcPr>
          <w:p w14:paraId="519C879D"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-3,9</w:t>
            </w:r>
          </w:p>
        </w:tc>
      </w:tr>
      <w:tr w:rsidR="00FC6400" w:rsidRPr="00FC6400" w14:paraId="084987C5" w14:textId="77777777" w:rsidTr="0037129E">
        <w:trPr>
          <w:trHeight w:val="20"/>
        </w:trPr>
        <w:tc>
          <w:tcPr>
            <w:tcW w:w="5387" w:type="dxa"/>
            <w:tcBorders>
              <w:top w:val="nil"/>
              <w:left w:val="nil"/>
              <w:bottom w:val="nil"/>
              <w:right w:val="nil"/>
            </w:tcBorders>
            <w:shd w:val="clear" w:color="auto" w:fill="auto"/>
            <w:vAlign w:val="center"/>
            <w:hideMark/>
          </w:tcPr>
          <w:p w14:paraId="3BDCCF09"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Register zbraní a streliva</w:t>
            </w:r>
          </w:p>
        </w:tc>
        <w:tc>
          <w:tcPr>
            <w:tcW w:w="992" w:type="dxa"/>
            <w:tcBorders>
              <w:top w:val="nil"/>
              <w:left w:val="nil"/>
              <w:bottom w:val="nil"/>
              <w:right w:val="nil"/>
            </w:tcBorders>
            <w:shd w:val="clear" w:color="auto" w:fill="auto"/>
            <w:noWrap/>
            <w:vAlign w:val="center"/>
            <w:hideMark/>
          </w:tcPr>
          <w:p w14:paraId="20FF6DC1"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6,7</w:t>
            </w:r>
          </w:p>
        </w:tc>
        <w:tc>
          <w:tcPr>
            <w:tcW w:w="925" w:type="dxa"/>
            <w:tcBorders>
              <w:top w:val="nil"/>
              <w:left w:val="nil"/>
              <w:bottom w:val="nil"/>
              <w:right w:val="nil"/>
            </w:tcBorders>
            <w:shd w:val="clear" w:color="auto" w:fill="auto"/>
            <w:noWrap/>
            <w:vAlign w:val="center"/>
            <w:hideMark/>
          </w:tcPr>
          <w:p w14:paraId="022244A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6,3</w:t>
            </w:r>
          </w:p>
        </w:tc>
        <w:tc>
          <w:tcPr>
            <w:tcW w:w="1343" w:type="dxa"/>
            <w:tcBorders>
              <w:top w:val="nil"/>
              <w:left w:val="nil"/>
              <w:bottom w:val="nil"/>
              <w:right w:val="nil"/>
            </w:tcBorders>
            <w:shd w:val="clear" w:color="auto" w:fill="auto"/>
            <w:noWrap/>
            <w:vAlign w:val="center"/>
            <w:hideMark/>
          </w:tcPr>
          <w:p w14:paraId="77B095B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94%</w:t>
            </w:r>
          </w:p>
        </w:tc>
        <w:tc>
          <w:tcPr>
            <w:tcW w:w="851" w:type="dxa"/>
            <w:tcBorders>
              <w:top w:val="nil"/>
              <w:left w:val="nil"/>
              <w:bottom w:val="nil"/>
              <w:right w:val="nil"/>
            </w:tcBorders>
            <w:shd w:val="clear" w:color="auto" w:fill="auto"/>
            <w:noWrap/>
            <w:vAlign w:val="center"/>
            <w:hideMark/>
          </w:tcPr>
          <w:p w14:paraId="4C6C0ED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7 056</w:t>
            </w:r>
          </w:p>
        </w:tc>
        <w:tc>
          <w:tcPr>
            <w:tcW w:w="992" w:type="dxa"/>
            <w:tcBorders>
              <w:top w:val="nil"/>
              <w:left w:val="nil"/>
              <w:bottom w:val="nil"/>
              <w:right w:val="nil"/>
            </w:tcBorders>
            <w:shd w:val="clear" w:color="auto" w:fill="auto"/>
            <w:noWrap/>
            <w:vAlign w:val="center"/>
            <w:hideMark/>
          </w:tcPr>
          <w:p w14:paraId="6881D64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897</w:t>
            </w:r>
          </w:p>
        </w:tc>
        <w:tc>
          <w:tcPr>
            <w:tcW w:w="1276" w:type="dxa"/>
            <w:tcBorders>
              <w:top w:val="nil"/>
              <w:left w:val="nil"/>
              <w:bottom w:val="nil"/>
              <w:right w:val="nil"/>
            </w:tcBorders>
            <w:shd w:val="clear" w:color="auto" w:fill="auto"/>
            <w:noWrap/>
            <w:vAlign w:val="center"/>
            <w:hideMark/>
          </w:tcPr>
          <w:p w14:paraId="58060D8D"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4,7</w:t>
            </w:r>
          </w:p>
        </w:tc>
        <w:tc>
          <w:tcPr>
            <w:tcW w:w="1275" w:type="dxa"/>
            <w:tcBorders>
              <w:top w:val="nil"/>
              <w:left w:val="nil"/>
              <w:bottom w:val="nil"/>
              <w:right w:val="nil"/>
            </w:tcBorders>
            <w:shd w:val="clear" w:color="auto" w:fill="auto"/>
            <w:noWrap/>
            <w:vAlign w:val="center"/>
            <w:hideMark/>
          </w:tcPr>
          <w:p w14:paraId="7B42B70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3,2</w:t>
            </w:r>
          </w:p>
        </w:tc>
        <w:tc>
          <w:tcPr>
            <w:tcW w:w="851" w:type="dxa"/>
            <w:tcBorders>
              <w:top w:val="nil"/>
              <w:left w:val="nil"/>
              <w:bottom w:val="nil"/>
              <w:right w:val="nil"/>
            </w:tcBorders>
            <w:shd w:val="clear" w:color="auto" w:fill="auto"/>
            <w:noWrap/>
            <w:vAlign w:val="center"/>
            <w:hideMark/>
          </w:tcPr>
          <w:p w14:paraId="4975965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-1,6</w:t>
            </w:r>
          </w:p>
        </w:tc>
        <w:tc>
          <w:tcPr>
            <w:tcW w:w="824" w:type="dxa"/>
            <w:tcBorders>
              <w:top w:val="nil"/>
              <w:left w:val="nil"/>
              <w:bottom w:val="nil"/>
              <w:right w:val="nil"/>
            </w:tcBorders>
            <w:shd w:val="clear" w:color="auto" w:fill="auto"/>
            <w:noWrap/>
            <w:vAlign w:val="center"/>
            <w:hideMark/>
          </w:tcPr>
          <w:p w14:paraId="3F14493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-3,1</w:t>
            </w:r>
          </w:p>
        </w:tc>
      </w:tr>
      <w:tr w:rsidR="00FC6400" w:rsidRPr="00FC6400" w14:paraId="52C53133" w14:textId="77777777" w:rsidTr="0037129E">
        <w:trPr>
          <w:trHeight w:val="20"/>
        </w:trPr>
        <w:tc>
          <w:tcPr>
            <w:tcW w:w="5387" w:type="dxa"/>
            <w:tcBorders>
              <w:top w:val="nil"/>
              <w:left w:val="nil"/>
              <w:bottom w:val="nil"/>
              <w:right w:val="nil"/>
            </w:tcBorders>
            <w:shd w:val="clear" w:color="auto" w:fill="auto"/>
            <w:vAlign w:val="center"/>
            <w:hideMark/>
          </w:tcPr>
          <w:p w14:paraId="07EA3A4E"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Systém verejného obstarávania</w:t>
            </w:r>
          </w:p>
        </w:tc>
        <w:tc>
          <w:tcPr>
            <w:tcW w:w="992" w:type="dxa"/>
            <w:tcBorders>
              <w:top w:val="nil"/>
              <w:left w:val="nil"/>
              <w:bottom w:val="nil"/>
              <w:right w:val="nil"/>
            </w:tcBorders>
            <w:shd w:val="clear" w:color="auto" w:fill="auto"/>
            <w:noWrap/>
            <w:vAlign w:val="center"/>
            <w:hideMark/>
          </w:tcPr>
          <w:p w14:paraId="3FCB7C7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18,4</w:t>
            </w:r>
          </w:p>
        </w:tc>
        <w:tc>
          <w:tcPr>
            <w:tcW w:w="925" w:type="dxa"/>
            <w:tcBorders>
              <w:top w:val="nil"/>
              <w:left w:val="nil"/>
              <w:bottom w:val="nil"/>
              <w:right w:val="nil"/>
            </w:tcBorders>
            <w:shd w:val="clear" w:color="auto" w:fill="auto"/>
            <w:noWrap/>
            <w:vAlign w:val="center"/>
            <w:hideMark/>
          </w:tcPr>
          <w:p w14:paraId="7C7352B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16,6</w:t>
            </w:r>
          </w:p>
        </w:tc>
        <w:tc>
          <w:tcPr>
            <w:tcW w:w="1343" w:type="dxa"/>
            <w:tcBorders>
              <w:top w:val="nil"/>
              <w:left w:val="nil"/>
              <w:bottom w:val="nil"/>
              <w:right w:val="nil"/>
            </w:tcBorders>
            <w:shd w:val="clear" w:color="auto" w:fill="auto"/>
            <w:noWrap/>
            <w:vAlign w:val="center"/>
            <w:hideMark/>
          </w:tcPr>
          <w:p w14:paraId="6F396D7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90%</w:t>
            </w:r>
          </w:p>
        </w:tc>
        <w:tc>
          <w:tcPr>
            <w:tcW w:w="851" w:type="dxa"/>
            <w:tcBorders>
              <w:top w:val="nil"/>
              <w:left w:val="nil"/>
              <w:bottom w:val="nil"/>
              <w:right w:val="nil"/>
            </w:tcBorders>
            <w:shd w:val="clear" w:color="auto" w:fill="auto"/>
            <w:noWrap/>
            <w:vAlign w:val="center"/>
            <w:hideMark/>
          </w:tcPr>
          <w:p w14:paraId="0928EADD"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22 584</w:t>
            </w:r>
          </w:p>
        </w:tc>
        <w:tc>
          <w:tcPr>
            <w:tcW w:w="992" w:type="dxa"/>
            <w:tcBorders>
              <w:top w:val="nil"/>
              <w:left w:val="nil"/>
              <w:bottom w:val="nil"/>
              <w:right w:val="nil"/>
            </w:tcBorders>
            <w:shd w:val="clear" w:color="auto" w:fill="auto"/>
            <w:noWrap/>
            <w:vAlign w:val="center"/>
            <w:hideMark/>
          </w:tcPr>
          <w:p w14:paraId="01C6CD2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734</w:t>
            </w:r>
          </w:p>
        </w:tc>
        <w:tc>
          <w:tcPr>
            <w:tcW w:w="1276" w:type="dxa"/>
            <w:tcBorders>
              <w:top w:val="nil"/>
              <w:left w:val="nil"/>
              <w:bottom w:val="nil"/>
              <w:right w:val="nil"/>
            </w:tcBorders>
            <w:shd w:val="clear" w:color="auto" w:fill="auto"/>
            <w:noWrap/>
            <w:vAlign w:val="center"/>
            <w:hideMark/>
          </w:tcPr>
          <w:p w14:paraId="42B9BCE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15,2</w:t>
            </w:r>
          </w:p>
        </w:tc>
        <w:tc>
          <w:tcPr>
            <w:tcW w:w="1275" w:type="dxa"/>
            <w:tcBorders>
              <w:top w:val="nil"/>
              <w:left w:val="nil"/>
              <w:bottom w:val="nil"/>
              <w:right w:val="nil"/>
            </w:tcBorders>
            <w:shd w:val="clear" w:color="auto" w:fill="auto"/>
            <w:noWrap/>
            <w:vAlign w:val="center"/>
            <w:hideMark/>
          </w:tcPr>
          <w:p w14:paraId="6A90619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10,4</w:t>
            </w:r>
          </w:p>
        </w:tc>
        <w:tc>
          <w:tcPr>
            <w:tcW w:w="851" w:type="dxa"/>
            <w:tcBorders>
              <w:top w:val="nil"/>
              <w:left w:val="nil"/>
              <w:bottom w:val="nil"/>
              <w:right w:val="nil"/>
            </w:tcBorders>
            <w:shd w:val="clear" w:color="auto" w:fill="auto"/>
            <w:noWrap/>
            <w:vAlign w:val="center"/>
            <w:hideMark/>
          </w:tcPr>
          <w:p w14:paraId="3FFD3B9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-1,4</w:t>
            </w:r>
          </w:p>
        </w:tc>
        <w:tc>
          <w:tcPr>
            <w:tcW w:w="824" w:type="dxa"/>
            <w:tcBorders>
              <w:top w:val="nil"/>
              <w:left w:val="nil"/>
              <w:bottom w:val="nil"/>
              <w:right w:val="nil"/>
            </w:tcBorders>
            <w:shd w:val="clear" w:color="auto" w:fill="auto"/>
            <w:noWrap/>
            <w:vAlign w:val="center"/>
            <w:hideMark/>
          </w:tcPr>
          <w:p w14:paraId="70E315B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-6,2</w:t>
            </w:r>
          </w:p>
        </w:tc>
      </w:tr>
      <w:tr w:rsidR="00FC6400" w:rsidRPr="00FC6400" w14:paraId="1268C47F" w14:textId="77777777" w:rsidTr="0037129E">
        <w:trPr>
          <w:trHeight w:val="20"/>
        </w:trPr>
        <w:tc>
          <w:tcPr>
            <w:tcW w:w="5387" w:type="dxa"/>
            <w:tcBorders>
              <w:top w:val="nil"/>
              <w:left w:val="nil"/>
              <w:bottom w:val="nil"/>
              <w:right w:val="nil"/>
            </w:tcBorders>
            <w:shd w:val="clear" w:color="auto" w:fill="auto"/>
            <w:vAlign w:val="center"/>
            <w:hideMark/>
          </w:tcPr>
          <w:p w14:paraId="71FD4705"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Zefektívnenie štátneho dozoru v starostlivosti o životné prostredie</w:t>
            </w:r>
          </w:p>
        </w:tc>
        <w:tc>
          <w:tcPr>
            <w:tcW w:w="992" w:type="dxa"/>
            <w:tcBorders>
              <w:top w:val="nil"/>
              <w:left w:val="nil"/>
              <w:bottom w:val="nil"/>
              <w:right w:val="nil"/>
            </w:tcBorders>
            <w:shd w:val="clear" w:color="auto" w:fill="auto"/>
            <w:noWrap/>
            <w:vAlign w:val="center"/>
            <w:hideMark/>
          </w:tcPr>
          <w:p w14:paraId="1C9A6E5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8,1</w:t>
            </w:r>
          </w:p>
        </w:tc>
        <w:tc>
          <w:tcPr>
            <w:tcW w:w="925" w:type="dxa"/>
            <w:tcBorders>
              <w:top w:val="nil"/>
              <w:left w:val="nil"/>
              <w:bottom w:val="nil"/>
              <w:right w:val="nil"/>
            </w:tcBorders>
            <w:shd w:val="clear" w:color="auto" w:fill="auto"/>
            <w:noWrap/>
            <w:vAlign w:val="center"/>
            <w:hideMark/>
          </w:tcPr>
          <w:p w14:paraId="6B87220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7,8</w:t>
            </w:r>
          </w:p>
        </w:tc>
        <w:tc>
          <w:tcPr>
            <w:tcW w:w="1343" w:type="dxa"/>
            <w:tcBorders>
              <w:top w:val="nil"/>
              <w:left w:val="nil"/>
              <w:bottom w:val="nil"/>
              <w:right w:val="nil"/>
            </w:tcBorders>
            <w:shd w:val="clear" w:color="auto" w:fill="auto"/>
            <w:noWrap/>
            <w:vAlign w:val="center"/>
            <w:hideMark/>
          </w:tcPr>
          <w:p w14:paraId="3A30F8AD"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96%</w:t>
            </w:r>
          </w:p>
        </w:tc>
        <w:tc>
          <w:tcPr>
            <w:tcW w:w="851" w:type="dxa"/>
            <w:tcBorders>
              <w:top w:val="nil"/>
              <w:left w:val="nil"/>
              <w:bottom w:val="nil"/>
              <w:right w:val="nil"/>
            </w:tcBorders>
            <w:shd w:val="clear" w:color="auto" w:fill="auto"/>
            <w:noWrap/>
            <w:vAlign w:val="center"/>
            <w:hideMark/>
          </w:tcPr>
          <w:p w14:paraId="03C0DD31"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9 740</w:t>
            </w:r>
          </w:p>
        </w:tc>
        <w:tc>
          <w:tcPr>
            <w:tcW w:w="992" w:type="dxa"/>
            <w:tcBorders>
              <w:top w:val="nil"/>
              <w:left w:val="nil"/>
              <w:bottom w:val="nil"/>
              <w:right w:val="nil"/>
            </w:tcBorders>
            <w:shd w:val="clear" w:color="auto" w:fill="auto"/>
            <w:noWrap/>
            <w:vAlign w:val="center"/>
            <w:hideMark/>
          </w:tcPr>
          <w:p w14:paraId="18F25A3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803</w:t>
            </w:r>
          </w:p>
        </w:tc>
        <w:tc>
          <w:tcPr>
            <w:tcW w:w="1276" w:type="dxa"/>
            <w:tcBorders>
              <w:top w:val="nil"/>
              <w:left w:val="nil"/>
              <w:bottom w:val="nil"/>
              <w:right w:val="nil"/>
            </w:tcBorders>
            <w:shd w:val="clear" w:color="auto" w:fill="auto"/>
            <w:noWrap/>
            <w:vAlign w:val="center"/>
            <w:hideMark/>
          </w:tcPr>
          <w:p w14:paraId="247B0F4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6,5</w:t>
            </w:r>
          </w:p>
        </w:tc>
        <w:tc>
          <w:tcPr>
            <w:tcW w:w="1275" w:type="dxa"/>
            <w:tcBorders>
              <w:top w:val="nil"/>
              <w:left w:val="nil"/>
              <w:bottom w:val="nil"/>
              <w:right w:val="nil"/>
            </w:tcBorders>
            <w:shd w:val="clear" w:color="auto" w:fill="auto"/>
            <w:noWrap/>
            <w:vAlign w:val="center"/>
            <w:hideMark/>
          </w:tcPr>
          <w:p w14:paraId="2004D0F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4,5</w:t>
            </w:r>
          </w:p>
        </w:tc>
        <w:tc>
          <w:tcPr>
            <w:tcW w:w="851" w:type="dxa"/>
            <w:tcBorders>
              <w:top w:val="nil"/>
              <w:left w:val="nil"/>
              <w:bottom w:val="nil"/>
              <w:right w:val="nil"/>
            </w:tcBorders>
            <w:shd w:val="clear" w:color="auto" w:fill="auto"/>
            <w:noWrap/>
            <w:vAlign w:val="center"/>
            <w:hideMark/>
          </w:tcPr>
          <w:p w14:paraId="73D21901"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-1,3</w:t>
            </w:r>
          </w:p>
        </w:tc>
        <w:tc>
          <w:tcPr>
            <w:tcW w:w="824" w:type="dxa"/>
            <w:tcBorders>
              <w:top w:val="nil"/>
              <w:left w:val="nil"/>
              <w:bottom w:val="nil"/>
              <w:right w:val="nil"/>
            </w:tcBorders>
            <w:shd w:val="clear" w:color="auto" w:fill="auto"/>
            <w:noWrap/>
            <w:vAlign w:val="center"/>
            <w:hideMark/>
          </w:tcPr>
          <w:p w14:paraId="5E1623D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-3,4</w:t>
            </w:r>
          </w:p>
        </w:tc>
      </w:tr>
      <w:tr w:rsidR="00FC6400" w:rsidRPr="00FC6400" w14:paraId="31557777" w14:textId="77777777" w:rsidTr="0037129E">
        <w:trPr>
          <w:trHeight w:val="20"/>
        </w:trPr>
        <w:tc>
          <w:tcPr>
            <w:tcW w:w="5387" w:type="dxa"/>
            <w:tcBorders>
              <w:top w:val="nil"/>
              <w:left w:val="nil"/>
              <w:bottom w:val="nil"/>
              <w:right w:val="nil"/>
            </w:tcBorders>
            <w:shd w:val="clear" w:color="auto" w:fill="auto"/>
            <w:vAlign w:val="center"/>
            <w:hideMark/>
          </w:tcPr>
          <w:p w14:paraId="5846FF1F"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Manažérsky informačný systém</w:t>
            </w:r>
          </w:p>
        </w:tc>
        <w:tc>
          <w:tcPr>
            <w:tcW w:w="992" w:type="dxa"/>
            <w:tcBorders>
              <w:top w:val="nil"/>
              <w:left w:val="nil"/>
              <w:bottom w:val="nil"/>
              <w:right w:val="nil"/>
            </w:tcBorders>
            <w:shd w:val="clear" w:color="auto" w:fill="auto"/>
            <w:noWrap/>
            <w:vAlign w:val="center"/>
            <w:hideMark/>
          </w:tcPr>
          <w:p w14:paraId="36B630F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3,9</w:t>
            </w:r>
          </w:p>
        </w:tc>
        <w:tc>
          <w:tcPr>
            <w:tcW w:w="925" w:type="dxa"/>
            <w:tcBorders>
              <w:top w:val="nil"/>
              <w:left w:val="nil"/>
              <w:bottom w:val="nil"/>
              <w:right w:val="nil"/>
            </w:tcBorders>
            <w:shd w:val="clear" w:color="auto" w:fill="auto"/>
            <w:noWrap/>
            <w:vAlign w:val="center"/>
            <w:hideMark/>
          </w:tcPr>
          <w:p w14:paraId="0680378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3,0</w:t>
            </w:r>
          </w:p>
        </w:tc>
        <w:tc>
          <w:tcPr>
            <w:tcW w:w="1343" w:type="dxa"/>
            <w:tcBorders>
              <w:top w:val="nil"/>
              <w:left w:val="nil"/>
              <w:bottom w:val="nil"/>
              <w:right w:val="nil"/>
            </w:tcBorders>
            <w:shd w:val="clear" w:color="auto" w:fill="auto"/>
            <w:noWrap/>
            <w:vAlign w:val="center"/>
            <w:hideMark/>
          </w:tcPr>
          <w:p w14:paraId="7FDE6BA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77%</w:t>
            </w:r>
          </w:p>
        </w:tc>
        <w:tc>
          <w:tcPr>
            <w:tcW w:w="851" w:type="dxa"/>
            <w:tcBorders>
              <w:top w:val="nil"/>
              <w:left w:val="nil"/>
              <w:bottom w:val="nil"/>
              <w:right w:val="nil"/>
            </w:tcBorders>
            <w:shd w:val="clear" w:color="auto" w:fill="auto"/>
            <w:noWrap/>
            <w:vAlign w:val="center"/>
            <w:hideMark/>
          </w:tcPr>
          <w:p w14:paraId="12D43E4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3 823</w:t>
            </w:r>
          </w:p>
        </w:tc>
        <w:tc>
          <w:tcPr>
            <w:tcW w:w="992" w:type="dxa"/>
            <w:tcBorders>
              <w:top w:val="nil"/>
              <w:left w:val="nil"/>
              <w:bottom w:val="nil"/>
              <w:right w:val="nil"/>
            </w:tcBorders>
            <w:shd w:val="clear" w:color="auto" w:fill="auto"/>
            <w:noWrap/>
            <w:vAlign w:val="center"/>
            <w:hideMark/>
          </w:tcPr>
          <w:p w14:paraId="73652F2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794</w:t>
            </w:r>
          </w:p>
        </w:tc>
        <w:tc>
          <w:tcPr>
            <w:tcW w:w="1276" w:type="dxa"/>
            <w:tcBorders>
              <w:top w:val="nil"/>
              <w:left w:val="nil"/>
              <w:bottom w:val="nil"/>
              <w:right w:val="nil"/>
            </w:tcBorders>
            <w:shd w:val="clear" w:color="auto" w:fill="auto"/>
            <w:noWrap/>
            <w:vAlign w:val="center"/>
            <w:hideMark/>
          </w:tcPr>
          <w:p w14:paraId="0BCE1E4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2,6</w:t>
            </w:r>
          </w:p>
        </w:tc>
        <w:tc>
          <w:tcPr>
            <w:tcW w:w="1275" w:type="dxa"/>
            <w:tcBorders>
              <w:top w:val="nil"/>
              <w:left w:val="nil"/>
              <w:bottom w:val="nil"/>
              <w:right w:val="nil"/>
            </w:tcBorders>
            <w:shd w:val="clear" w:color="auto" w:fill="auto"/>
            <w:noWrap/>
            <w:vAlign w:val="center"/>
            <w:hideMark/>
          </w:tcPr>
          <w:p w14:paraId="7D6CEF4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1,8</w:t>
            </w:r>
          </w:p>
        </w:tc>
        <w:tc>
          <w:tcPr>
            <w:tcW w:w="851" w:type="dxa"/>
            <w:tcBorders>
              <w:top w:val="nil"/>
              <w:left w:val="nil"/>
              <w:bottom w:val="nil"/>
              <w:right w:val="nil"/>
            </w:tcBorders>
            <w:shd w:val="clear" w:color="auto" w:fill="auto"/>
            <w:noWrap/>
            <w:vAlign w:val="center"/>
            <w:hideMark/>
          </w:tcPr>
          <w:p w14:paraId="57251E7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-0,5</w:t>
            </w:r>
          </w:p>
        </w:tc>
        <w:tc>
          <w:tcPr>
            <w:tcW w:w="824" w:type="dxa"/>
            <w:tcBorders>
              <w:top w:val="nil"/>
              <w:left w:val="nil"/>
              <w:bottom w:val="nil"/>
              <w:right w:val="nil"/>
            </w:tcBorders>
            <w:shd w:val="clear" w:color="auto" w:fill="auto"/>
            <w:noWrap/>
            <w:vAlign w:val="center"/>
            <w:hideMark/>
          </w:tcPr>
          <w:p w14:paraId="460E656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-1,3</w:t>
            </w:r>
          </w:p>
        </w:tc>
      </w:tr>
      <w:tr w:rsidR="00FC6400" w:rsidRPr="00FC6400" w14:paraId="603B9106" w14:textId="77777777" w:rsidTr="0037129E">
        <w:trPr>
          <w:trHeight w:val="20"/>
        </w:trPr>
        <w:tc>
          <w:tcPr>
            <w:tcW w:w="5387" w:type="dxa"/>
            <w:tcBorders>
              <w:top w:val="nil"/>
              <w:left w:val="nil"/>
              <w:bottom w:val="nil"/>
              <w:right w:val="nil"/>
            </w:tcBorders>
            <w:shd w:val="clear" w:color="auto" w:fill="auto"/>
            <w:vAlign w:val="center"/>
            <w:hideMark/>
          </w:tcPr>
          <w:p w14:paraId="36D4CF8C"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Modernizácia dávkových agend Sociálnej poisťovne (MODA SP)</w:t>
            </w:r>
          </w:p>
        </w:tc>
        <w:tc>
          <w:tcPr>
            <w:tcW w:w="992" w:type="dxa"/>
            <w:tcBorders>
              <w:top w:val="nil"/>
              <w:left w:val="nil"/>
              <w:bottom w:val="nil"/>
              <w:right w:val="nil"/>
            </w:tcBorders>
            <w:shd w:val="clear" w:color="auto" w:fill="auto"/>
            <w:noWrap/>
            <w:vAlign w:val="center"/>
            <w:hideMark/>
          </w:tcPr>
          <w:p w14:paraId="1D2AF3FF"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18,1</w:t>
            </w:r>
          </w:p>
        </w:tc>
        <w:tc>
          <w:tcPr>
            <w:tcW w:w="925" w:type="dxa"/>
            <w:tcBorders>
              <w:top w:val="nil"/>
              <w:left w:val="nil"/>
              <w:bottom w:val="nil"/>
              <w:right w:val="nil"/>
            </w:tcBorders>
            <w:shd w:val="clear" w:color="auto" w:fill="auto"/>
            <w:noWrap/>
            <w:vAlign w:val="center"/>
            <w:hideMark/>
          </w:tcPr>
          <w:p w14:paraId="13DF31B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17,2</w:t>
            </w:r>
          </w:p>
        </w:tc>
        <w:tc>
          <w:tcPr>
            <w:tcW w:w="1343" w:type="dxa"/>
            <w:tcBorders>
              <w:top w:val="nil"/>
              <w:left w:val="nil"/>
              <w:bottom w:val="nil"/>
              <w:right w:val="nil"/>
            </w:tcBorders>
            <w:shd w:val="clear" w:color="auto" w:fill="auto"/>
            <w:noWrap/>
            <w:vAlign w:val="center"/>
            <w:hideMark/>
          </w:tcPr>
          <w:p w14:paraId="7482F62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95%</w:t>
            </w:r>
          </w:p>
        </w:tc>
        <w:tc>
          <w:tcPr>
            <w:tcW w:w="851" w:type="dxa"/>
            <w:tcBorders>
              <w:top w:val="nil"/>
              <w:left w:val="nil"/>
              <w:bottom w:val="nil"/>
              <w:right w:val="nil"/>
            </w:tcBorders>
            <w:shd w:val="clear" w:color="auto" w:fill="auto"/>
            <w:noWrap/>
            <w:vAlign w:val="center"/>
            <w:hideMark/>
          </w:tcPr>
          <w:p w14:paraId="5F2AD4C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32 060</w:t>
            </w:r>
          </w:p>
        </w:tc>
        <w:tc>
          <w:tcPr>
            <w:tcW w:w="992" w:type="dxa"/>
            <w:tcBorders>
              <w:top w:val="nil"/>
              <w:left w:val="nil"/>
              <w:bottom w:val="nil"/>
              <w:right w:val="nil"/>
            </w:tcBorders>
            <w:shd w:val="clear" w:color="auto" w:fill="auto"/>
            <w:noWrap/>
            <w:vAlign w:val="center"/>
            <w:hideMark/>
          </w:tcPr>
          <w:p w14:paraId="09315AD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536</w:t>
            </w:r>
          </w:p>
        </w:tc>
        <w:tc>
          <w:tcPr>
            <w:tcW w:w="1276" w:type="dxa"/>
            <w:tcBorders>
              <w:top w:val="nil"/>
              <w:left w:val="nil"/>
              <w:bottom w:val="nil"/>
              <w:right w:val="nil"/>
            </w:tcBorders>
            <w:shd w:val="clear" w:color="auto" w:fill="auto"/>
            <w:noWrap/>
            <w:vAlign w:val="center"/>
            <w:hideMark/>
          </w:tcPr>
          <w:p w14:paraId="4577AD3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17,2</w:t>
            </w:r>
          </w:p>
        </w:tc>
        <w:tc>
          <w:tcPr>
            <w:tcW w:w="1275" w:type="dxa"/>
            <w:tcBorders>
              <w:top w:val="nil"/>
              <w:left w:val="nil"/>
              <w:bottom w:val="nil"/>
              <w:right w:val="nil"/>
            </w:tcBorders>
            <w:shd w:val="clear" w:color="auto" w:fill="auto"/>
            <w:noWrap/>
            <w:vAlign w:val="center"/>
            <w:hideMark/>
          </w:tcPr>
          <w:p w14:paraId="1B3C39FF"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14,7</w:t>
            </w:r>
          </w:p>
        </w:tc>
        <w:tc>
          <w:tcPr>
            <w:tcW w:w="851" w:type="dxa"/>
            <w:tcBorders>
              <w:top w:val="nil"/>
              <w:left w:val="nil"/>
              <w:bottom w:val="nil"/>
              <w:right w:val="nil"/>
            </w:tcBorders>
            <w:shd w:val="clear" w:color="auto" w:fill="auto"/>
            <w:noWrap/>
            <w:vAlign w:val="center"/>
            <w:hideMark/>
          </w:tcPr>
          <w:p w14:paraId="7089B58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824" w:type="dxa"/>
            <w:tcBorders>
              <w:top w:val="nil"/>
              <w:left w:val="nil"/>
              <w:bottom w:val="nil"/>
              <w:right w:val="nil"/>
            </w:tcBorders>
            <w:shd w:val="clear" w:color="auto" w:fill="auto"/>
            <w:noWrap/>
            <w:vAlign w:val="center"/>
            <w:hideMark/>
          </w:tcPr>
          <w:p w14:paraId="6E05668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-2,5</w:t>
            </w:r>
          </w:p>
        </w:tc>
      </w:tr>
      <w:tr w:rsidR="00FC6400" w:rsidRPr="00FC6400" w14:paraId="4E0F4D68" w14:textId="77777777" w:rsidTr="0037129E">
        <w:trPr>
          <w:trHeight w:val="20"/>
        </w:trPr>
        <w:tc>
          <w:tcPr>
            <w:tcW w:w="5387" w:type="dxa"/>
            <w:tcBorders>
              <w:top w:val="nil"/>
              <w:left w:val="nil"/>
              <w:bottom w:val="nil"/>
              <w:right w:val="nil"/>
            </w:tcBorders>
            <w:shd w:val="clear" w:color="auto" w:fill="auto"/>
            <w:vAlign w:val="center"/>
            <w:hideMark/>
          </w:tcPr>
          <w:p w14:paraId="68378BBD"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Elektronizácia školstva</w:t>
            </w:r>
          </w:p>
        </w:tc>
        <w:tc>
          <w:tcPr>
            <w:tcW w:w="992" w:type="dxa"/>
            <w:tcBorders>
              <w:top w:val="nil"/>
              <w:left w:val="nil"/>
              <w:bottom w:val="nil"/>
              <w:right w:val="nil"/>
            </w:tcBorders>
            <w:shd w:val="clear" w:color="auto" w:fill="auto"/>
            <w:noWrap/>
            <w:vAlign w:val="center"/>
            <w:hideMark/>
          </w:tcPr>
          <w:p w14:paraId="35F8B57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5,9</w:t>
            </w:r>
          </w:p>
        </w:tc>
        <w:tc>
          <w:tcPr>
            <w:tcW w:w="925" w:type="dxa"/>
            <w:tcBorders>
              <w:top w:val="nil"/>
              <w:left w:val="nil"/>
              <w:bottom w:val="nil"/>
              <w:right w:val="nil"/>
            </w:tcBorders>
            <w:shd w:val="clear" w:color="auto" w:fill="auto"/>
            <w:noWrap/>
            <w:vAlign w:val="center"/>
            <w:hideMark/>
          </w:tcPr>
          <w:p w14:paraId="21566DF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4,7</w:t>
            </w:r>
          </w:p>
        </w:tc>
        <w:tc>
          <w:tcPr>
            <w:tcW w:w="1343" w:type="dxa"/>
            <w:tcBorders>
              <w:top w:val="nil"/>
              <w:left w:val="nil"/>
              <w:bottom w:val="nil"/>
              <w:right w:val="nil"/>
            </w:tcBorders>
            <w:shd w:val="clear" w:color="auto" w:fill="auto"/>
            <w:noWrap/>
            <w:vAlign w:val="center"/>
            <w:hideMark/>
          </w:tcPr>
          <w:p w14:paraId="0BC5B7D6"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80%</w:t>
            </w:r>
          </w:p>
        </w:tc>
        <w:tc>
          <w:tcPr>
            <w:tcW w:w="851" w:type="dxa"/>
            <w:tcBorders>
              <w:top w:val="nil"/>
              <w:left w:val="nil"/>
              <w:bottom w:val="nil"/>
              <w:right w:val="nil"/>
            </w:tcBorders>
            <w:shd w:val="clear" w:color="auto" w:fill="auto"/>
            <w:noWrap/>
            <w:vAlign w:val="center"/>
            <w:hideMark/>
          </w:tcPr>
          <w:p w14:paraId="3B2A401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8 371</w:t>
            </w:r>
          </w:p>
        </w:tc>
        <w:tc>
          <w:tcPr>
            <w:tcW w:w="992" w:type="dxa"/>
            <w:tcBorders>
              <w:top w:val="nil"/>
              <w:left w:val="nil"/>
              <w:bottom w:val="nil"/>
              <w:right w:val="nil"/>
            </w:tcBorders>
            <w:shd w:val="clear" w:color="auto" w:fill="auto"/>
            <w:noWrap/>
            <w:vAlign w:val="center"/>
            <w:hideMark/>
          </w:tcPr>
          <w:p w14:paraId="5EE8B646"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567</w:t>
            </w:r>
          </w:p>
        </w:tc>
        <w:tc>
          <w:tcPr>
            <w:tcW w:w="1276" w:type="dxa"/>
            <w:tcBorders>
              <w:top w:val="nil"/>
              <w:left w:val="nil"/>
              <w:bottom w:val="nil"/>
              <w:right w:val="nil"/>
            </w:tcBorders>
            <w:shd w:val="clear" w:color="auto" w:fill="auto"/>
            <w:noWrap/>
            <w:vAlign w:val="center"/>
            <w:hideMark/>
          </w:tcPr>
          <w:p w14:paraId="20A57D1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4,7</w:t>
            </w:r>
          </w:p>
        </w:tc>
        <w:tc>
          <w:tcPr>
            <w:tcW w:w="1275" w:type="dxa"/>
            <w:tcBorders>
              <w:top w:val="nil"/>
              <w:left w:val="nil"/>
              <w:bottom w:val="nil"/>
              <w:right w:val="nil"/>
            </w:tcBorders>
            <w:shd w:val="clear" w:color="auto" w:fill="auto"/>
            <w:noWrap/>
            <w:vAlign w:val="center"/>
            <w:hideMark/>
          </w:tcPr>
          <w:p w14:paraId="07BB9C4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3,8</w:t>
            </w:r>
          </w:p>
        </w:tc>
        <w:tc>
          <w:tcPr>
            <w:tcW w:w="851" w:type="dxa"/>
            <w:tcBorders>
              <w:top w:val="nil"/>
              <w:left w:val="nil"/>
              <w:bottom w:val="nil"/>
              <w:right w:val="nil"/>
            </w:tcBorders>
            <w:shd w:val="clear" w:color="auto" w:fill="auto"/>
            <w:noWrap/>
            <w:vAlign w:val="center"/>
            <w:hideMark/>
          </w:tcPr>
          <w:p w14:paraId="436795A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824" w:type="dxa"/>
            <w:tcBorders>
              <w:top w:val="nil"/>
              <w:left w:val="nil"/>
              <w:bottom w:val="nil"/>
              <w:right w:val="nil"/>
            </w:tcBorders>
            <w:shd w:val="clear" w:color="auto" w:fill="auto"/>
            <w:noWrap/>
            <w:vAlign w:val="center"/>
            <w:hideMark/>
          </w:tcPr>
          <w:p w14:paraId="77E6030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-0,9</w:t>
            </w:r>
          </w:p>
        </w:tc>
      </w:tr>
      <w:tr w:rsidR="00FC6400" w:rsidRPr="00FC6400" w14:paraId="459B8091" w14:textId="77777777" w:rsidTr="0037129E">
        <w:trPr>
          <w:trHeight w:val="20"/>
        </w:trPr>
        <w:tc>
          <w:tcPr>
            <w:tcW w:w="5387" w:type="dxa"/>
            <w:tcBorders>
              <w:top w:val="nil"/>
              <w:left w:val="nil"/>
              <w:bottom w:val="nil"/>
              <w:right w:val="nil"/>
            </w:tcBorders>
            <w:shd w:val="clear" w:color="auto" w:fill="auto"/>
            <w:vAlign w:val="center"/>
            <w:hideMark/>
          </w:tcPr>
          <w:p w14:paraId="3C19603B"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Otvorené údaje 2.0</w:t>
            </w:r>
          </w:p>
        </w:tc>
        <w:tc>
          <w:tcPr>
            <w:tcW w:w="992" w:type="dxa"/>
            <w:tcBorders>
              <w:top w:val="nil"/>
              <w:left w:val="nil"/>
              <w:bottom w:val="nil"/>
              <w:right w:val="nil"/>
            </w:tcBorders>
            <w:shd w:val="clear" w:color="auto" w:fill="auto"/>
            <w:noWrap/>
            <w:vAlign w:val="center"/>
            <w:hideMark/>
          </w:tcPr>
          <w:p w14:paraId="348D7BE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3,5</w:t>
            </w:r>
          </w:p>
        </w:tc>
        <w:tc>
          <w:tcPr>
            <w:tcW w:w="925" w:type="dxa"/>
            <w:tcBorders>
              <w:top w:val="nil"/>
              <w:left w:val="nil"/>
              <w:bottom w:val="nil"/>
              <w:right w:val="nil"/>
            </w:tcBorders>
            <w:shd w:val="clear" w:color="auto" w:fill="auto"/>
            <w:noWrap/>
            <w:vAlign w:val="center"/>
            <w:hideMark/>
          </w:tcPr>
          <w:p w14:paraId="32D7C0F6"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3,4</w:t>
            </w:r>
          </w:p>
        </w:tc>
        <w:tc>
          <w:tcPr>
            <w:tcW w:w="1343" w:type="dxa"/>
            <w:tcBorders>
              <w:top w:val="nil"/>
              <w:left w:val="nil"/>
              <w:bottom w:val="nil"/>
              <w:right w:val="nil"/>
            </w:tcBorders>
            <w:shd w:val="clear" w:color="auto" w:fill="auto"/>
            <w:noWrap/>
            <w:vAlign w:val="center"/>
            <w:hideMark/>
          </w:tcPr>
          <w:p w14:paraId="1A12680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96%</w:t>
            </w:r>
          </w:p>
        </w:tc>
        <w:tc>
          <w:tcPr>
            <w:tcW w:w="851" w:type="dxa"/>
            <w:tcBorders>
              <w:top w:val="nil"/>
              <w:left w:val="nil"/>
              <w:bottom w:val="nil"/>
              <w:right w:val="nil"/>
            </w:tcBorders>
            <w:shd w:val="clear" w:color="auto" w:fill="auto"/>
            <w:noWrap/>
            <w:vAlign w:val="center"/>
            <w:hideMark/>
          </w:tcPr>
          <w:p w14:paraId="4F2C782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6 586</w:t>
            </w:r>
          </w:p>
        </w:tc>
        <w:tc>
          <w:tcPr>
            <w:tcW w:w="992" w:type="dxa"/>
            <w:tcBorders>
              <w:top w:val="nil"/>
              <w:left w:val="nil"/>
              <w:bottom w:val="nil"/>
              <w:right w:val="nil"/>
            </w:tcBorders>
            <w:shd w:val="clear" w:color="auto" w:fill="auto"/>
            <w:noWrap/>
            <w:vAlign w:val="center"/>
            <w:hideMark/>
          </w:tcPr>
          <w:p w14:paraId="780B4EA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519</w:t>
            </w:r>
          </w:p>
        </w:tc>
        <w:tc>
          <w:tcPr>
            <w:tcW w:w="1276" w:type="dxa"/>
            <w:tcBorders>
              <w:top w:val="nil"/>
              <w:left w:val="nil"/>
              <w:bottom w:val="nil"/>
              <w:right w:val="nil"/>
            </w:tcBorders>
            <w:shd w:val="clear" w:color="auto" w:fill="auto"/>
            <w:noWrap/>
            <w:vAlign w:val="center"/>
            <w:hideMark/>
          </w:tcPr>
          <w:p w14:paraId="64D65E7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3,4</w:t>
            </w:r>
          </w:p>
        </w:tc>
        <w:tc>
          <w:tcPr>
            <w:tcW w:w="1275" w:type="dxa"/>
            <w:tcBorders>
              <w:top w:val="nil"/>
              <w:left w:val="nil"/>
              <w:bottom w:val="nil"/>
              <w:right w:val="nil"/>
            </w:tcBorders>
            <w:shd w:val="clear" w:color="auto" w:fill="auto"/>
            <w:noWrap/>
            <w:vAlign w:val="center"/>
            <w:hideMark/>
          </w:tcPr>
          <w:p w14:paraId="0EF32C2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3,0</w:t>
            </w:r>
          </w:p>
        </w:tc>
        <w:tc>
          <w:tcPr>
            <w:tcW w:w="851" w:type="dxa"/>
            <w:tcBorders>
              <w:top w:val="nil"/>
              <w:left w:val="nil"/>
              <w:bottom w:val="nil"/>
              <w:right w:val="nil"/>
            </w:tcBorders>
            <w:shd w:val="clear" w:color="auto" w:fill="auto"/>
            <w:noWrap/>
            <w:vAlign w:val="center"/>
            <w:hideMark/>
          </w:tcPr>
          <w:p w14:paraId="21F10EF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824" w:type="dxa"/>
            <w:tcBorders>
              <w:top w:val="nil"/>
              <w:left w:val="nil"/>
              <w:bottom w:val="nil"/>
              <w:right w:val="nil"/>
            </w:tcBorders>
            <w:shd w:val="clear" w:color="auto" w:fill="auto"/>
            <w:noWrap/>
            <w:vAlign w:val="center"/>
            <w:hideMark/>
          </w:tcPr>
          <w:p w14:paraId="37D6C6F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-0,4</w:t>
            </w:r>
          </w:p>
        </w:tc>
      </w:tr>
      <w:tr w:rsidR="00FC6400" w:rsidRPr="00FC6400" w14:paraId="7B88BEDD" w14:textId="77777777" w:rsidTr="0037129E">
        <w:trPr>
          <w:trHeight w:val="20"/>
        </w:trPr>
        <w:tc>
          <w:tcPr>
            <w:tcW w:w="5387" w:type="dxa"/>
            <w:tcBorders>
              <w:top w:val="nil"/>
              <w:left w:val="nil"/>
              <w:bottom w:val="nil"/>
              <w:right w:val="nil"/>
            </w:tcBorders>
            <w:shd w:val="clear" w:color="auto" w:fill="auto"/>
            <w:vAlign w:val="center"/>
            <w:hideMark/>
          </w:tcPr>
          <w:p w14:paraId="79A0132A"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Živnostenský register</w:t>
            </w:r>
          </w:p>
        </w:tc>
        <w:tc>
          <w:tcPr>
            <w:tcW w:w="992" w:type="dxa"/>
            <w:tcBorders>
              <w:top w:val="nil"/>
              <w:left w:val="nil"/>
              <w:bottom w:val="nil"/>
              <w:right w:val="nil"/>
            </w:tcBorders>
            <w:shd w:val="clear" w:color="auto" w:fill="auto"/>
            <w:noWrap/>
            <w:vAlign w:val="center"/>
            <w:hideMark/>
          </w:tcPr>
          <w:p w14:paraId="0D0C1FF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3,6</w:t>
            </w:r>
          </w:p>
        </w:tc>
        <w:tc>
          <w:tcPr>
            <w:tcW w:w="925" w:type="dxa"/>
            <w:tcBorders>
              <w:top w:val="nil"/>
              <w:left w:val="nil"/>
              <w:bottom w:val="nil"/>
              <w:right w:val="nil"/>
            </w:tcBorders>
            <w:shd w:val="clear" w:color="auto" w:fill="auto"/>
            <w:noWrap/>
            <w:vAlign w:val="center"/>
            <w:hideMark/>
          </w:tcPr>
          <w:p w14:paraId="2532AA7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3,6</w:t>
            </w:r>
          </w:p>
        </w:tc>
        <w:tc>
          <w:tcPr>
            <w:tcW w:w="1343" w:type="dxa"/>
            <w:tcBorders>
              <w:top w:val="nil"/>
              <w:left w:val="nil"/>
              <w:bottom w:val="nil"/>
              <w:right w:val="nil"/>
            </w:tcBorders>
            <w:shd w:val="clear" w:color="auto" w:fill="auto"/>
            <w:noWrap/>
            <w:vAlign w:val="center"/>
            <w:hideMark/>
          </w:tcPr>
          <w:p w14:paraId="23C31E8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100%</w:t>
            </w:r>
          </w:p>
        </w:tc>
        <w:tc>
          <w:tcPr>
            <w:tcW w:w="851" w:type="dxa"/>
            <w:tcBorders>
              <w:top w:val="nil"/>
              <w:left w:val="nil"/>
              <w:bottom w:val="nil"/>
              <w:right w:val="nil"/>
            </w:tcBorders>
            <w:shd w:val="clear" w:color="auto" w:fill="auto"/>
            <w:noWrap/>
            <w:vAlign w:val="center"/>
            <w:hideMark/>
          </w:tcPr>
          <w:p w14:paraId="0F7705D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4 998</w:t>
            </w:r>
          </w:p>
        </w:tc>
        <w:tc>
          <w:tcPr>
            <w:tcW w:w="992" w:type="dxa"/>
            <w:tcBorders>
              <w:top w:val="nil"/>
              <w:left w:val="nil"/>
              <w:bottom w:val="nil"/>
              <w:right w:val="nil"/>
            </w:tcBorders>
            <w:shd w:val="clear" w:color="auto" w:fill="auto"/>
            <w:noWrap/>
            <w:vAlign w:val="center"/>
            <w:hideMark/>
          </w:tcPr>
          <w:p w14:paraId="64272EE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728</w:t>
            </w:r>
          </w:p>
        </w:tc>
        <w:tc>
          <w:tcPr>
            <w:tcW w:w="1276" w:type="dxa"/>
            <w:tcBorders>
              <w:top w:val="nil"/>
              <w:left w:val="nil"/>
              <w:bottom w:val="nil"/>
              <w:right w:val="nil"/>
            </w:tcBorders>
            <w:shd w:val="clear" w:color="auto" w:fill="auto"/>
            <w:noWrap/>
            <w:vAlign w:val="center"/>
            <w:hideMark/>
          </w:tcPr>
          <w:p w14:paraId="4E3EC65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3,4</w:t>
            </w:r>
          </w:p>
        </w:tc>
        <w:tc>
          <w:tcPr>
            <w:tcW w:w="1275" w:type="dxa"/>
            <w:tcBorders>
              <w:top w:val="nil"/>
              <w:left w:val="nil"/>
              <w:bottom w:val="nil"/>
              <w:right w:val="nil"/>
            </w:tcBorders>
            <w:shd w:val="clear" w:color="auto" w:fill="auto"/>
            <w:noWrap/>
            <w:vAlign w:val="center"/>
            <w:hideMark/>
          </w:tcPr>
          <w:p w14:paraId="594C6F9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2,3</w:t>
            </w:r>
          </w:p>
        </w:tc>
        <w:tc>
          <w:tcPr>
            <w:tcW w:w="851" w:type="dxa"/>
            <w:tcBorders>
              <w:top w:val="nil"/>
              <w:left w:val="nil"/>
              <w:bottom w:val="nil"/>
              <w:right w:val="nil"/>
            </w:tcBorders>
            <w:shd w:val="clear" w:color="auto" w:fill="auto"/>
            <w:noWrap/>
            <w:vAlign w:val="center"/>
            <w:hideMark/>
          </w:tcPr>
          <w:p w14:paraId="6462E31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-0,3</w:t>
            </w:r>
          </w:p>
        </w:tc>
        <w:tc>
          <w:tcPr>
            <w:tcW w:w="824" w:type="dxa"/>
            <w:tcBorders>
              <w:top w:val="nil"/>
              <w:left w:val="nil"/>
              <w:bottom w:val="nil"/>
              <w:right w:val="nil"/>
            </w:tcBorders>
            <w:shd w:val="clear" w:color="auto" w:fill="auto"/>
            <w:noWrap/>
            <w:vAlign w:val="center"/>
            <w:hideMark/>
          </w:tcPr>
          <w:p w14:paraId="40AE589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-1,3</w:t>
            </w:r>
          </w:p>
        </w:tc>
      </w:tr>
      <w:tr w:rsidR="00FC6400" w:rsidRPr="00FC6400" w14:paraId="0B6AB905" w14:textId="77777777" w:rsidTr="0037129E">
        <w:trPr>
          <w:trHeight w:val="20"/>
        </w:trPr>
        <w:tc>
          <w:tcPr>
            <w:tcW w:w="5387" w:type="dxa"/>
            <w:tcBorders>
              <w:top w:val="nil"/>
              <w:left w:val="nil"/>
              <w:bottom w:val="nil"/>
              <w:right w:val="nil"/>
            </w:tcBorders>
            <w:shd w:val="clear" w:color="auto" w:fill="auto"/>
            <w:vAlign w:val="center"/>
            <w:hideMark/>
          </w:tcPr>
          <w:p w14:paraId="480F1EB8"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Inteligentné regulácie (IT platforma lepšej regulácie podľa stratégie RIA 2020)</w:t>
            </w:r>
          </w:p>
        </w:tc>
        <w:tc>
          <w:tcPr>
            <w:tcW w:w="992" w:type="dxa"/>
            <w:tcBorders>
              <w:top w:val="nil"/>
              <w:left w:val="nil"/>
              <w:bottom w:val="nil"/>
              <w:right w:val="nil"/>
            </w:tcBorders>
            <w:shd w:val="clear" w:color="auto" w:fill="auto"/>
            <w:noWrap/>
            <w:vAlign w:val="center"/>
            <w:hideMark/>
          </w:tcPr>
          <w:p w14:paraId="071A4B3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7,5</w:t>
            </w:r>
          </w:p>
        </w:tc>
        <w:tc>
          <w:tcPr>
            <w:tcW w:w="925" w:type="dxa"/>
            <w:tcBorders>
              <w:top w:val="nil"/>
              <w:left w:val="nil"/>
              <w:bottom w:val="nil"/>
              <w:right w:val="nil"/>
            </w:tcBorders>
            <w:shd w:val="clear" w:color="auto" w:fill="auto"/>
            <w:noWrap/>
            <w:vAlign w:val="center"/>
            <w:hideMark/>
          </w:tcPr>
          <w:p w14:paraId="16C3622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6,6</w:t>
            </w:r>
          </w:p>
        </w:tc>
        <w:tc>
          <w:tcPr>
            <w:tcW w:w="1343" w:type="dxa"/>
            <w:tcBorders>
              <w:top w:val="nil"/>
              <w:left w:val="nil"/>
              <w:bottom w:val="nil"/>
              <w:right w:val="nil"/>
            </w:tcBorders>
            <w:shd w:val="clear" w:color="auto" w:fill="auto"/>
            <w:noWrap/>
            <w:vAlign w:val="center"/>
            <w:hideMark/>
          </w:tcPr>
          <w:p w14:paraId="609A4E3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88%</w:t>
            </w:r>
          </w:p>
        </w:tc>
        <w:tc>
          <w:tcPr>
            <w:tcW w:w="851" w:type="dxa"/>
            <w:tcBorders>
              <w:top w:val="nil"/>
              <w:left w:val="nil"/>
              <w:bottom w:val="nil"/>
              <w:right w:val="nil"/>
            </w:tcBorders>
            <w:shd w:val="clear" w:color="auto" w:fill="auto"/>
            <w:noWrap/>
            <w:vAlign w:val="center"/>
            <w:hideMark/>
          </w:tcPr>
          <w:p w14:paraId="1AB73CB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9 220</w:t>
            </w:r>
          </w:p>
        </w:tc>
        <w:tc>
          <w:tcPr>
            <w:tcW w:w="992" w:type="dxa"/>
            <w:tcBorders>
              <w:top w:val="nil"/>
              <w:left w:val="nil"/>
              <w:bottom w:val="nil"/>
              <w:right w:val="nil"/>
            </w:tcBorders>
            <w:shd w:val="clear" w:color="auto" w:fill="auto"/>
            <w:noWrap/>
            <w:vAlign w:val="center"/>
            <w:hideMark/>
          </w:tcPr>
          <w:p w14:paraId="02A217A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714</w:t>
            </w:r>
          </w:p>
        </w:tc>
        <w:tc>
          <w:tcPr>
            <w:tcW w:w="1276" w:type="dxa"/>
            <w:tcBorders>
              <w:top w:val="nil"/>
              <w:left w:val="nil"/>
              <w:bottom w:val="nil"/>
              <w:right w:val="nil"/>
            </w:tcBorders>
            <w:shd w:val="clear" w:color="auto" w:fill="auto"/>
            <w:noWrap/>
            <w:vAlign w:val="center"/>
            <w:hideMark/>
          </w:tcPr>
          <w:p w14:paraId="1F72E26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6,2</w:t>
            </w:r>
          </w:p>
        </w:tc>
        <w:tc>
          <w:tcPr>
            <w:tcW w:w="1275" w:type="dxa"/>
            <w:tcBorders>
              <w:top w:val="nil"/>
              <w:left w:val="nil"/>
              <w:bottom w:val="nil"/>
              <w:right w:val="nil"/>
            </w:tcBorders>
            <w:shd w:val="clear" w:color="auto" w:fill="auto"/>
            <w:noWrap/>
            <w:vAlign w:val="center"/>
            <w:hideMark/>
          </w:tcPr>
          <w:p w14:paraId="15633BE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4,2</w:t>
            </w:r>
          </w:p>
        </w:tc>
        <w:tc>
          <w:tcPr>
            <w:tcW w:w="851" w:type="dxa"/>
            <w:tcBorders>
              <w:top w:val="nil"/>
              <w:left w:val="nil"/>
              <w:bottom w:val="nil"/>
              <w:right w:val="nil"/>
            </w:tcBorders>
            <w:shd w:val="clear" w:color="auto" w:fill="auto"/>
            <w:noWrap/>
            <w:vAlign w:val="center"/>
            <w:hideMark/>
          </w:tcPr>
          <w:p w14:paraId="1AFD817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-0,4</w:t>
            </w:r>
          </w:p>
        </w:tc>
        <w:tc>
          <w:tcPr>
            <w:tcW w:w="824" w:type="dxa"/>
            <w:tcBorders>
              <w:top w:val="nil"/>
              <w:left w:val="nil"/>
              <w:bottom w:val="nil"/>
              <w:right w:val="nil"/>
            </w:tcBorders>
            <w:shd w:val="clear" w:color="auto" w:fill="auto"/>
            <w:noWrap/>
            <w:vAlign w:val="center"/>
            <w:hideMark/>
          </w:tcPr>
          <w:p w14:paraId="0A5C210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-2,4</w:t>
            </w:r>
          </w:p>
        </w:tc>
      </w:tr>
      <w:tr w:rsidR="00FC6400" w:rsidRPr="00FC6400" w14:paraId="18175086" w14:textId="77777777" w:rsidTr="0037129E">
        <w:trPr>
          <w:trHeight w:val="20"/>
        </w:trPr>
        <w:tc>
          <w:tcPr>
            <w:tcW w:w="5387" w:type="dxa"/>
            <w:tcBorders>
              <w:top w:val="nil"/>
              <w:left w:val="nil"/>
              <w:bottom w:val="nil"/>
              <w:right w:val="nil"/>
            </w:tcBorders>
            <w:shd w:val="clear" w:color="auto" w:fill="auto"/>
            <w:vAlign w:val="center"/>
            <w:hideMark/>
          </w:tcPr>
          <w:p w14:paraId="1848BB40"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Atlas pasívnej infraštruktúry</w:t>
            </w:r>
          </w:p>
        </w:tc>
        <w:tc>
          <w:tcPr>
            <w:tcW w:w="992" w:type="dxa"/>
            <w:tcBorders>
              <w:top w:val="nil"/>
              <w:left w:val="nil"/>
              <w:bottom w:val="nil"/>
              <w:right w:val="nil"/>
            </w:tcBorders>
            <w:shd w:val="clear" w:color="auto" w:fill="auto"/>
            <w:noWrap/>
            <w:vAlign w:val="center"/>
            <w:hideMark/>
          </w:tcPr>
          <w:p w14:paraId="3944563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17,0</w:t>
            </w:r>
          </w:p>
        </w:tc>
        <w:tc>
          <w:tcPr>
            <w:tcW w:w="925" w:type="dxa"/>
            <w:tcBorders>
              <w:top w:val="nil"/>
              <w:left w:val="nil"/>
              <w:bottom w:val="nil"/>
              <w:right w:val="nil"/>
            </w:tcBorders>
            <w:shd w:val="clear" w:color="auto" w:fill="auto"/>
            <w:noWrap/>
            <w:vAlign w:val="center"/>
            <w:hideMark/>
          </w:tcPr>
          <w:p w14:paraId="0DABB51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13,0</w:t>
            </w:r>
          </w:p>
        </w:tc>
        <w:tc>
          <w:tcPr>
            <w:tcW w:w="1343" w:type="dxa"/>
            <w:tcBorders>
              <w:top w:val="nil"/>
              <w:left w:val="nil"/>
              <w:bottom w:val="nil"/>
              <w:right w:val="nil"/>
            </w:tcBorders>
            <w:shd w:val="clear" w:color="auto" w:fill="auto"/>
            <w:noWrap/>
            <w:vAlign w:val="center"/>
            <w:hideMark/>
          </w:tcPr>
          <w:p w14:paraId="0F4F605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76%</w:t>
            </w:r>
          </w:p>
        </w:tc>
        <w:tc>
          <w:tcPr>
            <w:tcW w:w="851" w:type="dxa"/>
            <w:tcBorders>
              <w:top w:val="nil"/>
              <w:left w:val="nil"/>
              <w:bottom w:val="nil"/>
              <w:right w:val="nil"/>
            </w:tcBorders>
            <w:shd w:val="clear" w:color="auto" w:fill="auto"/>
            <w:noWrap/>
            <w:vAlign w:val="center"/>
            <w:hideMark/>
          </w:tcPr>
          <w:p w14:paraId="7330B94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17 556</w:t>
            </w:r>
          </w:p>
        </w:tc>
        <w:tc>
          <w:tcPr>
            <w:tcW w:w="992" w:type="dxa"/>
            <w:tcBorders>
              <w:top w:val="nil"/>
              <w:left w:val="nil"/>
              <w:bottom w:val="nil"/>
              <w:right w:val="nil"/>
            </w:tcBorders>
            <w:shd w:val="clear" w:color="auto" w:fill="auto"/>
            <w:noWrap/>
            <w:vAlign w:val="center"/>
            <w:hideMark/>
          </w:tcPr>
          <w:p w14:paraId="2F40F5C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739</w:t>
            </w:r>
          </w:p>
        </w:tc>
        <w:tc>
          <w:tcPr>
            <w:tcW w:w="1276" w:type="dxa"/>
            <w:tcBorders>
              <w:top w:val="nil"/>
              <w:left w:val="nil"/>
              <w:bottom w:val="nil"/>
              <w:right w:val="nil"/>
            </w:tcBorders>
            <w:shd w:val="clear" w:color="auto" w:fill="auto"/>
            <w:noWrap/>
            <w:vAlign w:val="center"/>
            <w:hideMark/>
          </w:tcPr>
          <w:p w14:paraId="6A214EB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11,8</w:t>
            </w:r>
          </w:p>
        </w:tc>
        <w:tc>
          <w:tcPr>
            <w:tcW w:w="1275" w:type="dxa"/>
            <w:tcBorders>
              <w:top w:val="nil"/>
              <w:left w:val="nil"/>
              <w:bottom w:val="nil"/>
              <w:right w:val="nil"/>
            </w:tcBorders>
            <w:shd w:val="clear" w:color="auto" w:fill="auto"/>
            <w:noWrap/>
            <w:vAlign w:val="center"/>
            <w:hideMark/>
          </w:tcPr>
          <w:p w14:paraId="1AD5E5F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8,1</w:t>
            </w:r>
          </w:p>
        </w:tc>
        <w:tc>
          <w:tcPr>
            <w:tcW w:w="851" w:type="dxa"/>
            <w:tcBorders>
              <w:top w:val="nil"/>
              <w:left w:val="nil"/>
              <w:bottom w:val="nil"/>
              <w:right w:val="nil"/>
            </w:tcBorders>
            <w:shd w:val="clear" w:color="auto" w:fill="auto"/>
            <w:noWrap/>
            <w:vAlign w:val="center"/>
            <w:hideMark/>
          </w:tcPr>
          <w:p w14:paraId="1AE46856"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-1,2</w:t>
            </w:r>
          </w:p>
        </w:tc>
        <w:tc>
          <w:tcPr>
            <w:tcW w:w="824" w:type="dxa"/>
            <w:tcBorders>
              <w:top w:val="nil"/>
              <w:left w:val="nil"/>
              <w:bottom w:val="nil"/>
              <w:right w:val="nil"/>
            </w:tcBorders>
            <w:shd w:val="clear" w:color="auto" w:fill="auto"/>
            <w:noWrap/>
            <w:vAlign w:val="center"/>
            <w:hideMark/>
          </w:tcPr>
          <w:p w14:paraId="47836DC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-4,9</w:t>
            </w:r>
          </w:p>
        </w:tc>
      </w:tr>
      <w:tr w:rsidR="00FC6400" w:rsidRPr="00FC6400" w14:paraId="12A60561" w14:textId="77777777" w:rsidTr="0037129E">
        <w:trPr>
          <w:trHeight w:val="20"/>
        </w:trPr>
        <w:tc>
          <w:tcPr>
            <w:tcW w:w="5387" w:type="dxa"/>
            <w:tcBorders>
              <w:top w:val="nil"/>
              <w:left w:val="nil"/>
              <w:bottom w:val="nil"/>
              <w:right w:val="nil"/>
            </w:tcBorders>
            <w:shd w:val="clear" w:color="auto" w:fill="auto"/>
            <w:vAlign w:val="center"/>
            <w:hideMark/>
          </w:tcPr>
          <w:p w14:paraId="5178E75D"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Centralizovaný systém súdneho riadenia</w:t>
            </w:r>
          </w:p>
        </w:tc>
        <w:tc>
          <w:tcPr>
            <w:tcW w:w="992" w:type="dxa"/>
            <w:tcBorders>
              <w:top w:val="nil"/>
              <w:left w:val="nil"/>
              <w:bottom w:val="nil"/>
              <w:right w:val="nil"/>
            </w:tcBorders>
            <w:shd w:val="clear" w:color="auto" w:fill="auto"/>
            <w:noWrap/>
            <w:vAlign w:val="center"/>
            <w:hideMark/>
          </w:tcPr>
          <w:p w14:paraId="2650CDF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11,1</w:t>
            </w:r>
          </w:p>
        </w:tc>
        <w:tc>
          <w:tcPr>
            <w:tcW w:w="925" w:type="dxa"/>
            <w:tcBorders>
              <w:top w:val="nil"/>
              <w:left w:val="nil"/>
              <w:bottom w:val="nil"/>
              <w:right w:val="nil"/>
            </w:tcBorders>
            <w:shd w:val="clear" w:color="auto" w:fill="auto"/>
            <w:noWrap/>
            <w:vAlign w:val="center"/>
            <w:hideMark/>
          </w:tcPr>
          <w:p w14:paraId="04F9C41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10,5</w:t>
            </w:r>
          </w:p>
        </w:tc>
        <w:tc>
          <w:tcPr>
            <w:tcW w:w="1343" w:type="dxa"/>
            <w:tcBorders>
              <w:top w:val="nil"/>
              <w:left w:val="nil"/>
              <w:bottom w:val="nil"/>
              <w:right w:val="nil"/>
            </w:tcBorders>
            <w:shd w:val="clear" w:color="auto" w:fill="auto"/>
            <w:noWrap/>
            <w:vAlign w:val="center"/>
            <w:hideMark/>
          </w:tcPr>
          <w:p w14:paraId="7CE44D8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95%</w:t>
            </w:r>
          </w:p>
        </w:tc>
        <w:tc>
          <w:tcPr>
            <w:tcW w:w="851" w:type="dxa"/>
            <w:tcBorders>
              <w:top w:val="nil"/>
              <w:left w:val="nil"/>
              <w:bottom w:val="nil"/>
              <w:right w:val="nil"/>
            </w:tcBorders>
            <w:shd w:val="clear" w:color="auto" w:fill="auto"/>
            <w:noWrap/>
            <w:vAlign w:val="center"/>
            <w:hideMark/>
          </w:tcPr>
          <w:p w14:paraId="5D7FA74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15 694</w:t>
            </w:r>
          </w:p>
        </w:tc>
        <w:tc>
          <w:tcPr>
            <w:tcW w:w="992" w:type="dxa"/>
            <w:tcBorders>
              <w:top w:val="nil"/>
              <w:left w:val="nil"/>
              <w:bottom w:val="nil"/>
              <w:right w:val="nil"/>
            </w:tcBorders>
            <w:shd w:val="clear" w:color="auto" w:fill="auto"/>
            <w:noWrap/>
            <w:vAlign w:val="center"/>
            <w:hideMark/>
          </w:tcPr>
          <w:p w14:paraId="0540803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669</w:t>
            </w:r>
          </w:p>
        </w:tc>
        <w:tc>
          <w:tcPr>
            <w:tcW w:w="1276" w:type="dxa"/>
            <w:tcBorders>
              <w:top w:val="nil"/>
              <w:left w:val="nil"/>
              <w:bottom w:val="nil"/>
              <w:right w:val="nil"/>
            </w:tcBorders>
            <w:shd w:val="clear" w:color="auto" w:fill="auto"/>
            <w:noWrap/>
            <w:vAlign w:val="center"/>
            <w:hideMark/>
          </w:tcPr>
          <w:p w14:paraId="1682C34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10,5</w:t>
            </w:r>
          </w:p>
        </w:tc>
        <w:tc>
          <w:tcPr>
            <w:tcW w:w="1275" w:type="dxa"/>
            <w:tcBorders>
              <w:top w:val="nil"/>
              <w:left w:val="nil"/>
              <w:bottom w:val="nil"/>
              <w:right w:val="nil"/>
            </w:tcBorders>
            <w:shd w:val="clear" w:color="auto" w:fill="auto"/>
            <w:noWrap/>
            <w:vAlign w:val="center"/>
            <w:hideMark/>
          </w:tcPr>
          <w:p w14:paraId="318933D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7,2</w:t>
            </w:r>
          </w:p>
        </w:tc>
        <w:tc>
          <w:tcPr>
            <w:tcW w:w="851" w:type="dxa"/>
            <w:tcBorders>
              <w:top w:val="nil"/>
              <w:left w:val="nil"/>
              <w:bottom w:val="nil"/>
              <w:right w:val="nil"/>
            </w:tcBorders>
            <w:shd w:val="clear" w:color="auto" w:fill="auto"/>
            <w:noWrap/>
            <w:vAlign w:val="center"/>
            <w:hideMark/>
          </w:tcPr>
          <w:p w14:paraId="77974EF1"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824" w:type="dxa"/>
            <w:tcBorders>
              <w:top w:val="nil"/>
              <w:left w:val="nil"/>
              <w:bottom w:val="nil"/>
              <w:right w:val="nil"/>
            </w:tcBorders>
            <w:shd w:val="clear" w:color="auto" w:fill="auto"/>
            <w:noWrap/>
            <w:vAlign w:val="center"/>
            <w:hideMark/>
          </w:tcPr>
          <w:p w14:paraId="02BC737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-3,3</w:t>
            </w:r>
          </w:p>
        </w:tc>
      </w:tr>
      <w:tr w:rsidR="00FC6400" w:rsidRPr="00FC6400" w14:paraId="1F603FA8" w14:textId="77777777" w:rsidTr="0037129E">
        <w:trPr>
          <w:trHeight w:val="20"/>
        </w:trPr>
        <w:tc>
          <w:tcPr>
            <w:tcW w:w="5387" w:type="dxa"/>
            <w:tcBorders>
              <w:top w:val="nil"/>
              <w:left w:val="nil"/>
              <w:bottom w:val="nil"/>
              <w:right w:val="nil"/>
            </w:tcBorders>
            <w:shd w:val="clear" w:color="auto" w:fill="auto"/>
            <w:vAlign w:val="center"/>
            <w:hideMark/>
          </w:tcPr>
          <w:p w14:paraId="062924B9"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Vybudovanie nosnej infraštruktúry bezpečného informačno-komunikačného systému FS SR</w:t>
            </w:r>
          </w:p>
        </w:tc>
        <w:tc>
          <w:tcPr>
            <w:tcW w:w="992" w:type="dxa"/>
            <w:tcBorders>
              <w:top w:val="nil"/>
              <w:left w:val="nil"/>
              <w:bottom w:val="nil"/>
              <w:right w:val="nil"/>
            </w:tcBorders>
            <w:shd w:val="clear" w:color="auto" w:fill="auto"/>
            <w:noWrap/>
            <w:vAlign w:val="center"/>
            <w:hideMark/>
          </w:tcPr>
          <w:p w14:paraId="7372867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42,0</w:t>
            </w:r>
          </w:p>
        </w:tc>
        <w:tc>
          <w:tcPr>
            <w:tcW w:w="925" w:type="dxa"/>
            <w:tcBorders>
              <w:top w:val="nil"/>
              <w:left w:val="nil"/>
              <w:bottom w:val="nil"/>
              <w:right w:val="nil"/>
            </w:tcBorders>
            <w:shd w:val="clear" w:color="auto" w:fill="auto"/>
            <w:noWrap/>
            <w:vAlign w:val="center"/>
            <w:hideMark/>
          </w:tcPr>
          <w:p w14:paraId="0B9CE14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10,4</w:t>
            </w:r>
          </w:p>
        </w:tc>
        <w:tc>
          <w:tcPr>
            <w:tcW w:w="1343" w:type="dxa"/>
            <w:tcBorders>
              <w:top w:val="nil"/>
              <w:left w:val="nil"/>
              <w:bottom w:val="nil"/>
              <w:right w:val="nil"/>
            </w:tcBorders>
            <w:shd w:val="clear" w:color="auto" w:fill="auto"/>
            <w:noWrap/>
            <w:vAlign w:val="center"/>
            <w:hideMark/>
          </w:tcPr>
          <w:p w14:paraId="1C7BA2EF"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25%</w:t>
            </w:r>
          </w:p>
        </w:tc>
        <w:tc>
          <w:tcPr>
            <w:tcW w:w="851" w:type="dxa"/>
            <w:tcBorders>
              <w:top w:val="nil"/>
              <w:left w:val="nil"/>
              <w:bottom w:val="nil"/>
              <w:right w:val="nil"/>
            </w:tcBorders>
            <w:shd w:val="clear" w:color="auto" w:fill="auto"/>
            <w:noWrap/>
            <w:vAlign w:val="center"/>
            <w:hideMark/>
          </w:tcPr>
          <w:p w14:paraId="4E26768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14 448</w:t>
            </w:r>
          </w:p>
        </w:tc>
        <w:tc>
          <w:tcPr>
            <w:tcW w:w="992" w:type="dxa"/>
            <w:tcBorders>
              <w:top w:val="nil"/>
              <w:left w:val="nil"/>
              <w:bottom w:val="nil"/>
              <w:right w:val="nil"/>
            </w:tcBorders>
            <w:shd w:val="clear" w:color="auto" w:fill="auto"/>
            <w:noWrap/>
            <w:vAlign w:val="center"/>
            <w:hideMark/>
          </w:tcPr>
          <w:p w14:paraId="349CF7E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720</w:t>
            </w:r>
          </w:p>
        </w:tc>
        <w:tc>
          <w:tcPr>
            <w:tcW w:w="1276" w:type="dxa"/>
            <w:tcBorders>
              <w:top w:val="nil"/>
              <w:left w:val="nil"/>
              <w:bottom w:val="nil"/>
              <w:right w:val="nil"/>
            </w:tcBorders>
            <w:shd w:val="clear" w:color="auto" w:fill="auto"/>
            <w:noWrap/>
            <w:vAlign w:val="center"/>
            <w:hideMark/>
          </w:tcPr>
          <w:p w14:paraId="04DE0B0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9,7</w:t>
            </w:r>
          </w:p>
        </w:tc>
        <w:tc>
          <w:tcPr>
            <w:tcW w:w="1275" w:type="dxa"/>
            <w:tcBorders>
              <w:top w:val="nil"/>
              <w:left w:val="nil"/>
              <w:bottom w:val="nil"/>
              <w:right w:val="nil"/>
            </w:tcBorders>
            <w:shd w:val="clear" w:color="auto" w:fill="auto"/>
            <w:noWrap/>
            <w:vAlign w:val="center"/>
            <w:hideMark/>
          </w:tcPr>
          <w:p w14:paraId="55596C9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6,6</w:t>
            </w:r>
          </w:p>
        </w:tc>
        <w:tc>
          <w:tcPr>
            <w:tcW w:w="851" w:type="dxa"/>
            <w:tcBorders>
              <w:top w:val="nil"/>
              <w:left w:val="nil"/>
              <w:bottom w:val="nil"/>
              <w:right w:val="nil"/>
            </w:tcBorders>
            <w:shd w:val="clear" w:color="auto" w:fill="auto"/>
            <w:noWrap/>
            <w:vAlign w:val="center"/>
            <w:hideMark/>
          </w:tcPr>
          <w:p w14:paraId="62A802BF"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-0,7</w:t>
            </w:r>
          </w:p>
        </w:tc>
        <w:tc>
          <w:tcPr>
            <w:tcW w:w="824" w:type="dxa"/>
            <w:tcBorders>
              <w:top w:val="nil"/>
              <w:left w:val="nil"/>
              <w:bottom w:val="nil"/>
              <w:right w:val="nil"/>
            </w:tcBorders>
            <w:shd w:val="clear" w:color="auto" w:fill="auto"/>
            <w:noWrap/>
            <w:vAlign w:val="center"/>
            <w:hideMark/>
          </w:tcPr>
          <w:p w14:paraId="627E391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-3,8</w:t>
            </w:r>
          </w:p>
        </w:tc>
      </w:tr>
      <w:tr w:rsidR="00FC6400" w:rsidRPr="00FC6400" w14:paraId="6CB25B12" w14:textId="77777777" w:rsidTr="0037129E">
        <w:trPr>
          <w:trHeight w:val="20"/>
        </w:trPr>
        <w:tc>
          <w:tcPr>
            <w:tcW w:w="5387" w:type="dxa"/>
            <w:tcBorders>
              <w:top w:val="nil"/>
              <w:left w:val="nil"/>
              <w:bottom w:val="nil"/>
              <w:right w:val="nil"/>
            </w:tcBorders>
            <w:shd w:val="clear" w:color="auto" w:fill="auto"/>
            <w:vAlign w:val="center"/>
            <w:hideMark/>
          </w:tcPr>
          <w:p w14:paraId="4A76DAE2"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Rozšírenie portfólia služieb a inovácia služieb elektronického zdravotníctva</w:t>
            </w:r>
          </w:p>
        </w:tc>
        <w:tc>
          <w:tcPr>
            <w:tcW w:w="992" w:type="dxa"/>
            <w:tcBorders>
              <w:top w:val="nil"/>
              <w:left w:val="nil"/>
              <w:bottom w:val="nil"/>
              <w:right w:val="nil"/>
            </w:tcBorders>
            <w:shd w:val="clear" w:color="auto" w:fill="auto"/>
            <w:noWrap/>
            <w:vAlign w:val="center"/>
            <w:hideMark/>
          </w:tcPr>
          <w:p w14:paraId="4CB7FB8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8,7</w:t>
            </w:r>
          </w:p>
        </w:tc>
        <w:tc>
          <w:tcPr>
            <w:tcW w:w="925" w:type="dxa"/>
            <w:tcBorders>
              <w:top w:val="nil"/>
              <w:left w:val="nil"/>
              <w:bottom w:val="nil"/>
              <w:right w:val="nil"/>
            </w:tcBorders>
            <w:shd w:val="clear" w:color="auto" w:fill="auto"/>
            <w:noWrap/>
            <w:vAlign w:val="center"/>
            <w:hideMark/>
          </w:tcPr>
          <w:p w14:paraId="493A15D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8,6</w:t>
            </w:r>
          </w:p>
        </w:tc>
        <w:tc>
          <w:tcPr>
            <w:tcW w:w="1343" w:type="dxa"/>
            <w:tcBorders>
              <w:top w:val="nil"/>
              <w:left w:val="nil"/>
              <w:bottom w:val="nil"/>
              <w:right w:val="nil"/>
            </w:tcBorders>
            <w:shd w:val="clear" w:color="auto" w:fill="auto"/>
            <w:noWrap/>
            <w:vAlign w:val="center"/>
            <w:hideMark/>
          </w:tcPr>
          <w:p w14:paraId="54645C6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99%</w:t>
            </w:r>
          </w:p>
        </w:tc>
        <w:tc>
          <w:tcPr>
            <w:tcW w:w="851" w:type="dxa"/>
            <w:tcBorders>
              <w:top w:val="nil"/>
              <w:left w:val="nil"/>
              <w:bottom w:val="nil"/>
              <w:right w:val="nil"/>
            </w:tcBorders>
            <w:shd w:val="clear" w:color="auto" w:fill="auto"/>
            <w:noWrap/>
            <w:vAlign w:val="center"/>
            <w:hideMark/>
          </w:tcPr>
          <w:p w14:paraId="2939B4F6"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13 280</w:t>
            </w:r>
          </w:p>
        </w:tc>
        <w:tc>
          <w:tcPr>
            <w:tcW w:w="992" w:type="dxa"/>
            <w:tcBorders>
              <w:top w:val="nil"/>
              <w:left w:val="nil"/>
              <w:bottom w:val="nil"/>
              <w:right w:val="nil"/>
            </w:tcBorders>
            <w:shd w:val="clear" w:color="auto" w:fill="auto"/>
            <w:noWrap/>
            <w:vAlign w:val="center"/>
            <w:hideMark/>
          </w:tcPr>
          <w:p w14:paraId="25DFF72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649</w:t>
            </w:r>
          </w:p>
        </w:tc>
        <w:tc>
          <w:tcPr>
            <w:tcW w:w="1276" w:type="dxa"/>
            <w:tcBorders>
              <w:top w:val="nil"/>
              <w:left w:val="nil"/>
              <w:bottom w:val="nil"/>
              <w:right w:val="nil"/>
            </w:tcBorders>
            <w:shd w:val="clear" w:color="auto" w:fill="auto"/>
            <w:noWrap/>
            <w:vAlign w:val="center"/>
            <w:hideMark/>
          </w:tcPr>
          <w:p w14:paraId="1C19F02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8,6</w:t>
            </w:r>
          </w:p>
        </w:tc>
        <w:tc>
          <w:tcPr>
            <w:tcW w:w="1275" w:type="dxa"/>
            <w:tcBorders>
              <w:top w:val="nil"/>
              <w:left w:val="nil"/>
              <w:bottom w:val="nil"/>
              <w:right w:val="nil"/>
            </w:tcBorders>
            <w:shd w:val="clear" w:color="auto" w:fill="auto"/>
            <w:noWrap/>
            <w:vAlign w:val="center"/>
            <w:hideMark/>
          </w:tcPr>
          <w:p w14:paraId="2A1E151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6,1</w:t>
            </w:r>
          </w:p>
        </w:tc>
        <w:tc>
          <w:tcPr>
            <w:tcW w:w="851" w:type="dxa"/>
            <w:tcBorders>
              <w:top w:val="nil"/>
              <w:left w:val="nil"/>
              <w:bottom w:val="nil"/>
              <w:right w:val="nil"/>
            </w:tcBorders>
            <w:shd w:val="clear" w:color="auto" w:fill="auto"/>
            <w:noWrap/>
            <w:vAlign w:val="center"/>
            <w:hideMark/>
          </w:tcPr>
          <w:p w14:paraId="5F1B7A1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824" w:type="dxa"/>
            <w:tcBorders>
              <w:top w:val="nil"/>
              <w:left w:val="nil"/>
              <w:bottom w:val="nil"/>
              <w:right w:val="nil"/>
            </w:tcBorders>
            <w:shd w:val="clear" w:color="auto" w:fill="auto"/>
            <w:noWrap/>
            <w:vAlign w:val="center"/>
            <w:hideMark/>
          </w:tcPr>
          <w:p w14:paraId="3C282F7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-2,5</w:t>
            </w:r>
          </w:p>
        </w:tc>
      </w:tr>
      <w:tr w:rsidR="00FC6400" w:rsidRPr="00FC6400" w14:paraId="15E82639" w14:textId="77777777" w:rsidTr="0037129E">
        <w:trPr>
          <w:trHeight w:val="20"/>
        </w:trPr>
        <w:tc>
          <w:tcPr>
            <w:tcW w:w="5387" w:type="dxa"/>
            <w:tcBorders>
              <w:top w:val="nil"/>
              <w:left w:val="nil"/>
              <w:bottom w:val="nil"/>
              <w:right w:val="nil"/>
            </w:tcBorders>
            <w:shd w:val="clear" w:color="auto" w:fill="auto"/>
            <w:vAlign w:val="center"/>
            <w:hideMark/>
          </w:tcPr>
          <w:p w14:paraId="115CB621"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Konsolidovaná analytická vrstva</w:t>
            </w:r>
          </w:p>
        </w:tc>
        <w:tc>
          <w:tcPr>
            <w:tcW w:w="992" w:type="dxa"/>
            <w:tcBorders>
              <w:top w:val="nil"/>
              <w:left w:val="nil"/>
              <w:bottom w:val="nil"/>
              <w:right w:val="nil"/>
            </w:tcBorders>
            <w:shd w:val="clear" w:color="auto" w:fill="auto"/>
            <w:noWrap/>
            <w:vAlign w:val="center"/>
            <w:hideMark/>
          </w:tcPr>
          <w:p w14:paraId="2CC3DBB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7,8</w:t>
            </w:r>
          </w:p>
        </w:tc>
        <w:tc>
          <w:tcPr>
            <w:tcW w:w="925" w:type="dxa"/>
            <w:tcBorders>
              <w:top w:val="nil"/>
              <w:left w:val="nil"/>
              <w:bottom w:val="nil"/>
              <w:right w:val="nil"/>
            </w:tcBorders>
            <w:shd w:val="clear" w:color="auto" w:fill="auto"/>
            <w:noWrap/>
            <w:vAlign w:val="center"/>
            <w:hideMark/>
          </w:tcPr>
          <w:p w14:paraId="70D1D40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6,2</w:t>
            </w:r>
          </w:p>
        </w:tc>
        <w:tc>
          <w:tcPr>
            <w:tcW w:w="1343" w:type="dxa"/>
            <w:tcBorders>
              <w:top w:val="nil"/>
              <w:left w:val="nil"/>
              <w:bottom w:val="nil"/>
              <w:right w:val="nil"/>
            </w:tcBorders>
            <w:shd w:val="clear" w:color="auto" w:fill="auto"/>
            <w:noWrap/>
            <w:vAlign w:val="center"/>
            <w:hideMark/>
          </w:tcPr>
          <w:p w14:paraId="3CBEE4E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80%</w:t>
            </w:r>
          </w:p>
        </w:tc>
        <w:tc>
          <w:tcPr>
            <w:tcW w:w="851" w:type="dxa"/>
            <w:tcBorders>
              <w:top w:val="nil"/>
              <w:left w:val="nil"/>
              <w:bottom w:val="nil"/>
              <w:right w:val="nil"/>
            </w:tcBorders>
            <w:shd w:val="clear" w:color="auto" w:fill="auto"/>
            <w:noWrap/>
            <w:vAlign w:val="center"/>
            <w:hideMark/>
          </w:tcPr>
          <w:p w14:paraId="025F86B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8 530</w:t>
            </w:r>
          </w:p>
        </w:tc>
        <w:tc>
          <w:tcPr>
            <w:tcW w:w="992" w:type="dxa"/>
            <w:tcBorders>
              <w:top w:val="nil"/>
              <w:left w:val="nil"/>
              <w:bottom w:val="nil"/>
              <w:right w:val="nil"/>
            </w:tcBorders>
            <w:shd w:val="clear" w:color="auto" w:fill="auto"/>
            <w:noWrap/>
            <w:vAlign w:val="center"/>
            <w:hideMark/>
          </w:tcPr>
          <w:p w14:paraId="25BF374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733</w:t>
            </w:r>
          </w:p>
        </w:tc>
        <w:tc>
          <w:tcPr>
            <w:tcW w:w="1276" w:type="dxa"/>
            <w:tcBorders>
              <w:top w:val="nil"/>
              <w:left w:val="nil"/>
              <w:bottom w:val="nil"/>
              <w:right w:val="nil"/>
            </w:tcBorders>
            <w:shd w:val="clear" w:color="auto" w:fill="auto"/>
            <w:noWrap/>
            <w:vAlign w:val="center"/>
            <w:hideMark/>
          </w:tcPr>
          <w:p w14:paraId="33B865C1"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5,7</w:t>
            </w:r>
          </w:p>
        </w:tc>
        <w:tc>
          <w:tcPr>
            <w:tcW w:w="1275" w:type="dxa"/>
            <w:tcBorders>
              <w:top w:val="nil"/>
              <w:left w:val="nil"/>
              <w:bottom w:val="nil"/>
              <w:right w:val="nil"/>
            </w:tcBorders>
            <w:shd w:val="clear" w:color="auto" w:fill="auto"/>
            <w:noWrap/>
            <w:vAlign w:val="center"/>
            <w:hideMark/>
          </w:tcPr>
          <w:p w14:paraId="4424681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3,9</w:t>
            </w:r>
          </w:p>
        </w:tc>
        <w:tc>
          <w:tcPr>
            <w:tcW w:w="851" w:type="dxa"/>
            <w:tcBorders>
              <w:top w:val="nil"/>
              <w:left w:val="nil"/>
              <w:bottom w:val="nil"/>
              <w:right w:val="nil"/>
            </w:tcBorders>
            <w:shd w:val="clear" w:color="auto" w:fill="auto"/>
            <w:noWrap/>
            <w:vAlign w:val="center"/>
            <w:hideMark/>
          </w:tcPr>
          <w:p w14:paraId="43BB19E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-0,5</w:t>
            </w:r>
          </w:p>
        </w:tc>
        <w:tc>
          <w:tcPr>
            <w:tcW w:w="824" w:type="dxa"/>
            <w:tcBorders>
              <w:top w:val="nil"/>
              <w:left w:val="nil"/>
              <w:bottom w:val="nil"/>
              <w:right w:val="nil"/>
            </w:tcBorders>
            <w:shd w:val="clear" w:color="auto" w:fill="auto"/>
            <w:noWrap/>
            <w:vAlign w:val="center"/>
            <w:hideMark/>
          </w:tcPr>
          <w:p w14:paraId="7BDE301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-2,3</w:t>
            </w:r>
          </w:p>
        </w:tc>
      </w:tr>
      <w:tr w:rsidR="00FC6400" w:rsidRPr="00FC6400" w14:paraId="43096665" w14:textId="77777777" w:rsidTr="0037129E">
        <w:trPr>
          <w:trHeight w:val="20"/>
        </w:trPr>
        <w:tc>
          <w:tcPr>
            <w:tcW w:w="5387" w:type="dxa"/>
            <w:tcBorders>
              <w:top w:val="nil"/>
              <w:left w:val="nil"/>
              <w:bottom w:val="nil"/>
              <w:right w:val="nil"/>
            </w:tcBorders>
            <w:shd w:val="clear" w:color="auto" w:fill="auto"/>
            <w:vAlign w:val="center"/>
            <w:hideMark/>
          </w:tcPr>
          <w:p w14:paraId="060F04FE"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 xml:space="preserve">Implementácia a integrácia podporného informačného systému (IS ÚRPO) </w:t>
            </w:r>
          </w:p>
        </w:tc>
        <w:tc>
          <w:tcPr>
            <w:tcW w:w="992" w:type="dxa"/>
            <w:tcBorders>
              <w:top w:val="nil"/>
              <w:left w:val="nil"/>
              <w:bottom w:val="nil"/>
              <w:right w:val="nil"/>
            </w:tcBorders>
            <w:shd w:val="clear" w:color="auto" w:fill="auto"/>
            <w:noWrap/>
            <w:vAlign w:val="center"/>
            <w:hideMark/>
          </w:tcPr>
          <w:p w14:paraId="093F452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5,9</w:t>
            </w:r>
          </w:p>
        </w:tc>
        <w:tc>
          <w:tcPr>
            <w:tcW w:w="925" w:type="dxa"/>
            <w:tcBorders>
              <w:top w:val="nil"/>
              <w:left w:val="nil"/>
              <w:bottom w:val="nil"/>
              <w:right w:val="nil"/>
            </w:tcBorders>
            <w:shd w:val="clear" w:color="auto" w:fill="auto"/>
            <w:noWrap/>
            <w:vAlign w:val="center"/>
            <w:hideMark/>
          </w:tcPr>
          <w:p w14:paraId="5B4D1B4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5,4</w:t>
            </w:r>
          </w:p>
        </w:tc>
        <w:tc>
          <w:tcPr>
            <w:tcW w:w="1343" w:type="dxa"/>
            <w:tcBorders>
              <w:top w:val="nil"/>
              <w:left w:val="nil"/>
              <w:bottom w:val="nil"/>
              <w:right w:val="nil"/>
            </w:tcBorders>
            <w:shd w:val="clear" w:color="auto" w:fill="auto"/>
            <w:noWrap/>
            <w:vAlign w:val="center"/>
            <w:hideMark/>
          </w:tcPr>
          <w:p w14:paraId="381C1D0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91%</w:t>
            </w:r>
          </w:p>
        </w:tc>
        <w:tc>
          <w:tcPr>
            <w:tcW w:w="851" w:type="dxa"/>
            <w:tcBorders>
              <w:top w:val="nil"/>
              <w:left w:val="nil"/>
              <w:bottom w:val="nil"/>
              <w:right w:val="nil"/>
            </w:tcBorders>
            <w:shd w:val="clear" w:color="auto" w:fill="auto"/>
            <w:noWrap/>
            <w:vAlign w:val="center"/>
            <w:hideMark/>
          </w:tcPr>
          <w:p w14:paraId="299366A6"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8 997</w:t>
            </w:r>
          </w:p>
        </w:tc>
        <w:tc>
          <w:tcPr>
            <w:tcW w:w="992" w:type="dxa"/>
            <w:tcBorders>
              <w:top w:val="nil"/>
              <w:left w:val="nil"/>
              <w:bottom w:val="nil"/>
              <w:right w:val="nil"/>
            </w:tcBorders>
            <w:shd w:val="clear" w:color="auto" w:fill="auto"/>
            <w:noWrap/>
            <w:vAlign w:val="center"/>
            <w:hideMark/>
          </w:tcPr>
          <w:p w14:paraId="16D5A98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596</w:t>
            </w:r>
          </w:p>
        </w:tc>
        <w:tc>
          <w:tcPr>
            <w:tcW w:w="1276" w:type="dxa"/>
            <w:tcBorders>
              <w:top w:val="nil"/>
              <w:left w:val="nil"/>
              <w:bottom w:val="nil"/>
              <w:right w:val="nil"/>
            </w:tcBorders>
            <w:shd w:val="clear" w:color="auto" w:fill="auto"/>
            <w:noWrap/>
            <w:vAlign w:val="center"/>
            <w:hideMark/>
          </w:tcPr>
          <w:p w14:paraId="1DD45A0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5,4</w:t>
            </w:r>
          </w:p>
        </w:tc>
        <w:tc>
          <w:tcPr>
            <w:tcW w:w="1275" w:type="dxa"/>
            <w:tcBorders>
              <w:top w:val="nil"/>
              <w:left w:val="nil"/>
              <w:bottom w:val="nil"/>
              <w:right w:val="nil"/>
            </w:tcBorders>
            <w:shd w:val="clear" w:color="auto" w:fill="auto"/>
            <w:noWrap/>
            <w:vAlign w:val="center"/>
            <w:hideMark/>
          </w:tcPr>
          <w:p w14:paraId="768DD5A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4,1</w:t>
            </w:r>
          </w:p>
        </w:tc>
        <w:tc>
          <w:tcPr>
            <w:tcW w:w="851" w:type="dxa"/>
            <w:tcBorders>
              <w:top w:val="nil"/>
              <w:left w:val="nil"/>
              <w:bottom w:val="nil"/>
              <w:right w:val="nil"/>
            </w:tcBorders>
            <w:shd w:val="clear" w:color="auto" w:fill="auto"/>
            <w:noWrap/>
            <w:vAlign w:val="center"/>
            <w:hideMark/>
          </w:tcPr>
          <w:p w14:paraId="3A49E96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824" w:type="dxa"/>
            <w:tcBorders>
              <w:top w:val="nil"/>
              <w:left w:val="nil"/>
              <w:bottom w:val="nil"/>
              <w:right w:val="nil"/>
            </w:tcBorders>
            <w:shd w:val="clear" w:color="auto" w:fill="auto"/>
            <w:noWrap/>
            <w:vAlign w:val="center"/>
            <w:hideMark/>
          </w:tcPr>
          <w:p w14:paraId="408B821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-1,2</w:t>
            </w:r>
          </w:p>
        </w:tc>
      </w:tr>
      <w:tr w:rsidR="00FC6400" w:rsidRPr="00FC6400" w14:paraId="0E824EBC" w14:textId="77777777" w:rsidTr="0037129E">
        <w:trPr>
          <w:trHeight w:val="20"/>
        </w:trPr>
        <w:tc>
          <w:tcPr>
            <w:tcW w:w="5387" w:type="dxa"/>
            <w:tcBorders>
              <w:top w:val="nil"/>
              <w:left w:val="nil"/>
              <w:bottom w:val="nil"/>
              <w:right w:val="nil"/>
            </w:tcBorders>
            <w:shd w:val="clear" w:color="auto" w:fill="auto"/>
            <w:vAlign w:val="center"/>
            <w:hideMark/>
          </w:tcPr>
          <w:p w14:paraId="5AAA0E93"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Jednotný informačný systém štatistických údajov</w:t>
            </w:r>
          </w:p>
        </w:tc>
        <w:tc>
          <w:tcPr>
            <w:tcW w:w="992" w:type="dxa"/>
            <w:tcBorders>
              <w:top w:val="nil"/>
              <w:left w:val="nil"/>
              <w:bottom w:val="nil"/>
              <w:right w:val="nil"/>
            </w:tcBorders>
            <w:shd w:val="clear" w:color="auto" w:fill="auto"/>
            <w:noWrap/>
            <w:vAlign w:val="center"/>
            <w:hideMark/>
          </w:tcPr>
          <w:p w14:paraId="48FE0E1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9,4</w:t>
            </w:r>
          </w:p>
        </w:tc>
        <w:tc>
          <w:tcPr>
            <w:tcW w:w="925" w:type="dxa"/>
            <w:tcBorders>
              <w:top w:val="nil"/>
              <w:left w:val="nil"/>
              <w:bottom w:val="nil"/>
              <w:right w:val="nil"/>
            </w:tcBorders>
            <w:shd w:val="clear" w:color="auto" w:fill="auto"/>
            <w:noWrap/>
            <w:vAlign w:val="center"/>
            <w:hideMark/>
          </w:tcPr>
          <w:p w14:paraId="556F8FC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9,0</w:t>
            </w:r>
          </w:p>
        </w:tc>
        <w:tc>
          <w:tcPr>
            <w:tcW w:w="1343" w:type="dxa"/>
            <w:tcBorders>
              <w:top w:val="nil"/>
              <w:left w:val="nil"/>
              <w:bottom w:val="nil"/>
              <w:right w:val="nil"/>
            </w:tcBorders>
            <w:shd w:val="clear" w:color="auto" w:fill="auto"/>
            <w:noWrap/>
            <w:vAlign w:val="center"/>
            <w:hideMark/>
          </w:tcPr>
          <w:p w14:paraId="33EA9B35"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96%</w:t>
            </w:r>
          </w:p>
        </w:tc>
        <w:tc>
          <w:tcPr>
            <w:tcW w:w="851" w:type="dxa"/>
            <w:tcBorders>
              <w:top w:val="nil"/>
              <w:left w:val="nil"/>
              <w:bottom w:val="nil"/>
              <w:right w:val="nil"/>
            </w:tcBorders>
            <w:shd w:val="clear" w:color="auto" w:fill="auto"/>
            <w:noWrap/>
            <w:vAlign w:val="center"/>
            <w:hideMark/>
          </w:tcPr>
          <w:p w14:paraId="4A510DA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15 593</w:t>
            </w:r>
          </w:p>
        </w:tc>
        <w:tc>
          <w:tcPr>
            <w:tcW w:w="992" w:type="dxa"/>
            <w:tcBorders>
              <w:top w:val="nil"/>
              <w:left w:val="nil"/>
              <w:bottom w:val="nil"/>
              <w:right w:val="nil"/>
            </w:tcBorders>
            <w:shd w:val="clear" w:color="auto" w:fill="auto"/>
            <w:noWrap/>
            <w:vAlign w:val="center"/>
            <w:hideMark/>
          </w:tcPr>
          <w:p w14:paraId="2285B1D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579</w:t>
            </w:r>
          </w:p>
        </w:tc>
        <w:tc>
          <w:tcPr>
            <w:tcW w:w="1276" w:type="dxa"/>
            <w:tcBorders>
              <w:top w:val="nil"/>
              <w:left w:val="nil"/>
              <w:bottom w:val="nil"/>
              <w:right w:val="nil"/>
            </w:tcBorders>
            <w:shd w:val="clear" w:color="auto" w:fill="auto"/>
            <w:noWrap/>
            <w:vAlign w:val="center"/>
            <w:hideMark/>
          </w:tcPr>
          <w:p w14:paraId="7E0517DD"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9,0</w:t>
            </w:r>
          </w:p>
        </w:tc>
        <w:tc>
          <w:tcPr>
            <w:tcW w:w="1275" w:type="dxa"/>
            <w:tcBorders>
              <w:top w:val="nil"/>
              <w:left w:val="nil"/>
              <w:bottom w:val="nil"/>
              <w:right w:val="nil"/>
            </w:tcBorders>
            <w:shd w:val="clear" w:color="auto" w:fill="auto"/>
            <w:noWrap/>
            <w:vAlign w:val="center"/>
            <w:hideMark/>
          </w:tcPr>
          <w:p w14:paraId="24717C6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7,2</w:t>
            </w:r>
          </w:p>
        </w:tc>
        <w:tc>
          <w:tcPr>
            <w:tcW w:w="851" w:type="dxa"/>
            <w:tcBorders>
              <w:top w:val="nil"/>
              <w:left w:val="nil"/>
              <w:bottom w:val="nil"/>
              <w:right w:val="nil"/>
            </w:tcBorders>
            <w:shd w:val="clear" w:color="auto" w:fill="auto"/>
            <w:noWrap/>
            <w:vAlign w:val="center"/>
            <w:hideMark/>
          </w:tcPr>
          <w:p w14:paraId="30BE9D3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824" w:type="dxa"/>
            <w:tcBorders>
              <w:top w:val="nil"/>
              <w:left w:val="nil"/>
              <w:bottom w:val="nil"/>
              <w:right w:val="nil"/>
            </w:tcBorders>
            <w:shd w:val="clear" w:color="auto" w:fill="auto"/>
            <w:noWrap/>
            <w:vAlign w:val="center"/>
            <w:hideMark/>
          </w:tcPr>
          <w:p w14:paraId="1BA11A8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-1,9</w:t>
            </w:r>
          </w:p>
        </w:tc>
      </w:tr>
      <w:tr w:rsidR="00FC6400" w:rsidRPr="00FC6400" w14:paraId="359FE86E" w14:textId="77777777" w:rsidTr="0037129E">
        <w:trPr>
          <w:trHeight w:val="20"/>
        </w:trPr>
        <w:tc>
          <w:tcPr>
            <w:tcW w:w="5387" w:type="dxa"/>
            <w:tcBorders>
              <w:top w:val="nil"/>
              <w:left w:val="nil"/>
              <w:bottom w:val="nil"/>
              <w:right w:val="nil"/>
            </w:tcBorders>
            <w:shd w:val="clear" w:color="auto" w:fill="auto"/>
            <w:vAlign w:val="center"/>
            <w:hideMark/>
          </w:tcPr>
          <w:p w14:paraId="3813388C"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ZDE</w:t>
            </w:r>
          </w:p>
        </w:tc>
        <w:tc>
          <w:tcPr>
            <w:tcW w:w="992" w:type="dxa"/>
            <w:tcBorders>
              <w:top w:val="nil"/>
              <w:left w:val="nil"/>
              <w:bottom w:val="nil"/>
              <w:right w:val="nil"/>
            </w:tcBorders>
            <w:shd w:val="clear" w:color="auto" w:fill="auto"/>
            <w:noWrap/>
            <w:vAlign w:val="center"/>
            <w:hideMark/>
          </w:tcPr>
          <w:p w14:paraId="546D19D1"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45,6</w:t>
            </w:r>
          </w:p>
        </w:tc>
        <w:tc>
          <w:tcPr>
            <w:tcW w:w="925" w:type="dxa"/>
            <w:tcBorders>
              <w:top w:val="nil"/>
              <w:left w:val="nil"/>
              <w:bottom w:val="nil"/>
              <w:right w:val="nil"/>
            </w:tcBorders>
            <w:shd w:val="clear" w:color="auto" w:fill="auto"/>
            <w:noWrap/>
            <w:vAlign w:val="center"/>
            <w:hideMark/>
          </w:tcPr>
          <w:p w14:paraId="7884414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6,1</w:t>
            </w:r>
          </w:p>
        </w:tc>
        <w:tc>
          <w:tcPr>
            <w:tcW w:w="1343" w:type="dxa"/>
            <w:tcBorders>
              <w:top w:val="nil"/>
              <w:left w:val="nil"/>
              <w:bottom w:val="nil"/>
              <w:right w:val="nil"/>
            </w:tcBorders>
            <w:shd w:val="clear" w:color="auto" w:fill="auto"/>
            <w:noWrap/>
            <w:vAlign w:val="center"/>
            <w:hideMark/>
          </w:tcPr>
          <w:p w14:paraId="04C98FF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13%</w:t>
            </w:r>
          </w:p>
        </w:tc>
        <w:tc>
          <w:tcPr>
            <w:tcW w:w="851" w:type="dxa"/>
            <w:tcBorders>
              <w:top w:val="nil"/>
              <w:left w:val="nil"/>
              <w:bottom w:val="nil"/>
              <w:right w:val="nil"/>
            </w:tcBorders>
            <w:shd w:val="clear" w:color="auto" w:fill="auto"/>
            <w:noWrap/>
            <w:vAlign w:val="center"/>
            <w:hideMark/>
          </w:tcPr>
          <w:p w14:paraId="43A50013"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6 845</w:t>
            </w:r>
          </w:p>
        </w:tc>
        <w:tc>
          <w:tcPr>
            <w:tcW w:w="992" w:type="dxa"/>
            <w:tcBorders>
              <w:top w:val="nil"/>
              <w:left w:val="nil"/>
              <w:bottom w:val="nil"/>
              <w:right w:val="nil"/>
            </w:tcBorders>
            <w:shd w:val="clear" w:color="auto" w:fill="auto"/>
            <w:noWrap/>
            <w:vAlign w:val="center"/>
            <w:hideMark/>
          </w:tcPr>
          <w:p w14:paraId="2C00B0B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894</w:t>
            </w:r>
          </w:p>
        </w:tc>
        <w:tc>
          <w:tcPr>
            <w:tcW w:w="1276" w:type="dxa"/>
            <w:tcBorders>
              <w:top w:val="nil"/>
              <w:left w:val="nil"/>
              <w:bottom w:val="nil"/>
              <w:right w:val="nil"/>
            </w:tcBorders>
            <w:shd w:val="clear" w:color="auto" w:fill="auto"/>
            <w:noWrap/>
            <w:vAlign w:val="center"/>
            <w:hideMark/>
          </w:tcPr>
          <w:p w14:paraId="3188583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4,6</w:t>
            </w:r>
          </w:p>
        </w:tc>
        <w:tc>
          <w:tcPr>
            <w:tcW w:w="1275" w:type="dxa"/>
            <w:tcBorders>
              <w:top w:val="nil"/>
              <w:left w:val="nil"/>
              <w:bottom w:val="nil"/>
              <w:right w:val="nil"/>
            </w:tcBorders>
            <w:shd w:val="clear" w:color="auto" w:fill="auto"/>
            <w:noWrap/>
            <w:vAlign w:val="center"/>
            <w:hideMark/>
          </w:tcPr>
          <w:p w14:paraId="56ABFF01"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3,1</w:t>
            </w:r>
          </w:p>
        </w:tc>
        <w:tc>
          <w:tcPr>
            <w:tcW w:w="851" w:type="dxa"/>
            <w:tcBorders>
              <w:top w:val="nil"/>
              <w:left w:val="nil"/>
              <w:bottom w:val="nil"/>
              <w:right w:val="nil"/>
            </w:tcBorders>
            <w:shd w:val="clear" w:color="auto" w:fill="auto"/>
            <w:noWrap/>
            <w:vAlign w:val="center"/>
            <w:hideMark/>
          </w:tcPr>
          <w:p w14:paraId="1F62B3D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-1,5</w:t>
            </w:r>
          </w:p>
        </w:tc>
        <w:tc>
          <w:tcPr>
            <w:tcW w:w="824" w:type="dxa"/>
            <w:tcBorders>
              <w:top w:val="nil"/>
              <w:left w:val="nil"/>
              <w:bottom w:val="nil"/>
              <w:right w:val="nil"/>
            </w:tcBorders>
            <w:shd w:val="clear" w:color="auto" w:fill="auto"/>
            <w:noWrap/>
            <w:vAlign w:val="center"/>
            <w:hideMark/>
          </w:tcPr>
          <w:p w14:paraId="2899F6D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-3,0</w:t>
            </w:r>
          </w:p>
        </w:tc>
      </w:tr>
      <w:tr w:rsidR="00FC6400" w:rsidRPr="00FC6400" w14:paraId="2FD85D50" w14:textId="77777777" w:rsidTr="0037129E">
        <w:trPr>
          <w:trHeight w:val="20"/>
        </w:trPr>
        <w:tc>
          <w:tcPr>
            <w:tcW w:w="5387" w:type="dxa"/>
            <w:tcBorders>
              <w:top w:val="nil"/>
              <w:left w:val="nil"/>
              <w:bottom w:val="nil"/>
              <w:right w:val="nil"/>
            </w:tcBorders>
            <w:shd w:val="clear" w:color="auto" w:fill="auto"/>
            <w:vAlign w:val="center"/>
            <w:hideMark/>
          </w:tcPr>
          <w:p w14:paraId="52A498A1"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Centrum ochrany kritickej infraštruktúry a podpora činností v oblasti krízového riadenia Slovenskej republiky v gescii MH SR</w:t>
            </w:r>
          </w:p>
        </w:tc>
        <w:tc>
          <w:tcPr>
            <w:tcW w:w="992" w:type="dxa"/>
            <w:tcBorders>
              <w:top w:val="nil"/>
              <w:left w:val="nil"/>
              <w:bottom w:val="nil"/>
              <w:right w:val="nil"/>
            </w:tcBorders>
            <w:shd w:val="clear" w:color="auto" w:fill="auto"/>
            <w:noWrap/>
            <w:vAlign w:val="center"/>
            <w:hideMark/>
          </w:tcPr>
          <w:p w14:paraId="0F803C1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20,0</w:t>
            </w:r>
          </w:p>
        </w:tc>
        <w:tc>
          <w:tcPr>
            <w:tcW w:w="925" w:type="dxa"/>
            <w:tcBorders>
              <w:top w:val="nil"/>
              <w:left w:val="nil"/>
              <w:bottom w:val="nil"/>
              <w:right w:val="nil"/>
            </w:tcBorders>
            <w:shd w:val="clear" w:color="auto" w:fill="auto"/>
            <w:noWrap/>
            <w:vAlign w:val="center"/>
            <w:hideMark/>
          </w:tcPr>
          <w:p w14:paraId="458D416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0,5</w:t>
            </w:r>
          </w:p>
        </w:tc>
        <w:tc>
          <w:tcPr>
            <w:tcW w:w="1343" w:type="dxa"/>
            <w:tcBorders>
              <w:top w:val="nil"/>
              <w:left w:val="nil"/>
              <w:bottom w:val="nil"/>
              <w:right w:val="nil"/>
            </w:tcBorders>
            <w:shd w:val="clear" w:color="auto" w:fill="auto"/>
            <w:noWrap/>
            <w:vAlign w:val="center"/>
            <w:hideMark/>
          </w:tcPr>
          <w:p w14:paraId="5711DA9D"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w:t>
            </w:r>
          </w:p>
        </w:tc>
        <w:tc>
          <w:tcPr>
            <w:tcW w:w="851" w:type="dxa"/>
            <w:tcBorders>
              <w:top w:val="nil"/>
              <w:left w:val="nil"/>
              <w:bottom w:val="nil"/>
              <w:right w:val="nil"/>
            </w:tcBorders>
            <w:shd w:val="clear" w:color="auto" w:fill="auto"/>
            <w:noWrap/>
            <w:vAlign w:val="center"/>
            <w:hideMark/>
          </w:tcPr>
          <w:p w14:paraId="62FC9199"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w:t>
            </w:r>
          </w:p>
        </w:tc>
        <w:tc>
          <w:tcPr>
            <w:tcW w:w="992" w:type="dxa"/>
            <w:tcBorders>
              <w:top w:val="nil"/>
              <w:left w:val="nil"/>
              <w:bottom w:val="nil"/>
              <w:right w:val="nil"/>
            </w:tcBorders>
            <w:shd w:val="clear" w:color="auto" w:fill="auto"/>
            <w:noWrap/>
            <w:vAlign w:val="center"/>
            <w:hideMark/>
          </w:tcPr>
          <w:p w14:paraId="0E6A8F4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w:t>
            </w:r>
          </w:p>
        </w:tc>
        <w:tc>
          <w:tcPr>
            <w:tcW w:w="1276" w:type="dxa"/>
            <w:tcBorders>
              <w:top w:val="nil"/>
              <w:left w:val="nil"/>
              <w:bottom w:val="nil"/>
              <w:right w:val="nil"/>
            </w:tcBorders>
            <w:shd w:val="clear" w:color="auto" w:fill="auto"/>
            <w:noWrap/>
            <w:vAlign w:val="center"/>
            <w:hideMark/>
          </w:tcPr>
          <w:p w14:paraId="2906369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1275" w:type="dxa"/>
            <w:tcBorders>
              <w:top w:val="nil"/>
              <w:left w:val="nil"/>
              <w:bottom w:val="nil"/>
              <w:right w:val="nil"/>
            </w:tcBorders>
            <w:shd w:val="clear" w:color="auto" w:fill="auto"/>
            <w:noWrap/>
            <w:vAlign w:val="center"/>
            <w:hideMark/>
          </w:tcPr>
          <w:p w14:paraId="6E69C68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851" w:type="dxa"/>
            <w:tcBorders>
              <w:top w:val="nil"/>
              <w:left w:val="nil"/>
              <w:bottom w:val="nil"/>
              <w:right w:val="nil"/>
            </w:tcBorders>
            <w:shd w:val="clear" w:color="auto" w:fill="auto"/>
            <w:noWrap/>
            <w:vAlign w:val="center"/>
            <w:hideMark/>
          </w:tcPr>
          <w:p w14:paraId="6AF20A4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-0,5</w:t>
            </w:r>
          </w:p>
        </w:tc>
        <w:tc>
          <w:tcPr>
            <w:tcW w:w="824" w:type="dxa"/>
            <w:tcBorders>
              <w:top w:val="nil"/>
              <w:left w:val="nil"/>
              <w:bottom w:val="nil"/>
              <w:right w:val="nil"/>
            </w:tcBorders>
            <w:shd w:val="clear" w:color="auto" w:fill="auto"/>
            <w:noWrap/>
            <w:vAlign w:val="center"/>
            <w:hideMark/>
          </w:tcPr>
          <w:p w14:paraId="6281FD1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-0,5</w:t>
            </w:r>
          </w:p>
        </w:tc>
      </w:tr>
      <w:tr w:rsidR="00FC6400" w:rsidRPr="00FC6400" w14:paraId="610DF93E" w14:textId="77777777" w:rsidTr="0037129E">
        <w:trPr>
          <w:trHeight w:val="20"/>
        </w:trPr>
        <w:tc>
          <w:tcPr>
            <w:tcW w:w="5387" w:type="dxa"/>
            <w:tcBorders>
              <w:top w:val="nil"/>
              <w:left w:val="nil"/>
              <w:bottom w:val="nil"/>
              <w:right w:val="nil"/>
            </w:tcBorders>
            <w:shd w:val="clear" w:color="auto" w:fill="auto"/>
            <w:vAlign w:val="center"/>
            <w:hideMark/>
          </w:tcPr>
          <w:p w14:paraId="1A8091BE"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Zvýšenie kapacity vládneho cloudu v Datacentre Tajov</w:t>
            </w:r>
          </w:p>
        </w:tc>
        <w:tc>
          <w:tcPr>
            <w:tcW w:w="992" w:type="dxa"/>
            <w:tcBorders>
              <w:top w:val="nil"/>
              <w:left w:val="nil"/>
              <w:bottom w:val="nil"/>
              <w:right w:val="nil"/>
            </w:tcBorders>
            <w:shd w:val="clear" w:color="auto" w:fill="auto"/>
            <w:noWrap/>
            <w:vAlign w:val="center"/>
            <w:hideMark/>
          </w:tcPr>
          <w:p w14:paraId="5163EB0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39,5</w:t>
            </w:r>
          </w:p>
        </w:tc>
        <w:tc>
          <w:tcPr>
            <w:tcW w:w="925" w:type="dxa"/>
            <w:tcBorders>
              <w:top w:val="nil"/>
              <w:left w:val="nil"/>
              <w:bottom w:val="nil"/>
              <w:right w:val="nil"/>
            </w:tcBorders>
            <w:shd w:val="clear" w:color="auto" w:fill="auto"/>
            <w:noWrap/>
            <w:vAlign w:val="center"/>
            <w:hideMark/>
          </w:tcPr>
          <w:p w14:paraId="013C76E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2,7</w:t>
            </w:r>
          </w:p>
        </w:tc>
        <w:tc>
          <w:tcPr>
            <w:tcW w:w="1343" w:type="dxa"/>
            <w:tcBorders>
              <w:top w:val="nil"/>
              <w:left w:val="nil"/>
              <w:bottom w:val="nil"/>
              <w:right w:val="nil"/>
            </w:tcBorders>
            <w:shd w:val="clear" w:color="auto" w:fill="auto"/>
            <w:noWrap/>
            <w:vAlign w:val="center"/>
            <w:hideMark/>
          </w:tcPr>
          <w:p w14:paraId="07AA9CC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w:t>
            </w:r>
          </w:p>
        </w:tc>
        <w:tc>
          <w:tcPr>
            <w:tcW w:w="851" w:type="dxa"/>
            <w:tcBorders>
              <w:top w:val="nil"/>
              <w:left w:val="nil"/>
              <w:bottom w:val="nil"/>
              <w:right w:val="nil"/>
            </w:tcBorders>
            <w:shd w:val="clear" w:color="auto" w:fill="auto"/>
            <w:noWrap/>
            <w:vAlign w:val="center"/>
            <w:hideMark/>
          </w:tcPr>
          <w:p w14:paraId="374DCA8D"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4 161</w:t>
            </w:r>
          </w:p>
        </w:tc>
        <w:tc>
          <w:tcPr>
            <w:tcW w:w="992" w:type="dxa"/>
            <w:tcBorders>
              <w:top w:val="nil"/>
              <w:left w:val="nil"/>
              <w:bottom w:val="nil"/>
              <w:right w:val="nil"/>
            </w:tcBorders>
            <w:shd w:val="clear" w:color="auto" w:fill="auto"/>
            <w:noWrap/>
            <w:vAlign w:val="center"/>
            <w:hideMark/>
          </w:tcPr>
          <w:p w14:paraId="3E60480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660</w:t>
            </w:r>
          </w:p>
        </w:tc>
        <w:tc>
          <w:tcPr>
            <w:tcW w:w="1276" w:type="dxa"/>
            <w:tcBorders>
              <w:top w:val="nil"/>
              <w:left w:val="nil"/>
              <w:bottom w:val="nil"/>
              <w:right w:val="nil"/>
            </w:tcBorders>
            <w:shd w:val="clear" w:color="auto" w:fill="auto"/>
            <w:noWrap/>
            <w:vAlign w:val="center"/>
            <w:hideMark/>
          </w:tcPr>
          <w:p w14:paraId="0EB8B4CD"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2,7</w:t>
            </w:r>
          </w:p>
        </w:tc>
        <w:tc>
          <w:tcPr>
            <w:tcW w:w="1275" w:type="dxa"/>
            <w:tcBorders>
              <w:top w:val="nil"/>
              <w:left w:val="nil"/>
              <w:bottom w:val="nil"/>
              <w:right w:val="nil"/>
            </w:tcBorders>
            <w:shd w:val="clear" w:color="auto" w:fill="auto"/>
            <w:noWrap/>
            <w:vAlign w:val="center"/>
            <w:hideMark/>
          </w:tcPr>
          <w:p w14:paraId="5EFCD80A"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1,9</w:t>
            </w:r>
          </w:p>
        </w:tc>
        <w:tc>
          <w:tcPr>
            <w:tcW w:w="851" w:type="dxa"/>
            <w:tcBorders>
              <w:top w:val="nil"/>
              <w:left w:val="nil"/>
              <w:bottom w:val="nil"/>
              <w:right w:val="nil"/>
            </w:tcBorders>
            <w:shd w:val="clear" w:color="auto" w:fill="auto"/>
            <w:noWrap/>
            <w:vAlign w:val="center"/>
            <w:hideMark/>
          </w:tcPr>
          <w:p w14:paraId="24F8E0FC"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0,0</w:t>
            </w:r>
          </w:p>
        </w:tc>
        <w:tc>
          <w:tcPr>
            <w:tcW w:w="824" w:type="dxa"/>
            <w:tcBorders>
              <w:top w:val="nil"/>
              <w:left w:val="nil"/>
              <w:bottom w:val="nil"/>
              <w:right w:val="nil"/>
            </w:tcBorders>
            <w:shd w:val="clear" w:color="auto" w:fill="auto"/>
            <w:noWrap/>
            <w:vAlign w:val="center"/>
            <w:hideMark/>
          </w:tcPr>
          <w:p w14:paraId="7ADBE5DB"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-0,8</w:t>
            </w:r>
          </w:p>
        </w:tc>
      </w:tr>
      <w:tr w:rsidR="00FC6400" w:rsidRPr="00FC6400" w14:paraId="6317B725" w14:textId="77777777" w:rsidTr="0037129E">
        <w:trPr>
          <w:trHeight w:val="20"/>
        </w:trPr>
        <w:tc>
          <w:tcPr>
            <w:tcW w:w="5387" w:type="dxa"/>
            <w:tcBorders>
              <w:top w:val="nil"/>
              <w:left w:val="nil"/>
              <w:bottom w:val="single" w:sz="4" w:space="0" w:color="auto"/>
              <w:right w:val="nil"/>
            </w:tcBorders>
            <w:shd w:val="clear" w:color="auto" w:fill="auto"/>
            <w:noWrap/>
            <w:vAlign w:val="center"/>
            <w:hideMark/>
          </w:tcPr>
          <w:p w14:paraId="701FB4EF" w14:textId="77777777" w:rsidR="00FC6400" w:rsidRPr="0037129E" w:rsidRDefault="00FC6400" w:rsidP="00FC6400">
            <w:pPr>
              <w:spacing w:after="0" w:line="240" w:lineRule="auto"/>
              <w:jc w:val="left"/>
              <w:rPr>
                <w:rFonts w:eastAsia="Times New Roman" w:cs="Calibri"/>
                <w:color w:val="000000"/>
                <w:sz w:val="18"/>
                <w:szCs w:val="18"/>
                <w:lang w:eastAsia="en-GB"/>
              </w:rPr>
            </w:pPr>
            <w:r w:rsidRPr="0037129E">
              <w:rPr>
                <w:rFonts w:eastAsia="Times New Roman" w:cs="Calibri"/>
                <w:color w:val="000000"/>
                <w:sz w:val="18"/>
                <w:szCs w:val="18"/>
                <w:lang w:eastAsia="en-GB"/>
              </w:rPr>
              <w:t>Spolu</w:t>
            </w:r>
          </w:p>
        </w:tc>
        <w:tc>
          <w:tcPr>
            <w:tcW w:w="992" w:type="dxa"/>
            <w:tcBorders>
              <w:top w:val="nil"/>
              <w:left w:val="nil"/>
              <w:bottom w:val="single" w:sz="4" w:space="0" w:color="auto"/>
              <w:right w:val="nil"/>
            </w:tcBorders>
            <w:shd w:val="clear" w:color="auto" w:fill="auto"/>
            <w:noWrap/>
            <w:vAlign w:val="center"/>
            <w:hideMark/>
          </w:tcPr>
          <w:p w14:paraId="0B6D26D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394,6</w:t>
            </w:r>
          </w:p>
        </w:tc>
        <w:tc>
          <w:tcPr>
            <w:tcW w:w="925" w:type="dxa"/>
            <w:tcBorders>
              <w:top w:val="nil"/>
              <w:left w:val="nil"/>
              <w:bottom w:val="single" w:sz="4" w:space="0" w:color="auto"/>
              <w:right w:val="nil"/>
            </w:tcBorders>
            <w:shd w:val="clear" w:color="auto" w:fill="auto"/>
            <w:noWrap/>
            <w:vAlign w:val="center"/>
            <w:hideMark/>
          </w:tcPr>
          <w:p w14:paraId="7578D7CE"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215,8</w:t>
            </w:r>
          </w:p>
        </w:tc>
        <w:tc>
          <w:tcPr>
            <w:tcW w:w="1343" w:type="dxa"/>
            <w:tcBorders>
              <w:top w:val="nil"/>
              <w:left w:val="nil"/>
              <w:bottom w:val="single" w:sz="4" w:space="0" w:color="auto"/>
              <w:right w:val="nil"/>
            </w:tcBorders>
            <w:shd w:val="clear" w:color="auto" w:fill="auto"/>
            <w:noWrap/>
            <w:vAlign w:val="center"/>
            <w:hideMark/>
          </w:tcPr>
          <w:p w14:paraId="37FBECC7"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55%</w:t>
            </w:r>
          </w:p>
        </w:tc>
        <w:tc>
          <w:tcPr>
            <w:tcW w:w="851" w:type="dxa"/>
            <w:tcBorders>
              <w:top w:val="nil"/>
              <w:left w:val="nil"/>
              <w:bottom w:val="single" w:sz="4" w:space="0" w:color="auto"/>
              <w:right w:val="nil"/>
            </w:tcBorders>
            <w:shd w:val="clear" w:color="auto" w:fill="auto"/>
            <w:noWrap/>
            <w:vAlign w:val="center"/>
            <w:hideMark/>
          </w:tcPr>
          <w:p w14:paraId="56B75A58"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310 969</w:t>
            </w:r>
          </w:p>
        </w:tc>
        <w:tc>
          <w:tcPr>
            <w:tcW w:w="992" w:type="dxa"/>
            <w:tcBorders>
              <w:top w:val="nil"/>
              <w:left w:val="nil"/>
              <w:bottom w:val="single" w:sz="4" w:space="0" w:color="auto"/>
              <w:right w:val="nil"/>
            </w:tcBorders>
            <w:shd w:val="clear" w:color="auto" w:fill="auto"/>
            <w:noWrap/>
            <w:vAlign w:val="center"/>
            <w:hideMark/>
          </w:tcPr>
          <w:p w14:paraId="5311C9D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694</w:t>
            </w:r>
          </w:p>
        </w:tc>
        <w:tc>
          <w:tcPr>
            <w:tcW w:w="1276" w:type="dxa"/>
            <w:tcBorders>
              <w:top w:val="nil"/>
              <w:left w:val="nil"/>
              <w:bottom w:val="single" w:sz="4" w:space="0" w:color="auto"/>
              <w:right w:val="nil"/>
            </w:tcBorders>
            <w:shd w:val="clear" w:color="auto" w:fill="auto"/>
            <w:noWrap/>
            <w:vAlign w:val="center"/>
            <w:hideMark/>
          </w:tcPr>
          <w:p w14:paraId="6C784DAF"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199,1</w:t>
            </w:r>
          </w:p>
        </w:tc>
        <w:tc>
          <w:tcPr>
            <w:tcW w:w="1275" w:type="dxa"/>
            <w:tcBorders>
              <w:top w:val="nil"/>
              <w:left w:val="nil"/>
              <w:bottom w:val="single" w:sz="4" w:space="0" w:color="auto"/>
              <w:right w:val="nil"/>
            </w:tcBorders>
            <w:shd w:val="clear" w:color="auto" w:fill="auto"/>
            <w:noWrap/>
            <w:vAlign w:val="center"/>
            <w:hideMark/>
          </w:tcPr>
          <w:p w14:paraId="5E492EF4"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142,7</w:t>
            </w:r>
          </w:p>
        </w:tc>
        <w:tc>
          <w:tcPr>
            <w:tcW w:w="851" w:type="dxa"/>
            <w:tcBorders>
              <w:top w:val="nil"/>
              <w:left w:val="nil"/>
              <w:bottom w:val="single" w:sz="4" w:space="0" w:color="auto"/>
              <w:right w:val="nil"/>
            </w:tcBorders>
            <w:shd w:val="clear" w:color="auto" w:fill="auto"/>
            <w:noWrap/>
            <w:vAlign w:val="center"/>
            <w:hideMark/>
          </w:tcPr>
          <w:p w14:paraId="389B3490"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-16,6</w:t>
            </w:r>
          </w:p>
        </w:tc>
        <w:tc>
          <w:tcPr>
            <w:tcW w:w="824" w:type="dxa"/>
            <w:tcBorders>
              <w:top w:val="nil"/>
              <w:left w:val="nil"/>
              <w:bottom w:val="single" w:sz="4" w:space="0" w:color="auto"/>
              <w:right w:val="nil"/>
            </w:tcBorders>
            <w:shd w:val="clear" w:color="auto" w:fill="auto"/>
            <w:noWrap/>
            <w:vAlign w:val="center"/>
            <w:hideMark/>
          </w:tcPr>
          <w:p w14:paraId="353C3DB2" w14:textId="77777777" w:rsidR="00FC6400" w:rsidRPr="0037129E" w:rsidRDefault="00FC6400" w:rsidP="00FC6400">
            <w:pPr>
              <w:spacing w:after="0" w:line="240" w:lineRule="auto"/>
              <w:jc w:val="center"/>
              <w:rPr>
                <w:rFonts w:eastAsia="Times New Roman" w:cs="Calibri"/>
                <w:color w:val="000000"/>
                <w:sz w:val="18"/>
                <w:szCs w:val="18"/>
                <w:lang w:eastAsia="en-GB"/>
              </w:rPr>
            </w:pPr>
            <w:r w:rsidRPr="0037129E">
              <w:rPr>
                <w:rFonts w:eastAsia="Times New Roman" w:cs="Calibri"/>
                <w:color w:val="000000"/>
                <w:sz w:val="18"/>
                <w:szCs w:val="18"/>
                <w:lang w:eastAsia="en-GB"/>
              </w:rPr>
              <w:t>-73,0</w:t>
            </w:r>
          </w:p>
        </w:tc>
      </w:tr>
      <w:tr w:rsidR="00FC6400" w:rsidRPr="00FC6400" w14:paraId="35CF5C9F" w14:textId="77777777" w:rsidTr="0037129E">
        <w:trPr>
          <w:trHeight w:val="20"/>
        </w:trPr>
        <w:tc>
          <w:tcPr>
            <w:tcW w:w="14716" w:type="dxa"/>
            <w:gridSpan w:val="10"/>
            <w:tcBorders>
              <w:top w:val="single" w:sz="4" w:space="0" w:color="auto"/>
              <w:left w:val="nil"/>
              <w:right w:val="nil"/>
            </w:tcBorders>
            <w:shd w:val="clear" w:color="auto" w:fill="auto"/>
            <w:noWrap/>
          </w:tcPr>
          <w:p w14:paraId="7DC2D0C0" w14:textId="47D31B99" w:rsidR="00FC6400" w:rsidRPr="0037129E" w:rsidRDefault="00FC6400" w:rsidP="0037129E">
            <w:pPr>
              <w:spacing w:after="0" w:line="240" w:lineRule="auto"/>
              <w:jc w:val="right"/>
              <w:rPr>
                <w:rFonts w:eastAsia="Times New Roman" w:cs="Calibri"/>
                <w:i/>
                <w:color w:val="000000"/>
                <w:sz w:val="18"/>
                <w:szCs w:val="18"/>
                <w:lang w:eastAsia="en-GB"/>
              </w:rPr>
            </w:pPr>
            <w:r w:rsidRPr="0037129E">
              <w:rPr>
                <w:rFonts w:eastAsia="Times New Roman" w:cs="Calibri"/>
                <w:i/>
                <w:color w:val="000000"/>
                <w:sz w:val="18"/>
                <w:szCs w:val="18"/>
                <w:lang w:eastAsia="en-GB"/>
              </w:rPr>
              <w:t>Zdroj: Štúdie uskutočniteľnosti projektov, Spracovanie ÚHP</w:t>
            </w:r>
          </w:p>
        </w:tc>
      </w:tr>
    </w:tbl>
    <w:p w14:paraId="116BC0EF" w14:textId="77777777" w:rsidR="00FC6400" w:rsidRPr="00DD351B" w:rsidRDefault="00FC6400" w:rsidP="0037129E">
      <w:pPr>
        <w:jc w:val="left"/>
        <w:rPr>
          <w:b/>
        </w:rPr>
      </w:pPr>
    </w:p>
    <w:sectPr w:rsidR="00FC6400" w:rsidRPr="00DD351B" w:rsidSect="0016050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3EA72" w14:textId="77777777" w:rsidR="003D11F8" w:rsidRDefault="003D11F8" w:rsidP="0059256C">
      <w:pPr>
        <w:spacing w:after="0" w:line="240" w:lineRule="auto"/>
      </w:pPr>
      <w:r>
        <w:separator/>
      </w:r>
    </w:p>
  </w:endnote>
  <w:endnote w:type="continuationSeparator" w:id="0">
    <w:p w14:paraId="5B673E9F" w14:textId="77777777" w:rsidR="003D11F8" w:rsidRDefault="003D11F8" w:rsidP="0059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283260"/>
      <w:docPartObj>
        <w:docPartGallery w:val="Page Numbers (Bottom of Page)"/>
        <w:docPartUnique/>
      </w:docPartObj>
    </w:sdtPr>
    <w:sdtEndPr/>
    <w:sdtContent>
      <w:p w14:paraId="72691112" w14:textId="77777777" w:rsidR="00B16CE5" w:rsidRDefault="00B16CE5">
        <w:pPr>
          <w:pStyle w:val="Pta"/>
        </w:pPr>
        <w:r>
          <w:fldChar w:fldCharType="begin"/>
        </w:r>
        <w:r>
          <w:instrText>PAGE   \* MERGEFORMAT</w:instrText>
        </w:r>
        <w:r>
          <w:fldChar w:fldCharType="separate"/>
        </w:r>
        <w:r w:rsidR="00A329B7">
          <w:rPr>
            <w:noProof/>
          </w:rPr>
          <w:t>21</w:t>
        </w:r>
        <w:r>
          <w:fldChar w:fldCharType="end"/>
        </w:r>
      </w:p>
    </w:sdtContent>
  </w:sdt>
  <w:p w14:paraId="43C0C8D0" w14:textId="77777777" w:rsidR="00B16CE5" w:rsidRDefault="00B16CE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000D3" w14:textId="77777777" w:rsidR="003D11F8" w:rsidRDefault="003D11F8" w:rsidP="0059256C">
      <w:pPr>
        <w:spacing w:after="0" w:line="240" w:lineRule="auto"/>
      </w:pPr>
      <w:r>
        <w:separator/>
      </w:r>
    </w:p>
  </w:footnote>
  <w:footnote w:type="continuationSeparator" w:id="0">
    <w:p w14:paraId="08FA3179" w14:textId="77777777" w:rsidR="003D11F8" w:rsidRDefault="003D11F8" w:rsidP="0059256C">
      <w:pPr>
        <w:spacing w:after="0" w:line="240" w:lineRule="auto"/>
      </w:pPr>
      <w:r>
        <w:continuationSeparator/>
      </w:r>
    </w:p>
  </w:footnote>
  <w:footnote w:id="1">
    <w:p w14:paraId="6946362C" w14:textId="77777777" w:rsidR="00B16CE5" w:rsidRDefault="00B16CE5" w:rsidP="00D85C1D">
      <w:pPr>
        <w:pStyle w:val="Textpoznmkypodiarou"/>
      </w:pPr>
      <w:r>
        <w:rPr>
          <w:rStyle w:val="Odkaznapoznmkupodiarou"/>
        </w:rPr>
        <w:footnoteRef/>
      </w:r>
      <w:r>
        <w:t xml:space="preserve"> </w:t>
      </w:r>
      <w:r w:rsidRPr="00471D58">
        <w:t>https://stopbyrokracii.sk/potvrdenia-a-vypisy/</w:t>
      </w:r>
    </w:p>
  </w:footnote>
  <w:footnote w:id="2">
    <w:p w14:paraId="26669628" w14:textId="77777777" w:rsidR="00B16CE5" w:rsidRDefault="00B16CE5">
      <w:pPr>
        <w:pStyle w:val="Textpoznmkypodiarou"/>
      </w:pPr>
      <w:r>
        <w:rPr>
          <w:rStyle w:val="Odkaznapoznmkupodiarou"/>
        </w:rPr>
        <w:footnoteRef/>
      </w:r>
      <w:r>
        <w:t xml:space="preserve"> Cieľ podľa NKIVS a štúdii uskutočniteľnosti rozšírenia kapacity vládneho cloudu v DC Tajov a DC Kopčianska</w:t>
      </w:r>
    </w:p>
  </w:footnote>
  <w:footnote w:id="3">
    <w:p w14:paraId="489B4C1B" w14:textId="77777777" w:rsidR="00B16CE5" w:rsidRDefault="00B16CE5" w:rsidP="00C03B72">
      <w:pPr>
        <w:pStyle w:val="Textpoznmkypodiarou"/>
      </w:pPr>
      <w:r>
        <w:rPr>
          <w:rStyle w:val="Odkaznapoznmkupodiarou"/>
        </w:rPr>
        <w:footnoteRef/>
      </w:r>
      <w:r>
        <w:t xml:space="preserve"> </w:t>
      </w:r>
      <w:r w:rsidRPr="0054049C">
        <w:t>Gartner IT Key Metrics Data 2018 - Government industry, NSW Government ICT Metrics Report 2016–17</w:t>
      </w:r>
    </w:p>
  </w:footnote>
  <w:footnote w:id="4">
    <w:p w14:paraId="08C37DE8" w14:textId="77777777" w:rsidR="00B16CE5" w:rsidRDefault="00B16CE5" w:rsidP="0059256C">
      <w:pPr>
        <w:pStyle w:val="Textpoznmkypodiarou"/>
      </w:pPr>
      <w:r>
        <w:rPr>
          <w:rStyle w:val="Odkaznapoznmkupodiarou"/>
        </w:rPr>
        <w:footnoteRef/>
      </w:r>
      <w:r>
        <w:t xml:space="preserve"> Index, digitálnej ekonomiky a spoločnosti, ktorý monitoruje celkovú digitálnu výkonnosť EÚ a pokrok digitálnej konkurencieschopnosti krajín </w:t>
      </w:r>
      <w:hyperlink r:id="rId1" w:history="1">
        <w:r w:rsidRPr="00616064">
          <w:rPr>
            <w:rStyle w:val="Hypertextovprepojenie"/>
          </w:rPr>
          <w:t>https://ec.europa.eu/digital-single-market/en/desi</w:t>
        </w:r>
      </w:hyperlink>
      <w:r>
        <w:t xml:space="preserve"> </w:t>
      </w:r>
    </w:p>
  </w:footnote>
  <w:footnote w:id="5">
    <w:p w14:paraId="4EC1D571" w14:textId="77777777" w:rsidR="00B16CE5" w:rsidRDefault="00B16CE5" w:rsidP="0059256C">
      <w:pPr>
        <w:pStyle w:val="Textpoznmkypodiarou"/>
      </w:pPr>
      <w:r>
        <w:rPr>
          <w:rStyle w:val="Odkaznapoznmkupodiarou"/>
        </w:rPr>
        <w:footnoteRef/>
      </w:r>
      <w:r>
        <w:t xml:space="preserve"> Hodnotenie dostupnosti a kvality digitálnych verejných služieb v EÚ </w:t>
      </w:r>
      <w:hyperlink r:id="rId2" w:history="1">
        <w:r>
          <w:rPr>
            <w:rStyle w:val="Hypertextovprepojenie"/>
          </w:rPr>
          <w:t>https://ec.europa.eu/digital-single-market/en/news/egovernment-benchmark-2018-digital-efforts-european-countries-are-visibly-paying</w:t>
        </w:r>
      </w:hyperlink>
    </w:p>
  </w:footnote>
  <w:footnote w:id="6">
    <w:p w14:paraId="7D2637AC" w14:textId="77777777" w:rsidR="00B16CE5" w:rsidRDefault="00B16CE5" w:rsidP="008D3D26">
      <w:pPr>
        <w:pStyle w:val="Textpoznmkypodiarou"/>
      </w:pPr>
      <w:r>
        <w:rPr>
          <w:rStyle w:val="Odkaznapoznmkupodiarou"/>
        </w:rPr>
        <w:footnoteRef/>
      </w:r>
      <w:r>
        <w:t xml:space="preserve"> </w:t>
      </w:r>
      <w:hyperlink r:id="rId3" w:history="1">
        <w:r>
          <w:rPr>
            <w:rStyle w:val="Hypertextovprepojenie"/>
          </w:rPr>
          <w:t>http://www.informatizacia.sk/narodna-koncepcia-informatizacie-verejnej-spravy--2016-/22662c</w:t>
        </w:r>
      </w:hyperlink>
    </w:p>
  </w:footnote>
  <w:footnote w:id="7">
    <w:p w14:paraId="3E32C9B4" w14:textId="4B188BCB" w:rsidR="00B16CE5" w:rsidRPr="00FC525F" w:rsidRDefault="00B16CE5">
      <w:pPr>
        <w:pStyle w:val="Textpoznmkypodiarou"/>
      </w:pPr>
      <w:r>
        <w:rPr>
          <w:rStyle w:val="Odkaznapoznmkupodiarou"/>
        </w:rPr>
        <w:footnoteRef/>
      </w:r>
      <w:hyperlink r:id="rId4" w:history="1">
        <w:r w:rsidR="00795605" w:rsidRPr="002A2A65">
          <w:rPr>
            <w:rStyle w:val="Hypertextovprepojenie"/>
          </w:rPr>
          <w:t>https://rokovania.gov.sk/download.dat?id=7387D612E00A487EAD6D9EE567678DCC-4BA158540B77CEDECE87A2762042F703</w:t>
        </w:r>
      </w:hyperlink>
      <w:r w:rsidR="00795605">
        <w:t xml:space="preserve"> </w:t>
      </w:r>
    </w:p>
  </w:footnote>
  <w:footnote w:id="8">
    <w:p w14:paraId="508F67A6" w14:textId="77777777" w:rsidR="00B16CE5" w:rsidRDefault="00B16CE5" w:rsidP="008A24D6">
      <w:pPr>
        <w:pStyle w:val="Textpoznmkypodiarou"/>
      </w:pPr>
      <w:r>
        <w:rPr>
          <w:rStyle w:val="Odkaznapoznmkupodiarou"/>
        </w:rPr>
        <w:footnoteRef/>
      </w:r>
      <w:r>
        <w:t xml:space="preserve"> </w:t>
      </w:r>
      <w:hyperlink r:id="rId5" w:history="1">
        <w:r>
          <w:rPr>
            <w:rStyle w:val="Hypertextovprepojenie"/>
          </w:rPr>
          <w:t>https://www.opis.gov.sk/data/files/4757_upvs-ii.pdf</w:t>
        </w:r>
      </w:hyperlink>
    </w:p>
  </w:footnote>
  <w:footnote w:id="9">
    <w:p w14:paraId="2E71921B" w14:textId="77777777" w:rsidR="00B16CE5" w:rsidRDefault="00B16CE5">
      <w:pPr>
        <w:pStyle w:val="Textpoznmkypodiarou"/>
      </w:pPr>
      <w:r>
        <w:rPr>
          <w:rStyle w:val="Odkaznapoznmkupodiarou"/>
        </w:rPr>
        <w:footnoteRef/>
      </w:r>
      <w:r>
        <w:t xml:space="preserve"> </w:t>
      </w:r>
      <w:hyperlink r:id="rId6" w:history="1">
        <w:r>
          <w:rPr>
            <w:rStyle w:val="Hypertextovprepojenie"/>
          </w:rPr>
          <w:t>https://datalab.digital/dashboard-graf/</w:t>
        </w:r>
      </w:hyperlink>
    </w:p>
  </w:footnote>
  <w:footnote w:id="10">
    <w:p w14:paraId="55FEDD84" w14:textId="77777777" w:rsidR="00B16CE5" w:rsidRDefault="00B16CE5">
      <w:pPr>
        <w:pStyle w:val="Textpoznmkypodiarou"/>
      </w:pPr>
      <w:r>
        <w:rPr>
          <w:rStyle w:val="Odkaznapoznmkupodiarou"/>
        </w:rPr>
        <w:footnoteRef/>
      </w:r>
      <w:r>
        <w:t xml:space="preserve"> </w:t>
      </w:r>
      <w:hyperlink r:id="rId7" w:history="1">
        <w:r>
          <w:rPr>
            <w:rStyle w:val="Hypertextovprepojenie"/>
          </w:rPr>
          <w:t>https://metais.vicepremier.gov.sk/cilist/ISVS</w:t>
        </w:r>
      </w:hyperlink>
    </w:p>
  </w:footnote>
  <w:footnote w:id="11">
    <w:p w14:paraId="5E362AAB" w14:textId="77777777" w:rsidR="00B16CE5" w:rsidRDefault="00B16CE5">
      <w:pPr>
        <w:pStyle w:val="Textpoznmkypodiarou"/>
      </w:pPr>
      <w:r>
        <w:rPr>
          <w:rStyle w:val="Odkaznapoznmkupodiarou"/>
        </w:rPr>
        <w:footnoteRef/>
      </w:r>
      <w:r>
        <w:t xml:space="preserve"> </w:t>
      </w:r>
      <w:hyperlink r:id="rId8" w:history="1">
        <w:r>
          <w:rPr>
            <w:rStyle w:val="Hypertextovprepojenie"/>
          </w:rPr>
          <w:t>http://www.informatizacia.sk/narodna-koncepcia-informatizacie-verejnej-spravy--2016-/22662c</w:t>
        </w:r>
      </w:hyperlink>
    </w:p>
  </w:footnote>
  <w:footnote w:id="12">
    <w:p w14:paraId="34A8D4C9" w14:textId="77777777" w:rsidR="00B16CE5" w:rsidRDefault="00B16CE5" w:rsidP="002A7F52">
      <w:pPr>
        <w:pStyle w:val="Textpoznmkypodiarou"/>
      </w:pPr>
      <w:r>
        <w:rPr>
          <w:rStyle w:val="Odkaznapoznmkupodiarou"/>
        </w:rPr>
        <w:footnoteRef/>
      </w:r>
      <w:r>
        <w:t xml:space="preserve"> </w:t>
      </w:r>
      <w:hyperlink r:id="rId9" w:history="1">
        <w:r>
          <w:rPr>
            <w:rStyle w:val="Hypertextovprepojenie"/>
          </w:rPr>
          <w:t>https://rokovania.gov.sk/RVL/Material/23683/1</w:t>
        </w:r>
      </w:hyperlink>
    </w:p>
  </w:footnote>
  <w:footnote w:id="13">
    <w:p w14:paraId="7B9627EC" w14:textId="77777777" w:rsidR="00B16CE5" w:rsidRDefault="00B16CE5" w:rsidP="001037B3">
      <w:pPr>
        <w:pStyle w:val="Textpoznmkypodiarou"/>
      </w:pPr>
      <w:r>
        <w:rPr>
          <w:rStyle w:val="Odkaznapoznmkupodiarou"/>
        </w:rPr>
        <w:footnoteRef/>
      </w:r>
      <w:r>
        <w:t xml:space="preserve"> </w:t>
      </w:r>
      <w:r w:rsidRPr="00A06838">
        <w:t>Zákon č. 575/2001 Z. z.</w:t>
      </w:r>
      <w:r>
        <w:t xml:space="preserve">,  </w:t>
      </w:r>
      <w:hyperlink r:id="rId10" w:anchor="paragraf-34a" w:history="1">
        <w:r w:rsidRPr="00A506EC">
          <w:rPr>
            <w:rStyle w:val="Hypertextovprepojenie"/>
          </w:rPr>
          <w:t>https://www.slov-lex.sk/pravne-predpisy/SK/ZZ/2001/575/20170101#paragraf-34a</w:t>
        </w:r>
      </w:hyperlink>
      <w:r>
        <w:t xml:space="preserve"> </w:t>
      </w:r>
    </w:p>
  </w:footnote>
  <w:footnote w:id="14">
    <w:p w14:paraId="4A867A53" w14:textId="77777777" w:rsidR="00B16CE5" w:rsidRDefault="00B16CE5">
      <w:pPr>
        <w:pStyle w:val="Textpoznmkypodiarou"/>
      </w:pPr>
      <w:r>
        <w:rPr>
          <w:rStyle w:val="Odkaznapoznmkupodiarou"/>
        </w:rPr>
        <w:footnoteRef/>
      </w:r>
      <w:r>
        <w:t xml:space="preserve"> </w:t>
      </w:r>
      <w:hyperlink r:id="rId11" w:history="1">
        <w:r w:rsidRPr="00A506EC">
          <w:rPr>
            <w:rStyle w:val="Hypertextovprepojenie"/>
          </w:rPr>
          <w:t>https://www.nku.gov.sk/documents/10157/265201/96069--110.pdf</w:t>
        </w:r>
      </w:hyperlink>
      <w:r>
        <w:t xml:space="preserve"> </w:t>
      </w:r>
    </w:p>
  </w:footnote>
  <w:footnote w:id="15">
    <w:p w14:paraId="240FAA14" w14:textId="77777777" w:rsidR="00B16CE5" w:rsidRDefault="00B16CE5">
      <w:pPr>
        <w:pStyle w:val="Textpoznmkypodiarou"/>
      </w:pPr>
      <w:r>
        <w:rPr>
          <w:rStyle w:val="Odkaznapoznmkupodiarou"/>
        </w:rPr>
        <w:footnoteRef/>
      </w:r>
      <w:r>
        <w:t xml:space="preserve"> </w:t>
      </w:r>
      <w:hyperlink r:id="rId12" w:history="1">
        <w:r w:rsidRPr="00A506EC">
          <w:rPr>
            <w:rStyle w:val="Hypertextovprepojenie"/>
          </w:rPr>
          <w:t>https://www.crz.gov.sk/index.php?ID=3089963&amp;l=sk</w:t>
        </w:r>
      </w:hyperlink>
      <w:r>
        <w:t xml:space="preserve"> </w:t>
      </w:r>
    </w:p>
  </w:footnote>
  <w:footnote w:id="16">
    <w:p w14:paraId="07FC98A3" w14:textId="77777777" w:rsidR="00B16CE5" w:rsidRPr="00230B54" w:rsidRDefault="00B16CE5">
      <w:pPr>
        <w:pStyle w:val="Textpoznmkypodiarou"/>
      </w:pPr>
      <w:r w:rsidRPr="00230B54">
        <w:rPr>
          <w:rStyle w:val="Odkaznapoznmkupodiarou"/>
        </w:rPr>
        <w:footnoteRef/>
      </w:r>
      <w:r w:rsidRPr="00230B54">
        <w:t xml:space="preserve"> </w:t>
      </w:r>
      <w:r w:rsidRPr="00EA43F7">
        <w:t xml:space="preserve">Prepočet nákladov na 1FTE podľa </w:t>
      </w:r>
      <w:r>
        <w:t>zmluvy z poznámky č.14 a potrebného navýšenia miezd podľa kontroly NKÚ</w:t>
      </w:r>
    </w:p>
  </w:footnote>
  <w:footnote w:id="17">
    <w:p w14:paraId="007850C1" w14:textId="77777777" w:rsidR="00B16CE5" w:rsidRDefault="00B16CE5" w:rsidP="00AB4DFB">
      <w:pPr>
        <w:pStyle w:val="Textpoznmkypodiarou"/>
      </w:pPr>
      <w:r>
        <w:rPr>
          <w:rStyle w:val="Odkaznapoznmkupodiarou"/>
        </w:rPr>
        <w:footnoteRef/>
      </w:r>
      <w:r>
        <w:t xml:space="preserve"> </w:t>
      </w:r>
      <w:hyperlink r:id="rId13" w:history="1">
        <w:r>
          <w:rPr>
            <w:rStyle w:val="Hypertextovprepojenie"/>
          </w:rPr>
          <w:t>http://www.informatizacia.sk/narodna-koncepcia-informatizacie-verejnej-spravy--2016-/22662c</w:t>
        </w:r>
      </w:hyperlink>
    </w:p>
  </w:footnote>
  <w:footnote w:id="18">
    <w:p w14:paraId="22BE9DAF" w14:textId="77777777" w:rsidR="00B16CE5" w:rsidRDefault="00B16CE5">
      <w:pPr>
        <w:pStyle w:val="Textpoznmkypodiarou"/>
      </w:pPr>
      <w:r>
        <w:rPr>
          <w:rStyle w:val="Odkaznapoznmkupodiarou"/>
        </w:rPr>
        <w:footnoteRef/>
      </w:r>
      <w:r>
        <w:t xml:space="preserve"> Prepočítané predpokladané počty človekohodín na FTE – Full Time Equivalent, ekvivalent zamestnanca na plný úväzok</w:t>
      </w:r>
    </w:p>
  </w:footnote>
  <w:footnote w:id="19">
    <w:p w14:paraId="05B40471" w14:textId="77777777" w:rsidR="00B16CE5" w:rsidRDefault="00B16CE5">
      <w:pPr>
        <w:pStyle w:val="Textpoznmkypodiarou"/>
      </w:pPr>
      <w:r>
        <w:rPr>
          <w:rStyle w:val="Odkaznapoznmkupodiarou"/>
        </w:rPr>
        <w:footnoteRef/>
      </w:r>
      <w:r>
        <w:t xml:space="preserve"> </w:t>
      </w:r>
      <w:r w:rsidRPr="00961741">
        <w:t>Revízia výdavkov na informatizáciu</w:t>
      </w:r>
      <w:r>
        <w:t xml:space="preserve"> (2016) - </w:t>
      </w:r>
      <w:r w:rsidRPr="00961741">
        <w:t>Interné kapacity: pripravenosť riadiť projekty</w:t>
      </w:r>
    </w:p>
  </w:footnote>
  <w:footnote w:id="20">
    <w:p w14:paraId="661B1510" w14:textId="77777777" w:rsidR="00B16CE5" w:rsidRDefault="00B16CE5">
      <w:pPr>
        <w:pStyle w:val="Textpoznmkypodiarou"/>
      </w:pPr>
      <w:r>
        <w:rPr>
          <w:rStyle w:val="Odkaznapoznmkupodiarou"/>
        </w:rPr>
        <w:footnoteRef/>
      </w:r>
      <w:r>
        <w:t xml:space="preserve"> </w:t>
      </w:r>
      <w:hyperlink r:id="rId14" w:history="1">
        <w:r>
          <w:rPr>
            <w:rStyle w:val="Hypertextovprepojenie"/>
          </w:rPr>
          <w:t>https://www.gov.uk/government/news/almost-half-of-government-digital-spend-now-goes-to-smes</w:t>
        </w:r>
      </w:hyperlink>
    </w:p>
  </w:footnote>
  <w:footnote w:id="21">
    <w:p w14:paraId="3803FD3D" w14:textId="77777777" w:rsidR="00B16CE5" w:rsidRDefault="00B16CE5" w:rsidP="00C03B72">
      <w:pPr>
        <w:pStyle w:val="Textpoznmkypodiarou"/>
      </w:pPr>
      <w:r>
        <w:rPr>
          <w:rStyle w:val="Odkaznapoznmkupodiarou"/>
        </w:rPr>
        <w:footnoteRef/>
      </w:r>
      <w:r>
        <w:t xml:space="preserve"> </w:t>
      </w:r>
      <w:r w:rsidRPr="0054049C">
        <w:t>Gartner IT Key Metrics Data 2018 - Government industry, NSW Government ICT Metrics Report 2016–17</w:t>
      </w:r>
    </w:p>
  </w:footnote>
  <w:footnote w:id="22">
    <w:p w14:paraId="0C16D70B" w14:textId="77777777" w:rsidR="00B16CE5" w:rsidRDefault="00B16CE5">
      <w:pPr>
        <w:pStyle w:val="Textpoznmkypodiarou"/>
      </w:pPr>
      <w:r>
        <w:rPr>
          <w:rStyle w:val="Odkaznapoznmkupodiarou"/>
        </w:rPr>
        <w:footnoteRef/>
      </w:r>
      <w:r>
        <w:t xml:space="preserve"> </w:t>
      </w:r>
      <w:hyperlink r:id="rId15" w:history="1">
        <w:r>
          <w:rPr>
            <w:rStyle w:val="Hypertextovprepojenie"/>
          </w:rPr>
          <w:t>http://over.statneit.sk/projekty-statneho-it/</w:t>
        </w:r>
      </w:hyperlink>
    </w:p>
  </w:footnote>
  <w:footnote w:id="23">
    <w:p w14:paraId="63447837" w14:textId="77777777" w:rsidR="00B16CE5" w:rsidRDefault="00B16CE5" w:rsidP="00A115E4">
      <w:pPr>
        <w:pStyle w:val="Textpoznmkypodiarou"/>
        <w:jc w:val="left"/>
      </w:pPr>
      <w:r>
        <w:rPr>
          <w:rStyle w:val="Odkaznapoznmkupodiarou"/>
        </w:rPr>
        <w:footnoteRef/>
      </w:r>
      <w:r>
        <w:t xml:space="preserve"> Napr. </w:t>
      </w:r>
      <w:hyperlink r:id="rId16" w:history="1">
        <w:r>
          <w:rPr>
            <w:rStyle w:val="Hypertextovprepojenie"/>
          </w:rPr>
          <w:t>https://www.gov.uk/service-manual/agile-delivery/agile-government-services-introduction</w:t>
        </w:r>
      </w:hyperlink>
      <w:r>
        <w:t xml:space="preserve"> a </w:t>
      </w:r>
      <w:hyperlink r:id="rId17" w:history="1">
        <w:r>
          <w:rPr>
            <w:rStyle w:val="Hypertextovprepojenie"/>
          </w:rPr>
          <w:t>https://18f.gsa.gov/2018/03/13/win-big-by-going-small/</w:t>
        </w:r>
      </w:hyperlink>
    </w:p>
  </w:footnote>
  <w:footnote w:id="24">
    <w:p w14:paraId="54C4D129" w14:textId="77777777" w:rsidR="00B16CE5" w:rsidRDefault="00B16CE5" w:rsidP="00913404">
      <w:pPr>
        <w:pStyle w:val="Textpoznmkypodiarou"/>
      </w:pPr>
      <w:r>
        <w:rPr>
          <w:rStyle w:val="Odkaznapoznmkupodiarou"/>
        </w:rPr>
        <w:footnoteRef/>
      </w:r>
      <w:r>
        <w:t xml:space="preserve"> FTE (Full time equivalent) – Ekvivalent jedného pracovníka zapojeného na plný úväzok</w:t>
      </w:r>
    </w:p>
  </w:footnote>
  <w:footnote w:id="25">
    <w:p w14:paraId="1D99036A" w14:textId="77777777" w:rsidR="00B16CE5" w:rsidRDefault="00B16CE5" w:rsidP="002F6853">
      <w:pPr>
        <w:pStyle w:val="Textpoznmkypodiarou"/>
      </w:pPr>
      <w:r>
        <w:rPr>
          <w:rStyle w:val="Odkaznapoznmkupodiarou"/>
        </w:rPr>
        <w:footnoteRef/>
      </w:r>
      <w:r>
        <w:t xml:space="preserve"> </w:t>
      </w:r>
      <w:hyperlink r:id="rId18" w:history="1">
        <w:r>
          <w:rPr>
            <w:rStyle w:val="Hypertextovprepojenie"/>
          </w:rPr>
          <w:t>https://www.gov.uk/performance/services</w:t>
        </w:r>
      </w:hyperlink>
      <w:r>
        <w:t xml:space="preserve"> a </w:t>
      </w:r>
      <w:hyperlink r:id="rId19" w:history="1">
        <w:r>
          <w:rPr>
            <w:rStyle w:val="Hypertextovprepojenie"/>
          </w:rPr>
          <w:t>https://itdashboard.gov/</w:t>
        </w:r>
      </w:hyperlink>
    </w:p>
  </w:footnote>
  <w:footnote w:id="26">
    <w:p w14:paraId="1224B41B" w14:textId="77777777" w:rsidR="00B16CE5" w:rsidRDefault="00B16CE5">
      <w:pPr>
        <w:pStyle w:val="Textpoznmkypodiarou"/>
      </w:pPr>
      <w:r>
        <w:rPr>
          <w:rStyle w:val="Odkaznapoznmkupodiarou"/>
        </w:rPr>
        <w:footnoteRef/>
      </w:r>
      <w:r>
        <w:t xml:space="preserve"> Zákon č.575/2001 Z.Z. </w:t>
      </w:r>
      <w:r w:rsidRPr="00E27E99">
        <w:t>o organizácii činnosti vlády a organizácii ústrednej štátnej správy</w:t>
      </w:r>
    </w:p>
  </w:footnote>
  <w:footnote w:id="27">
    <w:p w14:paraId="251E24EF" w14:textId="77777777" w:rsidR="00B16CE5" w:rsidRDefault="00B16CE5" w:rsidP="00DD0061">
      <w:pPr>
        <w:pStyle w:val="Textpoznmkypodiarou"/>
      </w:pPr>
      <w:r>
        <w:rPr>
          <w:rStyle w:val="Odkaznapoznmkupodiarou"/>
        </w:rPr>
        <w:footnoteRef/>
      </w:r>
      <w:r>
        <w:t xml:space="preserve"> </w:t>
      </w:r>
      <w:hyperlink r:id="rId20" w:history="1">
        <w:r>
          <w:rPr>
            <w:rStyle w:val="Hypertextovprepojenie"/>
          </w:rPr>
          <w:t>https://www.standishgroup.com/sample_research_files/CHAOSReport2014.pdf</w:t>
        </w:r>
      </w:hyperlink>
    </w:p>
  </w:footnote>
  <w:footnote w:id="28">
    <w:p w14:paraId="107BB659" w14:textId="77777777" w:rsidR="00B16CE5" w:rsidRDefault="00B16CE5" w:rsidP="00DD0061">
      <w:pPr>
        <w:pStyle w:val="Textpoznmkypodiarou"/>
      </w:pPr>
      <w:r>
        <w:rPr>
          <w:rStyle w:val="Odkaznapoznmkupodiarou"/>
        </w:rPr>
        <w:footnoteRef/>
      </w:r>
      <w:r>
        <w:t xml:space="preserve"> </w:t>
      </w:r>
      <w:hyperlink r:id="rId21" w:history="1">
        <w:r>
          <w:rPr>
            <w:rStyle w:val="Hypertextovprepojenie"/>
          </w:rPr>
          <w:t>https://standishgroup.com/sample_research_files/CHAOSReport2015-Final.pdf</w:t>
        </w:r>
      </w:hyperlink>
    </w:p>
  </w:footnote>
  <w:footnote w:id="29">
    <w:p w14:paraId="750F3FC8" w14:textId="77777777" w:rsidR="00B16CE5" w:rsidRDefault="00B16CE5" w:rsidP="00DD0061">
      <w:pPr>
        <w:pStyle w:val="Textpoznmkypodiarou"/>
      </w:pPr>
      <w:r>
        <w:rPr>
          <w:rStyle w:val="Odkaznapoznmkupodiarou"/>
        </w:rPr>
        <w:footnoteRef/>
      </w:r>
      <w:r>
        <w:t xml:space="preserve"> </w:t>
      </w:r>
      <w:hyperlink r:id="rId22" w:history="1">
        <w:r>
          <w:rPr>
            <w:rStyle w:val="Hypertextovprepojenie"/>
          </w:rPr>
          <w:t>https://www.standishgroup.com/sample_research_files/Haze4.pdf</w:t>
        </w:r>
      </w:hyperlink>
    </w:p>
  </w:footnote>
  <w:footnote w:id="30">
    <w:p w14:paraId="650ED87C" w14:textId="77777777" w:rsidR="00B16CE5" w:rsidRDefault="00B16CE5">
      <w:pPr>
        <w:pStyle w:val="Textpoznmkypodiarou"/>
      </w:pPr>
      <w:r>
        <w:rPr>
          <w:rStyle w:val="Odkaznapoznmkupodiarou"/>
        </w:rPr>
        <w:footnoteRef/>
      </w:r>
      <w:r>
        <w:t xml:space="preserve"> </w:t>
      </w:r>
      <w:hyperlink r:id="rId23" w:history="1">
        <w:r>
          <w:rPr>
            <w:rStyle w:val="Hypertextovprepojenie"/>
          </w:rPr>
          <w:t>https://www.gov.uk/guidance/define-your-purchasing-strategy</w:t>
        </w:r>
      </w:hyperlink>
    </w:p>
  </w:footnote>
  <w:footnote w:id="31">
    <w:p w14:paraId="0593FE91" w14:textId="77777777" w:rsidR="00B16CE5" w:rsidRDefault="00B16CE5">
      <w:pPr>
        <w:pStyle w:val="Textpoznmkypodiarou"/>
      </w:pPr>
      <w:r>
        <w:rPr>
          <w:rStyle w:val="Odkaznapoznmkupodiarou"/>
        </w:rPr>
        <w:footnoteRef/>
      </w:r>
      <w:r>
        <w:t xml:space="preserve"> </w:t>
      </w:r>
      <w:hyperlink r:id="rId24" w:history="1">
        <w:r>
          <w:rPr>
            <w:rStyle w:val="Hypertextovprepojenie"/>
          </w:rPr>
          <w:t>https://metais.vicepremier.gov.sk/studia/detail/cb295a93-dd3f-a70c-d1af-d58e6e3ae6b4</w:t>
        </w:r>
      </w:hyperlink>
    </w:p>
  </w:footnote>
  <w:footnote w:id="32">
    <w:p w14:paraId="070C7427" w14:textId="77777777" w:rsidR="00B16CE5" w:rsidRPr="00FC525F" w:rsidRDefault="00B16CE5" w:rsidP="003A6EC3">
      <w:pPr>
        <w:pStyle w:val="Textpoznmkypodiarou"/>
      </w:pPr>
      <w:r>
        <w:rPr>
          <w:rStyle w:val="Odkaznapoznmkupodiarou"/>
        </w:rPr>
        <w:footnoteRef/>
      </w:r>
      <w:r>
        <w:t xml:space="preserve"> </w:t>
      </w:r>
      <w:r w:rsidRPr="00B40997">
        <w:t>https://www.mckinsey.com/business-functions/mckinsey-digital/our-insights/managing-the-demand-for-it-infrastructure</w:t>
      </w:r>
    </w:p>
  </w:footnote>
  <w:footnote w:id="33">
    <w:p w14:paraId="03D09E44" w14:textId="77777777" w:rsidR="00B16CE5" w:rsidRPr="00FC525F" w:rsidRDefault="00B16CE5" w:rsidP="003A6EC3">
      <w:pPr>
        <w:pStyle w:val="Textpoznmkypodiarou"/>
      </w:pPr>
      <w:r>
        <w:rPr>
          <w:rStyle w:val="Odkaznapoznmkupodiarou"/>
        </w:rPr>
        <w:footnoteRef/>
      </w:r>
      <w:r w:rsidRPr="00B40997">
        <w:t>http://info.tbmcouncil.org/rs/509-APS-230/images/Federal-IT-COST-Commission-Report_Accelerating-the%20Mission_July%2021.2016%20.pdf?_ga=2.198269354.485944432.1553255937-44904007.1553255937</w:t>
      </w:r>
    </w:p>
  </w:footnote>
  <w:footnote w:id="34">
    <w:p w14:paraId="1999BB46" w14:textId="77777777" w:rsidR="00B16CE5" w:rsidRPr="006351B8" w:rsidRDefault="00B16CE5" w:rsidP="0059256C">
      <w:pPr>
        <w:pStyle w:val="Textpoznmkypodiarou"/>
        <w:rPr>
          <w:sz w:val="18"/>
        </w:rPr>
      </w:pPr>
      <w:r w:rsidRPr="006351B8">
        <w:rPr>
          <w:rStyle w:val="Odkaznapoznmkupodiarou"/>
          <w:sz w:val="18"/>
        </w:rPr>
        <w:footnoteRef/>
      </w:r>
      <w:r w:rsidRPr="006351B8">
        <w:rPr>
          <w:sz w:val="18"/>
        </w:rPr>
        <w:t xml:space="preserve"> Accelerating the Mission: Recommendations for Optimizing Federal Technology Cost and Value in the Age of FITARA (2016)</w:t>
      </w:r>
    </w:p>
  </w:footnote>
  <w:footnote w:id="35">
    <w:p w14:paraId="39B2218E" w14:textId="77777777" w:rsidR="00B16CE5" w:rsidRDefault="00B16CE5" w:rsidP="009043D0">
      <w:pPr>
        <w:pStyle w:val="Textpoznmkypodiarou"/>
      </w:pPr>
      <w:r>
        <w:rPr>
          <w:rStyle w:val="Odkaznapoznmkupodiarou"/>
        </w:rPr>
        <w:footnoteRef/>
      </w:r>
      <w:r>
        <w:t xml:space="preserve"> </w:t>
      </w:r>
      <w:hyperlink r:id="rId25" w:history="1">
        <w:r>
          <w:rPr>
            <w:rStyle w:val="Hypertextovprepojenie"/>
          </w:rPr>
          <w:t>https://www.mvcr.cz/clanek/prehled-obvyklych-cen-ict-praci.aspx</w:t>
        </w:r>
      </w:hyperlink>
    </w:p>
  </w:footnote>
  <w:footnote w:id="36">
    <w:p w14:paraId="01BE161D" w14:textId="77777777" w:rsidR="00B16CE5" w:rsidRDefault="00B16CE5">
      <w:pPr>
        <w:pStyle w:val="Textpoznmkypodiarou"/>
      </w:pPr>
      <w:r>
        <w:rPr>
          <w:rStyle w:val="Odkaznapoznmkupodiarou"/>
        </w:rPr>
        <w:footnoteRef/>
      </w:r>
      <w:r>
        <w:t xml:space="preserve"> Napr. zápis rokovania RV PO OPII 7 </w:t>
      </w:r>
      <w:hyperlink r:id="rId26" w:history="1">
        <w:r>
          <w:rPr>
            <w:rStyle w:val="Hypertextovprepojenie"/>
          </w:rPr>
          <w:t>https://www.vicepremier.gov.sk/wp-content/uploads/2019/05/17-12-2018-9-Riadiaci-vybor-PO7-OPII_zapis_final.pdf</w:t>
        </w:r>
      </w:hyperlink>
    </w:p>
  </w:footnote>
  <w:footnote w:id="37">
    <w:p w14:paraId="7462FB9F" w14:textId="77777777" w:rsidR="00B16CE5" w:rsidRDefault="00B16CE5">
      <w:pPr>
        <w:pStyle w:val="Textpoznmkypodiarou"/>
      </w:pPr>
      <w:r>
        <w:rPr>
          <w:rStyle w:val="Odkaznapoznmkupodiarou"/>
        </w:rPr>
        <w:footnoteRef/>
      </w:r>
      <w:r>
        <w:t xml:space="preserve"> </w:t>
      </w:r>
      <w:hyperlink r:id="rId27" w:history="1">
        <w:r w:rsidRPr="007D69DA">
          <w:rPr>
            <w:rStyle w:val="Hypertextovprepojenie"/>
          </w:rPr>
          <w:t>https://www.finance.gov.sk/files/archiv/67/Telematika_UHP_hodnotenie_20190514_stretnutie.pdf</w:t>
        </w:r>
      </w:hyperlink>
      <w:r>
        <w:t xml:space="preserve"> </w:t>
      </w:r>
    </w:p>
  </w:footnote>
  <w:footnote w:id="38">
    <w:p w14:paraId="28694C4D" w14:textId="77777777" w:rsidR="00B16CE5" w:rsidRDefault="00B16CE5" w:rsidP="002351AD">
      <w:pPr>
        <w:pStyle w:val="Textpoznmkypodiarou"/>
      </w:pPr>
      <w:r>
        <w:rPr>
          <w:rStyle w:val="Odkaznapoznmkupodiarou"/>
        </w:rPr>
        <w:footnoteRef/>
      </w:r>
      <w:r>
        <w:t xml:space="preserve"> </w:t>
      </w:r>
      <w:hyperlink r:id="rId28" w:history="1">
        <w:r>
          <w:rPr>
            <w:rStyle w:val="Hypertextovprepojenie"/>
          </w:rPr>
          <w:t>https://www.slov-lex.sk/legislativne-procesy/SK/LP/2019/375</w:t>
        </w:r>
      </w:hyperlink>
    </w:p>
  </w:footnote>
  <w:footnote w:id="39">
    <w:p w14:paraId="650E5D01" w14:textId="5A14F573" w:rsidR="00B16CE5" w:rsidRPr="00FC525F" w:rsidRDefault="00B16CE5">
      <w:pPr>
        <w:pStyle w:val="Textpoznmkypodiarou"/>
      </w:pPr>
      <w:r>
        <w:rPr>
          <w:rStyle w:val="Odkaznapoznmkupodiarou"/>
        </w:rPr>
        <w:footnoteRef/>
      </w:r>
      <w:r>
        <w:t xml:space="preserve"> </w:t>
      </w:r>
      <w:r w:rsidRPr="00EB4F0E">
        <w:t>https://www.mfsr.sk/files/archiv/36/microsoft_stanovisko_UHP_20190815.pdf</w:t>
      </w:r>
    </w:p>
  </w:footnote>
  <w:footnote w:id="40">
    <w:p w14:paraId="6AA0F6E5" w14:textId="77777777" w:rsidR="00B16CE5" w:rsidRDefault="00B16CE5" w:rsidP="0059256C">
      <w:pPr>
        <w:pStyle w:val="Textpoznmkypodiarou"/>
      </w:pPr>
      <w:r>
        <w:rPr>
          <w:rStyle w:val="Odkaznapoznmkupodiarou"/>
        </w:rPr>
        <w:footnoteRef/>
      </w:r>
      <w:r>
        <w:t xml:space="preserve"> ÚGKK, Sociálna poisťovňa, MPSVaR, MPRV, ŽSR, ZSSK, Slovenská pošta</w:t>
      </w:r>
    </w:p>
  </w:footnote>
  <w:footnote w:id="41">
    <w:p w14:paraId="3C2C8FA0" w14:textId="77777777" w:rsidR="00B16CE5" w:rsidRDefault="00B16CE5">
      <w:pPr>
        <w:pStyle w:val="Textpoznmkypodiarou"/>
      </w:pPr>
      <w:r>
        <w:rPr>
          <w:rStyle w:val="Odkaznapoznmkupodiarou"/>
        </w:rPr>
        <w:footnoteRef/>
      </w:r>
      <w:r>
        <w:t xml:space="preserve"> </w:t>
      </w:r>
      <w:hyperlink r:id="rId29" w:history="1">
        <w:r w:rsidRPr="005659F3">
          <w:rPr>
            <w:rStyle w:val="Hypertextovprepojenie"/>
          </w:rPr>
          <w:t>https://www.mfsr.sk/files/archiv/36/microsoft_stanovisko_UHP_20190815.pdf</w:t>
        </w:r>
      </w:hyperlink>
      <w:r>
        <w:t xml:space="preserve"> </w:t>
      </w:r>
    </w:p>
  </w:footnote>
  <w:footnote w:id="42">
    <w:p w14:paraId="420EEF24" w14:textId="77777777" w:rsidR="00B16CE5" w:rsidRPr="00FC525F" w:rsidRDefault="00B16CE5" w:rsidP="0072272F">
      <w:pPr>
        <w:pStyle w:val="Textpoznmkypodiarou"/>
      </w:pPr>
      <w:r>
        <w:rPr>
          <w:rStyle w:val="Odkaznapoznmkupodiarou"/>
        </w:rPr>
        <w:footnoteRef/>
      </w:r>
      <w:r>
        <w:t xml:space="preserve"> </w:t>
      </w:r>
      <w:hyperlink r:id="rId30" w:history="1">
        <w:r w:rsidRPr="00994847">
          <w:rPr>
            <w:rStyle w:val="Hypertextovprepojenie"/>
          </w:rPr>
          <w:t>https://www.mfsr.sk/files/archiv/53/mzdy_zaverecna_20200305.pdf</w:t>
        </w:r>
      </w:hyperlink>
      <w:r>
        <w:t xml:space="preserve"> </w:t>
      </w:r>
    </w:p>
  </w:footnote>
  <w:footnote w:id="43">
    <w:p w14:paraId="43237289" w14:textId="77777777" w:rsidR="00B16CE5" w:rsidRPr="00D232E3" w:rsidRDefault="00B16CE5" w:rsidP="0059256C">
      <w:pPr>
        <w:pStyle w:val="Textpoznmkypodiarou"/>
        <w:rPr>
          <w:b/>
          <w:sz w:val="18"/>
          <w:szCs w:val="18"/>
        </w:rPr>
      </w:pPr>
      <w:r w:rsidRPr="00D232E3">
        <w:rPr>
          <w:rStyle w:val="Odkaznapoznmkupodiarou"/>
          <w:sz w:val="18"/>
          <w:szCs w:val="18"/>
        </w:rPr>
        <w:footnoteRef/>
      </w:r>
      <w:r w:rsidRPr="00D232E3">
        <w:rPr>
          <w:sz w:val="18"/>
          <w:szCs w:val="18"/>
        </w:rPr>
        <w:t xml:space="preserve"> Podľa prípadovej štúdie Gartner o firme Deluxe Corporation usporila konsolidáciou táto spoločnosť 1-1,5 mil. dolárov (10-15 %) ročne z pôvodných 10 mil. dolárov, ktoré ročne míňala na údržbu softvéru a hardvéru. Dostupné na </w:t>
      </w:r>
      <w:hyperlink r:id="rId31" w:history="1">
        <w:r w:rsidRPr="00D232E3">
          <w:rPr>
            <w:rStyle w:val="Hypertextovprepojenie"/>
            <w:sz w:val="18"/>
            <w:szCs w:val="18"/>
          </w:rPr>
          <w:t>https://www.trident-it.com/pdf/GartnerReport.pdf</w:t>
        </w:r>
      </w:hyperlink>
      <w:r w:rsidRPr="00D232E3">
        <w:rPr>
          <w:rStyle w:val="Hypertextovprepojenie"/>
          <w:sz w:val="18"/>
          <w:szCs w:val="18"/>
        </w:rPr>
        <w:t>.</w:t>
      </w:r>
    </w:p>
  </w:footnote>
  <w:footnote w:id="44">
    <w:p w14:paraId="41EDBA9A" w14:textId="77777777" w:rsidR="00B16CE5" w:rsidRDefault="00B16CE5">
      <w:pPr>
        <w:pStyle w:val="Textpoznmkypodiarou"/>
      </w:pPr>
      <w:r>
        <w:rPr>
          <w:rStyle w:val="Odkaznapoznmkupodiarou"/>
        </w:rPr>
        <w:footnoteRef/>
      </w:r>
      <w:r>
        <w:t xml:space="preserve"> </w:t>
      </w:r>
      <w:r w:rsidRPr="008B7FE8">
        <w:rPr>
          <w:sz w:val="18"/>
          <w:szCs w:val="18"/>
        </w:rPr>
        <w:t>Náklady na telekomunikačné služby v rokoch 2011 až 2016 boli na základe dát poskytnutých od rezortov odhadované ako 75 % nákladov EKRK položky 632003 Poštové služby a telekomunikačné služby.</w:t>
      </w:r>
    </w:p>
  </w:footnote>
  <w:footnote w:id="45">
    <w:p w14:paraId="581C6EB3" w14:textId="77777777" w:rsidR="00B16CE5" w:rsidRDefault="00B16CE5">
      <w:pPr>
        <w:pStyle w:val="Textpoznmkypodiarou"/>
      </w:pPr>
      <w:r>
        <w:rPr>
          <w:rStyle w:val="Odkaznapoznmkupodiarou"/>
        </w:rPr>
        <w:footnoteRef/>
      </w:r>
      <w:r>
        <w:t xml:space="preserve"> ŠU „Zvýšenie kapacity DC Kopčianska“ a „Zvýšenie kapacity DC Tajov“ </w:t>
      </w:r>
      <w:hyperlink r:id="rId32" w:history="1">
        <w:r>
          <w:rPr>
            <w:rStyle w:val="Hypertextovprepojenie"/>
          </w:rPr>
          <w:t>https://metais.vicepremier.gov.sk/studia/list</w:t>
        </w:r>
      </w:hyperlink>
    </w:p>
  </w:footnote>
  <w:footnote w:id="46">
    <w:p w14:paraId="55CFB12D" w14:textId="77777777" w:rsidR="00B16CE5" w:rsidRDefault="00B16CE5" w:rsidP="002F71BD">
      <w:pPr>
        <w:pStyle w:val="Textpoznmkypodiarou"/>
        <w:jc w:val="left"/>
      </w:pPr>
      <w:r>
        <w:rPr>
          <w:rStyle w:val="Odkaznapoznmkupodiarou"/>
        </w:rPr>
        <w:footnoteRef/>
      </w:r>
      <w:r>
        <w:t xml:space="preserve"> </w:t>
      </w:r>
      <w:hyperlink r:id="rId33" w:history="1">
        <w:r>
          <w:rPr>
            <w:rStyle w:val="Hypertextovprepojenie"/>
          </w:rPr>
          <w:t>https://metais.vicepremier.gov.sk/studia/detail/37a08512-f5e3-1e19-a504-44f87e1ff076</w:t>
        </w:r>
      </w:hyperlink>
      <w:r>
        <w:t xml:space="preserve"> a </w:t>
      </w:r>
      <w:hyperlink r:id="rId34" w:history="1">
        <w:r w:rsidRPr="00B62ABE">
          <w:rPr>
            <w:rStyle w:val="Hypertextovprepojenie"/>
          </w:rPr>
          <w:t>https://metais.vicepremier.gov.sk/studia/detail/8019b096-d35b-6356-0ba4-5964138717d1</w:t>
        </w:r>
      </w:hyperlink>
      <w:r w:rsidRPr="00B62ABE">
        <w:t xml:space="preserve"> </w:t>
      </w:r>
      <w:r>
        <w:t xml:space="preserve"> </w:t>
      </w:r>
    </w:p>
  </w:footnote>
  <w:footnote w:id="47">
    <w:p w14:paraId="427EF45A" w14:textId="77777777" w:rsidR="00422D13" w:rsidRDefault="00422D13" w:rsidP="00422D13">
      <w:pPr>
        <w:pStyle w:val="Textpoznmkypodiarou"/>
      </w:pPr>
      <w:r>
        <w:rPr>
          <w:rStyle w:val="Odkaznapoznmkupodiarou"/>
        </w:rPr>
        <w:footnoteRef/>
      </w:r>
      <w:r>
        <w:t xml:space="preserve"> V zmysle zákona o ITVS č. 95/2019</w:t>
      </w:r>
    </w:p>
  </w:footnote>
  <w:footnote w:id="48">
    <w:p w14:paraId="1B70F5D1" w14:textId="77777777" w:rsidR="00422D13" w:rsidRDefault="00422D13" w:rsidP="00422D13">
      <w:pPr>
        <w:pStyle w:val="Textpoznmkypodiarou"/>
      </w:pPr>
      <w:r>
        <w:rPr>
          <w:rStyle w:val="Odkaznapoznmkupodiarou"/>
        </w:rPr>
        <w:footnoteRef/>
      </w:r>
      <w:r>
        <w:t xml:space="preserve"> V zmysle zákona o ITVS č. 95/2019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8B8"/>
    <w:multiLevelType w:val="hybridMultilevel"/>
    <w:tmpl w:val="508A5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F06C5"/>
    <w:multiLevelType w:val="hybridMultilevel"/>
    <w:tmpl w:val="EF8C8256"/>
    <w:lvl w:ilvl="0" w:tplc="9E42FAF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1D0674"/>
    <w:multiLevelType w:val="hybridMultilevel"/>
    <w:tmpl w:val="98AEF8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715480"/>
    <w:multiLevelType w:val="hybridMultilevel"/>
    <w:tmpl w:val="D43A3E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C3540C"/>
    <w:multiLevelType w:val="hybridMultilevel"/>
    <w:tmpl w:val="220C9E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434D93"/>
    <w:multiLevelType w:val="hybridMultilevel"/>
    <w:tmpl w:val="79842224"/>
    <w:lvl w:ilvl="0" w:tplc="041B0001">
      <w:start w:val="1"/>
      <w:numFmt w:val="bullet"/>
      <w:lvlText w:val=""/>
      <w:lvlJc w:val="left"/>
      <w:pPr>
        <w:ind w:left="776" w:hanging="360"/>
      </w:pPr>
      <w:rPr>
        <w:rFonts w:ascii="Symbol" w:hAnsi="Symbol" w:hint="default"/>
      </w:rPr>
    </w:lvl>
    <w:lvl w:ilvl="1" w:tplc="041B0003" w:tentative="1">
      <w:start w:val="1"/>
      <w:numFmt w:val="bullet"/>
      <w:lvlText w:val="o"/>
      <w:lvlJc w:val="left"/>
      <w:pPr>
        <w:ind w:left="1496" w:hanging="360"/>
      </w:pPr>
      <w:rPr>
        <w:rFonts w:ascii="Courier New" w:hAnsi="Courier New" w:cs="Courier New" w:hint="default"/>
      </w:rPr>
    </w:lvl>
    <w:lvl w:ilvl="2" w:tplc="041B0005" w:tentative="1">
      <w:start w:val="1"/>
      <w:numFmt w:val="bullet"/>
      <w:lvlText w:val=""/>
      <w:lvlJc w:val="left"/>
      <w:pPr>
        <w:ind w:left="2216" w:hanging="360"/>
      </w:pPr>
      <w:rPr>
        <w:rFonts w:ascii="Wingdings" w:hAnsi="Wingdings" w:hint="default"/>
      </w:rPr>
    </w:lvl>
    <w:lvl w:ilvl="3" w:tplc="041B0001" w:tentative="1">
      <w:start w:val="1"/>
      <w:numFmt w:val="bullet"/>
      <w:lvlText w:val=""/>
      <w:lvlJc w:val="left"/>
      <w:pPr>
        <w:ind w:left="2936" w:hanging="360"/>
      </w:pPr>
      <w:rPr>
        <w:rFonts w:ascii="Symbol" w:hAnsi="Symbol" w:hint="default"/>
      </w:rPr>
    </w:lvl>
    <w:lvl w:ilvl="4" w:tplc="041B0003" w:tentative="1">
      <w:start w:val="1"/>
      <w:numFmt w:val="bullet"/>
      <w:lvlText w:val="o"/>
      <w:lvlJc w:val="left"/>
      <w:pPr>
        <w:ind w:left="3656" w:hanging="360"/>
      </w:pPr>
      <w:rPr>
        <w:rFonts w:ascii="Courier New" w:hAnsi="Courier New" w:cs="Courier New" w:hint="default"/>
      </w:rPr>
    </w:lvl>
    <w:lvl w:ilvl="5" w:tplc="041B0005" w:tentative="1">
      <w:start w:val="1"/>
      <w:numFmt w:val="bullet"/>
      <w:lvlText w:val=""/>
      <w:lvlJc w:val="left"/>
      <w:pPr>
        <w:ind w:left="4376" w:hanging="360"/>
      </w:pPr>
      <w:rPr>
        <w:rFonts w:ascii="Wingdings" w:hAnsi="Wingdings" w:hint="default"/>
      </w:rPr>
    </w:lvl>
    <w:lvl w:ilvl="6" w:tplc="041B0001" w:tentative="1">
      <w:start w:val="1"/>
      <w:numFmt w:val="bullet"/>
      <w:lvlText w:val=""/>
      <w:lvlJc w:val="left"/>
      <w:pPr>
        <w:ind w:left="5096" w:hanging="360"/>
      </w:pPr>
      <w:rPr>
        <w:rFonts w:ascii="Symbol" w:hAnsi="Symbol" w:hint="default"/>
      </w:rPr>
    </w:lvl>
    <w:lvl w:ilvl="7" w:tplc="041B0003" w:tentative="1">
      <w:start w:val="1"/>
      <w:numFmt w:val="bullet"/>
      <w:lvlText w:val="o"/>
      <w:lvlJc w:val="left"/>
      <w:pPr>
        <w:ind w:left="5816" w:hanging="360"/>
      </w:pPr>
      <w:rPr>
        <w:rFonts w:ascii="Courier New" w:hAnsi="Courier New" w:cs="Courier New" w:hint="default"/>
      </w:rPr>
    </w:lvl>
    <w:lvl w:ilvl="8" w:tplc="041B0005" w:tentative="1">
      <w:start w:val="1"/>
      <w:numFmt w:val="bullet"/>
      <w:lvlText w:val=""/>
      <w:lvlJc w:val="left"/>
      <w:pPr>
        <w:ind w:left="6536" w:hanging="360"/>
      </w:pPr>
      <w:rPr>
        <w:rFonts w:ascii="Wingdings" w:hAnsi="Wingdings" w:hint="default"/>
      </w:rPr>
    </w:lvl>
  </w:abstractNum>
  <w:abstractNum w:abstractNumId="6" w15:restartNumberingAfterBreak="0">
    <w:nsid w:val="0C931D50"/>
    <w:multiLevelType w:val="hybridMultilevel"/>
    <w:tmpl w:val="93C8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CB5E4D"/>
    <w:multiLevelType w:val="hybridMultilevel"/>
    <w:tmpl w:val="0B82B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6830EA"/>
    <w:multiLevelType w:val="hybridMultilevel"/>
    <w:tmpl w:val="8466B9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206799"/>
    <w:multiLevelType w:val="hybridMultilevel"/>
    <w:tmpl w:val="64ACB7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4E8490E"/>
    <w:multiLevelType w:val="multilevel"/>
    <w:tmpl w:val="9830F1D2"/>
    <w:lvl w:ilvl="0">
      <w:start w:val="7"/>
      <w:numFmt w:val="decimal"/>
      <w:lvlText w:val="%1."/>
      <w:lvlJc w:val="left"/>
      <w:pPr>
        <w:ind w:left="360" w:hanging="360"/>
      </w:pPr>
      <w:rPr>
        <w:rFonts w:hint="default"/>
      </w:rPr>
    </w:lvl>
    <w:lvl w:ilv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51434E"/>
    <w:multiLevelType w:val="hybridMultilevel"/>
    <w:tmpl w:val="8DBCCC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7B4178C"/>
    <w:multiLevelType w:val="hybridMultilevel"/>
    <w:tmpl w:val="F028D7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133A2E"/>
    <w:multiLevelType w:val="hybridMultilevel"/>
    <w:tmpl w:val="7696B7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EC0306B"/>
    <w:multiLevelType w:val="hybridMultilevel"/>
    <w:tmpl w:val="5A946D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59A240F"/>
    <w:multiLevelType w:val="hybridMultilevel"/>
    <w:tmpl w:val="033AFF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62D18BC"/>
    <w:multiLevelType w:val="hybridMultilevel"/>
    <w:tmpl w:val="9370B87E"/>
    <w:lvl w:ilvl="0" w:tplc="1166B418">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8BB179C"/>
    <w:multiLevelType w:val="hybridMultilevel"/>
    <w:tmpl w:val="FC6434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AF2C2C"/>
    <w:multiLevelType w:val="hybridMultilevel"/>
    <w:tmpl w:val="BDAAB9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2754BEE"/>
    <w:multiLevelType w:val="hybridMultilevel"/>
    <w:tmpl w:val="5366D7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8D13AA9"/>
    <w:multiLevelType w:val="hybridMultilevel"/>
    <w:tmpl w:val="570AB54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4DE80B39"/>
    <w:multiLevelType w:val="hybridMultilevel"/>
    <w:tmpl w:val="7292AB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7145C40"/>
    <w:multiLevelType w:val="hybridMultilevel"/>
    <w:tmpl w:val="8C064B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82C4CA7"/>
    <w:multiLevelType w:val="hybridMultilevel"/>
    <w:tmpl w:val="D834F3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5A23E4"/>
    <w:multiLevelType w:val="hybridMultilevel"/>
    <w:tmpl w:val="59E6683E"/>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25" w15:restartNumberingAfterBreak="0">
    <w:nsid w:val="5A0079A9"/>
    <w:multiLevelType w:val="hybridMultilevel"/>
    <w:tmpl w:val="4DAAE9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C130BB2"/>
    <w:multiLevelType w:val="hybridMultilevel"/>
    <w:tmpl w:val="BCAC8A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F85B75"/>
    <w:multiLevelType w:val="hybridMultilevel"/>
    <w:tmpl w:val="51966C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1F53D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1259BA"/>
    <w:multiLevelType w:val="hybridMultilevel"/>
    <w:tmpl w:val="16B6A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903B4F"/>
    <w:multiLevelType w:val="hybridMultilevel"/>
    <w:tmpl w:val="26D043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1D426C7"/>
    <w:multiLevelType w:val="hybridMultilevel"/>
    <w:tmpl w:val="099A98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3AE1A7E"/>
    <w:multiLevelType w:val="hybridMultilevel"/>
    <w:tmpl w:val="04BC11A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3" w15:restartNumberingAfterBreak="0">
    <w:nsid w:val="760E500D"/>
    <w:multiLevelType w:val="hybridMultilevel"/>
    <w:tmpl w:val="A5AC5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C593442"/>
    <w:multiLevelType w:val="hybridMultilevel"/>
    <w:tmpl w:val="16760FA6"/>
    <w:lvl w:ilvl="0" w:tplc="3BB28CB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8"/>
  </w:num>
  <w:num w:numId="4">
    <w:abstractNumId w:val="12"/>
  </w:num>
  <w:num w:numId="5">
    <w:abstractNumId w:val="1"/>
  </w:num>
  <w:num w:numId="6">
    <w:abstractNumId w:val="19"/>
  </w:num>
  <w:num w:numId="7">
    <w:abstractNumId w:val="17"/>
  </w:num>
  <w:num w:numId="8">
    <w:abstractNumId w:val="31"/>
  </w:num>
  <w:num w:numId="9">
    <w:abstractNumId w:val="13"/>
  </w:num>
  <w:num w:numId="10">
    <w:abstractNumId w:val="9"/>
  </w:num>
  <w:num w:numId="11">
    <w:abstractNumId w:val="33"/>
  </w:num>
  <w:num w:numId="12">
    <w:abstractNumId w:val="14"/>
  </w:num>
  <w:num w:numId="13">
    <w:abstractNumId w:val="22"/>
  </w:num>
  <w:num w:numId="14">
    <w:abstractNumId w:val="21"/>
  </w:num>
  <w:num w:numId="15">
    <w:abstractNumId w:val="18"/>
  </w:num>
  <w:num w:numId="16">
    <w:abstractNumId w:val="25"/>
  </w:num>
  <w:num w:numId="17">
    <w:abstractNumId w:val="15"/>
  </w:num>
  <w:num w:numId="18">
    <w:abstractNumId w:val="26"/>
  </w:num>
  <w:num w:numId="19">
    <w:abstractNumId w:val="10"/>
  </w:num>
  <w:num w:numId="20">
    <w:abstractNumId w:val="30"/>
  </w:num>
  <w:num w:numId="21">
    <w:abstractNumId w:val="20"/>
  </w:num>
  <w:num w:numId="22">
    <w:abstractNumId w:val="2"/>
  </w:num>
  <w:num w:numId="23">
    <w:abstractNumId w:val="4"/>
  </w:num>
  <w:num w:numId="24">
    <w:abstractNumId w:val="34"/>
  </w:num>
  <w:num w:numId="25">
    <w:abstractNumId w:val="32"/>
  </w:num>
  <w:num w:numId="26">
    <w:abstractNumId w:val="29"/>
  </w:num>
  <w:num w:numId="27">
    <w:abstractNumId w:val="6"/>
  </w:num>
  <w:num w:numId="28">
    <w:abstractNumId w:val="5"/>
  </w:num>
  <w:num w:numId="29">
    <w:abstractNumId w:val="16"/>
  </w:num>
  <w:num w:numId="30">
    <w:abstractNumId w:val="3"/>
  </w:num>
  <w:num w:numId="31">
    <w:abstractNumId w:val="11"/>
  </w:num>
  <w:num w:numId="32">
    <w:abstractNumId w:val="7"/>
  </w:num>
  <w:num w:numId="33">
    <w:abstractNumId w:val="0"/>
  </w:num>
  <w:num w:numId="34">
    <w:abstractNumId w:val="2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56C"/>
    <w:rsid w:val="00000DA9"/>
    <w:rsid w:val="00006CAB"/>
    <w:rsid w:val="00007072"/>
    <w:rsid w:val="000102DF"/>
    <w:rsid w:val="00010E97"/>
    <w:rsid w:val="000137B9"/>
    <w:rsid w:val="00016F66"/>
    <w:rsid w:val="00017F77"/>
    <w:rsid w:val="000203E0"/>
    <w:rsid w:val="00020B81"/>
    <w:rsid w:val="0002595F"/>
    <w:rsid w:val="000278F2"/>
    <w:rsid w:val="0003127D"/>
    <w:rsid w:val="00037A70"/>
    <w:rsid w:val="00037EEF"/>
    <w:rsid w:val="00037FD6"/>
    <w:rsid w:val="00041707"/>
    <w:rsid w:val="00043632"/>
    <w:rsid w:val="00044283"/>
    <w:rsid w:val="00046043"/>
    <w:rsid w:val="00053D61"/>
    <w:rsid w:val="000610FE"/>
    <w:rsid w:val="000618AE"/>
    <w:rsid w:val="00062B81"/>
    <w:rsid w:val="00063BD1"/>
    <w:rsid w:val="000655B3"/>
    <w:rsid w:val="00066400"/>
    <w:rsid w:val="00066AC3"/>
    <w:rsid w:val="00067FA4"/>
    <w:rsid w:val="00070EE9"/>
    <w:rsid w:val="00071D09"/>
    <w:rsid w:val="00072D2C"/>
    <w:rsid w:val="00074483"/>
    <w:rsid w:val="000756E8"/>
    <w:rsid w:val="0007703E"/>
    <w:rsid w:val="00077077"/>
    <w:rsid w:val="00081226"/>
    <w:rsid w:val="000825BC"/>
    <w:rsid w:val="00087620"/>
    <w:rsid w:val="00092657"/>
    <w:rsid w:val="000942C0"/>
    <w:rsid w:val="00095573"/>
    <w:rsid w:val="000966D6"/>
    <w:rsid w:val="00096834"/>
    <w:rsid w:val="000969A7"/>
    <w:rsid w:val="000A02D1"/>
    <w:rsid w:val="000A24B8"/>
    <w:rsid w:val="000A6352"/>
    <w:rsid w:val="000A7055"/>
    <w:rsid w:val="000B0A0C"/>
    <w:rsid w:val="000B3F3A"/>
    <w:rsid w:val="000C15A3"/>
    <w:rsid w:val="000C2148"/>
    <w:rsid w:val="000C5632"/>
    <w:rsid w:val="000D0D6C"/>
    <w:rsid w:val="000D4ECB"/>
    <w:rsid w:val="000E0055"/>
    <w:rsid w:val="000E738B"/>
    <w:rsid w:val="000F0129"/>
    <w:rsid w:val="000F7432"/>
    <w:rsid w:val="001019F0"/>
    <w:rsid w:val="001037B3"/>
    <w:rsid w:val="00104A68"/>
    <w:rsid w:val="001075D6"/>
    <w:rsid w:val="00110FB8"/>
    <w:rsid w:val="001133E2"/>
    <w:rsid w:val="00113509"/>
    <w:rsid w:val="001145F2"/>
    <w:rsid w:val="00115586"/>
    <w:rsid w:val="001156BD"/>
    <w:rsid w:val="001160A3"/>
    <w:rsid w:val="001164AC"/>
    <w:rsid w:val="001165FD"/>
    <w:rsid w:val="00125431"/>
    <w:rsid w:val="00125A08"/>
    <w:rsid w:val="00133126"/>
    <w:rsid w:val="0013330B"/>
    <w:rsid w:val="00134FE5"/>
    <w:rsid w:val="0013662B"/>
    <w:rsid w:val="00155FDD"/>
    <w:rsid w:val="001603DD"/>
    <w:rsid w:val="00160503"/>
    <w:rsid w:val="001608F9"/>
    <w:rsid w:val="001622D7"/>
    <w:rsid w:val="001677F1"/>
    <w:rsid w:val="00170CBD"/>
    <w:rsid w:val="001717F7"/>
    <w:rsid w:val="00172041"/>
    <w:rsid w:val="00173205"/>
    <w:rsid w:val="00174638"/>
    <w:rsid w:val="001805F7"/>
    <w:rsid w:val="0019116E"/>
    <w:rsid w:val="00194EED"/>
    <w:rsid w:val="00196FD2"/>
    <w:rsid w:val="00197236"/>
    <w:rsid w:val="001A4EC7"/>
    <w:rsid w:val="001A6E5C"/>
    <w:rsid w:val="001B3BAE"/>
    <w:rsid w:val="001B47AD"/>
    <w:rsid w:val="001B6714"/>
    <w:rsid w:val="001C2C81"/>
    <w:rsid w:val="001C3886"/>
    <w:rsid w:val="001C5C9E"/>
    <w:rsid w:val="001D1A5B"/>
    <w:rsid w:val="001D53E0"/>
    <w:rsid w:val="001D543F"/>
    <w:rsid w:val="001E1C6B"/>
    <w:rsid w:val="001E3AD2"/>
    <w:rsid w:val="001E65EF"/>
    <w:rsid w:val="001E6A36"/>
    <w:rsid w:val="001E74A9"/>
    <w:rsid w:val="001F0BD8"/>
    <w:rsid w:val="001F12F2"/>
    <w:rsid w:val="001F521B"/>
    <w:rsid w:val="001F59D1"/>
    <w:rsid w:val="001F6766"/>
    <w:rsid w:val="001F74D1"/>
    <w:rsid w:val="00201D3A"/>
    <w:rsid w:val="00202C74"/>
    <w:rsid w:val="0020554F"/>
    <w:rsid w:val="00205E16"/>
    <w:rsid w:val="0021173C"/>
    <w:rsid w:val="00211AF9"/>
    <w:rsid w:val="002121D4"/>
    <w:rsid w:val="0021589B"/>
    <w:rsid w:val="00215CD5"/>
    <w:rsid w:val="0022246F"/>
    <w:rsid w:val="002261EB"/>
    <w:rsid w:val="0022779B"/>
    <w:rsid w:val="00230B54"/>
    <w:rsid w:val="0023116A"/>
    <w:rsid w:val="00231F89"/>
    <w:rsid w:val="00233DD1"/>
    <w:rsid w:val="00233F9E"/>
    <w:rsid w:val="002351AD"/>
    <w:rsid w:val="00237331"/>
    <w:rsid w:val="002422B9"/>
    <w:rsid w:val="00242F93"/>
    <w:rsid w:val="00244700"/>
    <w:rsid w:val="00250C76"/>
    <w:rsid w:val="00252E92"/>
    <w:rsid w:val="00264282"/>
    <w:rsid w:val="00265C1B"/>
    <w:rsid w:val="0027031D"/>
    <w:rsid w:val="00272646"/>
    <w:rsid w:val="00273FE7"/>
    <w:rsid w:val="002764AC"/>
    <w:rsid w:val="00280752"/>
    <w:rsid w:val="0028132F"/>
    <w:rsid w:val="00281914"/>
    <w:rsid w:val="00283EF4"/>
    <w:rsid w:val="0028646F"/>
    <w:rsid w:val="0028731F"/>
    <w:rsid w:val="00291768"/>
    <w:rsid w:val="002972D1"/>
    <w:rsid w:val="002A2A2E"/>
    <w:rsid w:val="002A3E5A"/>
    <w:rsid w:val="002A78E9"/>
    <w:rsid w:val="002A7F52"/>
    <w:rsid w:val="002B21EE"/>
    <w:rsid w:val="002B24D5"/>
    <w:rsid w:val="002B50C4"/>
    <w:rsid w:val="002B7FDF"/>
    <w:rsid w:val="002C190D"/>
    <w:rsid w:val="002C4462"/>
    <w:rsid w:val="002C6B90"/>
    <w:rsid w:val="002C773B"/>
    <w:rsid w:val="002D0C9F"/>
    <w:rsid w:val="002D0E35"/>
    <w:rsid w:val="002D19CC"/>
    <w:rsid w:val="002D1B09"/>
    <w:rsid w:val="002D3FE4"/>
    <w:rsid w:val="002D5899"/>
    <w:rsid w:val="002E3ADE"/>
    <w:rsid w:val="002F3364"/>
    <w:rsid w:val="002F4826"/>
    <w:rsid w:val="002F4AE6"/>
    <w:rsid w:val="002F6853"/>
    <w:rsid w:val="002F6EF1"/>
    <w:rsid w:val="002F7131"/>
    <w:rsid w:val="002F71BD"/>
    <w:rsid w:val="00300CBF"/>
    <w:rsid w:val="00301701"/>
    <w:rsid w:val="003028B2"/>
    <w:rsid w:val="00307BD9"/>
    <w:rsid w:val="00315B95"/>
    <w:rsid w:val="00323D9E"/>
    <w:rsid w:val="003326DF"/>
    <w:rsid w:val="00332E7D"/>
    <w:rsid w:val="00333282"/>
    <w:rsid w:val="003351BA"/>
    <w:rsid w:val="00335CA1"/>
    <w:rsid w:val="00337FB7"/>
    <w:rsid w:val="00341355"/>
    <w:rsid w:val="00344977"/>
    <w:rsid w:val="00345C42"/>
    <w:rsid w:val="00346FD1"/>
    <w:rsid w:val="0035209F"/>
    <w:rsid w:val="003526CD"/>
    <w:rsid w:val="003557D5"/>
    <w:rsid w:val="0035664C"/>
    <w:rsid w:val="0036611E"/>
    <w:rsid w:val="0037129E"/>
    <w:rsid w:val="00373E30"/>
    <w:rsid w:val="00374612"/>
    <w:rsid w:val="003768D9"/>
    <w:rsid w:val="00390C9D"/>
    <w:rsid w:val="00395B6A"/>
    <w:rsid w:val="00395BDA"/>
    <w:rsid w:val="003972B5"/>
    <w:rsid w:val="003A3C56"/>
    <w:rsid w:val="003A5D99"/>
    <w:rsid w:val="003A6EC3"/>
    <w:rsid w:val="003A7CF6"/>
    <w:rsid w:val="003B52DF"/>
    <w:rsid w:val="003C2077"/>
    <w:rsid w:val="003C2A66"/>
    <w:rsid w:val="003C3C55"/>
    <w:rsid w:val="003C3DCE"/>
    <w:rsid w:val="003C636F"/>
    <w:rsid w:val="003C73E1"/>
    <w:rsid w:val="003D01FB"/>
    <w:rsid w:val="003D11F8"/>
    <w:rsid w:val="003D65C0"/>
    <w:rsid w:val="003E1001"/>
    <w:rsid w:val="003E10E0"/>
    <w:rsid w:val="003E33F2"/>
    <w:rsid w:val="003E407C"/>
    <w:rsid w:val="003E4D66"/>
    <w:rsid w:val="003E511C"/>
    <w:rsid w:val="003E6016"/>
    <w:rsid w:val="003E7B86"/>
    <w:rsid w:val="003F5AF5"/>
    <w:rsid w:val="003F7D8C"/>
    <w:rsid w:val="00402246"/>
    <w:rsid w:val="0040262B"/>
    <w:rsid w:val="00406BCA"/>
    <w:rsid w:val="00407FC9"/>
    <w:rsid w:val="00412315"/>
    <w:rsid w:val="004171BF"/>
    <w:rsid w:val="004177D6"/>
    <w:rsid w:val="00422D13"/>
    <w:rsid w:val="00422E5A"/>
    <w:rsid w:val="00425E6E"/>
    <w:rsid w:val="00427F81"/>
    <w:rsid w:val="004311CE"/>
    <w:rsid w:val="0043271C"/>
    <w:rsid w:val="0043625B"/>
    <w:rsid w:val="00440409"/>
    <w:rsid w:val="00442063"/>
    <w:rsid w:val="004432FA"/>
    <w:rsid w:val="00443DCD"/>
    <w:rsid w:val="004476C4"/>
    <w:rsid w:val="00447CE3"/>
    <w:rsid w:val="00450D4E"/>
    <w:rsid w:val="0045209C"/>
    <w:rsid w:val="004576AC"/>
    <w:rsid w:val="0046023B"/>
    <w:rsid w:val="00463DA9"/>
    <w:rsid w:val="004747B7"/>
    <w:rsid w:val="00480BB0"/>
    <w:rsid w:val="004810E7"/>
    <w:rsid w:val="0048176C"/>
    <w:rsid w:val="00482EB2"/>
    <w:rsid w:val="004858B1"/>
    <w:rsid w:val="00485D53"/>
    <w:rsid w:val="004869BD"/>
    <w:rsid w:val="004908D9"/>
    <w:rsid w:val="004A578D"/>
    <w:rsid w:val="004B6A91"/>
    <w:rsid w:val="004C36C1"/>
    <w:rsid w:val="004C7850"/>
    <w:rsid w:val="004D0324"/>
    <w:rsid w:val="004D078F"/>
    <w:rsid w:val="004D1450"/>
    <w:rsid w:val="004D237C"/>
    <w:rsid w:val="004D2DBB"/>
    <w:rsid w:val="004D4698"/>
    <w:rsid w:val="004D51EB"/>
    <w:rsid w:val="004D6252"/>
    <w:rsid w:val="004E01B6"/>
    <w:rsid w:val="004E1B0B"/>
    <w:rsid w:val="004E2A91"/>
    <w:rsid w:val="004E5595"/>
    <w:rsid w:val="004E678A"/>
    <w:rsid w:val="004E6F0B"/>
    <w:rsid w:val="004F1EF6"/>
    <w:rsid w:val="004F3AAE"/>
    <w:rsid w:val="004F5CD1"/>
    <w:rsid w:val="004F635D"/>
    <w:rsid w:val="004F6465"/>
    <w:rsid w:val="004F73BA"/>
    <w:rsid w:val="005076C0"/>
    <w:rsid w:val="005118FB"/>
    <w:rsid w:val="0051702B"/>
    <w:rsid w:val="00517338"/>
    <w:rsid w:val="00520216"/>
    <w:rsid w:val="0052159D"/>
    <w:rsid w:val="0052264D"/>
    <w:rsid w:val="005248D0"/>
    <w:rsid w:val="00526055"/>
    <w:rsid w:val="0052691B"/>
    <w:rsid w:val="00530041"/>
    <w:rsid w:val="00530FFE"/>
    <w:rsid w:val="005315FF"/>
    <w:rsid w:val="00532F7C"/>
    <w:rsid w:val="00536279"/>
    <w:rsid w:val="0054049C"/>
    <w:rsid w:val="00543C3C"/>
    <w:rsid w:val="00553EF2"/>
    <w:rsid w:val="00554480"/>
    <w:rsid w:val="005562E8"/>
    <w:rsid w:val="00556CDE"/>
    <w:rsid w:val="00560CFD"/>
    <w:rsid w:val="00560EA4"/>
    <w:rsid w:val="005619AD"/>
    <w:rsid w:val="00562F95"/>
    <w:rsid w:val="00563807"/>
    <w:rsid w:val="00563A24"/>
    <w:rsid w:val="005663DF"/>
    <w:rsid w:val="00567CFE"/>
    <w:rsid w:val="00570785"/>
    <w:rsid w:val="00570FBE"/>
    <w:rsid w:val="005747BF"/>
    <w:rsid w:val="005814B2"/>
    <w:rsid w:val="00583AF8"/>
    <w:rsid w:val="005878F5"/>
    <w:rsid w:val="0059256C"/>
    <w:rsid w:val="005956EB"/>
    <w:rsid w:val="00595903"/>
    <w:rsid w:val="005A1351"/>
    <w:rsid w:val="005A201D"/>
    <w:rsid w:val="005A49F4"/>
    <w:rsid w:val="005B0B34"/>
    <w:rsid w:val="005B113C"/>
    <w:rsid w:val="005B5C9D"/>
    <w:rsid w:val="005B609A"/>
    <w:rsid w:val="005B7DB4"/>
    <w:rsid w:val="005C42F8"/>
    <w:rsid w:val="005D46BF"/>
    <w:rsid w:val="005D6A5E"/>
    <w:rsid w:val="005D6C0F"/>
    <w:rsid w:val="005E05E8"/>
    <w:rsid w:val="005E6F16"/>
    <w:rsid w:val="005F3AAE"/>
    <w:rsid w:val="005F79A5"/>
    <w:rsid w:val="006007E8"/>
    <w:rsid w:val="00602900"/>
    <w:rsid w:val="00602E6F"/>
    <w:rsid w:val="00606E91"/>
    <w:rsid w:val="0061066A"/>
    <w:rsid w:val="0061604E"/>
    <w:rsid w:val="00616B7C"/>
    <w:rsid w:val="00617147"/>
    <w:rsid w:val="00622F89"/>
    <w:rsid w:val="00625864"/>
    <w:rsid w:val="00626FD8"/>
    <w:rsid w:val="00627F7F"/>
    <w:rsid w:val="00632FE6"/>
    <w:rsid w:val="006330F5"/>
    <w:rsid w:val="00633C9F"/>
    <w:rsid w:val="006344CD"/>
    <w:rsid w:val="00644F63"/>
    <w:rsid w:val="006460D6"/>
    <w:rsid w:val="006466B9"/>
    <w:rsid w:val="00650187"/>
    <w:rsid w:val="006528F7"/>
    <w:rsid w:val="00653708"/>
    <w:rsid w:val="00661C70"/>
    <w:rsid w:val="00662851"/>
    <w:rsid w:val="006629F8"/>
    <w:rsid w:val="006666C2"/>
    <w:rsid w:val="00666EBD"/>
    <w:rsid w:val="00670181"/>
    <w:rsid w:val="00672E11"/>
    <w:rsid w:val="00682172"/>
    <w:rsid w:val="006828C9"/>
    <w:rsid w:val="0068381C"/>
    <w:rsid w:val="0068730A"/>
    <w:rsid w:val="0068794D"/>
    <w:rsid w:val="006952D3"/>
    <w:rsid w:val="00697665"/>
    <w:rsid w:val="006A69B9"/>
    <w:rsid w:val="006A765B"/>
    <w:rsid w:val="006B3601"/>
    <w:rsid w:val="006B4279"/>
    <w:rsid w:val="006B6D32"/>
    <w:rsid w:val="006C512B"/>
    <w:rsid w:val="006C5E56"/>
    <w:rsid w:val="006C70B8"/>
    <w:rsid w:val="006D080C"/>
    <w:rsid w:val="006D15AD"/>
    <w:rsid w:val="006D1FF3"/>
    <w:rsid w:val="006E4383"/>
    <w:rsid w:val="006E4A87"/>
    <w:rsid w:val="006E7E85"/>
    <w:rsid w:val="006F155A"/>
    <w:rsid w:val="006F62FD"/>
    <w:rsid w:val="006F6809"/>
    <w:rsid w:val="0071327C"/>
    <w:rsid w:val="007140AE"/>
    <w:rsid w:val="007162BB"/>
    <w:rsid w:val="007203DD"/>
    <w:rsid w:val="00722566"/>
    <w:rsid w:val="0072272F"/>
    <w:rsid w:val="007232CB"/>
    <w:rsid w:val="00724998"/>
    <w:rsid w:val="00724FF5"/>
    <w:rsid w:val="007255B8"/>
    <w:rsid w:val="00725630"/>
    <w:rsid w:val="0073027F"/>
    <w:rsid w:val="00731C01"/>
    <w:rsid w:val="00731E84"/>
    <w:rsid w:val="00732C6A"/>
    <w:rsid w:val="00737073"/>
    <w:rsid w:val="007371A8"/>
    <w:rsid w:val="00760643"/>
    <w:rsid w:val="007613CB"/>
    <w:rsid w:val="00761CF4"/>
    <w:rsid w:val="00764EC3"/>
    <w:rsid w:val="007662D1"/>
    <w:rsid w:val="007710EA"/>
    <w:rsid w:val="00771A5C"/>
    <w:rsid w:val="00772493"/>
    <w:rsid w:val="00774382"/>
    <w:rsid w:val="00774FA9"/>
    <w:rsid w:val="00775781"/>
    <w:rsid w:val="00776290"/>
    <w:rsid w:val="00776FFF"/>
    <w:rsid w:val="00781C1E"/>
    <w:rsid w:val="007855FC"/>
    <w:rsid w:val="00786C98"/>
    <w:rsid w:val="007872B3"/>
    <w:rsid w:val="00790A9A"/>
    <w:rsid w:val="00793284"/>
    <w:rsid w:val="00793CCE"/>
    <w:rsid w:val="00795605"/>
    <w:rsid w:val="007A0004"/>
    <w:rsid w:val="007A0DFB"/>
    <w:rsid w:val="007A6BDB"/>
    <w:rsid w:val="007A76DE"/>
    <w:rsid w:val="007B0E0F"/>
    <w:rsid w:val="007B2126"/>
    <w:rsid w:val="007B26E9"/>
    <w:rsid w:val="007C028A"/>
    <w:rsid w:val="007C238D"/>
    <w:rsid w:val="007C2CB6"/>
    <w:rsid w:val="007D082D"/>
    <w:rsid w:val="007D08E5"/>
    <w:rsid w:val="007D1FD7"/>
    <w:rsid w:val="007D5918"/>
    <w:rsid w:val="007D690E"/>
    <w:rsid w:val="007D7977"/>
    <w:rsid w:val="007E77BF"/>
    <w:rsid w:val="007F0B06"/>
    <w:rsid w:val="007F2418"/>
    <w:rsid w:val="007F2EE5"/>
    <w:rsid w:val="007F3473"/>
    <w:rsid w:val="007F6FCB"/>
    <w:rsid w:val="007F7134"/>
    <w:rsid w:val="00807E79"/>
    <w:rsid w:val="00812391"/>
    <w:rsid w:val="00816A9C"/>
    <w:rsid w:val="00816FBE"/>
    <w:rsid w:val="00820331"/>
    <w:rsid w:val="008222FA"/>
    <w:rsid w:val="00823B30"/>
    <w:rsid w:val="00825409"/>
    <w:rsid w:val="008260BA"/>
    <w:rsid w:val="00827592"/>
    <w:rsid w:val="00827977"/>
    <w:rsid w:val="00831D41"/>
    <w:rsid w:val="00832E56"/>
    <w:rsid w:val="00834F34"/>
    <w:rsid w:val="00841258"/>
    <w:rsid w:val="00841453"/>
    <w:rsid w:val="00843192"/>
    <w:rsid w:val="0084461A"/>
    <w:rsid w:val="00846793"/>
    <w:rsid w:val="00846AB5"/>
    <w:rsid w:val="008504B8"/>
    <w:rsid w:val="0085058B"/>
    <w:rsid w:val="0085133F"/>
    <w:rsid w:val="00852B71"/>
    <w:rsid w:val="00855656"/>
    <w:rsid w:val="0086016D"/>
    <w:rsid w:val="008720B2"/>
    <w:rsid w:val="00873A6C"/>
    <w:rsid w:val="00875318"/>
    <w:rsid w:val="00875E13"/>
    <w:rsid w:val="00877002"/>
    <w:rsid w:val="00877551"/>
    <w:rsid w:val="00884EF4"/>
    <w:rsid w:val="00885A2C"/>
    <w:rsid w:val="00891A65"/>
    <w:rsid w:val="00894613"/>
    <w:rsid w:val="008951B8"/>
    <w:rsid w:val="00897C1D"/>
    <w:rsid w:val="008A24D6"/>
    <w:rsid w:val="008A40D9"/>
    <w:rsid w:val="008A4EAB"/>
    <w:rsid w:val="008B051F"/>
    <w:rsid w:val="008B27F1"/>
    <w:rsid w:val="008B7FE8"/>
    <w:rsid w:val="008C0AE6"/>
    <w:rsid w:val="008C2EDD"/>
    <w:rsid w:val="008C4F53"/>
    <w:rsid w:val="008C5034"/>
    <w:rsid w:val="008C6ADE"/>
    <w:rsid w:val="008D267B"/>
    <w:rsid w:val="008D3D26"/>
    <w:rsid w:val="008D5F4A"/>
    <w:rsid w:val="008D6D38"/>
    <w:rsid w:val="008D7EE2"/>
    <w:rsid w:val="008E0061"/>
    <w:rsid w:val="008E099D"/>
    <w:rsid w:val="008E2381"/>
    <w:rsid w:val="008E3B0E"/>
    <w:rsid w:val="008F180C"/>
    <w:rsid w:val="008F1813"/>
    <w:rsid w:val="008F3FE0"/>
    <w:rsid w:val="008F4185"/>
    <w:rsid w:val="008F4CCD"/>
    <w:rsid w:val="008F6C04"/>
    <w:rsid w:val="008F7A52"/>
    <w:rsid w:val="00902169"/>
    <w:rsid w:val="009043D0"/>
    <w:rsid w:val="00904908"/>
    <w:rsid w:val="0090634B"/>
    <w:rsid w:val="00911213"/>
    <w:rsid w:val="00913404"/>
    <w:rsid w:val="00913546"/>
    <w:rsid w:val="009246EE"/>
    <w:rsid w:val="00927F43"/>
    <w:rsid w:val="0093346A"/>
    <w:rsid w:val="009357A3"/>
    <w:rsid w:val="0094036E"/>
    <w:rsid w:val="00941DDA"/>
    <w:rsid w:val="00954B1A"/>
    <w:rsid w:val="00954F4A"/>
    <w:rsid w:val="00955AD2"/>
    <w:rsid w:val="00955CE0"/>
    <w:rsid w:val="00956ED1"/>
    <w:rsid w:val="009578A3"/>
    <w:rsid w:val="00957B11"/>
    <w:rsid w:val="00960046"/>
    <w:rsid w:val="00961741"/>
    <w:rsid w:val="009634CD"/>
    <w:rsid w:val="00963849"/>
    <w:rsid w:val="009675D9"/>
    <w:rsid w:val="00971344"/>
    <w:rsid w:val="009717DD"/>
    <w:rsid w:val="00973213"/>
    <w:rsid w:val="00974A49"/>
    <w:rsid w:val="00975DF2"/>
    <w:rsid w:val="00977B75"/>
    <w:rsid w:val="00984822"/>
    <w:rsid w:val="00984C48"/>
    <w:rsid w:val="00987ADA"/>
    <w:rsid w:val="0099174A"/>
    <w:rsid w:val="00992D78"/>
    <w:rsid w:val="00994455"/>
    <w:rsid w:val="009979D6"/>
    <w:rsid w:val="009A16D3"/>
    <w:rsid w:val="009A2C85"/>
    <w:rsid w:val="009A5C37"/>
    <w:rsid w:val="009A6E84"/>
    <w:rsid w:val="009B070C"/>
    <w:rsid w:val="009B4960"/>
    <w:rsid w:val="009B52BB"/>
    <w:rsid w:val="009C35FC"/>
    <w:rsid w:val="009C7FBC"/>
    <w:rsid w:val="009D0D8D"/>
    <w:rsid w:val="009D3BDE"/>
    <w:rsid w:val="009D4E45"/>
    <w:rsid w:val="009D726E"/>
    <w:rsid w:val="009E3820"/>
    <w:rsid w:val="009E5E08"/>
    <w:rsid w:val="00A003C4"/>
    <w:rsid w:val="00A022A1"/>
    <w:rsid w:val="00A02F6B"/>
    <w:rsid w:val="00A053A7"/>
    <w:rsid w:val="00A06838"/>
    <w:rsid w:val="00A115E4"/>
    <w:rsid w:val="00A123F8"/>
    <w:rsid w:val="00A13218"/>
    <w:rsid w:val="00A13ABE"/>
    <w:rsid w:val="00A24059"/>
    <w:rsid w:val="00A24E30"/>
    <w:rsid w:val="00A25158"/>
    <w:rsid w:val="00A26534"/>
    <w:rsid w:val="00A275C8"/>
    <w:rsid w:val="00A329B7"/>
    <w:rsid w:val="00A3763B"/>
    <w:rsid w:val="00A37D50"/>
    <w:rsid w:val="00A4470F"/>
    <w:rsid w:val="00A5504F"/>
    <w:rsid w:val="00A55398"/>
    <w:rsid w:val="00A6120F"/>
    <w:rsid w:val="00A6130E"/>
    <w:rsid w:val="00A66FED"/>
    <w:rsid w:val="00A71E86"/>
    <w:rsid w:val="00A8028B"/>
    <w:rsid w:val="00A8134F"/>
    <w:rsid w:val="00A82D89"/>
    <w:rsid w:val="00A8774D"/>
    <w:rsid w:val="00A87863"/>
    <w:rsid w:val="00A9174B"/>
    <w:rsid w:val="00A9376F"/>
    <w:rsid w:val="00A93886"/>
    <w:rsid w:val="00AA2C90"/>
    <w:rsid w:val="00AB39CD"/>
    <w:rsid w:val="00AB4DFB"/>
    <w:rsid w:val="00AB6C6F"/>
    <w:rsid w:val="00AC0CC2"/>
    <w:rsid w:val="00AC2C9B"/>
    <w:rsid w:val="00AC571A"/>
    <w:rsid w:val="00AD5F46"/>
    <w:rsid w:val="00AD7151"/>
    <w:rsid w:val="00AE1FDD"/>
    <w:rsid w:val="00AE3122"/>
    <w:rsid w:val="00AE4C52"/>
    <w:rsid w:val="00AF12AC"/>
    <w:rsid w:val="00AF310D"/>
    <w:rsid w:val="00AF3310"/>
    <w:rsid w:val="00AF39FB"/>
    <w:rsid w:val="00AF651F"/>
    <w:rsid w:val="00AF75B2"/>
    <w:rsid w:val="00B029D5"/>
    <w:rsid w:val="00B03BA1"/>
    <w:rsid w:val="00B07233"/>
    <w:rsid w:val="00B073CF"/>
    <w:rsid w:val="00B11655"/>
    <w:rsid w:val="00B12C81"/>
    <w:rsid w:val="00B14406"/>
    <w:rsid w:val="00B16CE5"/>
    <w:rsid w:val="00B210D0"/>
    <w:rsid w:val="00B224A4"/>
    <w:rsid w:val="00B242D6"/>
    <w:rsid w:val="00B24504"/>
    <w:rsid w:val="00B27444"/>
    <w:rsid w:val="00B3032B"/>
    <w:rsid w:val="00B303F9"/>
    <w:rsid w:val="00B30EE0"/>
    <w:rsid w:val="00B316F7"/>
    <w:rsid w:val="00B434D6"/>
    <w:rsid w:val="00B45051"/>
    <w:rsid w:val="00B47970"/>
    <w:rsid w:val="00B53343"/>
    <w:rsid w:val="00B56C37"/>
    <w:rsid w:val="00B63C59"/>
    <w:rsid w:val="00B656E9"/>
    <w:rsid w:val="00B65F4A"/>
    <w:rsid w:val="00B6703E"/>
    <w:rsid w:val="00B6727A"/>
    <w:rsid w:val="00B702A7"/>
    <w:rsid w:val="00B736C7"/>
    <w:rsid w:val="00B7422E"/>
    <w:rsid w:val="00B74419"/>
    <w:rsid w:val="00B750F6"/>
    <w:rsid w:val="00B7726B"/>
    <w:rsid w:val="00B815CC"/>
    <w:rsid w:val="00B8657B"/>
    <w:rsid w:val="00B86E09"/>
    <w:rsid w:val="00B92666"/>
    <w:rsid w:val="00B96F95"/>
    <w:rsid w:val="00B97810"/>
    <w:rsid w:val="00BA03FE"/>
    <w:rsid w:val="00BA40D2"/>
    <w:rsid w:val="00BA563A"/>
    <w:rsid w:val="00BA5B15"/>
    <w:rsid w:val="00BB1186"/>
    <w:rsid w:val="00BB639B"/>
    <w:rsid w:val="00BB6473"/>
    <w:rsid w:val="00BB6E90"/>
    <w:rsid w:val="00BC09E0"/>
    <w:rsid w:val="00BC193A"/>
    <w:rsid w:val="00BC50F4"/>
    <w:rsid w:val="00BC5A66"/>
    <w:rsid w:val="00BD0925"/>
    <w:rsid w:val="00BD0A4E"/>
    <w:rsid w:val="00BD0CB1"/>
    <w:rsid w:val="00BD2866"/>
    <w:rsid w:val="00BD3900"/>
    <w:rsid w:val="00BD4245"/>
    <w:rsid w:val="00BD51C6"/>
    <w:rsid w:val="00BD6044"/>
    <w:rsid w:val="00BD758F"/>
    <w:rsid w:val="00BE1DC0"/>
    <w:rsid w:val="00BE2440"/>
    <w:rsid w:val="00BE655D"/>
    <w:rsid w:val="00BE6A73"/>
    <w:rsid w:val="00BF06CE"/>
    <w:rsid w:val="00BF624A"/>
    <w:rsid w:val="00BF7E13"/>
    <w:rsid w:val="00C02E31"/>
    <w:rsid w:val="00C03B72"/>
    <w:rsid w:val="00C060EC"/>
    <w:rsid w:val="00C07D66"/>
    <w:rsid w:val="00C239DB"/>
    <w:rsid w:val="00C26460"/>
    <w:rsid w:val="00C31960"/>
    <w:rsid w:val="00C319E4"/>
    <w:rsid w:val="00C31AC4"/>
    <w:rsid w:val="00C356EE"/>
    <w:rsid w:val="00C451EF"/>
    <w:rsid w:val="00C4744D"/>
    <w:rsid w:val="00C526BA"/>
    <w:rsid w:val="00C55867"/>
    <w:rsid w:val="00C55C38"/>
    <w:rsid w:val="00C61AF9"/>
    <w:rsid w:val="00C62E18"/>
    <w:rsid w:val="00C63C45"/>
    <w:rsid w:val="00C731DC"/>
    <w:rsid w:val="00C73EE3"/>
    <w:rsid w:val="00C740D3"/>
    <w:rsid w:val="00C76CE7"/>
    <w:rsid w:val="00C84102"/>
    <w:rsid w:val="00C85953"/>
    <w:rsid w:val="00C865F4"/>
    <w:rsid w:val="00C90233"/>
    <w:rsid w:val="00C90DFF"/>
    <w:rsid w:val="00C91C67"/>
    <w:rsid w:val="00C937A4"/>
    <w:rsid w:val="00CA03F4"/>
    <w:rsid w:val="00CA13F7"/>
    <w:rsid w:val="00CA7155"/>
    <w:rsid w:val="00CA741A"/>
    <w:rsid w:val="00CB13F5"/>
    <w:rsid w:val="00CB1496"/>
    <w:rsid w:val="00CC452C"/>
    <w:rsid w:val="00CC4A7D"/>
    <w:rsid w:val="00CD09FD"/>
    <w:rsid w:val="00CD164D"/>
    <w:rsid w:val="00CD2131"/>
    <w:rsid w:val="00CD6F27"/>
    <w:rsid w:val="00CE406E"/>
    <w:rsid w:val="00CE7BC2"/>
    <w:rsid w:val="00CF0505"/>
    <w:rsid w:val="00CF1422"/>
    <w:rsid w:val="00CF3609"/>
    <w:rsid w:val="00CF4CE3"/>
    <w:rsid w:val="00CF6751"/>
    <w:rsid w:val="00CF7FC7"/>
    <w:rsid w:val="00D02793"/>
    <w:rsid w:val="00D04543"/>
    <w:rsid w:val="00D10479"/>
    <w:rsid w:val="00D1365D"/>
    <w:rsid w:val="00D14FC2"/>
    <w:rsid w:val="00D16CE6"/>
    <w:rsid w:val="00D205BE"/>
    <w:rsid w:val="00D21896"/>
    <w:rsid w:val="00D270ED"/>
    <w:rsid w:val="00D278FD"/>
    <w:rsid w:val="00D3528F"/>
    <w:rsid w:val="00D3537E"/>
    <w:rsid w:val="00D36D87"/>
    <w:rsid w:val="00D40F41"/>
    <w:rsid w:val="00D433B0"/>
    <w:rsid w:val="00D435C0"/>
    <w:rsid w:val="00D44A94"/>
    <w:rsid w:val="00D45FBA"/>
    <w:rsid w:val="00D472B5"/>
    <w:rsid w:val="00D52D2A"/>
    <w:rsid w:val="00D56CBD"/>
    <w:rsid w:val="00D619D9"/>
    <w:rsid w:val="00D63B5F"/>
    <w:rsid w:val="00D644C7"/>
    <w:rsid w:val="00D657F1"/>
    <w:rsid w:val="00D71C1E"/>
    <w:rsid w:val="00D76F21"/>
    <w:rsid w:val="00D80212"/>
    <w:rsid w:val="00D8064A"/>
    <w:rsid w:val="00D8284B"/>
    <w:rsid w:val="00D82D77"/>
    <w:rsid w:val="00D85C1D"/>
    <w:rsid w:val="00D86B65"/>
    <w:rsid w:val="00D912FA"/>
    <w:rsid w:val="00D9151A"/>
    <w:rsid w:val="00D91783"/>
    <w:rsid w:val="00D94162"/>
    <w:rsid w:val="00D96C90"/>
    <w:rsid w:val="00D97544"/>
    <w:rsid w:val="00DA0191"/>
    <w:rsid w:val="00DA1061"/>
    <w:rsid w:val="00DA3EE2"/>
    <w:rsid w:val="00DA4C64"/>
    <w:rsid w:val="00DB7E36"/>
    <w:rsid w:val="00DC4576"/>
    <w:rsid w:val="00DD0061"/>
    <w:rsid w:val="00DD351B"/>
    <w:rsid w:val="00DD354B"/>
    <w:rsid w:val="00DD3CBA"/>
    <w:rsid w:val="00DD4F09"/>
    <w:rsid w:val="00DD5544"/>
    <w:rsid w:val="00DD72D8"/>
    <w:rsid w:val="00DE1AC7"/>
    <w:rsid w:val="00DE3CB1"/>
    <w:rsid w:val="00DE4CC9"/>
    <w:rsid w:val="00DE6A2F"/>
    <w:rsid w:val="00DF0078"/>
    <w:rsid w:val="00DF0304"/>
    <w:rsid w:val="00DF0A53"/>
    <w:rsid w:val="00DF2AFB"/>
    <w:rsid w:val="00DF306B"/>
    <w:rsid w:val="00DF47EA"/>
    <w:rsid w:val="00E0187B"/>
    <w:rsid w:val="00E0344E"/>
    <w:rsid w:val="00E05BE2"/>
    <w:rsid w:val="00E06E66"/>
    <w:rsid w:val="00E15E9B"/>
    <w:rsid w:val="00E16A8D"/>
    <w:rsid w:val="00E204A4"/>
    <w:rsid w:val="00E212CB"/>
    <w:rsid w:val="00E21D21"/>
    <w:rsid w:val="00E2209B"/>
    <w:rsid w:val="00E22421"/>
    <w:rsid w:val="00E22D2F"/>
    <w:rsid w:val="00E27E99"/>
    <w:rsid w:val="00E303F3"/>
    <w:rsid w:val="00E36552"/>
    <w:rsid w:val="00E37B05"/>
    <w:rsid w:val="00E42E27"/>
    <w:rsid w:val="00E434AF"/>
    <w:rsid w:val="00E44583"/>
    <w:rsid w:val="00E46436"/>
    <w:rsid w:val="00E53580"/>
    <w:rsid w:val="00E53AAB"/>
    <w:rsid w:val="00E62076"/>
    <w:rsid w:val="00E62A05"/>
    <w:rsid w:val="00E652CB"/>
    <w:rsid w:val="00E66B3B"/>
    <w:rsid w:val="00E74388"/>
    <w:rsid w:val="00E75514"/>
    <w:rsid w:val="00E76EB1"/>
    <w:rsid w:val="00E828EA"/>
    <w:rsid w:val="00E834D7"/>
    <w:rsid w:val="00E86BB9"/>
    <w:rsid w:val="00E9261C"/>
    <w:rsid w:val="00E95B51"/>
    <w:rsid w:val="00E95B9F"/>
    <w:rsid w:val="00E9677D"/>
    <w:rsid w:val="00E97F17"/>
    <w:rsid w:val="00EA43F7"/>
    <w:rsid w:val="00EA4E7A"/>
    <w:rsid w:val="00EA5501"/>
    <w:rsid w:val="00EB2EBB"/>
    <w:rsid w:val="00EB4F0E"/>
    <w:rsid w:val="00EC764A"/>
    <w:rsid w:val="00ED1D75"/>
    <w:rsid w:val="00ED3CCB"/>
    <w:rsid w:val="00EE1706"/>
    <w:rsid w:val="00EE6E4D"/>
    <w:rsid w:val="00EE7011"/>
    <w:rsid w:val="00EF0FF9"/>
    <w:rsid w:val="00EF3255"/>
    <w:rsid w:val="00EF41FB"/>
    <w:rsid w:val="00EF51A2"/>
    <w:rsid w:val="00EF6764"/>
    <w:rsid w:val="00F00496"/>
    <w:rsid w:val="00F02914"/>
    <w:rsid w:val="00F07497"/>
    <w:rsid w:val="00F10155"/>
    <w:rsid w:val="00F1137B"/>
    <w:rsid w:val="00F17A82"/>
    <w:rsid w:val="00F20936"/>
    <w:rsid w:val="00F223CC"/>
    <w:rsid w:val="00F22C83"/>
    <w:rsid w:val="00F278D3"/>
    <w:rsid w:val="00F30389"/>
    <w:rsid w:val="00F307D4"/>
    <w:rsid w:val="00F33C23"/>
    <w:rsid w:val="00F346A5"/>
    <w:rsid w:val="00F35E21"/>
    <w:rsid w:val="00F3722B"/>
    <w:rsid w:val="00F41742"/>
    <w:rsid w:val="00F44CAE"/>
    <w:rsid w:val="00F477D3"/>
    <w:rsid w:val="00F51FA8"/>
    <w:rsid w:val="00F53D9F"/>
    <w:rsid w:val="00F61E09"/>
    <w:rsid w:val="00F62D25"/>
    <w:rsid w:val="00F63064"/>
    <w:rsid w:val="00F65AF6"/>
    <w:rsid w:val="00F67C66"/>
    <w:rsid w:val="00F71C11"/>
    <w:rsid w:val="00F72034"/>
    <w:rsid w:val="00F74E72"/>
    <w:rsid w:val="00F7675C"/>
    <w:rsid w:val="00F826B2"/>
    <w:rsid w:val="00F914E9"/>
    <w:rsid w:val="00F94EFD"/>
    <w:rsid w:val="00F95BA6"/>
    <w:rsid w:val="00FA3735"/>
    <w:rsid w:val="00FB1767"/>
    <w:rsid w:val="00FB7433"/>
    <w:rsid w:val="00FB7ADF"/>
    <w:rsid w:val="00FC05B6"/>
    <w:rsid w:val="00FC525F"/>
    <w:rsid w:val="00FC5376"/>
    <w:rsid w:val="00FC5933"/>
    <w:rsid w:val="00FC6400"/>
    <w:rsid w:val="00FC7E1B"/>
    <w:rsid w:val="00FD19A5"/>
    <w:rsid w:val="00FE0B9F"/>
    <w:rsid w:val="00FF163E"/>
    <w:rsid w:val="00FF2A3C"/>
    <w:rsid w:val="00FF57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BCE1"/>
  <w15:chartTrackingRefBased/>
  <w15:docId w15:val="{B78D3CE6-C439-4B0D-998C-386351F5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9256C"/>
    <w:pPr>
      <w:jc w:val="both"/>
    </w:pPr>
    <w:rPr>
      <w:rFonts w:ascii="Arial Narrow" w:hAnsi="Arial Narrow"/>
    </w:rPr>
  </w:style>
  <w:style w:type="paragraph" w:styleId="Nadpis1">
    <w:name w:val="heading 1"/>
    <w:basedOn w:val="Normlny"/>
    <w:next w:val="Normlny"/>
    <w:link w:val="Nadpis1Char"/>
    <w:uiPriority w:val="9"/>
    <w:qFormat/>
    <w:rsid w:val="00D04543"/>
    <w:pPr>
      <w:keepNext/>
      <w:keepLines/>
      <w:spacing w:before="240" w:after="0"/>
      <w:outlineLvl w:val="0"/>
    </w:pPr>
    <w:rPr>
      <w:rFonts w:eastAsiaTheme="majorEastAsia"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D04543"/>
    <w:pPr>
      <w:keepNext/>
      <w:keepLines/>
      <w:spacing w:before="40" w:after="0"/>
      <w:outlineLvl w:val="1"/>
    </w:pPr>
    <w:rPr>
      <w:rFonts w:eastAsiaTheme="majorEastAsia"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FF57B7"/>
    <w:pPr>
      <w:outlineLvl w:val="2"/>
    </w:pPr>
    <w:rPr>
      <w:b/>
    </w:rPr>
  </w:style>
  <w:style w:type="paragraph" w:styleId="Nadpis4">
    <w:name w:val="heading 4"/>
    <w:basedOn w:val="Normlny"/>
    <w:next w:val="Normlny"/>
    <w:link w:val="Nadpis4Char"/>
    <w:uiPriority w:val="9"/>
    <w:unhideWhenUsed/>
    <w:qFormat/>
    <w:rsid w:val="00D04543"/>
    <w:pPr>
      <w:keepNext/>
      <w:keepLines/>
      <w:spacing w:before="40" w:after="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2B7FD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D04543"/>
    <w:pPr>
      <w:spacing w:after="0" w:line="240" w:lineRule="auto"/>
    </w:pPr>
    <w:rPr>
      <w:rFonts w:ascii="Arial Narrow" w:hAnsi="Arial Narrow"/>
    </w:rPr>
  </w:style>
  <w:style w:type="character" w:customStyle="1" w:styleId="Nadpis1Char">
    <w:name w:val="Nadpis 1 Char"/>
    <w:basedOn w:val="Predvolenpsmoodseku"/>
    <w:link w:val="Nadpis1"/>
    <w:uiPriority w:val="9"/>
    <w:rsid w:val="00D04543"/>
    <w:rPr>
      <w:rFonts w:ascii="Arial Narrow" w:eastAsiaTheme="majorEastAsia" w:hAnsi="Arial Narrow" w:cstheme="majorBidi"/>
      <w:color w:val="2E74B5" w:themeColor="accent1" w:themeShade="BF"/>
      <w:sz w:val="32"/>
      <w:szCs w:val="32"/>
    </w:rPr>
  </w:style>
  <w:style w:type="character" w:customStyle="1" w:styleId="Nadpis2Char">
    <w:name w:val="Nadpis 2 Char"/>
    <w:basedOn w:val="Predvolenpsmoodseku"/>
    <w:link w:val="Nadpis2"/>
    <w:uiPriority w:val="9"/>
    <w:rsid w:val="00D04543"/>
    <w:rPr>
      <w:rFonts w:ascii="Arial Narrow" w:eastAsiaTheme="majorEastAsia" w:hAnsi="Arial Narrow" w:cstheme="majorBidi"/>
      <w:color w:val="2E74B5" w:themeColor="accent1" w:themeShade="BF"/>
      <w:sz w:val="26"/>
      <w:szCs w:val="26"/>
    </w:rPr>
  </w:style>
  <w:style w:type="character" w:customStyle="1" w:styleId="Nadpis3Char">
    <w:name w:val="Nadpis 3 Char"/>
    <w:basedOn w:val="Predvolenpsmoodseku"/>
    <w:link w:val="Nadpis3"/>
    <w:uiPriority w:val="9"/>
    <w:rsid w:val="00FF57B7"/>
    <w:rPr>
      <w:rFonts w:ascii="Arial Narrow" w:hAnsi="Arial Narrow"/>
      <w:b/>
    </w:rPr>
  </w:style>
  <w:style w:type="character" w:customStyle="1" w:styleId="Nadpis4Char">
    <w:name w:val="Nadpis 4 Char"/>
    <w:basedOn w:val="Predvolenpsmoodseku"/>
    <w:link w:val="Nadpis4"/>
    <w:uiPriority w:val="9"/>
    <w:rsid w:val="00D04543"/>
    <w:rPr>
      <w:rFonts w:ascii="Arial Narrow" w:eastAsiaTheme="majorEastAsia" w:hAnsi="Arial Narrow" w:cstheme="majorBidi"/>
      <w:i/>
      <w:iCs/>
      <w:color w:val="2E74B5" w:themeColor="accent1" w:themeShade="BF"/>
    </w:rPr>
  </w:style>
  <w:style w:type="paragraph" w:styleId="Textpoznmkypodiarou">
    <w:name w:val="footnote text"/>
    <w:aliases w:val="Text poznámky pod čiarou 007,Schriftart: 9 pt,Schriftart: 10 pt,Schriftart: 8 pt,_Poznámka pod čiarou,Footnote Text Char2,Footnote Text Char1 Char,Footnote Text Char2 Char Char,Footnote Text Char1 Char Char Char Char Char Char,f"/>
    <w:basedOn w:val="Normlny"/>
    <w:link w:val="TextpoznmkypodiarouChar"/>
    <w:uiPriority w:val="99"/>
    <w:unhideWhenUsed/>
    <w:qFormat/>
    <w:rsid w:val="0059256C"/>
    <w:pPr>
      <w:spacing w:after="0" w:line="240" w:lineRule="auto"/>
    </w:pPr>
    <w:rPr>
      <w:sz w:val="20"/>
      <w:szCs w:val="20"/>
    </w:rPr>
  </w:style>
  <w:style w:type="character" w:customStyle="1" w:styleId="TextpoznmkypodiarouChar">
    <w:name w:val="Text poznámky pod čiarou Char"/>
    <w:aliases w:val="Text poznámky pod čiarou 007 Char,Schriftart: 9 pt Char,Schriftart: 10 pt Char,Schriftart: 8 pt Char,_Poznámka pod čiarou Char,Footnote Text Char2 Char,Footnote Text Char1 Char Char,Footnote Text Char2 Char Char Char,f Char"/>
    <w:basedOn w:val="Predvolenpsmoodseku"/>
    <w:link w:val="Textpoznmkypodiarou"/>
    <w:uiPriority w:val="99"/>
    <w:rsid w:val="0059256C"/>
    <w:rPr>
      <w:rFonts w:ascii="Arial Narrow" w:hAnsi="Arial Narrow"/>
      <w:sz w:val="20"/>
      <w:szCs w:val="20"/>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link w:val="Char2"/>
    <w:uiPriority w:val="99"/>
    <w:unhideWhenUsed/>
    <w:qFormat/>
    <w:rsid w:val="0059256C"/>
    <w:rPr>
      <w:vertAlign w:val="superscript"/>
    </w:rPr>
  </w:style>
  <w:style w:type="paragraph" w:customStyle="1" w:styleId="Char2">
    <w:name w:val="Char2"/>
    <w:basedOn w:val="Normlny"/>
    <w:link w:val="Odkaznapoznmkupodiarou"/>
    <w:uiPriority w:val="99"/>
    <w:rsid w:val="0059256C"/>
    <w:pPr>
      <w:spacing w:after="0" w:line="240" w:lineRule="exact"/>
    </w:pPr>
    <w:rPr>
      <w:rFonts w:asciiTheme="minorHAnsi" w:hAnsiTheme="minorHAnsi"/>
      <w:vertAlign w:val="superscript"/>
    </w:rPr>
  </w:style>
  <w:style w:type="character" w:styleId="Hypertextovprepojenie">
    <w:name w:val="Hyperlink"/>
    <w:basedOn w:val="Predvolenpsmoodseku"/>
    <w:uiPriority w:val="99"/>
    <w:unhideWhenUsed/>
    <w:rsid w:val="0059256C"/>
    <w:rPr>
      <w:color w:val="0563C1" w:themeColor="hyperlink"/>
      <w:u w:val="single"/>
    </w:rPr>
  </w:style>
  <w:style w:type="table" w:styleId="Mriekatabuky">
    <w:name w:val="Table Grid"/>
    <w:basedOn w:val="Normlnatabuka"/>
    <w:uiPriority w:val="39"/>
    <w:rsid w:val="0059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59256C"/>
    <w:rPr>
      <w:sz w:val="16"/>
      <w:szCs w:val="16"/>
    </w:rPr>
  </w:style>
  <w:style w:type="paragraph" w:styleId="Textkomentra">
    <w:name w:val="annotation text"/>
    <w:basedOn w:val="Normlny"/>
    <w:link w:val="TextkomentraChar"/>
    <w:uiPriority w:val="99"/>
    <w:semiHidden/>
    <w:unhideWhenUsed/>
    <w:rsid w:val="0059256C"/>
    <w:pPr>
      <w:spacing w:line="240" w:lineRule="auto"/>
    </w:pPr>
    <w:rPr>
      <w:sz w:val="20"/>
      <w:szCs w:val="20"/>
    </w:rPr>
  </w:style>
  <w:style w:type="character" w:customStyle="1" w:styleId="TextkomentraChar">
    <w:name w:val="Text komentára Char"/>
    <w:basedOn w:val="Predvolenpsmoodseku"/>
    <w:link w:val="Textkomentra"/>
    <w:uiPriority w:val="99"/>
    <w:semiHidden/>
    <w:rsid w:val="0059256C"/>
    <w:rPr>
      <w:rFonts w:ascii="Arial Narrow" w:hAnsi="Arial Narrow"/>
      <w:sz w:val="20"/>
      <w:szCs w:val="20"/>
    </w:rPr>
  </w:style>
  <w:style w:type="paragraph" w:styleId="Textbubliny">
    <w:name w:val="Balloon Text"/>
    <w:basedOn w:val="Normlny"/>
    <w:link w:val="TextbublinyChar"/>
    <w:uiPriority w:val="99"/>
    <w:semiHidden/>
    <w:unhideWhenUsed/>
    <w:rsid w:val="0059256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9256C"/>
    <w:rPr>
      <w:rFonts w:ascii="Segoe UI" w:hAnsi="Segoe UI" w:cs="Segoe UI"/>
      <w:sz w:val="18"/>
      <w:szCs w:val="18"/>
    </w:rPr>
  </w:style>
  <w:style w:type="paragraph" w:styleId="Odsekzoznamu">
    <w:name w:val="List Paragraph"/>
    <w:basedOn w:val="Normlny"/>
    <w:uiPriority w:val="34"/>
    <w:qFormat/>
    <w:rsid w:val="0059256C"/>
    <w:pPr>
      <w:ind w:left="720"/>
      <w:contextualSpacing/>
    </w:pPr>
  </w:style>
  <w:style w:type="table" w:styleId="Tabukasmriekou6farebnzvraznenie5">
    <w:name w:val="Grid Table 6 Colorful Accent 5"/>
    <w:basedOn w:val="Normlnatabuka"/>
    <w:uiPriority w:val="51"/>
    <w:rsid w:val="0059256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opis">
    <w:name w:val="caption"/>
    <w:basedOn w:val="Normlny"/>
    <w:next w:val="Normlny"/>
    <w:uiPriority w:val="35"/>
    <w:unhideWhenUsed/>
    <w:qFormat/>
    <w:rsid w:val="0059256C"/>
    <w:pPr>
      <w:keepNext/>
      <w:spacing w:after="200" w:line="240" w:lineRule="auto"/>
    </w:pPr>
    <w:rPr>
      <w:b/>
      <w:iCs/>
      <w:color w:val="2C9ADC"/>
      <w:sz w:val="18"/>
      <w:szCs w:val="18"/>
    </w:rPr>
  </w:style>
  <w:style w:type="paragraph" w:styleId="Predmetkomentra">
    <w:name w:val="annotation subject"/>
    <w:basedOn w:val="Textkomentra"/>
    <w:next w:val="Textkomentra"/>
    <w:link w:val="PredmetkomentraChar"/>
    <w:uiPriority w:val="99"/>
    <w:semiHidden/>
    <w:unhideWhenUsed/>
    <w:rsid w:val="009D4E45"/>
    <w:rPr>
      <w:b/>
      <w:bCs/>
    </w:rPr>
  </w:style>
  <w:style w:type="character" w:customStyle="1" w:styleId="PredmetkomentraChar">
    <w:name w:val="Predmet komentára Char"/>
    <w:basedOn w:val="TextkomentraChar"/>
    <w:link w:val="Predmetkomentra"/>
    <w:uiPriority w:val="99"/>
    <w:semiHidden/>
    <w:rsid w:val="009D4E45"/>
    <w:rPr>
      <w:rFonts w:ascii="Arial Narrow" w:hAnsi="Arial Narrow"/>
      <w:b/>
      <w:bCs/>
      <w:sz w:val="20"/>
      <w:szCs w:val="20"/>
    </w:rPr>
  </w:style>
  <w:style w:type="paragraph" w:styleId="Hlavikaobsahu">
    <w:name w:val="TOC Heading"/>
    <w:basedOn w:val="Nadpis1"/>
    <w:next w:val="Normlny"/>
    <w:uiPriority w:val="39"/>
    <w:unhideWhenUsed/>
    <w:qFormat/>
    <w:rsid w:val="009D4E45"/>
    <w:pPr>
      <w:jc w:val="left"/>
      <w:outlineLvl w:val="9"/>
    </w:pPr>
    <w:rPr>
      <w:rFonts w:asciiTheme="majorHAnsi" w:hAnsiTheme="majorHAnsi"/>
      <w:lang w:eastAsia="sk-SK"/>
    </w:rPr>
  </w:style>
  <w:style w:type="paragraph" w:styleId="Obsah2">
    <w:name w:val="toc 2"/>
    <w:basedOn w:val="Normlny"/>
    <w:next w:val="Normlny"/>
    <w:autoRedefine/>
    <w:uiPriority w:val="39"/>
    <w:unhideWhenUsed/>
    <w:rsid w:val="009D4E45"/>
    <w:pPr>
      <w:spacing w:after="100"/>
      <w:ind w:left="220"/>
    </w:pPr>
  </w:style>
  <w:style w:type="paragraph" w:styleId="Obsah3">
    <w:name w:val="toc 3"/>
    <w:basedOn w:val="Normlny"/>
    <w:next w:val="Normlny"/>
    <w:autoRedefine/>
    <w:uiPriority w:val="39"/>
    <w:unhideWhenUsed/>
    <w:rsid w:val="009D4E45"/>
    <w:pPr>
      <w:spacing w:after="100"/>
      <w:ind w:left="440"/>
    </w:pPr>
  </w:style>
  <w:style w:type="paragraph" w:styleId="Hlavika">
    <w:name w:val="header"/>
    <w:basedOn w:val="Normlny"/>
    <w:link w:val="HlavikaChar"/>
    <w:uiPriority w:val="99"/>
    <w:unhideWhenUsed/>
    <w:rsid w:val="00215C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5CD5"/>
    <w:rPr>
      <w:rFonts w:ascii="Arial Narrow" w:hAnsi="Arial Narrow"/>
    </w:rPr>
  </w:style>
  <w:style w:type="paragraph" w:styleId="Pta">
    <w:name w:val="footer"/>
    <w:basedOn w:val="Normlny"/>
    <w:link w:val="PtaChar"/>
    <w:uiPriority w:val="99"/>
    <w:unhideWhenUsed/>
    <w:rsid w:val="00215CD5"/>
    <w:pPr>
      <w:tabs>
        <w:tab w:val="center" w:pos="4536"/>
        <w:tab w:val="right" w:pos="9072"/>
      </w:tabs>
      <w:spacing w:after="0" w:line="240" w:lineRule="auto"/>
    </w:pPr>
  </w:style>
  <w:style w:type="character" w:customStyle="1" w:styleId="PtaChar">
    <w:name w:val="Päta Char"/>
    <w:basedOn w:val="Predvolenpsmoodseku"/>
    <w:link w:val="Pta"/>
    <w:uiPriority w:val="99"/>
    <w:rsid w:val="00215CD5"/>
    <w:rPr>
      <w:rFonts w:ascii="Arial Narrow" w:hAnsi="Arial Narrow"/>
    </w:rPr>
  </w:style>
  <w:style w:type="character" w:styleId="PouitHypertextovPrepojenie">
    <w:name w:val="FollowedHyperlink"/>
    <w:basedOn w:val="Predvolenpsmoodseku"/>
    <w:uiPriority w:val="99"/>
    <w:semiHidden/>
    <w:unhideWhenUsed/>
    <w:rsid w:val="00DD3CBA"/>
    <w:rPr>
      <w:color w:val="954F72" w:themeColor="followedHyperlink"/>
      <w:u w:val="single"/>
    </w:rPr>
  </w:style>
  <w:style w:type="character" w:customStyle="1" w:styleId="Nadpis5Char">
    <w:name w:val="Nadpis 5 Char"/>
    <w:basedOn w:val="Predvolenpsmoodseku"/>
    <w:link w:val="Nadpis5"/>
    <w:uiPriority w:val="9"/>
    <w:semiHidden/>
    <w:rsid w:val="002B7FDF"/>
    <w:rPr>
      <w:rFonts w:asciiTheme="majorHAnsi" w:eastAsiaTheme="majorEastAsia" w:hAnsiTheme="majorHAnsi" w:cstheme="majorBidi"/>
      <w:color w:val="2E74B5" w:themeColor="accent1" w:themeShade="BF"/>
    </w:rPr>
  </w:style>
  <w:style w:type="paragraph" w:customStyle="1" w:styleId="Default">
    <w:name w:val="Default"/>
    <w:rsid w:val="00074483"/>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5659">
      <w:bodyDiv w:val="1"/>
      <w:marLeft w:val="0"/>
      <w:marRight w:val="0"/>
      <w:marTop w:val="0"/>
      <w:marBottom w:val="0"/>
      <w:divBdr>
        <w:top w:val="none" w:sz="0" w:space="0" w:color="auto"/>
        <w:left w:val="none" w:sz="0" w:space="0" w:color="auto"/>
        <w:bottom w:val="none" w:sz="0" w:space="0" w:color="auto"/>
        <w:right w:val="none" w:sz="0" w:space="0" w:color="auto"/>
      </w:divBdr>
    </w:div>
    <w:div w:id="31074617">
      <w:bodyDiv w:val="1"/>
      <w:marLeft w:val="0"/>
      <w:marRight w:val="0"/>
      <w:marTop w:val="0"/>
      <w:marBottom w:val="0"/>
      <w:divBdr>
        <w:top w:val="none" w:sz="0" w:space="0" w:color="auto"/>
        <w:left w:val="none" w:sz="0" w:space="0" w:color="auto"/>
        <w:bottom w:val="none" w:sz="0" w:space="0" w:color="auto"/>
        <w:right w:val="none" w:sz="0" w:space="0" w:color="auto"/>
      </w:divBdr>
    </w:div>
    <w:div w:id="81266143">
      <w:bodyDiv w:val="1"/>
      <w:marLeft w:val="0"/>
      <w:marRight w:val="0"/>
      <w:marTop w:val="0"/>
      <w:marBottom w:val="0"/>
      <w:divBdr>
        <w:top w:val="none" w:sz="0" w:space="0" w:color="auto"/>
        <w:left w:val="none" w:sz="0" w:space="0" w:color="auto"/>
        <w:bottom w:val="none" w:sz="0" w:space="0" w:color="auto"/>
        <w:right w:val="none" w:sz="0" w:space="0" w:color="auto"/>
      </w:divBdr>
    </w:div>
    <w:div w:id="123086161">
      <w:bodyDiv w:val="1"/>
      <w:marLeft w:val="0"/>
      <w:marRight w:val="0"/>
      <w:marTop w:val="0"/>
      <w:marBottom w:val="0"/>
      <w:divBdr>
        <w:top w:val="none" w:sz="0" w:space="0" w:color="auto"/>
        <w:left w:val="none" w:sz="0" w:space="0" w:color="auto"/>
        <w:bottom w:val="none" w:sz="0" w:space="0" w:color="auto"/>
        <w:right w:val="none" w:sz="0" w:space="0" w:color="auto"/>
      </w:divBdr>
    </w:div>
    <w:div w:id="128860182">
      <w:bodyDiv w:val="1"/>
      <w:marLeft w:val="0"/>
      <w:marRight w:val="0"/>
      <w:marTop w:val="0"/>
      <w:marBottom w:val="0"/>
      <w:divBdr>
        <w:top w:val="none" w:sz="0" w:space="0" w:color="auto"/>
        <w:left w:val="none" w:sz="0" w:space="0" w:color="auto"/>
        <w:bottom w:val="none" w:sz="0" w:space="0" w:color="auto"/>
        <w:right w:val="none" w:sz="0" w:space="0" w:color="auto"/>
      </w:divBdr>
    </w:div>
    <w:div w:id="166217507">
      <w:bodyDiv w:val="1"/>
      <w:marLeft w:val="0"/>
      <w:marRight w:val="0"/>
      <w:marTop w:val="0"/>
      <w:marBottom w:val="0"/>
      <w:divBdr>
        <w:top w:val="none" w:sz="0" w:space="0" w:color="auto"/>
        <w:left w:val="none" w:sz="0" w:space="0" w:color="auto"/>
        <w:bottom w:val="none" w:sz="0" w:space="0" w:color="auto"/>
        <w:right w:val="none" w:sz="0" w:space="0" w:color="auto"/>
      </w:divBdr>
    </w:div>
    <w:div w:id="182986816">
      <w:bodyDiv w:val="1"/>
      <w:marLeft w:val="0"/>
      <w:marRight w:val="0"/>
      <w:marTop w:val="0"/>
      <w:marBottom w:val="0"/>
      <w:divBdr>
        <w:top w:val="none" w:sz="0" w:space="0" w:color="auto"/>
        <w:left w:val="none" w:sz="0" w:space="0" w:color="auto"/>
        <w:bottom w:val="none" w:sz="0" w:space="0" w:color="auto"/>
        <w:right w:val="none" w:sz="0" w:space="0" w:color="auto"/>
      </w:divBdr>
    </w:div>
    <w:div w:id="213272061">
      <w:bodyDiv w:val="1"/>
      <w:marLeft w:val="0"/>
      <w:marRight w:val="0"/>
      <w:marTop w:val="0"/>
      <w:marBottom w:val="0"/>
      <w:divBdr>
        <w:top w:val="none" w:sz="0" w:space="0" w:color="auto"/>
        <w:left w:val="none" w:sz="0" w:space="0" w:color="auto"/>
        <w:bottom w:val="none" w:sz="0" w:space="0" w:color="auto"/>
        <w:right w:val="none" w:sz="0" w:space="0" w:color="auto"/>
      </w:divBdr>
    </w:div>
    <w:div w:id="238058418">
      <w:bodyDiv w:val="1"/>
      <w:marLeft w:val="0"/>
      <w:marRight w:val="0"/>
      <w:marTop w:val="0"/>
      <w:marBottom w:val="0"/>
      <w:divBdr>
        <w:top w:val="none" w:sz="0" w:space="0" w:color="auto"/>
        <w:left w:val="none" w:sz="0" w:space="0" w:color="auto"/>
        <w:bottom w:val="none" w:sz="0" w:space="0" w:color="auto"/>
        <w:right w:val="none" w:sz="0" w:space="0" w:color="auto"/>
      </w:divBdr>
    </w:div>
    <w:div w:id="317347768">
      <w:bodyDiv w:val="1"/>
      <w:marLeft w:val="0"/>
      <w:marRight w:val="0"/>
      <w:marTop w:val="0"/>
      <w:marBottom w:val="0"/>
      <w:divBdr>
        <w:top w:val="none" w:sz="0" w:space="0" w:color="auto"/>
        <w:left w:val="none" w:sz="0" w:space="0" w:color="auto"/>
        <w:bottom w:val="none" w:sz="0" w:space="0" w:color="auto"/>
        <w:right w:val="none" w:sz="0" w:space="0" w:color="auto"/>
      </w:divBdr>
    </w:div>
    <w:div w:id="341131263">
      <w:bodyDiv w:val="1"/>
      <w:marLeft w:val="0"/>
      <w:marRight w:val="0"/>
      <w:marTop w:val="0"/>
      <w:marBottom w:val="0"/>
      <w:divBdr>
        <w:top w:val="none" w:sz="0" w:space="0" w:color="auto"/>
        <w:left w:val="none" w:sz="0" w:space="0" w:color="auto"/>
        <w:bottom w:val="none" w:sz="0" w:space="0" w:color="auto"/>
        <w:right w:val="none" w:sz="0" w:space="0" w:color="auto"/>
      </w:divBdr>
    </w:div>
    <w:div w:id="403917553">
      <w:bodyDiv w:val="1"/>
      <w:marLeft w:val="0"/>
      <w:marRight w:val="0"/>
      <w:marTop w:val="0"/>
      <w:marBottom w:val="0"/>
      <w:divBdr>
        <w:top w:val="none" w:sz="0" w:space="0" w:color="auto"/>
        <w:left w:val="none" w:sz="0" w:space="0" w:color="auto"/>
        <w:bottom w:val="none" w:sz="0" w:space="0" w:color="auto"/>
        <w:right w:val="none" w:sz="0" w:space="0" w:color="auto"/>
      </w:divBdr>
    </w:div>
    <w:div w:id="419835555">
      <w:bodyDiv w:val="1"/>
      <w:marLeft w:val="0"/>
      <w:marRight w:val="0"/>
      <w:marTop w:val="0"/>
      <w:marBottom w:val="0"/>
      <w:divBdr>
        <w:top w:val="none" w:sz="0" w:space="0" w:color="auto"/>
        <w:left w:val="none" w:sz="0" w:space="0" w:color="auto"/>
        <w:bottom w:val="none" w:sz="0" w:space="0" w:color="auto"/>
        <w:right w:val="none" w:sz="0" w:space="0" w:color="auto"/>
      </w:divBdr>
    </w:div>
    <w:div w:id="466170500">
      <w:bodyDiv w:val="1"/>
      <w:marLeft w:val="0"/>
      <w:marRight w:val="0"/>
      <w:marTop w:val="0"/>
      <w:marBottom w:val="0"/>
      <w:divBdr>
        <w:top w:val="none" w:sz="0" w:space="0" w:color="auto"/>
        <w:left w:val="none" w:sz="0" w:space="0" w:color="auto"/>
        <w:bottom w:val="none" w:sz="0" w:space="0" w:color="auto"/>
        <w:right w:val="none" w:sz="0" w:space="0" w:color="auto"/>
      </w:divBdr>
    </w:div>
    <w:div w:id="529606769">
      <w:bodyDiv w:val="1"/>
      <w:marLeft w:val="0"/>
      <w:marRight w:val="0"/>
      <w:marTop w:val="0"/>
      <w:marBottom w:val="0"/>
      <w:divBdr>
        <w:top w:val="none" w:sz="0" w:space="0" w:color="auto"/>
        <w:left w:val="none" w:sz="0" w:space="0" w:color="auto"/>
        <w:bottom w:val="none" w:sz="0" w:space="0" w:color="auto"/>
        <w:right w:val="none" w:sz="0" w:space="0" w:color="auto"/>
      </w:divBdr>
    </w:div>
    <w:div w:id="556473779">
      <w:bodyDiv w:val="1"/>
      <w:marLeft w:val="0"/>
      <w:marRight w:val="0"/>
      <w:marTop w:val="0"/>
      <w:marBottom w:val="0"/>
      <w:divBdr>
        <w:top w:val="none" w:sz="0" w:space="0" w:color="auto"/>
        <w:left w:val="none" w:sz="0" w:space="0" w:color="auto"/>
        <w:bottom w:val="none" w:sz="0" w:space="0" w:color="auto"/>
        <w:right w:val="none" w:sz="0" w:space="0" w:color="auto"/>
      </w:divBdr>
    </w:div>
    <w:div w:id="588004093">
      <w:bodyDiv w:val="1"/>
      <w:marLeft w:val="0"/>
      <w:marRight w:val="0"/>
      <w:marTop w:val="0"/>
      <w:marBottom w:val="0"/>
      <w:divBdr>
        <w:top w:val="none" w:sz="0" w:space="0" w:color="auto"/>
        <w:left w:val="none" w:sz="0" w:space="0" w:color="auto"/>
        <w:bottom w:val="none" w:sz="0" w:space="0" w:color="auto"/>
        <w:right w:val="none" w:sz="0" w:space="0" w:color="auto"/>
      </w:divBdr>
    </w:div>
    <w:div w:id="651644970">
      <w:bodyDiv w:val="1"/>
      <w:marLeft w:val="0"/>
      <w:marRight w:val="0"/>
      <w:marTop w:val="0"/>
      <w:marBottom w:val="0"/>
      <w:divBdr>
        <w:top w:val="none" w:sz="0" w:space="0" w:color="auto"/>
        <w:left w:val="none" w:sz="0" w:space="0" w:color="auto"/>
        <w:bottom w:val="none" w:sz="0" w:space="0" w:color="auto"/>
        <w:right w:val="none" w:sz="0" w:space="0" w:color="auto"/>
      </w:divBdr>
    </w:div>
    <w:div w:id="654988768">
      <w:bodyDiv w:val="1"/>
      <w:marLeft w:val="0"/>
      <w:marRight w:val="0"/>
      <w:marTop w:val="0"/>
      <w:marBottom w:val="0"/>
      <w:divBdr>
        <w:top w:val="none" w:sz="0" w:space="0" w:color="auto"/>
        <w:left w:val="none" w:sz="0" w:space="0" w:color="auto"/>
        <w:bottom w:val="none" w:sz="0" w:space="0" w:color="auto"/>
        <w:right w:val="none" w:sz="0" w:space="0" w:color="auto"/>
      </w:divBdr>
    </w:div>
    <w:div w:id="667290895">
      <w:bodyDiv w:val="1"/>
      <w:marLeft w:val="0"/>
      <w:marRight w:val="0"/>
      <w:marTop w:val="0"/>
      <w:marBottom w:val="0"/>
      <w:divBdr>
        <w:top w:val="none" w:sz="0" w:space="0" w:color="auto"/>
        <w:left w:val="none" w:sz="0" w:space="0" w:color="auto"/>
        <w:bottom w:val="none" w:sz="0" w:space="0" w:color="auto"/>
        <w:right w:val="none" w:sz="0" w:space="0" w:color="auto"/>
      </w:divBdr>
    </w:div>
    <w:div w:id="705257123">
      <w:bodyDiv w:val="1"/>
      <w:marLeft w:val="0"/>
      <w:marRight w:val="0"/>
      <w:marTop w:val="0"/>
      <w:marBottom w:val="0"/>
      <w:divBdr>
        <w:top w:val="none" w:sz="0" w:space="0" w:color="auto"/>
        <w:left w:val="none" w:sz="0" w:space="0" w:color="auto"/>
        <w:bottom w:val="none" w:sz="0" w:space="0" w:color="auto"/>
        <w:right w:val="none" w:sz="0" w:space="0" w:color="auto"/>
      </w:divBdr>
    </w:div>
    <w:div w:id="712460990">
      <w:bodyDiv w:val="1"/>
      <w:marLeft w:val="0"/>
      <w:marRight w:val="0"/>
      <w:marTop w:val="0"/>
      <w:marBottom w:val="0"/>
      <w:divBdr>
        <w:top w:val="none" w:sz="0" w:space="0" w:color="auto"/>
        <w:left w:val="none" w:sz="0" w:space="0" w:color="auto"/>
        <w:bottom w:val="none" w:sz="0" w:space="0" w:color="auto"/>
        <w:right w:val="none" w:sz="0" w:space="0" w:color="auto"/>
      </w:divBdr>
    </w:div>
    <w:div w:id="738553005">
      <w:bodyDiv w:val="1"/>
      <w:marLeft w:val="0"/>
      <w:marRight w:val="0"/>
      <w:marTop w:val="0"/>
      <w:marBottom w:val="0"/>
      <w:divBdr>
        <w:top w:val="none" w:sz="0" w:space="0" w:color="auto"/>
        <w:left w:val="none" w:sz="0" w:space="0" w:color="auto"/>
        <w:bottom w:val="none" w:sz="0" w:space="0" w:color="auto"/>
        <w:right w:val="none" w:sz="0" w:space="0" w:color="auto"/>
      </w:divBdr>
    </w:div>
    <w:div w:id="750078953">
      <w:bodyDiv w:val="1"/>
      <w:marLeft w:val="0"/>
      <w:marRight w:val="0"/>
      <w:marTop w:val="0"/>
      <w:marBottom w:val="0"/>
      <w:divBdr>
        <w:top w:val="none" w:sz="0" w:space="0" w:color="auto"/>
        <w:left w:val="none" w:sz="0" w:space="0" w:color="auto"/>
        <w:bottom w:val="none" w:sz="0" w:space="0" w:color="auto"/>
        <w:right w:val="none" w:sz="0" w:space="0" w:color="auto"/>
      </w:divBdr>
    </w:div>
    <w:div w:id="786582660">
      <w:bodyDiv w:val="1"/>
      <w:marLeft w:val="0"/>
      <w:marRight w:val="0"/>
      <w:marTop w:val="0"/>
      <w:marBottom w:val="0"/>
      <w:divBdr>
        <w:top w:val="none" w:sz="0" w:space="0" w:color="auto"/>
        <w:left w:val="none" w:sz="0" w:space="0" w:color="auto"/>
        <w:bottom w:val="none" w:sz="0" w:space="0" w:color="auto"/>
        <w:right w:val="none" w:sz="0" w:space="0" w:color="auto"/>
      </w:divBdr>
    </w:div>
    <w:div w:id="797911698">
      <w:bodyDiv w:val="1"/>
      <w:marLeft w:val="0"/>
      <w:marRight w:val="0"/>
      <w:marTop w:val="0"/>
      <w:marBottom w:val="0"/>
      <w:divBdr>
        <w:top w:val="none" w:sz="0" w:space="0" w:color="auto"/>
        <w:left w:val="none" w:sz="0" w:space="0" w:color="auto"/>
        <w:bottom w:val="none" w:sz="0" w:space="0" w:color="auto"/>
        <w:right w:val="none" w:sz="0" w:space="0" w:color="auto"/>
      </w:divBdr>
    </w:div>
    <w:div w:id="804859471">
      <w:bodyDiv w:val="1"/>
      <w:marLeft w:val="0"/>
      <w:marRight w:val="0"/>
      <w:marTop w:val="0"/>
      <w:marBottom w:val="0"/>
      <w:divBdr>
        <w:top w:val="none" w:sz="0" w:space="0" w:color="auto"/>
        <w:left w:val="none" w:sz="0" w:space="0" w:color="auto"/>
        <w:bottom w:val="none" w:sz="0" w:space="0" w:color="auto"/>
        <w:right w:val="none" w:sz="0" w:space="0" w:color="auto"/>
      </w:divBdr>
    </w:div>
    <w:div w:id="847871240">
      <w:bodyDiv w:val="1"/>
      <w:marLeft w:val="0"/>
      <w:marRight w:val="0"/>
      <w:marTop w:val="0"/>
      <w:marBottom w:val="0"/>
      <w:divBdr>
        <w:top w:val="none" w:sz="0" w:space="0" w:color="auto"/>
        <w:left w:val="none" w:sz="0" w:space="0" w:color="auto"/>
        <w:bottom w:val="none" w:sz="0" w:space="0" w:color="auto"/>
        <w:right w:val="none" w:sz="0" w:space="0" w:color="auto"/>
      </w:divBdr>
    </w:div>
    <w:div w:id="918564872">
      <w:bodyDiv w:val="1"/>
      <w:marLeft w:val="0"/>
      <w:marRight w:val="0"/>
      <w:marTop w:val="0"/>
      <w:marBottom w:val="0"/>
      <w:divBdr>
        <w:top w:val="none" w:sz="0" w:space="0" w:color="auto"/>
        <w:left w:val="none" w:sz="0" w:space="0" w:color="auto"/>
        <w:bottom w:val="none" w:sz="0" w:space="0" w:color="auto"/>
        <w:right w:val="none" w:sz="0" w:space="0" w:color="auto"/>
      </w:divBdr>
    </w:div>
    <w:div w:id="954212698">
      <w:bodyDiv w:val="1"/>
      <w:marLeft w:val="0"/>
      <w:marRight w:val="0"/>
      <w:marTop w:val="0"/>
      <w:marBottom w:val="0"/>
      <w:divBdr>
        <w:top w:val="none" w:sz="0" w:space="0" w:color="auto"/>
        <w:left w:val="none" w:sz="0" w:space="0" w:color="auto"/>
        <w:bottom w:val="none" w:sz="0" w:space="0" w:color="auto"/>
        <w:right w:val="none" w:sz="0" w:space="0" w:color="auto"/>
      </w:divBdr>
    </w:div>
    <w:div w:id="1058817666">
      <w:bodyDiv w:val="1"/>
      <w:marLeft w:val="0"/>
      <w:marRight w:val="0"/>
      <w:marTop w:val="0"/>
      <w:marBottom w:val="0"/>
      <w:divBdr>
        <w:top w:val="none" w:sz="0" w:space="0" w:color="auto"/>
        <w:left w:val="none" w:sz="0" w:space="0" w:color="auto"/>
        <w:bottom w:val="none" w:sz="0" w:space="0" w:color="auto"/>
        <w:right w:val="none" w:sz="0" w:space="0" w:color="auto"/>
      </w:divBdr>
    </w:div>
    <w:div w:id="1074814069">
      <w:bodyDiv w:val="1"/>
      <w:marLeft w:val="0"/>
      <w:marRight w:val="0"/>
      <w:marTop w:val="0"/>
      <w:marBottom w:val="0"/>
      <w:divBdr>
        <w:top w:val="none" w:sz="0" w:space="0" w:color="auto"/>
        <w:left w:val="none" w:sz="0" w:space="0" w:color="auto"/>
        <w:bottom w:val="none" w:sz="0" w:space="0" w:color="auto"/>
        <w:right w:val="none" w:sz="0" w:space="0" w:color="auto"/>
      </w:divBdr>
    </w:div>
    <w:div w:id="1153525304">
      <w:bodyDiv w:val="1"/>
      <w:marLeft w:val="0"/>
      <w:marRight w:val="0"/>
      <w:marTop w:val="0"/>
      <w:marBottom w:val="0"/>
      <w:divBdr>
        <w:top w:val="none" w:sz="0" w:space="0" w:color="auto"/>
        <w:left w:val="none" w:sz="0" w:space="0" w:color="auto"/>
        <w:bottom w:val="none" w:sz="0" w:space="0" w:color="auto"/>
        <w:right w:val="none" w:sz="0" w:space="0" w:color="auto"/>
      </w:divBdr>
    </w:div>
    <w:div w:id="1154417745">
      <w:bodyDiv w:val="1"/>
      <w:marLeft w:val="0"/>
      <w:marRight w:val="0"/>
      <w:marTop w:val="0"/>
      <w:marBottom w:val="0"/>
      <w:divBdr>
        <w:top w:val="none" w:sz="0" w:space="0" w:color="auto"/>
        <w:left w:val="none" w:sz="0" w:space="0" w:color="auto"/>
        <w:bottom w:val="none" w:sz="0" w:space="0" w:color="auto"/>
        <w:right w:val="none" w:sz="0" w:space="0" w:color="auto"/>
      </w:divBdr>
    </w:div>
    <w:div w:id="1298536813">
      <w:bodyDiv w:val="1"/>
      <w:marLeft w:val="0"/>
      <w:marRight w:val="0"/>
      <w:marTop w:val="0"/>
      <w:marBottom w:val="0"/>
      <w:divBdr>
        <w:top w:val="none" w:sz="0" w:space="0" w:color="auto"/>
        <w:left w:val="none" w:sz="0" w:space="0" w:color="auto"/>
        <w:bottom w:val="none" w:sz="0" w:space="0" w:color="auto"/>
        <w:right w:val="none" w:sz="0" w:space="0" w:color="auto"/>
      </w:divBdr>
    </w:div>
    <w:div w:id="1334800067">
      <w:bodyDiv w:val="1"/>
      <w:marLeft w:val="0"/>
      <w:marRight w:val="0"/>
      <w:marTop w:val="0"/>
      <w:marBottom w:val="0"/>
      <w:divBdr>
        <w:top w:val="none" w:sz="0" w:space="0" w:color="auto"/>
        <w:left w:val="none" w:sz="0" w:space="0" w:color="auto"/>
        <w:bottom w:val="none" w:sz="0" w:space="0" w:color="auto"/>
        <w:right w:val="none" w:sz="0" w:space="0" w:color="auto"/>
      </w:divBdr>
    </w:div>
    <w:div w:id="1342973001">
      <w:bodyDiv w:val="1"/>
      <w:marLeft w:val="0"/>
      <w:marRight w:val="0"/>
      <w:marTop w:val="0"/>
      <w:marBottom w:val="0"/>
      <w:divBdr>
        <w:top w:val="none" w:sz="0" w:space="0" w:color="auto"/>
        <w:left w:val="none" w:sz="0" w:space="0" w:color="auto"/>
        <w:bottom w:val="none" w:sz="0" w:space="0" w:color="auto"/>
        <w:right w:val="none" w:sz="0" w:space="0" w:color="auto"/>
      </w:divBdr>
    </w:div>
    <w:div w:id="1434520599">
      <w:bodyDiv w:val="1"/>
      <w:marLeft w:val="0"/>
      <w:marRight w:val="0"/>
      <w:marTop w:val="0"/>
      <w:marBottom w:val="0"/>
      <w:divBdr>
        <w:top w:val="none" w:sz="0" w:space="0" w:color="auto"/>
        <w:left w:val="none" w:sz="0" w:space="0" w:color="auto"/>
        <w:bottom w:val="none" w:sz="0" w:space="0" w:color="auto"/>
        <w:right w:val="none" w:sz="0" w:space="0" w:color="auto"/>
      </w:divBdr>
    </w:div>
    <w:div w:id="1442913333">
      <w:bodyDiv w:val="1"/>
      <w:marLeft w:val="0"/>
      <w:marRight w:val="0"/>
      <w:marTop w:val="0"/>
      <w:marBottom w:val="0"/>
      <w:divBdr>
        <w:top w:val="none" w:sz="0" w:space="0" w:color="auto"/>
        <w:left w:val="none" w:sz="0" w:space="0" w:color="auto"/>
        <w:bottom w:val="none" w:sz="0" w:space="0" w:color="auto"/>
        <w:right w:val="none" w:sz="0" w:space="0" w:color="auto"/>
      </w:divBdr>
    </w:div>
    <w:div w:id="1457333782">
      <w:bodyDiv w:val="1"/>
      <w:marLeft w:val="0"/>
      <w:marRight w:val="0"/>
      <w:marTop w:val="0"/>
      <w:marBottom w:val="0"/>
      <w:divBdr>
        <w:top w:val="none" w:sz="0" w:space="0" w:color="auto"/>
        <w:left w:val="none" w:sz="0" w:space="0" w:color="auto"/>
        <w:bottom w:val="none" w:sz="0" w:space="0" w:color="auto"/>
        <w:right w:val="none" w:sz="0" w:space="0" w:color="auto"/>
      </w:divBdr>
    </w:div>
    <w:div w:id="1458451460">
      <w:bodyDiv w:val="1"/>
      <w:marLeft w:val="0"/>
      <w:marRight w:val="0"/>
      <w:marTop w:val="0"/>
      <w:marBottom w:val="0"/>
      <w:divBdr>
        <w:top w:val="none" w:sz="0" w:space="0" w:color="auto"/>
        <w:left w:val="none" w:sz="0" w:space="0" w:color="auto"/>
        <w:bottom w:val="none" w:sz="0" w:space="0" w:color="auto"/>
        <w:right w:val="none" w:sz="0" w:space="0" w:color="auto"/>
      </w:divBdr>
    </w:div>
    <w:div w:id="1459564617">
      <w:bodyDiv w:val="1"/>
      <w:marLeft w:val="0"/>
      <w:marRight w:val="0"/>
      <w:marTop w:val="0"/>
      <w:marBottom w:val="0"/>
      <w:divBdr>
        <w:top w:val="none" w:sz="0" w:space="0" w:color="auto"/>
        <w:left w:val="none" w:sz="0" w:space="0" w:color="auto"/>
        <w:bottom w:val="none" w:sz="0" w:space="0" w:color="auto"/>
        <w:right w:val="none" w:sz="0" w:space="0" w:color="auto"/>
      </w:divBdr>
    </w:div>
    <w:div w:id="1562058289">
      <w:bodyDiv w:val="1"/>
      <w:marLeft w:val="0"/>
      <w:marRight w:val="0"/>
      <w:marTop w:val="0"/>
      <w:marBottom w:val="0"/>
      <w:divBdr>
        <w:top w:val="none" w:sz="0" w:space="0" w:color="auto"/>
        <w:left w:val="none" w:sz="0" w:space="0" w:color="auto"/>
        <w:bottom w:val="none" w:sz="0" w:space="0" w:color="auto"/>
        <w:right w:val="none" w:sz="0" w:space="0" w:color="auto"/>
      </w:divBdr>
    </w:div>
    <w:div w:id="1626039289">
      <w:bodyDiv w:val="1"/>
      <w:marLeft w:val="0"/>
      <w:marRight w:val="0"/>
      <w:marTop w:val="0"/>
      <w:marBottom w:val="0"/>
      <w:divBdr>
        <w:top w:val="none" w:sz="0" w:space="0" w:color="auto"/>
        <w:left w:val="none" w:sz="0" w:space="0" w:color="auto"/>
        <w:bottom w:val="none" w:sz="0" w:space="0" w:color="auto"/>
        <w:right w:val="none" w:sz="0" w:space="0" w:color="auto"/>
      </w:divBdr>
    </w:div>
    <w:div w:id="1635679360">
      <w:bodyDiv w:val="1"/>
      <w:marLeft w:val="0"/>
      <w:marRight w:val="0"/>
      <w:marTop w:val="0"/>
      <w:marBottom w:val="0"/>
      <w:divBdr>
        <w:top w:val="none" w:sz="0" w:space="0" w:color="auto"/>
        <w:left w:val="none" w:sz="0" w:space="0" w:color="auto"/>
        <w:bottom w:val="none" w:sz="0" w:space="0" w:color="auto"/>
        <w:right w:val="none" w:sz="0" w:space="0" w:color="auto"/>
      </w:divBdr>
    </w:div>
    <w:div w:id="1639149219">
      <w:bodyDiv w:val="1"/>
      <w:marLeft w:val="0"/>
      <w:marRight w:val="0"/>
      <w:marTop w:val="0"/>
      <w:marBottom w:val="0"/>
      <w:divBdr>
        <w:top w:val="none" w:sz="0" w:space="0" w:color="auto"/>
        <w:left w:val="none" w:sz="0" w:space="0" w:color="auto"/>
        <w:bottom w:val="none" w:sz="0" w:space="0" w:color="auto"/>
        <w:right w:val="none" w:sz="0" w:space="0" w:color="auto"/>
      </w:divBdr>
    </w:div>
    <w:div w:id="1642030307">
      <w:bodyDiv w:val="1"/>
      <w:marLeft w:val="0"/>
      <w:marRight w:val="0"/>
      <w:marTop w:val="0"/>
      <w:marBottom w:val="0"/>
      <w:divBdr>
        <w:top w:val="none" w:sz="0" w:space="0" w:color="auto"/>
        <w:left w:val="none" w:sz="0" w:space="0" w:color="auto"/>
        <w:bottom w:val="none" w:sz="0" w:space="0" w:color="auto"/>
        <w:right w:val="none" w:sz="0" w:space="0" w:color="auto"/>
      </w:divBdr>
    </w:div>
    <w:div w:id="1777287318">
      <w:bodyDiv w:val="1"/>
      <w:marLeft w:val="0"/>
      <w:marRight w:val="0"/>
      <w:marTop w:val="0"/>
      <w:marBottom w:val="0"/>
      <w:divBdr>
        <w:top w:val="none" w:sz="0" w:space="0" w:color="auto"/>
        <w:left w:val="none" w:sz="0" w:space="0" w:color="auto"/>
        <w:bottom w:val="none" w:sz="0" w:space="0" w:color="auto"/>
        <w:right w:val="none" w:sz="0" w:space="0" w:color="auto"/>
      </w:divBdr>
    </w:div>
    <w:div w:id="1895191936">
      <w:bodyDiv w:val="1"/>
      <w:marLeft w:val="0"/>
      <w:marRight w:val="0"/>
      <w:marTop w:val="0"/>
      <w:marBottom w:val="0"/>
      <w:divBdr>
        <w:top w:val="none" w:sz="0" w:space="0" w:color="auto"/>
        <w:left w:val="none" w:sz="0" w:space="0" w:color="auto"/>
        <w:bottom w:val="none" w:sz="0" w:space="0" w:color="auto"/>
        <w:right w:val="none" w:sz="0" w:space="0" w:color="auto"/>
      </w:divBdr>
    </w:div>
    <w:div w:id="1903321951">
      <w:bodyDiv w:val="1"/>
      <w:marLeft w:val="0"/>
      <w:marRight w:val="0"/>
      <w:marTop w:val="0"/>
      <w:marBottom w:val="0"/>
      <w:divBdr>
        <w:top w:val="none" w:sz="0" w:space="0" w:color="auto"/>
        <w:left w:val="none" w:sz="0" w:space="0" w:color="auto"/>
        <w:bottom w:val="none" w:sz="0" w:space="0" w:color="auto"/>
        <w:right w:val="none" w:sz="0" w:space="0" w:color="auto"/>
      </w:divBdr>
    </w:div>
    <w:div w:id="1942761061">
      <w:bodyDiv w:val="1"/>
      <w:marLeft w:val="0"/>
      <w:marRight w:val="0"/>
      <w:marTop w:val="0"/>
      <w:marBottom w:val="0"/>
      <w:divBdr>
        <w:top w:val="none" w:sz="0" w:space="0" w:color="auto"/>
        <w:left w:val="none" w:sz="0" w:space="0" w:color="auto"/>
        <w:bottom w:val="none" w:sz="0" w:space="0" w:color="auto"/>
        <w:right w:val="none" w:sz="0" w:space="0" w:color="auto"/>
      </w:divBdr>
    </w:div>
    <w:div w:id="1951549313">
      <w:bodyDiv w:val="1"/>
      <w:marLeft w:val="0"/>
      <w:marRight w:val="0"/>
      <w:marTop w:val="0"/>
      <w:marBottom w:val="0"/>
      <w:divBdr>
        <w:top w:val="none" w:sz="0" w:space="0" w:color="auto"/>
        <w:left w:val="none" w:sz="0" w:space="0" w:color="auto"/>
        <w:bottom w:val="none" w:sz="0" w:space="0" w:color="auto"/>
        <w:right w:val="none" w:sz="0" w:space="0" w:color="auto"/>
      </w:divBdr>
    </w:div>
    <w:div w:id="1988390344">
      <w:bodyDiv w:val="1"/>
      <w:marLeft w:val="0"/>
      <w:marRight w:val="0"/>
      <w:marTop w:val="0"/>
      <w:marBottom w:val="0"/>
      <w:divBdr>
        <w:top w:val="none" w:sz="0" w:space="0" w:color="auto"/>
        <w:left w:val="none" w:sz="0" w:space="0" w:color="auto"/>
        <w:bottom w:val="none" w:sz="0" w:space="0" w:color="auto"/>
        <w:right w:val="none" w:sz="0" w:space="0" w:color="auto"/>
      </w:divBdr>
    </w:div>
    <w:div w:id="2017682130">
      <w:bodyDiv w:val="1"/>
      <w:marLeft w:val="0"/>
      <w:marRight w:val="0"/>
      <w:marTop w:val="0"/>
      <w:marBottom w:val="0"/>
      <w:divBdr>
        <w:top w:val="none" w:sz="0" w:space="0" w:color="auto"/>
        <w:left w:val="none" w:sz="0" w:space="0" w:color="auto"/>
        <w:bottom w:val="none" w:sz="0" w:space="0" w:color="auto"/>
        <w:right w:val="none" w:sz="0" w:space="0" w:color="auto"/>
      </w:divBdr>
    </w:div>
    <w:div w:id="2110000037">
      <w:bodyDiv w:val="1"/>
      <w:marLeft w:val="0"/>
      <w:marRight w:val="0"/>
      <w:marTop w:val="0"/>
      <w:marBottom w:val="0"/>
      <w:divBdr>
        <w:top w:val="none" w:sz="0" w:space="0" w:color="auto"/>
        <w:left w:val="none" w:sz="0" w:space="0" w:color="auto"/>
        <w:bottom w:val="none" w:sz="0" w:space="0" w:color="auto"/>
        <w:right w:val="none" w:sz="0" w:space="0" w:color="auto"/>
      </w:divBdr>
    </w:div>
    <w:div w:id="213085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statistiky.slovensko.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informatizacia.sk/narodna-koncepcia-informatizacie-verejnej-spravy--2016-/22662c" TargetMode="External"/><Relationship Id="rId13" Type="http://schemas.openxmlformats.org/officeDocument/2006/relationships/hyperlink" Target="http://www.informatizacia.sk/narodna-koncepcia-informatizacie-verejnej-spravy--2016-/22662c" TargetMode="External"/><Relationship Id="rId18" Type="http://schemas.openxmlformats.org/officeDocument/2006/relationships/hyperlink" Target="https://www.gov.uk/performance/services" TargetMode="External"/><Relationship Id="rId26" Type="http://schemas.openxmlformats.org/officeDocument/2006/relationships/hyperlink" Target="https://www.vicepremier.gov.sk/wp-content/uploads/2019/05/17-12-2018-9-Riadiaci-vybor-PO7-OPII_zapis_final.pdf" TargetMode="External"/><Relationship Id="rId3" Type="http://schemas.openxmlformats.org/officeDocument/2006/relationships/hyperlink" Target="http://www.informatizacia.sk/narodna-koncepcia-informatizacie-verejnej-spravy--2016-/22662c" TargetMode="External"/><Relationship Id="rId21" Type="http://schemas.openxmlformats.org/officeDocument/2006/relationships/hyperlink" Target="https://standishgroup.com/sample_research_files/CHAOSReport2015-Final.pdf" TargetMode="External"/><Relationship Id="rId34" Type="http://schemas.openxmlformats.org/officeDocument/2006/relationships/hyperlink" Target="https://metais.vicepremier.gov.sk/studia/detail/8019b096-d35b-6356-0ba4-5964138717d1" TargetMode="External"/><Relationship Id="rId7" Type="http://schemas.openxmlformats.org/officeDocument/2006/relationships/hyperlink" Target="https://metais.vicepremier.gov.sk/cilist/ISVS" TargetMode="External"/><Relationship Id="rId12" Type="http://schemas.openxmlformats.org/officeDocument/2006/relationships/hyperlink" Target="https://www.crz.gov.sk/index.php?ID=3089963&amp;l=sk" TargetMode="External"/><Relationship Id="rId17" Type="http://schemas.openxmlformats.org/officeDocument/2006/relationships/hyperlink" Target="https://18f.gsa.gov/2018/03/13/win-big-by-going-small/" TargetMode="External"/><Relationship Id="rId25" Type="http://schemas.openxmlformats.org/officeDocument/2006/relationships/hyperlink" Target="https://www.mvcr.cz/clanek/prehled-obvyklych-cen-ict-praci.aspx" TargetMode="External"/><Relationship Id="rId33" Type="http://schemas.openxmlformats.org/officeDocument/2006/relationships/hyperlink" Target="https://metais.vicepremier.gov.sk/studia/detail/37a08512-f5e3-1e19-a504-44f87e1ff076" TargetMode="External"/><Relationship Id="rId2" Type="http://schemas.openxmlformats.org/officeDocument/2006/relationships/hyperlink" Target="https://ec.europa.eu/digital-single-market/en/news/egovernment-benchmark-2018-digital-efforts-european-countries-are-visibly-paying" TargetMode="External"/><Relationship Id="rId16" Type="http://schemas.openxmlformats.org/officeDocument/2006/relationships/hyperlink" Target="https://www.gov.uk/service-manual/agile-delivery/agile-government-services-introduction" TargetMode="External"/><Relationship Id="rId20" Type="http://schemas.openxmlformats.org/officeDocument/2006/relationships/hyperlink" Target="https://www.standishgroup.com/sample_research_files/CHAOSReport2014.pdf" TargetMode="External"/><Relationship Id="rId29" Type="http://schemas.openxmlformats.org/officeDocument/2006/relationships/hyperlink" Target="https://www.mfsr.sk/files/archiv/36/microsoft_stanovisko_UHP_20190815.pdf" TargetMode="External"/><Relationship Id="rId1" Type="http://schemas.openxmlformats.org/officeDocument/2006/relationships/hyperlink" Target="https://ec.europa.eu/digital-single-market/en/desi" TargetMode="External"/><Relationship Id="rId6" Type="http://schemas.openxmlformats.org/officeDocument/2006/relationships/hyperlink" Target="https://datalab.digital/dashboard-graf/" TargetMode="External"/><Relationship Id="rId11" Type="http://schemas.openxmlformats.org/officeDocument/2006/relationships/hyperlink" Target="https://www.nku.gov.sk/documents/10157/265201/96069--110.pdf" TargetMode="External"/><Relationship Id="rId24" Type="http://schemas.openxmlformats.org/officeDocument/2006/relationships/hyperlink" Target="https://metais.vicepremier.gov.sk/studia/detail/cb295a93-dd3f-a70c-d1af-d58e6e3ae6b4" TargetMode="External"/><Relationship Id="rId32" Type="http://schemas.openxmlformats.org/officeDocument/2006/relationships/hyperlink" Target="https://metais.vicepremier.gov.sk/studia/list" TargetMode="External"/><Relationship Id="rId5" Type="http://schemas.openxmlformats.org/officeDocument/2006/relationships/hyperlink" Target="https://www.opis.gov.sk/data/files/4757_upvs-ii.pdf" TargetMode="External"/><Relationship Id="rId15" Type="http://schemas.openxmlformats.org/officeDocument/2006/relationships/hyperlink" Target="http://over.statneit.sk/projekty-statneho-it/" TargetMode="External"/><Relationship Id="rId23" Type="http://schemas.openxmlformats.org/officeDocument/2006/relationships/hyperlink" Target="https://www.gov.uk/guidance/define-your-purchasing-strategy" TargetMode="External"/><Relationship Id="rId28" Type="http://schemas.openxmlformats.org/officeDocument/2006/relationships/hyperlink" Target="https://www.slov-lex.sk/legislativne-procesy/SK/LP/2019/375" TargetMode="External"/><Relationship Id="rId10" Type="http://schemas.openxmlformats.org/officeDocument/2006/relationships/hyperlink" Target="https://www.slov-lex.sk/pravne-predpisy/SK/ZZ/2001/575/20170101" TargetMode="External"/><Relationship Id="rId19" Type="http://schemas.openxmlformats.org/officeDocument/2006/relationships/hyperlink" Target="https://itdashboard.gov/" TargetMode="External"/><Relationship Id="rId31" Type="http://schemas.openxmlformats.org/officeDocument/2006/relationships/hyperlink" Target="https://www.trident-it.com/pdf/GartnerReport.pdf" TargetMode="External"/><Relationship Id="rId4" Type="http://schemas.openxmlformats.org/officeDocument/2006/relationships/hyperlink" Target="https://rokovania.gov.sk/download.dat?id=7387D612E00A487EAD6D9EE567678DCC-4BA158540B77CEDECE87A2762042F703" TargetMode="External"/><Relationship Id="rId9" Type="http://schemas.openxmlformats.org/officeDocument/2006/relationships/hyperlink" Target="https://rokovania.gov.sk/RVL/Material/23683/1" TargetMode="External"/><Relationship Id="rId14" Type="http://schemas.openxmlformats.org/officeDocument/2006/relationships/hyperlink" Target="https://www.gov.uk/government/news/almost-half-of-government-digital-spend-now-goes-to-smes" TargetMode="External"/><Relationship Id="rId22" Type="http://schemas.openxmlformats.org/officeDocument/2006/relationships/hyperlink" Target="https://www.standishgroup.com/sample_research_files/Haze4.pdf" TargetMode="External"/><Relationship Id="rId27" Type="http://schemas.openxmlformats.org/officeDocument/2006/relationships/hyperlink" Target="https://www.finance.gov.sk/files/archiv/67/Telematika_UHP_hodnotenie_20190514_stretnutie.pdf" TargetMode="External"/><Relationship Id="rId30" Type="http://schemas.openxmlformats.org/officeDocument/2006/relationships/hyperlink" Target="https://www.mfsr.sk/files/archiv/53/mzdy_zaverecna_20200305.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mf.mfsr.sk\DfsRoot\ADRESARE\UHP\99_VSEOBECNE\00_LUDIA\Kme&#357;ko\IT%20Sprava%202.0\01_V&#221;STUP\it2_tabulk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f.mfsr.sk\DfsRoot\ADRESARE\UHP\99_VSEOBECNE\00_LUDIA\Kme&#357;ko\IT%20Sprava%202.0\01_V&#221;STUP\it2_tabulk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mf.mfsr.sk\DfsRoot\ADRESARE\UHP\00_HODNOTA_ZA_PENIAZE\00_SPENDING_REVIEW\03_INFORMATIZACIA\IT%20Sprava%202.0\01_V&#221;STUP\it2_tabulky_202002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mf.mfsr.sk\DfsRoot\ADRESARE\UHP\00_HODNOTA_ZA_PENIAZE\00_SPENDING_REVIEW\03_INFORMATIZACIA\IT%20Sprava%202.0\01_V&#221;STUP\it2_tabulky_202002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mf.mfsr.sk\DfsRoot\ADRESARE\UHP\00_HODNOTA_ZA_PENIAZE\00_SPENDING_REVIEW\03_INFORMATIZACIA\IT%20Sprava%202.0\01_V&#221;STUP\it2_tabulky_20200203.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'Výsledky DESI'!$B$2</c:f>
              <c:strCache>
                <c:ptCount val="1"/>
                <c:pt idx="0">
                  <c:v>DESI Skóre SK</c:v>
                </c:pt>
              </c:strCache>
            </c:strRef>
          </c:tx>
          <c:spPr>
            <a:ln w="28575" cap="rnd">
              <a:solidFill>
                <a:srgbClr val="00B0F0"/>
              </a:solidFill>
              <a:round/>
            </a:ln>
            <a:effectLst/>
          </c:spPr>
          <c:marker>
            <c:symbol val="none"/>
          </c:marker>
          <c:cat>
            <c:numRef>
              <c:f>'Výsledky DESI'!$A$3:$A$6</c:f>
              <c:numCache>
                <c:formatCode>General</c:formatCode>
                <c:ptCount val="4"/>
                <c:pt idx="0">
                  <c:v>2016</c:v>
                </c:pt>
                <c:pt idx="1">
                  <c:v>2017</c:v>
                </c:pt>
                <c:pt idx="2">
                  <c:v>2018</c:v>
                </c:pt>
                <c:pt idx="3">
                  <c:v>2019</c:v>
                </c:pt>
              </c:numCache>
            </c:numRef>
          </c:cat>
          <c:val>
            <c:numRef>
              <c:f>'Výsledky DESI'!$B$3:$B$6</c:f>
              <c:numCache>
                <c:formatCode>0.0</c:formatCode>
                <c:ptCount val="4"/>
                <c:pt idx="0">
                  <c:v>36.700000000000003</c:v>
                </c:pt>
                <c:pt idx="1">
                  <c:v>41</c:v>
                </c:pt>
                <c:pt idx="2">
                  <c:v>44.5</c:v>
                </c:pt>
                <c:pt idx="3">
                  <c:v>46.3</c:v>
                </c:pt>
              </c:numCache>
            </c:numRef>
          </c:val>
          <c:smooth val="0"/>
          <c:extLst xmlns:c16r2="http://schemas.microsoft.com/office/drawing/2015/06/chart">
            <c:ext xmlns:c16="http://schemas.microsoft.com/office/drawing/2014/chart" uri="{C3380CC4-5D6E-409C-BE32-E72D297353CC}">
              <c16:uniqueId val="{00000000-DD2E-5642-9B60-7E051A3F5911}"/>
            </c:ext>
          </c:extLst>
        </c:ser>
        <c:ser>
          <c:idx val="1"/>
          <c:order val="1"/>
          <c:tx>
            <c:strRef>
              <c:f>'Výsledky DESI'!$C$2</c:f>
              <c:strCache>
                <c:ptCount val="1"/>
                <c:pt idx="0">
                  <c:v>DESI Skóre EÚ</c:v>
                </c:pt>
              </c:strCache>
            </c:strRef>
          </c:tx>
          <c:spPr>
            <a:ln w="28575" cap="rnd">
              <a:solidFill>
                <a:srgbClr val="FF0000"/>
              </a:solidFill>
              <a:round/>
            </a:ln>
            <a:effectLst/>
          </c:spPr>
          <c:marker>
            <c:symbol val="none"/>
          </c:marker>
          <c:cat>
            <c:numRef>
              <c:f>'Výsledky DESI'!$A$3:$A$6</c:f>
              <c:numCache>
                <c:formatCode>General</c:formatCode>
                <c:ptCount val="4"/>
                <c:pt idx="0">
                  <c:v>2016</c:v>
                </c:pt>
                <c:pt idx="1">
                  <c:v>2017</c:v>
                </c:pt>
                <c:pt idx="2">
                  <c:v>2018</c:v>
                </c:pt>
                <c:pt idx="3">
                  <c:v>2019</c:v>
                </c:pt>
              </c:numCache>
            </c:numRef>
          </c:cat>
          <c:val>
            <c:numRef>
              <c:f>'Výsledky DESI'!$C$3:$C$6</c:f>
              <c:numCache>
                <c:formatCode>General</c:formatCode>
                <c:ptCount val="4"/>
                <c:pt idx="0" formatCode="0.0">
                  <c:v>44.4</c:v>
                </c:pt>
                <c:pt idx="1">
                  <c:v>46.9</c:v>
                </c:pt>
                <c:pt idx="2">
                  <c:v>49.8</c:v>
                </c:pt>
                <c:pt idx="3">
                  <c:v>52.5</c:v>
                </c:pt>
              </c:numCache>
            </c:numRef>
          </c:val>
          <c:smooth val="0"/>
          <c:extLst xmlns:c16r2="http://schemas.microsoft.com/office/drawing/2015/06/chart">
            <c:ext xmlns:c16="http://schemas.microsoft.com/office/drawing/2014/chart" uri="{C3380CC4-5D6E-409C-BE32-E72D297353CC}">
              <c16:uniqueId val="{00000001-DD2E-5642-9B60-7E051A3F5911}"/>
            </c:ext>
          </c:extLst>
        </c:ser>
        <c:dLbls>
          <c:showLegendKey val="0"/>
          <c:showVal val="0"/>
          <c:showCatName val="0"/>
          <c:showSerName val="0"/>
          <c:showPercent val="0"/>
          <c:showBubbleSize val="0"/>
        </c:dLbls>
        <c:smooth val="0"/>
        <c:axId val="170070448"/>
        <c:axId val="3654064"/>
      </c:lineChart>
      <c:catAx>
        <c:axId val="17007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3654064"/>
        <c:crosses val="autoZero"/>
        <c:auto val="1"/>
        <c:lblAlgn val="ctr"/>
        <c:lblOffset val="100"/>
        <c:noMultiLvlLbl val="0"/>
      </c:catAx>
      <c:valAx>
        <c:axId val="365406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170070448"/>
        <c:crosses val="autoZero"/>
        <c:crossBetween val="between"/>
      </c:valAx>
      <c:spPr>
        <a:noFill/>
        <a:ln>
          <a:noFill/>
        </a:ln>
        <a:effectLst/>
      </c:spPr>
    </c:plotArea>
    <c:legend>
      <c:legendPos val="r"/>
      <c:layout>
        <c:manualLayout>
          <c:xMode val="edge"/>
          <c:yMode val="edge"/>
          <c:x val="0.11676980891857972"/>
          <c:y val="2.3435403907844848E-2"/>
          <c:w val="0.48906571566014057"/>
          <c:h val="0.11556635667455148"/>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sk-S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2"/>
          <c:order val="0"/>
          <c:tx>
            <c:v>SK 2016</c:v>
          </c:tx>
          <c:spPr>
            <a:solidFill>
              <a:srgbClr val="0070C0"/>
            </a:solidFill>
            <a:ln>
              <a:noFill/>
            </a:ln>
            <a:effectLst/>
          </c:spPr>
          <c:invertIfNegative val="0"/>
          <c:val>
            <c:numRef>
              <c:f>'Výsledky DESI'!$C$21:$G$21</c:f>
              <c:numCache>
                <c:formatCode>0%</c:formatCode>
                <c:ptCount val="5"/>
                <c:pt idx="0">
                  <c:v>0.83764663159050412</c:v>
                </c:pt>
                <c:pt idx="1">
                  <c:v>0.87525895447971047</c:v>
                </c:pt>
                <c:pt idx="2">
                  <c:v>0.85170219243492695</c:v>
                </c:pt>
                <c:pt idx="3">
                  <c:v>0.91103738243264787</c:v>
                </c:pt>
                <c:pt idx="4">
                  <c:v>0.63317326771966032</c:v>
                </c:pt>
              </c:numCache>
            </c:numRef>
          </c:val>
          <c:extLst xmlns:c16r2="http://schemas.microsoft.com/office/drawing/2015/06/chart">
            <c:ext xmlns:c16="http://schemas.microsoft.com/office/drawing/2014/chart" uri="{C3380CC4-5D6E-409C-BE32-E72D297353CC}">
              <c16:uniqueId val="{00000000-05B3-6641-B803-169212CCAED3}"/>
            </c:ext>
          </c:extLst>
        </c:ser>
        <c:ser>
          <c:idx val="0"/>
          <c:order val="1"/>
          <c:tx>
            <c:v>SK 2019</c:v>
          </c:tx>
          <c:spPr>
            <a:solidFill>
              <a:srgbClr val="00B0F0"/>
            </a:solidFill>
            <a:ln>
              <a:noFill/>
            </a:ln>
            <a:effectLst/>
          </c:spPr>
          <c:invertIfNegative val="0"/>
          <c:cat>
            <c:strRef>
              <c:f>'Výsledky DESI'!$C$15:$G$15</c:f>
              <c:strCache>
                <c:ptCount val="5"/>
                <c:pt idx="0">
                  <c:v>1. Pripojenie na internet</c:v>
                </c:pt>
                <c:pt idx="1">
                  <c:v>2. Ľudský kapitál</c:v>
                </c:pt>
                <c:pt idx="2">
                  <c:v>3. Využívanie internetových služieb</c:v>
                </c:pt>
                <c:pt idx="3">
                  <c:v>4. Integrácia digitálnych technológií</c:v>
                </c:pt>
                <c:pt idx="4">
                  <c:v>5. Digitálne verejné služby</c:v>
                </c:pt>
              </c:strCache>
            </c:strRef>
          </c:cat>
          <c:val>
            <c:numRef>
              <c:f>'Výsledky DESI'!$C$20:$G$20</c:f>
              <c:numCache>
                <c:formatCode>0%</c:formatCode>
                <c:ptCount val="5"/>
                <c:pt idx="0">
                  <c:v>0.88689280465937737</c:v>
                </c:pt>
                <c:pt idx="1">
                  <c:v>0.92051523458003881</c:v>
                </c:pt>
                <c:pt idx="2">
                  <c:v>0.89673262345205051</c:v>
                </c:pt>
                <c:pt idx="3">
                  <c:v>0.8394204501303818</c:v>
                </c:pt>
                <c:pt idx="4">
                  <c:v>0.85236900271943183</c:v>
                </c:pt>
              </c:numCache>
            </c:numRef>
          </c:val>
          <c:extLst xmlns:c16r2="http://schemas.microsoft.com/office/drawing/2015/06/chart">
            <c:ext xmlns:c16="http://schemas.microsoft.com/office/drawing/2014/chart" uri="{C3380CC4-5D6E-409C-BE32-E72D297353CC}">
              <c16:uniqueId val="{00000001-05B3-6641-B803-169212CCAED3}"/>
            </c:ext>
          </c:extLst>
        </c:ser>
        <c:dLbls>
          <c:showLegendKey val="0"/>
          <c:showVal val="0"/>
          <c:showCatName val="0"/>
          <c:showSerName val="0"/>
          <c:showPercent val="0"/>
          <c:showBubbleSize val="0"/>
        </c:dLbls>
        <c:gapWidth val="219"/>
        <c:axId val="201338728"/>
        <c:axId val="201339112"/>
      </c:barChart>
      <c:lineChart>
        <c:grouping val="standard"/>
        <c:varyColors val="0"/>
        <c:ser>
          <c:idx val="1"/>
          <c:order val="2"/>
          <c:tx>
            <c:strRef>
              <c:f>'Výsledky DESI'!$A$22</c:f>
              <c:strCache>
                <c:ptCount val="1"/>
                <c:pt idx="0">
                  <c:v>Priemer EÚ</c:v>
                </c:pt>
              </c:strCache>
            </c:strRef>
          </c:tx>
          <c:spPr>
            <a:ln w="28575" cap="rnd">
              <a:solidFill>
                <a:srgbClr val="FF0000"/>
              </a:solidFill>
              <a:round/>
            </a:ln>
            <a:effectLst/>
          </c:spPr>
          <c:marker>
            <c:symbol val="none"/>
          </c:marker>
          <c:val>
            <c:numRef>
              <c:f>'Výsledky DESI'!$C$22:$G$22</c:f>
              <c:numCache>
                <c:formatCode>0%</c:formatCode>
                <c:ptCount val="5"/>
                <c:pt idx="0">
                  <c:v>1</c:v>
                </c:pt>
                <c:pt idx="1">
                  <c:v>1</c:v>
                </c:pt>
                <c:pt idx="2">
                  <c:v>1</c:v>
                </c:pt>
                <c:pt idx="3">
                  <c:v>1</c:v>
                </c:pt>
                <c:pt idx="4">
                  <c:v>1</c:v>
                </c:pt>
              </c:numCache>
            </c:numRef>
          </c:val>
          <c:smooth val="0"/>
          <c:extLst xmlns:c16r2="http://schemas.microsoft.com/office/drawing/2015/06/chart">
            <c:ext xmlns:c16="http://schemas.microsoft.com/office/drawing/2014/chart" uri="{C3380CC4-5D6E-409C-BE32-E72D297353CC}">
              <c16:uniqueId val="{00000002-05B3-6641-B803-169212CCAED3}"/>
            </c:ext>
          </c:extLst>
        </c:ser>
        <c:dLbls>
          <c:showLegendKey val="0"/>
          <c:showVal val="0"/>
          <c:showCatName val="0"/>
          <c:showSerName val="0"/>
          <c:showPercent val="0"/>
          <c:showBubbleSize val="0"/>
        </c:dLbls>
        <c:marker val="1"/>
        <c:smooth val="0"/>
        <c:axId val="201338728"/>
        <c:axId val="201339112"/>
      </c:lineChart>
      <c:catAx>
        <c:axId val="201338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201339112"/>
        <c:crosses val="autoZero"/>
        <c:auto val="1"/>
        <c:lblAlgn val="ctr"/>
        <c:lblOffset val="100"/>
        <c:noMultiLvlLbl val="0"/>
      </c:catAx>
      <c:valAx>
        <c:axId val="201339112"/>
        <c:scaling>
          <c:orientation val="minMax"/>
          <c:max val="1.2"/>
          <c:min val="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201338728"/>
        <c:crosses val="autoZero"/>
        <c:crossBetween val="between"/>
      </c:valAx>
      <c:spPr>
        <a:noFill/>
        <a:ln>
          <a:noFill/>
        </a:ln>
        <a:effectLst/>
      </c:spPr>
    </c:plotArea>
    <c:legend>
      <c:legendPos val="r"/>
      <c:layout>
        <c:manualLayout>
          <c:xMode val="edge"/>
          <c:yMode val="edge"/>
          <c:x val="0.10871879678524674"/>
          <c:y val="1.707093904928551E-2"/>
          <c:w val="0.67085967171112648"/>
          <c:h val="7.8903024950043546E-2"/>
        </c:manualLayout>
      </c:layout>
      <c:overlay val="1"/>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solidFill>
        <a:schemeClr val="bg1"/>
      </a:solidFill>
      <a:round/>
    </a:ln>
    <a:effectLst/>
  </c:spPr>
  <c:txPr>
    <a:bodyPr/>
    <a:lstStyle/>
    <a:p>
      <a:pPr>
        <a:defRPr>
          <a:latin typeface="Arial Narrow" panose="020B0606020202030204" pitchFamily="34" charset="0"/>
        </a:defRPr>
      </a:pPr>
      <a:endParaRPr lang="sk-S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2"/>
          <c:order val="0"/>
          <c:tx>
            <c:strRef>
              <c:f>'Graf2 IT Rozpočet'!$C$1</c:f>
              <c:strCache>
                <c:ptCount val="1"/>
                <c:pt idx="0">
                  <c:v>Iné</c:v>
                </c:pt>
              </c:strCache>
            </c:strRef>
          </c:tx>
          <c:spPr>
            <a:solidFill>
              <a:schemeClr val="bg1">
                <a:lumMod val="85000"/>
              </a:schemeClr>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0-B8D3-A34B-9A4B-BCF8C1D933A5}"/>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1-B8D3-A34B-9A4B-BCF8C1D933A5}"/>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2-B8D3-A34B-9A4B-BCF8C1D933A5}"/>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3-B8D3-A34B-9A4B-BCF8C1D933A5}"/>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4-B8D3-A34B-9A4B-BCF8C1D933A5}"/>
                </c:ext>
                <c:ext xmlns:c15="http://schemas.microsoft.com/office/drawing/2012/chart" uri="{CE6537A1-D6FC-4f65-9D91-7224C49458BB}"/>
              </c:extLst>
            </c:dLbl>
            <c:dLbl>
              <c:idx val="5"/>
              <c:delete val="1"/>
              <c:extLst xmlns:c16r2="http://schemas.microsoft.com/office/drawing/2015/06/chart">
                <c:ext xmlns:c16="http://schemas.microsoft.com/office/drawing/2014/chart" uri="{C3380CC4-5D6E-409C-BE32-E72D297353CC}">
                  <c16:uniqueId val="{00000005-B8D3-A34B-9A4B-BCF8C1D933A5}"/>
                </c:ext>
                <c:ext xmlns:c15="http://schemas.microsoft.com/office/drawing/2012/chart" uri="{CE6537A1-D6FC-4f65-9D91-7224C49458BB}"/>
              </c:extLst>
            </c:dLbl>
            <c:dLbl>
              <c:idx val="6"/>
              <c:delete val="1"/>
              <c:extLst xmlns:c16r2="http://schemas.microsoft.com/office/drawing/2015/06/chart">
                <c:ext xmlns:c16="http://schemas.microsoft.com/office/drawing/2014/chart" uri="{C3380CC4-5D6E-409C-BE32-E72D297353CC}">
                  <c16:uniqueId val="{00000006-B8D3-A34B-9A4B-BCF8C1D933A5}"/>
                </c:ext>
                <c:ext xmlns:c15="http://schemas.microsoft.com/office/drawing/2012/chart" uri="{CE6537A1-D6FC-4f65-9D91-7224C49458BB}"/>
              </c:extLst>
            </c:dLbl>
            <c:dLbl>
              <c:idx val="7"/>
              <c:delete val="1"/>
              <c:extLst xmlns:c16r2="http://schemas.microsoft.com/office/drawing/2015/06/chart">
                <c:ext xmlns:c16="http://schemas.microsoft.com/office/drawing/2014/chart" uri="{C3380CC4-5D6E-409C-BE32-E72D297353CC}">
                  <c16:uniqueId val="{00000007-B8D3-A34B-9A4B-BCF8C1D933A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'Graf2 IT Rozpočet'!$A$2:$A$13</c:f>
              <c:strCache>
                <c:ptCount val="12"/>
                <c:pt idx="0">
                  <c:v>2011S</c:v>
                </c:pt>
                <c:pt idx="1">
                  <c:v>2012S</c:v>
                </c:pt>
                <c:pt idx="2">
                  <c:v>2013S</c:v>
                </c:pt>
                <c:pt idx="3">
                  <c:v>2014S</c:v>
                </c:pt>
                <c:pt idx="4">
                  <c:v>2015S</c:v>
                </c:pt>
                <c:pt idx="5">
                  <c:v>2016S</c:v>
                </c:pt>
                <c:pt idx="6">
                  <c:v>2017S</c:v>
                </c:pt>
                <c:pt idx="7">
                  <c:v>2018S</c:v>
                </c:pt>
                <c:pt idx="8">
                  <c:v>2019S</c:v>
                </c:pt>
                <c:pt idx="9">
                  <c:v>2020R</c:v>
                </c:pt>
                <c:pt idx="10">
                  <c:v>2021R</c:v>
                </c:pt>
                <c:pt idx="11">
                  <c:v>2022R</c:v>
                </c:pt>
              </c:strCache>
            </c:strRef>
          </c:cat>
          <c:val>
            <c:numRef>
              <c:f>'Graf2 IT Rozpočet'!$C$2:$C$13</c:f>
              <c:numCache>
                <c:formatCode>#,##0</c:formatCode>
                <c:ptCount val="12"/>
                <c:pt idx="0">
                  <c:v>19008311</c:v>
                </c:pt>
                <c:pt idx="1">
                  <c:v>13698096</c:v>
                </c:pt>
                <c:pt idx="2">
                  <c:v>16782418</c:v>
                </c:pt>
                <c:pt idx="3">
                  <c:v>13612280</c:v>
                </c:pt>
                <c:pt idx="4">
                  <c:v>15628520</c:v>
                </c:pt>
                <c:pt idx="5">
                  <c:v>10910496</c:v>
                </c:pt>
                <c:pt idx="6">
                  <c:v>13170471</c:v>
                </c:pt>
                <c:pt idx="7">
                  <c:v>13791691</c:v>
                </c:pt>
                <c:pt idx="8">
                  <c:v>15906244</c:v>
                </c:pt>
                <c:pt idx="9">
                  <c:v>144375448</c:v>
                </c:pt>
                <c:pt idx="10">
                  <c:v>130169627</c:v>
                </c:pt>
                <c:pt idx="11">
                  <c:v>129023888</c:v>
                </c:pt>
              </c:numCache>
            </c:numRef>
          </c:val>
          <c:extLst xmlns:c16r2="http://schemas.microsoft.com/office/drawing/2015/06/chart">
            <c:ext xmlns:c16="http://schemas.microsoft.com/office/drawing/2014/chart" uri="{C3380CC4-5D6E-409C-BE32-E72D297353CC}">
              <c16:uniqueId val="{00000008-B8D3-A34B-9A4B-BCF8C1D933A5}"/>
            </c:ext>
          </c:extLst>
        </c:ser>
        <c:ser>
          <c:idx val="1"/>
          <c:order val="1"/>
          <c:tx>
            <c:strRef>
              <c:f>'Graf2 IT Rozpočet'!$B$1</c:f>
              <c:strCache>
                <c:ptCount val="1"/>
                <c:pt idx="0">
                  <c:v>EÚ + Spolufinancovanie</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'Graf2 IT Rozpočet'!$A$2:$A$13</c:f>
              <c:strCache>
                <c:ptCount val="12"/>
                <c:pt idx="0">
                  <c:v>2011S</c:v>
                </c:pt>
                <c:pt idx="1">
                  <c:v>2012S</c:v>
                </c:pt>
                <c:pt idx="2">
                  <c:v>2013S</c:v>
                </c:pt>
                <c:pt idx="3">
                  <c:v>2014S</c:v>
                </c:pt>
                <c:pt idx="4">
                  <c:v>2015S</c:v>
                </c:pt>
                <c:pt idx="5">
                  <c:v>2016S</c:v>
                </c:pt>
                <c:pt idx="6">
                  <c:v>2017S</c:v>
                </c:pt>
                <c:pt idx="7">
                  <c:v>2018S</c:v>
                </c:pt>
                <c:pt idx="8">
                  <c:v>2019S</c:v>
                </c:pt>
                <c:pt idx="9">
                  <c:v>2020R</c:v>
                </c:pt>
                <c:pt idx="10">
                  <c:v>2021R</c:v>
                </c:pt>
                <c:pt idx="11">
                  <c:v>2022R</c:v>
                </c:pt>
              </c:strCache>
            </c:strRef>
          </c:cat>
          <c:val>
            <c:numRef>
              <c:f>'Graf2 IT Rozpočet'!$B$2:$B$13</c:f>
              <c:numCache>
                <c:formatCode>#,##0</c:formatCode>
                <c:ptCount val="12"/>
                <c:pt idx="0">
                  <c:v>132049192</c:v>
                </c:pt>
                <c:pt idx="1">
                  <c:v>178739007</c:v>
                </c:pt>
                <c:pt idx="2">
                  <c:v>204695282</c:v>
                </c:pt>
                <c:pt idx="3">
                  <c:v>214737150</c:v>
                </c:pt>
                <c:pt idx="4">
                  <c:v>406120282</c:v>
                </c:pt>
                <c:pt idx="5">
                  <c:v>113057626</c:v>
                </c:pt>
                <c:pt idx="6">
                  <c:v>45473603</c:v>
                </c:pt>
                <c:pt idx="7">
                  <c:v>24908726</c:v>
                </c:pt>
                <c:pt idx="8">
                  <c:v>24722640</c:v>
                </c:pt>
                <c:pt idx="9">
                  <c:v>145380470</c:v>
                </c:pt>
                <c:pt idx="10">
                  <c:v>289422300</c:v>
                </c:pt>
                <c:pt idx="11">
                  <c:v>183743400</c:v>
                </c:pt>
              </c:numCache>
            </c:numRef>
          </c:val>
          <c:extLst xmlns:c16r2="http://schemas.microsoft.com/office/drawing/2015/06/chart">
            <c:ext xmlns:c16="http://schemas.microsoft.com/office/drawing/2014/chart" uri="{C3380CC4-5D6E-409C-BE32-E72D297353CC}">
              <c16:uniqueId val="{00000009-B8D3-A34B-9A4B-BCF8C1D933A5}"/>
            </c:ext>
          </c:extLst>
        </c:ser>
        <c:ser>
          <c:idx val="3"/>
          <c:order val="2"/>
          <c:tx>
            <c:strRef>
              <c:f>'Graf2 IT Rozpočet'!$F$1</c:f>
              <c:strCache>
                <c:ptCount val="1"/>
                <c:pt idx="0">
                  <c:v>ŠR CAPEX</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'Graf2 IT Rozpočet'!$A$2:$A$13</c:f>
              <c:strCache>
                <c:ptCount val="12"/>
                <c:pt idx="0">
                  <c:v>2011S</c:v>
                </c:pt>
                <c:pt idx="1">
                  <c:v>2012S</c:v>
                </c:pt>
                <c:pt idx="2">
                  <c:v>2013S</c:v>
                </c:pt>
                <c:pt idx="3">
                  <c:v>2014S</c:v>
                </c:pt>
                <c:pt idx="4">
                  <c:v>2015S</c:v>
                </c:pt>
                <c:pt idx="5">
                  <c:v>2016S</c:v>
                </c:pt>
                <c:pt idx="6">
                  <c:v>2017S</c:v>
                </c:pt>
                <c:pt idx="7">
                  <c:v>2018S</c:v>
                </c:pt>
                <c:pt idx="8">
                  <c:v>2019S</c:v>
                </c:pt>
                <c:pt idx="9">
                  <c:v>2020R</c:v>
                </c:pt>
                <c:pt idx="10">
                  <c:v>2021R</c:v>
                </c:pt>
                <c:pt idx="11">
                  <c:v>2022R</c:v>
                </c:pt>
              </c:strCache>
            </c:strRef>
          </c:cat>
          <c:val>
            <c:numRef>
              <c:f>'Graf2 IT Rozpočet'!$F$2:$F$13</c:f>
              <c:numCache>
                <c:formatCode>#,##0</c:formatCode>
                <c:ptCount val="12"/>
                <c:pt idx="0">
                  <c:v>92289721</c:v>
                </c:pt>
                <c:pt idx="1">
                  <c:v>84719999</c:v>
                </c:pt>
                <c:pt idx="2">
                  <c:v>96099715</c:v>
                </c:pt>
                <c:pt idx="3">
                  <c:v>114052390</c:v>
                </c:pt>
                <c:pt idx="4">
                  <c:v>166820541</c:v>
                </c:pt>
                <c:pt idx="5">
                  <c:v>163082816</c:v>
                </c:pt>
                <c:pt idx="6">
                  <c:v>102447796</c:v>
                </c:pt>
                <c:pt idx="7">
                  <c:v>165308689</c:v>
                </c:pt>
                <c:pt idx="8">
                  <c:v>148936468</c:v>
                </c:pt>
                <c:pt idx="9">
                  <c:v>55190582</c:v>
                </c:pt>
                <c:pt idx="10">
                  <c:v>64396680</c:v>
                </c:pt>
                <c:pt idx="11">
                  <c:v>71259735</c:v>
                </c:pt>
              </c:numCache>
            </c:numRef>
          </c:val>
          <c:extLst xmlns:c16r2="http://schemas.microsoft.com/office/drawing/2015/06/chart">
            <c:ext xmlns:c16="http://schemas.microsoft.com/office/drawing/2014/chart" uri="{C3380CC4-5D6E-409C-BE32-E72D297353CC}">
              <c16:uniqueId val="{0000000A-B8D3-A34B-9A4B-BCF8C1D933A5}"/>
            </c:ext>
          </c:extLst>
        </c:ser>
        <c:ser>
          <c:idx val="0"/>
          <c:order val="3"/>
          <c:tx>
            <c:strRef>
              <c:f>'Graf2 IT Rozpočet'!$E$1</c:f>
              <c:strCache>
                <c:ptCount val="1"/>
                <c:pt idx="0">
                  <c:v>ŠR OPEX</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'Graf2 IT Rozpočet'!$A$2:$A$13</c:f>
              <c:strCache>
                <c:ptCount val="12"/>
                <c:pt idx="0">
                  <c:v>2011S</c:v>
                </c:pt>
                <c:pt idx="1">
                  <c:v>2012S</c:v>
                </c:pt>
                <c:pt idx="2">
                  <c:v>2013S</c:v>
                </c:pt>
                <c:pt idx="3">
                  <c:v>2014S</c:v>
                </c:pt>
                <c:pt idx="4">
                  <c:v>2015S</c:v>
                </c:pt>
                <c:pt idx="5">
                  <c:v>2016S</c:v>
                </c:pt>
                <c:pt idx="6">
                  <c:v>2017S</c:v>
                </c:pt>
                <c:pt idx="7">
                  <c:v>2018S</c:v>
                </c:pt>
                <c:pt idx="8">
                  <c:v>2019S</c:v>
                </c:pt>
                <c:pt idx="9">
                  <c:v>2020R</c:v>
                </c:pt>
                <c:pt idx="10">
                  <c:v>2021R</c:v>
                </c:pt>
                <c:pt idx="11">
                  <c:v>2022R</c:v>
                </c:pt>
              </c:strCache>
            </c:strRef>
          </c:cat>
          <c:val>
            <c:numRef>
              <c:f>'Graf2 IT Rozpočet'!$E$2:$E$13</c:f>
              <c:numCache>
                <c:formatCode>#,##0</c:formatCode>
                <c:ptCount val="12"/>
                <c:pt idx="0">
                  <c:v>159029625</c:v>
                </c:pt>
                <c:pt idx="1">
                  <c:v>191200108</c:v>
                </c:pt>
                <c:pt idx="2">
                  <c:v>164023266</c:v>
                </c:pt>
                <c:pt idx="3">
                  <c:v>182017318</c:v>
                </c:pt>
                <c:pt idx="4">
                  <c:v>188723540</c:v>
                </c:pt>
                <c:pt idx="5">
                  <c:v>169751781</c:v>
                </c:pt>
                <c:pt idx="6">
                  <c:v>281685614</c:v>
                </c:pt>
                <c:pt idx="7">
                  <c:v>321601837</c:v>
                </c:pt>
                <c:pt idx="8">
                  <c:v>337119222</c:v>
                </c:pt>
                <c:pt idx="9">
                  <c:v>303567909</c:v>
                </c:pt>
                <c:pt idx="10">
                  <c:v>296828519</c:v>
                </c:pt>
                <c:pt idx="11">
                  <c:v>296175446</c:v>
                </c:pt>
              </c:numCache>
            </c:numRef>
          </c:val>
          <c:extLst xmlns:c16r2="http://schemas.microsoft.com/office/drawing/2015/06/chart">
            <c:ext xmlns:c16="http://schemas.microsoft.com/office/drawing/2014/chart" uri="{C3380CC4-5D6E-409C-BE32-E72D297353CC}">
              <c16:uniqueId val="{0000000B-B8D3-A34B-9A4B-BCF8C1D933A5}"/>
            </c:ext>
          </c:extLst>
        </c:ser>
        <c:dLbls>
          <c:showLegendKey val="0"/>
          <c:showVal val="0"/>
          <c:showCatName val="0"/>
          <c:showSerName val="0"/>
          <c:showPercent val="0"/>
          <c:showBubbleSize val="0"/>
        </c:dLbls>
        <c:gapWidth val="96"/>
        <c:overlap val="100"/>
        <c:axId val="201491432"/>
        <c:axId val="201491816"/>
      </c:barChart>
      <c:lineChart>
        <c:grouping val="standard"/>
        <c:varyColors val="0"/>
        <c:ser>
          <c:idx val="4"/>
          <c:order val="4"/>
          <c:tx>
            <c:strRef>
              <c:f>'Graf2 IT Rozpočet'!$G$1</c:f>
              <c:strCache>
                <c:ptCount val="1"/>
                <c:pt idx="0">
                  <c:v>Spolu</c:v>
                </c:pt>
              </c:strCache>
            </c:strRef>
          </c:tx>
          <c:spPr>
            <a:ln w="28575" cap="rnd">
              <a:noFill/>
              <a:round/>
            </a:ln>
            <a:effectLst/>
          </c:spPr>
          <c:marker>
            <c:symbol val="none"/>
          </c:marker>
          <c:dLbls>
            <c:dLbl>
              <c:idx val="4"/>
              <c:layout>
                <c:manualLayout>
                  <c:x val="-3.2317708333333334E-2"/>
                  <c:y val="-4.79925925925925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B8D3-A34B-9A4B-BCF8C1D933A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sk-SK"/>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'Graf2 IT Rozpočet'!$A$2:$A$13</c:f>
              <c:strCache>
                <c:ptCount val="12"/>
                <c:pt idx="0">
                  <c:v>2011S</c:v>
                </c:pt>
                <c:pt idx="1">
                  <c:v>2012S</c:v>
                </c:pt>
                <c:pt idx="2">
                  <c:v>2013S</c:v>
                </c:pt>
                <c:pt idx="3">
                  <c:v>2014S</c:v>
                </c:pt>
                <c:pt idx="4">
                  <c:v>2015S</c:v>
                </c:pt>
                <c:pt idx="5">
                  <c:v>2016S</c:v>
                </c:pt>
                <c:pt idx="6">
                  <c:v>2017S</c:v>
                </c:pt>
                <c:pt idx="7">
                  <c:v>2018S</c:v>
                </c:pt>
                <c:pt idx="8">
                  <c:v>2019S</c:v>
                </c:pt>
                <c:pt idx="9">
                  <c:v>2020R</c:v>
                </c:pt>
                <c:pt idx="10">
                  <c:v>2021R</c:v>
                </c:pt>
                <c:pt idx="11">
                  <c:v>2022R</c:v>
                </c:pt>
              </c:strCache>
            </c:strRef>
          </c:cat>
          <c:val>
            <c:numRef>
              <c:f>'Graf2 IT Rozpočet'!$G$2:$G$13</c:f>
              <c:numCache>
                <c:formatCode>#,##0</c:formatCode>
                <c:ptCount val="12"/>
                <c:pt idx="0">
                  <c:v>402376849</c:v>
                </c:pt>
                <c:pt idx="1">
                  <c:v>468357210</c:v>
                </c:pt>
                <c:pt idx="2">
                  <c:v>481600681</c:v>
                </c:pt>
                <c:pt idx="3">
                  <c:v>524419138</c:v>
                </c:pt>
                <c:pt idx="4">
                  <c:v>777292883</c:v>
                </c:pt>
                <c:pt idx="5">
                  <c:v>456802719</c:v>
                </c:pt>
                <c:pt idx="6">
                  <c:v>442777484</c:v>
                </c:pt>
                <c:pt idx="7">
                  <c:v>525610943</c:v>
                </c:pt>
                <c:pt idx="8">
                  <c:v>526684574</c:v>
                </c:pt>
                <c:pt idx="9">
                  <c:v>648514409</c:v>
                </c:pt>
                <c:pt idx="10">
                  <c:v>780817126</c:v>
                </c:pt>
                <c:pt idx="11">
                  <c:v>680202469</c:v>
                </c:pt>
              </c:numCache>
            </c:numRef>
          </c:val>
          <c:smooth val="0"/>
          <c:extLst xmlns:c16r2="http://schemas.microsoft.com/office/drawing/2015/06/chart">
            <c:ext xmlns:c16="http://schemas.microsoft.com/office/drawing/2014/chart" uri="{C3380CC4-5D6E-409C-BE32-E72D297353CC}">
              <c16:uniqueId val="{0000000D-B8D3-A34B-9A4B-BCF8C1D933A5}"/>
            </c:ext>
          </c:extLst>
        </c:ser>
        <c:dLbls>
          <c:showLegendKey val="0"/>
          <c:showVal val="0"/>
          <c:showCatName val="0"/>
          <c:showSerName val="0"/>
          <c:showPercent val="0"/>
          <c:showBubbleSize val="0"/>
        </c:dLbls>
        <c:marker val="1"/>
        <c:smooth val="0"/>
        <c:axId val="201491432"/>
        <c:axId val="201491816"/>
      </c:lineChart>
      <c:catAx>
        <c:axId val="201491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201491816"/>
        <c:crosses val="autoZero"/>
        <c:auto val="1"/>
        <c:lblAlgn val="ctr"/>
        <c:lblOffset val="100"/>
        <c:noMultiLvlLbl val="0"/>
      </c:catAx>
      <c:valAx>
        <c:axId val="20149181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crossAx val="201491432"/>
        <c:crosses val="autoZero"/>
        <c:crossBetween val="between"/>
        <c:dispUnits>
          <c:builtInUnit val="millions"/>
        </c:dispUnits>
      </c:valAx>
      <c:spPr>
        <a:noFill/>
        <a:ln>
          <a:noFill/>
        </a:ln>
        <a:effectLst/>
      </c:spPr>
    </c:plotArea>
    <c:legend>
      <c:legendPos val="r"/>
      <c:legendEntry>
        <c:idx val="4"/>
        <c:delete val="1"/>
      </c:legendEntry>
      <c:layout>
        <c:manualLayout>
          <c:xMode val="edge"/>
          <c:yMode val="edge"/>
          <c:x val="5.0546570738750123E-2"/>
          <c:y val="2.8175563228098006E-2"/>
          <c:w val="0.54267376824430069"/>
          <c:h val="7.2986081787095231E-2"/>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sk-SK"/>
        </a:p>
      </c:txPr>
    </c:legend>
    <c:plotVisOnly val="1"/>
    <c:dispBlanksAs val="gap"/>
    <c:showDLblsOverMax val="0"/>
  </c:chart>
  <c:spPr>
    <a:noFill/>
    <a:ln w="9525" cap="flat" cmpd="sng" algn="ctr">
      <a:noFill/>
      <a:round/>
    </a:ln>
    <a:effectLst/>
  </c:spPr>
  <c:txPr>
    <a:bodyPr/>
    <a:lstStyle/>
    <a:p>
      <a:pPr>
        <a:defRPr>
          <a:latin typeface="Arial Narrow" panose="020B0606020202030204" pitchFamily="34" charset="0"/>
        </a:defRPr>
      </a:pPr>
      <a:endParaRPr lang="sk-S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172292039065014E-2"/>
          <c:y val="2.9392117568470273E-2"/>
          <c:w val="0.89363085342466231"/>
          <c:h val="0.77320436147886329"/>
        </c:manualLayout>
      </c:layout>
      <c:barChart>
        <c:barDir val="col"/>
        <c:grouping val="stacked"/>
        <c:varyColors val="0"/>
        <c:ser>
          <c:idx val="0"/>
          <c:order val="0"/>
          <c:tx>
            <c:strRef>
              <c:f>'Graf3 IT Čerpanie'!$A$3</c:f>
              <c:strCache>
                <c:ptCount val="1"/>
                <c:pt idx="0">
                  <c:v>EÚ+SF</c:v>
                </c:pt>
              </c:strCache>
            </c:strRef>
          </c:tx>
          <c:spPr>
            <a:solidFill>
              <a:srgbClr val="00B0F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'Graf3 IT Čerpanie'!$B$1:$K$2</c:f>
              <c:multiLvlStrCache>
                <c:ptCount val="10"/>
                <c:lvl>
                  <c:pt idx="0">
                    <c:v>Rozpis</c:v>
                  </c:pt>
                  <c:pt idx="1">
                    <c:v>Čerpanie</c:v>
                  </c:pt>
                  <c:pt idx="2">
                    <c:v>Rozpis</c:v>
                  </c:pt>
                  <c:pt idx="3">
                    <c:v>Čerpanie</c:v>
                  </c:pt>
                  <c:pt idx="4">
                    <c:v>Rozpis</c:v>
                  </c:pt>
                  <c:pt idx="5">
                    <c:v>Čerpanie</c:v>
                  </c:pt>
                  <c:pt idx="6">
                    <c:v>Rozpis</c:v>
                  </c:pt>
                  <c:pt idx="7">
                    <c:v>Čerpanie</c:v>
                  </c:pt>
                  <c:pt idx="8">
                    <c:v>Rozpis</c:v>
                  </c:pt>
                  <c:pt idx="9">
                    <c:v>November</c:v>
                  </c:pt>
                </c:lvl>
                <c:lvl>
                  <c:pt idx="0">
                    <c:v>2015</c:v>
                  </c:pt>
                  <c:pt idx="2">
                    <c:v>2016</c:v>
                  </c:pt>
                  <c:pt idx="4">
                    <c:v>2017</c:v>
                  </c:pt>
                  <c:pt idx="6">
                    <c:v>2018</c:v>
                  </c:pt>
                  <c:pt idx="8">
                    <c:v>2019</c:v>
                  </c:pt>
                </c:lvl>
              </c:multiLvlStrCache>
            </c:multiLvlStrRef>
          </c:cat>
          <c:val>
            <c:numRef>
              <c:f>'Graf3 IT Čerpanie'!$B$3:$K$3</c:f>
              <c:numCache>
                <c:formatCode>#\ ##0.0\ \ </c:formatCode>
                <c:ptCount val="10"/>
                <c:pt idx="1">
                  <c:v>13832085.410000004</c:v>
                </c:pt>
                <c:pt idx="3">
                  <c:v>37008344.960000008</c:v>
                </c:pt>
                <c:pt idx="5">
                  <c:v>18456786.500000004</c:v>
                </c:pt>
                <c:pt idx="7">
                  <c:v>1522904.03</c:v>
                </c:pt>
                <c:pt idx="9">
                  <c:v>1953431.7600000005</c:v>
                </c:pt>
              </c:numCache>
            </c:numRef>
          </c:val>
          <c:extLst xmlns:c16r2="http://schemas.microsoft.com/office/drawing/2015/06/chart">
            <c:ext xmlns:c16="http://schemas.microsoft.com/office/drawing/2014/chart" uri="{C3380CC4-5D6E-409C-BE32-E72D297353CC}">
              <c16:uniqueId val="{00000000-866E-FF40-BB6F-02F878CF415D}"/>
            </c:ext>
          </c:extLst>
        </c:ser>
        <c:ser>
          <c:idx val="1"/>
          <c:order val="1"/>
          <c:tx>
            <c:strRef>
              <c:f>'Graf3 IT Čerpanie'!$A$4</c:f>
              <c:strCache>
                <c:ptCount val="1"/>
                <c:pt idx="0">
                  <c:v>ŠR</c:v>
                </c:pt>
              </c:strCache>
            </c:strRef>
          </c:tx>
          <c:spPr>
            <a:solidFill>
              <a:schemeClr val="bg1">
                <a:lumMod val="6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'Graf3 IT Čerpanie'!$B$1:$K$2</c:f>
              <c:multiLvlStrCache>
                <c:ptCount val="10"/>
                <c:lvl>
                  <c:pt idx="0">
                    <c:v>Rozpis</c:v>
                  </c:pt>
                  <c:pt idx="1">
                    <c:v>Čerpanie</c:v>
                  </c:pt>
                  <c:pt idx="2">
                    <c:v>Rozpis</c:v>
                  </c:pt>
                  <c:pt idx="3">
                    <c:v>Čerpanie</c:v>
                  </c:pt>
                  <c:pt idx="4">
                    <c:v>Rozpis</c:v>
                  </c:pt>
                  <c:pt idx="5">
                    <c:v>Čerpanie</c:v>
                  </c:pt>
                  <c:pt idx="6">
                    <c:v>Rozpis</c:v>
                  </c:pt>
                  <c:pt idx="7">
                    <c:v>Čerpanie</c:v>
                  </c:pt>
                  <c:pt idx="8">
                    <c:v>Rozpis</c:v>
                  </c:pt>
                  <c:pt idx="9">
                    <c:v>November</c:v>
                  </c:pt>
                </c:lvl>
                <c:lvl>
                  <c:pt idx="0">
                    <c:v>2015</c:v>
                  </c:pt>
                  <c:pt idx="2">
                    <c:v>2016</c:v>
                  </c:pt>
                  <c:pt idx="4">
                    <c:v>2017</c:v>
                  </c:pt>
                  <c:pt idx="6">
                    <c:v>2018</c:v>
                  </c:pt>
                  <c:pt idx="8">
                    <c:v>2019</c:v>
                  </c:pt>
                </c:lvl>
              </c:multiLvlStrCache>
            </c:multiLvlStrRef>
          </c:cat>
          <c:val>
            <c:numRef>
              <c:f>'Graf3 IT Čerpanie'!$B$4:$K$4</c:f>
              <c:numCache>
                <c:formatCode>#\ ##0.0\ \ </c:formatCode>
                <c:ptCount val="10"/>
                <c:pt idx="0">
                  <c:v>112839561</c:v>
                </c:pt>
                <c:pt idx="1">
                  <c:v>184048902.72999993</c:v>
                </c:pt>
                <c:pt idx="2">
                  <c:v>140547383</c:v>
                </c:pt>
                <c:pt idx="3">
                  <c:v>164260963.71000004</c:v>
                </c:pt>
                <c:pt idx="4">
                  <c:v>201467743</c:v>
                </c:pt>
                <c:pt idx="5">
                  <c:v>275068256.28000027</c:v>
                </c:pt>
                <c:pt idx="6">
                  <c:v>237860099</c:v>
                </c:pt>
                <c:pt idx="7">
                  <c:v>314243483.44000024</c:v>
                </c:pt>
                <c:pt idx="8">
                  <c:v>263071418</c:v>
                </c:pt>
                <c:pt idx="9">
                  <c:v>322757364.60000044</c:v>
                </c:pt>
              </c:numCache>
            </c:numRef>
          </c:val>
          <c:extLst xmlns:c16r2="http://schemas.microsoft.com/office/drawing/2015/06/chart">
            <c:ext xmlns:c16="http://schemas.microsoft.com/office/drawing/2014/chart" uri="{C3380CC4-5D6E-409C-BE32-E72D297353CC}">
              <c16:uniqueId val="{00000001-866E-FF40-BB6F-02F878CF415D}"/>
            </c:ext>
          </c:extLst>
        </c:ser>
        <c:ser>
          <c:idx val="2"/>
          <c:order val="2"/>
          <c:tx>
            <c:strRef>
              <c:f>'Graf3 IT Čerpanie'!$A$5</c:f>
              <c:strCache>
                <c:ptCount val="1"/>
                <c:pt idx="0">
                  <c:v>Iné</c:v>
                </c:pt>
              </c:strCache>
            </c:strRef>
          </c:tx>
          <c:spPr>
            <a:solidFill>
              <a:schemeClr val="bg1">
                <a:lumMod val="50000"/>
              </a:schemeClr>
            </a:solidFill>
            <a:ln>
              <a:noFill/>
            </a:ln>
            <a:effectLst/>
          </c:spPr>
          <c:invertIfNegative val="0"/>
          <c:dLbls>
            <c:dLbl>
              <c:idx val="0"/>
              <c:layout/>
              <c:tx>
                <c:rich>
                  <a:bodyPr/>
                  <a:lstStyle/>
                  <a:p>
                    <a:fld id="{DC081B8D-915D-48B1-8018-DA3902C96B03}" type="CELLRANGE">
                      <a:rPr lang="en-US"/>
                      <a:pPr/>
                      <a:t>[CELLRANGE]</a:t>
                    </a:fld>
                    <a:endParaRPr lang="sk-SK"/>
                  </a:p>
                </c:rich>
              </c:tx>
              <c:dLblPos val="inBase"/>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866E-FF40-BB6F-02F878CF415D}"/>
                </c:ext>
                <c:ext xmlns:c15="http://schemas.microsoft.com/office/drawing/2012/chart" uri="{CE6537A1-D6FC-4f65-9D91-7224C49458BB}">
                  <c15:layout/>
                  <c15:dlblFieldTable/>
                  <c15:showDataLabelsRange val="1"/>
                </c:ext>
              </c:extLst>
            </c:dLbl>
            <c:dLbl>
              <c:idx val="1"/>
              <c:layout/>
              <c:tx>
                <c:rich>
                  <a:bodyPr/>
                  <a:lstStyle/>
                  <a:p>
                    <a:fld id="{ADAA880D-227F-4D33-8655-DCCC1DC82831}"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tx>
                <c:rich>
                  <a:bodyPr/>
                  <a:lstStyle/>
                  <a:p>
                    <a:fld id="{D40E3698-8935-4586-9838-11A32AEDB6EA}"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tx>
                <c:rich>
                  <a:bodyPr/>
                  <a:lstStyle/>
                  <a:p>
                    <a:fld id="{ABE61419-92EB-4F32-8CF4-AF3A04CA61F9}"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tx>
                <c:rich>
                  <a:bodyPr/>
                  <a:lstStyle/>
                  <a:p>
                    <a:fld id="{019F3E52-5EC6-408A-AD1D-5B489C16FB8C}"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tx>
                <c:rich>
                  <a:bodyPr/>
                  <a:lstStyle/>
                  <a:p>
                    <a:fld id="{60123851-30BA-469D-BDD1-9A4A7D6538EB}"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tx>
                <c:rich>
                  <a:bodyPr/>
                  <a:lstStyle/>
                  <a:p>
                    <a:fld id="{F71ACE4F-FC61-4E11-8223-4309CBE70F30}"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tx>
                <c:rich>
                  <a:bodyPr/>
                  <a:lstStyle/>
                  <a:p>
                    <a:fld id="{24786679-A4F5-4E02-B51F-7D6EAE47ECC0}"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tx>
                <c:rich>
                  <a:bodyPr/>
                  <a:lstStyle/>
                  <a:p>
                    <a:fld id="{8C1B6141-CF07-4CAC-AAD4-7FC4BAA07CBC}"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tx>
                <c:rich>
                  <a:bodyPr/>
                  <a:lstStyle/>
                  <a:p>
                    <a:fld id="{3B45D9A3-5202-42D9-A93A-76D9524D427F}"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numFmt formatCode="#,##0.00_ ;\-#,##0.00\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dLblPos val="inBase"/>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layout/>
                <c15:showDataLabelsRange val="1"/>
                <c15:showLeaderLines val="0"/>
              </c:ext>
            </c:extLst>
          </c:dLbls>
          <c:cat>
            <c:multiLvlStrRef>
              <c:f>'Graf3 IT Čerpanie'!$B$1:$K$2</c:f>
              <c:multiLvlStrCache>
                <c:ptCount val="10"/>
                <c:lvl>
                  <c:pt idx="0">
                    <c:v>Rozpis</c:v>
                  </c:pt>
                  <c:pt idx="1">
                    <c:v>Čerpanie</c:v>
                  </c:pt>
                  <c:pt idx="2">
                    <c:v>Rozpis</c:v>
                  </c:pt>
                  <c:pt idx="3">
                    <c:v>Čerpanie</c:v>
                  </c:pt>
                  <c:pt idx="4">
                    <c:v>Rozpis</c:v>
                  </c:pt>
                  <c:pt idx="5">
                    <c:v>Čerpanie</c:v>
                  </c:pt>
                  <c:pt idx="6">
                    <c:v>Rozpis</c:v>
                  </c:pt>
                  <c:pt idx="7">
                    <c:v>Čerpanie</c:v>
                  </c:pt>
                  <c:pt idx="8">
                    <c:v>Rozpis</c:v>
                  </c:pt>
                  <c:pt idx="9">
                    <c:v>November</c:v>
                  </c:pt>
                </c:lvl>
                <c:lvl>
                  <c:pt idx="0">
                    <c:v>2015</c:v>
                  </c:pt>
                  <c:pt idx="2">
                    <c:v>2016</c:v>
                  </c:pt>
                  <c:pt idx="4">
                    <c:v>2017</c:v>
                  </c:pt>
                  <c:pt idx="6">
                    <c:v>2018</c:v>
                  </c:pt>
                  <c:pt idx="8">
                    <c:v>2019</c:v>
                  </c:pt>
                </c:lvl>
              </c:multiLvlStrCache>
            </c:multiLvlStrRef>
          </c:cat>
          <c:val>
            <c:numRef>
              <c:f>'Graf3 IT Čerpanie'!$B$5:$K$5</c:f>
              <c:numCache>
                <c:formatCode>#\ ##0.0\ \ </c:formatCode>
                <c:ptCount val="10"/>
                <c:pt idx="0">
                  <c:v>3407530</c:v>
                </c:pt>
                <c:pt idx="1">
                  <c:v>5377436.6500000004</c:v>
                </c:pt>
                <c:pt idx="2">
                  <c:v>3919611</c:v>
                </c:pt>
                <c:pt idx="3">
                  <c:v>4085262.4300000016</c:v>
                </c:pt>
                <c:pt idx="4">
                  <c:v>4196975</c:v>
                </c:pt>
                <c:pt idx="5">
                  <c:v>7475148.729999993</c:v>
                </c:pt>
                <c:pt idx="6">
                  <c:v>5358224</c:v>
                </c:pt>
                <c:pt idx="7">
                  <c:v>6621122.9799999911</c:v>
                </c:pt>
                <c:pt idx="8">
                  <c:v>6182979</c:v>
                </c:pt>
                <c:pt idx="9">
                  <c:v>8893219.6000000015</c:v>
                </c:pt>
              </c:numCache>
            </c:numRef>
          </c:val>
          <c:extLst xmlns:c16r2="http://schemas.microsoft.com/office/drawing/2015/06/chart">
            <c:ext xmlns:c16="http://schemas.microsoft.com/office/drawing/2014/chart" uri="{C3380CC4-5D6E-409C-BE32-E72D297353CC}">
              <c16:uniqueId val="{0000000C-866E-FF40-BB6F-02F878CF415D}"/>
            </c:ext>
            <c:ext xmlns:c15="http://schemas.microsoft.com/office/drawing/2012/chart" uri="{02D57815-91ED-43cb-92C2-25804820EDAC}">
              <c15:datalabelsRange>
                <c15:f>'Graf3 IT Čerpanie'!$B$7:$K$7</c15:f>
                <c15:dlblRangeCache>
                  <c:ptCount val="10"/>
                  <c:pt idx="0">
                    <c:v>116</c:v>
                  </c:pt>
                  <c:pt idx="1">
                    <c:v>203</c:v>
                  </c:pt>
                  <c:pt idx="2">
                    <c:v>144</c:v>
                  </c:pt>
                  <c:pt idx="3">
                    <c:v>205</c:v>
                  </c:pt>
                  <c:pt idx="4">
                    <c:v>206</c:v>
                  </c:pt>
                  <c:pt idx="5">
                    <c:v>301</c:v>
                  </c:pt>
                  <c:pt idx="6">
                    <c:v>243</c:v>
                  </c:pt>
                  <c:pt idx="7">
                    <c:v>322</c:v>
                  </c:pt>
                  <c:pt idx="8">
                    <c:v>269</c:v>
                  </c:pt>
                  <c:pt idx="9">
                    <c:v>334</c:v>
                  </c:pt>
                </c15:dlblRangeCache>
              </c15:datalabelsRange>
            </c:ext>
          </c:extLst>
        </c:ser>
        <c:dLbls>
          <c:showLegendKey val="0"/>
          <c:showVal val="0"/>
          <c:showCatName val="0"/>
          <c:showSerName val="0"/>
          <c:showPercent val="0"/>
          <c:showBubbleSize val="0"/>
        </c:dLbls>
        <c:gapWidth val="54"/>
        <c:overlap val="100"/>
        <c:axId val="201824328"/>
        <c:axId val="201877296"/>
      </c:barChart>
      <c:scatterChart>
        <c:scatterStyle val="lineMarker"/>
        <c:varyColors val="0"/>
        <c:ser>
          <c:idx val="3"/>
          <c:order val="3"/>
          <c:tx>
            <c:strRef>
              <c:f>'Graf3 IT Čerpanie'!$A$8</c:f>
              <c:strCache>
                <c:ptCount val="1"/>
                <c:pt idx="0">
                  <c:v>Rozdiel rozpis-čerpanie</c:v>
                </c:pt>
              </c:strCache>
            </c:strRef>
          </c:tx>
          <c:spPr>
            <a:ln w="25400" cap="rnd">
              <a:noFill/>
              <a:round/>
            </a:ln>
            <a:effectLst/>
          </c:spPr>
          <c:marker>
            <c:symbol val="diamond"/>
            <c:size val="5"/>
            <c:spPr>
              <a:solidFill>
                <a:srgbClr val="FF0000"/>
              </a:solidFill>
              <a:ln w="9525">
                <a:noFill/>
              </a:ln>
              <a:effectLst/>
            </c:spPr>
          </c:marker>
          <c:yVal>
            <c:numRef>
              <c:f>'Graf3 IT Čerpanie'!$B$8:$K$8</c:f>
              <c:numCache>
                <c:formatCode>0%</c:formatCode>
                <c:ptCount val="10"/>
                <c:pt idx="1">
                  <c:v>0.74850332203151582</c:v>
                </c:pt>
                <c:pt idx="3">
                  <c:v>0.42146358427032848</c:v>
                </c:pt>
                <c:pt idx="5">
                  <c:v>0.46354802339018741</c:v>
                </c:pt>
                <c:pt idx="7">
                  <c:v>0.32550667430594959</c:v>
                </c:pt>
                <c:pt idx="9">
                  <c:v>0.23899189642574514</c:v>
                </c:pt>
              </c:numCache>
            </c:numRef>
          </c:yVal>
          <c:smooth val="0"/>
          <c:extLst xmlns:c16r2="http://schemas.microsoft.com/office/drawing/2015/06/chart">
            <c:ext xmlns:c16="http://schemas.microsoft.com/office/drawing/2014/chart" uri="{C3380CC4-5D6E-409C-BE32-E72D297353CC}">
              <c16:uniqueId val="{0000000D-866E-FF40-BB6F-02F878CF415D}"/>
            </c:ext>
          </c:extLst>
        </c:ser>
        <c:dLbls>
          <c:showLegendKey val="0"/>
          <c:showVal val="0"/>
          <c:showCatName val="0"/>
          <c:showSerName val="0"/>
          <c:showPercent val="0"/>
          <c:showBubbleSize val="0"/>
        </c:dLbls>
        <c:axId val="199874648"/>
        <c:axId val="199875040"/>
      </c:scatterChart>
      <c:catAx>
        <c:axId val="201824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crossAx val="201877296"/>
        <c:crosses val="autoZero"/>
        <c:auto val="1"/>
        <c:lblAlgn val="ctr"/>
        <c:lblOffset val="100"/>
        <c:noMultiLvlLbl val="0"/>
      </c:catAx>
      <c:valAx>
        <c:axId val="201877296"/>
        <c:scaling>
          <c:orientation val="minMax"/>
          <c:max val="600000000"/>
        </c:scaling>
        <c:delete val="0"/>
        <c:axPos val="l"/>
        <c:majorGridlines>
          <c:spPr>
            <a:ln w="9525" cap="flat" cmpd="sng" algn="ctr">
              <a:solidFill>
                <a:schemeClr val="tx1">
                  <a:lumMod val="15000"/>
                  <a:lumOff val="85000"/>
                </a:schemeClr>
              </a:solidFill>
              <a:prstDash val="dash"/>
              <a:round/>
            </a:ln>
            <a:effectLst/>
          </c:spPr>
        </c:majorGridlines>
        <c:numFmt formatCode="#\ ##0\ \ " sourceLinked="0"/>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crossAx val="201824328"/>
        <c:crosses val="autoZero"/>
        <c:crossBetween val="between"/>
        <c:dispUnits>
          <c:builtInUnit val="millions"/>
        </c:dispUnits>
      </c:valAx>
      <c:valAx>
        <c:axId val="199875040"/>
        <c:scaling>
          <c:orientation val="minMax"/>
          <c:max val="1"/>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crossAx val="199874648"/>
        <c:crosses val="max"/>
        <c:crossBetween val="midCat"/>
      </c:valAx>
      <c:valAx>
        <c:axId val="199874648"/>
        <c:scaling>
          <c:orientation val="minMax"/>
        </c:scaling>
        <c:delete val="1"/>
        <c:axPos val="b"/>
        <c:numFmt formatCode="General" sourceLinked="1"/>
        <c:majorTickMark val="out"/>
        <c:minorTickMark val="none"/>
        <c:tickLblPos val="nextTo"/>
        <c:crossAx val="199875040"/>
        <c:crosses val="autoZero"/>
        <c:crossBetween val="midCat"/>
      </c:valAx>
      <c:spPr>
        <a:noFill/>
        <a:ln>
          <a:noFill/>
        </a:ln>
        <a:effectLst/>
      </c:spPr>
    </c:plotArea>
    <c:legend>
      <c:legendPos val="b"/>
      <c:layout>
        <c:manualLayout>
          <c:xMode val="edge"/>
          <c:yMode val="edge"/>
          <c:x val="6.8589930555555553E-2"/>
          <c:y val="3.0199305555555556E-2"/>
          <c:w val="0.45602465277777776"/>
          <c:h val="0.1620499999999999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Narrow" panose="020B0606020202030204" pitchFamily="34" charset="0"/>
        </a:defRPr>
      </a:pPr>
      <a:endParaRPr lang="sk-S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172292039065014E-2"/>
          <c:y val="2.9392117568470273E-2"/>
          <c:w val="0.89363085342466231"/>
          <c:h val="0.77320436147886329"/>
        </c:manualLayout>
      </c:layout>
      <c:barChart>
        <c:barDir val="col"/>
        <c:grouping val="stacked"/>
        <c:varyColors val="0"/>
        <c:ser>
          <c:idx val="0"/>
          <c:order val="0"/>
          <c:tx>
            <c:strRef>
              <c:f>'Graf3 IT Čerpanie'!$A$12</c:f>
              <c:strCache>
                <c:ptCount val="1"/>
                <c:pt idx="0">
                  <c:v>EÚ+SF</c:v>
                </c:pt>
              </c:strCache>
            </c:strRef>
          </c:tx>
          <c:spPr>
            <a:solidFill>
              <a:srgbClr val="00B0F0"/>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'Graf3 IT Čerpanie'!$B$10:$K$11</c:f>
              <c:multiLvlStrCache>
                <c:ptCount val="10"/>
                <c:lvl>
                  <c:pt idx="0">
                    <c:v>Rozpis</c:v>
                  </c:pt>
                  <c:pt idx="1">
                    <c:v>Čerpanie</c:v>
                  </c:pt>
                  <c:pt idx="2">
                    <c:v>Rozpis</c:v>
                  </c:pt>
                  <c:pt idx="3">
                    <c:v>Čerpanie</c:v>
                  </c:pt>
                  <c:pt idx="4">
                    <c:v>Rozpis</c:v>
                  </c:pt>
                  <c:pt idx="5">
                    <c:v>Čerpanie</c:v>
                  </c:pt>
                  <c:pt idx="6">
                    <c:v>Rozpis</c:v>
                  </c:pt>
                  <c:pt idx="7">
                    <c:v>Čerpanie</c:v>
                  </c:pt>
                  <c:pt idx="8">
                    <c:v>Rozpis</c:v>
                  </c:pt>
                  <c:pt idx="9">
                    <c:v>November</c:v>
                  </c:pt>
                </c:lvl>
                <c:lvl>
                  <c:pt idx="0">
                    <c:v>2015</c:v>
                  </c:pt>
                  <c:pt idx="2">
                    <c:v>2016</c:v>
                  </c:pt>
                  <c:pt idx="4">
                    <c:v>2017</c:v>
                  </c:pt>
                  <c:pt idx="6">
                    <c:v>2018</c:v>
                  </c:pt>
                  <c:pt idx="8">
                    <c:v>2019</c:v>
                  </c:pt>
                </c:lvl>
              </c:multiLvlStrCache>
            </c:multiLvlStrRef>
          </c:cat>
          <c:val>
            <c:numRef>
              <c:f>'Graf3 IT Čerpanie'!$B$12:$K$12</c:f>
              <c:numCache>
                <c:formatCode>#\ ##0.0\ \ </c:formatCode>
                <c:ptCount val="10"/>
                <c:pt idx="0">
                  <c:v>182579913</c:v>
                </c:pt>
                <c:pt idx="1">
                  <c:v>350068555.29999983</c:v>
                </c:pt>
                <c:pt idx="2">
                  <c:v>1663660</c:v>
                </c:pt>
                <c:pt idx="3">
                  <c:v>75526717.309999987</c:v>
                </c:pt>
                <c:pt idx="4">
                  <c:v>138242875</c:v>
                </c:pt>
                <c:pt idx="5">
                  <c:v>23133481.25</c:v>
                </c:pt>
                <c:pt idx="7">
                  <c:v>22877865.420000002</c:v>
                </c:pt>
                <c:pt idx="8">
                  <c:v>15033272</c:v>
                </c:pt>
                <c:pt idx="9">
                  <c:v>207426166.85999998</c:v>
                </c:pt>
              </c:numCache>
            </c:numRef>
          </c:val>
          <c:extLst xmlns:c16r2="http://schemas.microsoft.com/office/drawing/2015/06/chart">
            <c:ext xmlns:c16="http://schemas.microsoft.com/office/drawing/2014/chart" uri="{C3380CC4-5D6E-409C-BE32-E72D297353CC}">
              <c16:uniqueId val="{00000000-B08D-EF46-90EE-7E79C84F5069}"/>
            </c:ext>
          </c:extLst>
        </c:ser>
        <c:ser>
          <c:idx val="1"/>
          <c:order val="1"/>
          <c:tx>
            <c:strRef>
              <c:f>'Graf3 IT Čerpanie'!$A$13</c:f>
              <c:strCache>
                <c:ptCount val="1"/>
                <c:pt idx="0">
                  <c:v>ŠR</c:v>
                </c:pt>
              </c:strCache>
            </c:strRef>
          </c:tx>
          <c:spPr>
            <a:solidFill>
              <a:schemeClr val="bg1">
                <a:lumMod val="6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'Graf3 IT Čerpanie'!$B$10:$K$11</c:f>
              <c:multiLvlStrCache>
                <c:ptCount val="10"/>
                <c:lvl>
                  <c:pt idx="0">
                    <c:v>Rozpis</c:v>
                  </c:pt>
                  <c:pt idx="1">
                    <c:v>Čerpanie</c:v>
                  </c:pt>
                  <c:pt idx="2">
                    <c:v>Rozpis</c:v>
                  </c:pt>
                  <c:pt idx="3">
                    <c:v>Čerpanie</c:v>
                  </c:pt>
                  <c:pt idx="4">
                    <c:v>Rozpis</c:v>
                  </c:pt>
                  <c:pt idx="5">
                    <c:v>Čerpanie</c:v>
                  </c:pt>
                  <c:pt idx="6">
                    <c:v>Rozpis</c:v>
                  </c:pt>
                  <c:pt idx="7">
                    <c:v>Čerpanie</c:v>
                  </c:pt>
                  <c:pt idx="8">
                    <c:v>Rozpis</c:v>
                  </c:pt>
                  <c:pt idx="9">
                    <c:v>November</c:v>
                  </c:pt>
                </c:lvl>
                <c:lvl>
                  <c:pt idx="0">
                    <c:v>2015</c:v>
                  </c:pt>
                  <c:pt idx="2">
                    <c:v>2016</c:v>
                  </c:pt>
                  <c:pt idx="4">
                    <c:v>2017</c:v>
                  </c:pt>
                  <c:pt idx="6">
                    <c:v>2018</c:v>
                  </c:pt>
                  <c:pt idx="8">
                    <c:v>2019</c:v>
                  </c:pt>
                </c:lvl>
              </c:multiLvlStrCache>
            </c:multiLvlStrRef>
          </c:cat>
          <c:val>
            <c:numRef>
              <c:f>'Graf3 IT Čerpanie'!$B$13:$K$13</c:f>
              <c:numCache>
                <c:formatCode>#\ ##0.0\ \ </c:formatCode>
                <c:ptCount val="10"/>
                <c:pt idx="0">
                  <c:v>41577572</c:v>
                </c:pt>
                <c:pt idx="1">
                  <c:v>166473816.98999995</c:v>
                </c:pt>
                <c:pt idx="2">
                  <c:v>31597916</c:v>
                </c:pt>
                <c:pt idx="3">
                  <c:v>166036690.70000008</c:v>
                </c:pt>
                <c:pt idx="4">
                  <c:v>51127626</c:v>
                </c:pt>
                <c:pt idx="5">
                  <c:v>106533479.01000006</c:v>
                </c:pt>
                <c:pt idx="6">
                  <c:v>45802411</c:v>
                </c:pt>
                <c:pt idx="7">
                  <c:v>166333749.96000004</c:v>
                </c:pt>
                <c:pt idx="8">
                  <c:v>60760817</c:v>
                </c:pt>
                <c:pt idx="9">
                  <c:v>168792177.57999992</c:v>
                </c:pt>
              </c:numCache>
            </c:numRef>
          </c:val>
          <c:extLst xmlns:c16r2="http://schemas.microsoft.com/office/drawing/2015/06/chart">
            <c:ext xmlns:c16="http://schemas.microsoft.com/office/drawing/2014/chart" uri="{C3380CC4-5D6E-409C-BE32-E72D297353CC}">
              <c16:uniqueId val="{00000001-B08D-EF46-90EE-7E79C84F5069}"/>
            </c:ext>
          </c:extLst>
        </c:ser>
        <c:ser>
          <c:idx val="2"/>
          <c:order val="2"/>
          <c:tx>
            <c:strRef>
              <c:f>'Graf3 IT Čerpanie'!$A$14</c:f>
              <c:strCache>
                <c:ptCount val="1"/>
                <c:pt idx="0">
                  <c:v>Iné</c:v>
                </c:pt>
              </c:strCache>
            </c:strRef>
          </c:tx>
          <c:spPr>
            <a:solidFill>
              <a:schemeClr val="bg1">
                <a:lumMod val="50000"/>
              </a:schemeClr>
            </a:solidFill>
            <a:ln>
              <a:noFill/>
            </a:ln>
            <a:effectLst/>
          </c:spPr>
          <c:invertIfNegative val="0"/>
          <c:dLbls>
            <c:dLbl>
              <c:idx val="0"/>
              <c:layout/>
              <c:tx>
                <c:rich>
                  <a:bodyPr/>
                  <a:lstStyle/>
                  <a:p>
                    <a:fld id="{D2C2B9B3-2701-4C54-94F4-F3B8D7387AC5}"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tx>
                <c:rich>
                  <a:bodyPr/>
                  <a:lstStyle/>
                  <a:p>
                    <a:fld id="{B23CD546-3867-40B5-B2A6-8ADBA90DF05E}"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tx>
                <c:rich>
                  <a:bodyPr/>
                  <a:lstStyle/>
                  <a:p>
                    <a:fld id="{55189DE8-5AF6-48F2-BE5B-296FB46EE0C1}"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tx>
                <c:rich>
                  <a:bodyPr/>
                  <a:lstStyle/>
                  <a:p>
                    <a:fld id="{1F213D0B-E94B-40F1-9991-E8E7B13247A1}"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tx>
                <c:rich>
                  <a:bodyPr/>
                  <a:lstStyle/>
                  <a:p>
                    <a:fld id="{A7BFCC0E-4158-457D-AA71-BAE447F41DF9}"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tx>
                <c:rich>
                  <a:bodyPr/>
                  <a:lstStyle/>
                  <a:p>
                    <a:fld id="{2EB78B04-4BD7-4275-9C27-ED16E90092A4}"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tx>
                <c:rich>
                  <a:bodyPr/>
                  <a:lstStyle/>
                  <a:p>
                    <a:fld id="{AF880B4E-4A79-40C2-817D-81BB8F2F024D}"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manualLayout>
                  <c:x val="8.8194444444443642E-3"/>
                  <c:y val="-1.4660416666666667E-2"/>
                </c:manualLayout>
              </c:layout>
              <c:tx>
                <c:rich>
                  <a:bodyPr/>
                  <a:lstStyle/>
                  <a:p>
                    <a:fld id="{2101C21D-B677-453F-B9E2-E7417FC811B3}" type="CELLRANGE">
                      <a:rPr lang="en-US"/>
                      <a:pPr/>
                      <a:t>[CELLRANGE]</a:t>
                    </a:fld>
                    <a:endParaRPr lang="sk-SK"/>
                  </a:p>
                </c:rich>
              </c:tx>
              <c:dLblPos val="ct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9-B08D-EF46-90EE-7E79C84F5069}"/>
                </c:ext>
                <c:ext xmlns:c15="http://schemas.microsoft.com/office/drawing/2012/chart" uri="{CE6537A1-D6FC-4f65-9D91-7224C49458BB}">
                  <c15:layout/>
                  <c15:dlblFieldTable/>
                  <c15:showDataLabelsRange val="1"/>
                </c:ext>
              </c:extLst>
            </c:dLbl>
            <c:dLbl>
              <c:idx val="8"/>
              <c:layout/>
              <c:tx>
                <c:rich>
                  <a:bodyPr/>
                  <a:lstStyle/>
                  <a:p>
                    <a:fld id="{A62252B8-F22E-4F27-B220-747D09D022C6}"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tx>
                <c:rich>
                  <a:bodyPr/>
                  <a:lstStyle/>
                  <a:p>
                    <a:fld id="{438A5F72-C50E-4CE9-BAD0-47996FCA7819}" type="CELLRANGE">
                      <a:rPr lang="sk-SK"/>
                      <a:pPr/>
                      <a:t>[CELLRANGE]</a:t>
                    </a:fld>
                    <a:endParaRPr lang="sk-SK"/>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numFmt formatCode="#,##0_ ;\-#,##0\ "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dLblPos val="inBase"/>
            <c:showLegendKey val="0"/>
            <c:showVal val="0"/>
            <c:showCatName val="0"/>
            <c:showSerName val="0"/>
            <c:showPercent val="0"/>
            <c:showBubbleSize val="0"/>
            <c:showLeaderLines val="0"/>
            <c:extLst xmlns:c16r2="http://schemas.microsoft.com/office/drawing/2015/06/chart">
              <c:ext xmlns:c15="http://schemas.microsoft.com/office/drawing/2012/chart" uri="{CE6537A1-D6FC-4f65-9D91-7224C49458BB}">
                <c15:layout/>
                <c15:showDataLabelsRange val="1"/>
                <c15:showLeaderLines val="0"/>
              </c:ext>
            </c:extLst>
          </c:dLbls>
          <c:cat>
            <c:multiLvlStrRef>
              <c:f>'Graf3 IT Čerpanie'!$B$10:$K$11</c:f>
              <c:multiLvlStrCache>
                <c:ptCount val="10"/>
                <c:lvl>
                  <c:pt idx="0">
                    <c:v>Rozpis</c:v>
                  </c:pt>
                  <c:pt idx="1">
                    <c:v>Čerpanie</c:v>
                  </c:pt>
                  <c:pt idx="2">
                    <c:v>Rozpis</c:v>
                  </c:pt>
                  <c:pt idx="3">
                    <c:v>Čerpanie</c:v>
                  </c:pt>
                  <c:pt idx="4">
                    <c:v>Rozpis</c:v>
                  </c:pt>
                  <c:pt idx="5">
                    <c:v>Čerpanie</c:v>
                  </c:pt>
                  <c:pt idx="6">
                    <c:v>Rozpis</c:v>
                  </c:pt>
                  <c:pt idx="7">
                    <c:v>Čerpanie</c:v>
                  </c:pt>
                  <c:pt idx="8">
                    <c:v>Rozpis</c:v>
                  </c:pt>
                  <c:pt idx="9">
                    <c:v>November</c:v>
                  </c:pt>
                </c:lvl>
                <c:lvl>
                  <c:pt idx="0">
                    <c:v>2015</c:v>
                  </c:pt>
                  <c:pt idx="2">
                    <c:v>2016</c:v>
                  </c:pt>
                  <c:pt idx="4">
                    <c:v>2017</c:v>
                  </c:pt>
                  <c:pt idx="6">
                    <c:v>2018</c:v>
                  </c:pt>
                  <c:pt idx="8">
                    <c:v>2019</c:v>
                  </c:pt>
                </c:lvl>
              </c:multiLvlStrCache>
            </c:multiLvlStrRef>
          </c:cat>
          <c:val>
            <c:numRef>
              <c:f>'Graf3 IT Čerpanie'!$B$14:$K$14</c:f>
              <c:numCache>
                <c:formatCode>#\ ##0.0\ \ </c:formatCode>
                <c:ptCount val="10"/>
                <c:pt idx="0">
                  <c:v>641978</c:v>
                </c:pt>
                <c:pt idx="1">
                  <c:v>3819050.6999999983</c:v>
                </c:pt>
                <c:pt idx="2">
                  <c:v>1053718</c:v>
                </c:pt>
                <c:pt idx="3">
                  <c:v>2541806.620000001</c:v>
                </c:pt>
                <c:pt idx="4">
                  <c:v>1208473</c:v>
                </c:pt>
                <c:pt idx="5">
                  <c:v>1918163.31</c:v>
                </c:pt>
                <c:pt idx="6">
                  <c:v>590581</c:v>
                </c:pt>
                <c:pt idx="7">
                  <c:v>2483303.790000001</c:v>
                </c:pt>
                <c:pt idx="8">
                  <c:v>310364</c:v>
                </c:pt>
                <c:pt idx="9">
                  <c:v>1864204.82</c:v>
                </c:pt>
              </c:numCache>
            </c:numRef>
          </c:val>
          <c:extLst xmlns:c16r2="http://schemas.microsoft.com/office/drawing/2015/06/chart">
            <c:ext xmlns:c16="http://schemas.microsoft.com/office/drawing/2014/chart" uri="{C3380CC4-5D6E-409C-BE32-E72D297353CC}">
              <c16:uniqueId val="{0000000C-B08D-EF46-90EE-7E79C84F5069}"/>
            </c:ext>
            <c:ext xmlns:c15="http://schemas.microsoft.com/office/drawing/2012/chart" uri="{02D57815-91ED-43cb-92C2-25804820EDAC}">
              <c15:datalabelsRange>
                <c15:f>'Graf3 IT Čerpanie'!$B$16:$K$16</c15:f>
                <c15:dlblRangeCache>
                  <c:ptCount val="10"/>
                  <c:pt idx="0">
                    <c:v>225</c:v>
                  </c:pt>
                  <c:pt idx="1">
                    <c:v>520</c:v>
                  </c:pt>
                  <c:pt idx="2">
                    <c:v>34</c:v>
                  </c:pt>
                  <c:pt idx="3">
                    <c:v>244</c:v>
                  </c:pt>
                  <c:pt idx="4">
                    <c:v>191</c:v>
                  </c:pt>
                  <c:pt idx="5">
                    <c:v>132</c:v>
                  </c:pt>
                  <c:pt idx="6">
                    <c:v>46</c:v>
                  </c:pt>
                  <c:pt idx="7">
                    <c:v>192</c:v>
                  </c:pt>
                  <c:pt idx="8">
                    <c:v>76</c:v>
                  </c:pt>
                  <c:pt idx="9">
                    <c:v>378</c:v>
                  </c:pt>
                </c15:dlblRangeCache>
              </c15:datalabelsRange>
            </c:ext>
          </c:extLst>
        </c:ser>
        <c:dLbls>
          <c:showLegendKey val="0"/>
          <c:showVal val="0"/>
          <c:showCatName val="0"/>
          <c:showSerName val="0"/>
          <c:showPercent val="0"/>
          <c:showBubbleSize val="0"/>
        </c:dLbls>
        <c:gapWidth val="54"/>
        <c:overlap val="100"/>
        <c:axId val="201194256"/>
        <c:axId val="201194648"/>
      </c:barChart>
      <c:scatterChart>
        <c:scatterStyle val="lineMarker"/>
        <c:varyColors val="0"/>
        <c:ser>
          <c:idx val="3"/>
          <c:order val="3"/>
          <c:tx>
            <c:strRef>
              <c:f>'Graf3 IT Čerpanie'!$A$17</c:f>
              <c:strCache>
                <c:ptCount val="1"/>
                <c:pt idx="0">
                  <c:v>Zdroje z minulých rokov</c:v>
                </c:pt>
              </c:strCache>
            </c:strRef>
          </c:tx>
          <c:spPr>
            <a:ln w="25400" cap="rnd">
              <a:noFill/>
              <a:round/>
            </a:ln>
            <a:effectLst/>
          </c:spPr>
          <c:marker>
            <c:symbol val="diamond"/>
            <c:size val="5"/>
            <c:spPr>
              <a:solidFill>
                <a:srgbClr val="FF0000"/>
              </a:solidFill>
              <a:ln w="9525">
                <a:noFill/>
              </a:ln>
              <a:effectLst/>
            </c:spPr>
          </c:marker>
          <c:yVal>
            <c:numRef>
              <c:f>'Graf3 IT Čerpanie'!$B$17:$K$17</c:f>
              <c:numCache>
                <c:formatCode>0%</c:formatCode>
                <c:ptCount val="10"/>
                <c:pt idx="1">
                  <c:v>0.91467304178795206</c:v>
                </c:pt>
                <c:pt idx="3">
                  <c:v>0.66315654354846321</c:v>
                </c:pt>
                <c:pt idx="5">
                  <c:v>0.44530528191383228</c:v>
                </c:pt>
                <c:pt idx="7">
                  <c:v>0.62619960878697112</c:v>
                </c:pt>
                <c:pt idx="9">
                  <c:v>1.3982817657222233</c:v>
                </c:pt>
              </c:numCache>
            </c:numRef>
          </c:yVal>
          <c:smooth val="0"/>
          <c:extLst xmlns:c16r2="http://schemas.microsoft.com/office/drawing/2015/06/chart">
            <c:ext xmlns:c16="http://schemas.microsoft.com/office/drawing/2014/chart" uri="{C3380CC4-5D6E-409C-BE32-E72D297353CC}">
              <c16:uniqueId val="{0000000D-B08D-EF46-90EE-7E79C84F5069}"/>
            </c:ext>
          </c:extLst>
        </c:ser>
        <c:dLbls>
          <c:showLegendKey val="0"/>
          <c:showVal val="0"/>
          <c:showCatName val="0"/>
          <c:showSerName val="0"/>
          <c:showPercent val="0"/>
          <c:showBubbleSize val="0"/>
        </c:dLbls>
        <c:axId val="201195432"/>
        <c:axId val="201195040"/>
      </c:scatterChart>
      <c:catAx>
        <c:axId val="20119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crossAx val="201194648"/>
        <c:crosses val="autoZero"/>
        <c:auto val="1"/>
        <c:lblAlgn val="ctr"/>
        <c:lblOffset val="100"/>
        <c:noMultiLvlLbl val="0"/>
      </c:catAx>
      <c:valAx>
        <c:axId val="201194648"/>
        <c:scaling>
          <c:orientation val="minMax"/>
        </c:scaling>
        <c:delete val="0"/>
        <c:axPos val="l"/>
        <c:majorGridlines>
          <c:spPr>
            <a:ln w="9525" cap="flat" cmpd="sng" algn="ctr">
              <a:solidFill>
                <a:schemeClr val="tx1">
                  <a:lumMod val="15000"/>
                  <a:lumOff val="85000"/>
                </a:schemeClr>
              </a:solidFill>
              <a:prstDash val="dash"/>
              <a:round/>
            </a:ln>
            <a:effectLst/>
          </c:spPr>
        </c:majorGridlines>
        <c:numFmt formatCode="#\ ##0\ \ " sourceLinked="0"/>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crossAx val="201194256"/>
        <c:crosses val="autoZero"/>
        <c:crossBetween val="between"/>
        <c:dispUnits>
          <c:builtInUnit val="millions"/>
          <c:dispUnitsLbl>
            <c:layout/>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sk-SK"/>
              </a:p>
            </c:txPr>
          </c:dispUnitsLbl>
        </c:dispUnits>
      </c:valAx>
      <c:valAx>
        <c:axId val="201195040"/>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sk-SK"/>
          </a:p>
        </c:txPr>
        <c:crossAx val="201195432"/>
        <c:crosses val="max"/>
        <c:crossBetween val="midCat"/>
      </c:valAx>
      <c:valAx>
        <c:axId val="201195432"/>
        <c:scaling>
          <c:orientation val="minMax"/>
        </c:scaling>
        <c:delete val="1"/>
        <c:axPos val="b"/>
        <c:majorTickMark val="out"/>
        <c:minorTickMark val="none"/>
        <c:tickLblPos val="nextTo"/>
        <c:crossAx val="201195040"/>
        <c:crosses val="autoZero"/>
        <c:crossBetween val="midCat"/>
      </c:valAx>
      <c:spPr>
        <a:noFill/>
        <a:ln>
          <a:noFill/>
        </a:ln>
        <a:effectLst/>
      </c:spPr>
    </c:plotArea>
    <c:legend>
      <c:legendPos val="b"/>
      <c:layout>
        <c:manualLayout>
          <c:xMode val="edge"/>
          <c:yMode val="edge"/>
          <c:x val="0.3331732638888889"/>
          <c:y val="3.0199305555555556E-2"/>
          <c:w val="0.44279548611111114"/>
          <c:h val="0.1796888888888889"/>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Narrow" panose="020B0606020202030204" pitchFamily="34" charset="0"/>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Narrow" panose="020B0606020202030204" pitchFamily="34" charset="0"/>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58E96-15FE-4978-8FA6-E3FAEF35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20890</Words>
  <Characters>119078</Characters>
  <Application>Microsoft Office Word</Application>
  <DocSecurity>0</DocSecurity>
  <Lines>992</Lines>
  <Paragraphs>279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139689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Kubala Jozef</cp:lastModifiedBy>
  <cp:revision>4</cp:revision>
  <dcterms:created xsi:type="dcterms:W3CDTF">2020-05-13T10:52:00Z</dcterms:created>
  <dcterms:modified xsi:type="dcterms:W3CDTF">2020-05-15T09:03:00Z</dcterms:modified>
</cp:coreProperties>
</file>